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ROUSSEAU JON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0"/>
        <w:spacing w:after="0" w:line="365" w:lineRule="auto"/>
        <w:rPr>
          <w:sz w:val="20"/>
          <w:szCs w:val="20"/>
          <w:color w:val="auto"/>
        </w:rPr>
      </w:pPr>
      <w:r>
        <w:rPr>
          <w:rFonts w:ascii="Times New Roman" w:cs="Times New Roman" w:eastAsia="Times New Roman" w:hAnsi="Times New Roman"/>
          <w:sz w:val="17"/>
          <w:szCs w:val="17"/>
          <w:color w:val="0000FF"/>
        </w:rPr>
        <w:t>C/O BRIGHTSPRING HEALTH SERVICES, INC. 805 N. WHITTINGTON PARKWAY</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LOUISVILLE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KY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40222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BrightSpring Health Services,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BTSG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9"/>
                <w:szCs w:val="19"/>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820" w:type="dxa"/>
            <w:vAlign w:val="bottom"/>
            <w:tcBorders>
              <w:top w:val="single" w:sz="8" w:color="0000EE"/>
            </w:tcBorders>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rPr>
                <w:sz w:val="20"/>
                <w:szCs w:val="20"/>
                <w:color w:val="auto"/>
              </w:rPr>
            </w:pPr>
            <w:r>
              <w:rPr>
                <w:rFonts w:ascii="Arial" w:cs="Arial" w:eastAsia="Arial" w:hAnsi="Arial"/>
                <w:sz w:val="13"/>
                <w:szCs w:val="13"/>
                <w:color w:val="auto"/>
              </w:rPr>
              <w:t>10% Owner</w:t>
            </w: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2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rPr>
                <w:sz w:val="20"/>
                <w:szCs w:val="20"/>
                <w:color w:val="auto"/>
              </w:rPr>
            </w:pPr>
            <w:r>
              <w:rPr>
                <w:rFonts w:ascii="Arial" w:cs="Arial" w:eastAsia="Arial" w:hAnsi="Arial"/>
                <w:sz w:val="13"/>
                <w:szCs w:val="13"/>
                <w:color w:val="auto"/>
              </w:rPr>
              <w:t>below)</w:t>
            </w:r>
          </w:p>
        </w:tc>
      </w:tr>
      <w:tr>
        <w:trPr>
          <w:trHeight w:val="226"/>
        </w:trPr>
        <w:tc>
          <w:tcPr>
            <w:tcW w:w="3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10/25/2024</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ind w:left="10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9"/>
                <w:szCs w:val="19"/>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10/25/2024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36,740</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15.5</w:t>
            </w:r>
          </w:p>
        </w:tc>
        <w:tc>
          <w:tcPr>
            <w:tcW w:w="1160" w:type="dxa"/>
            <w:vAlign w:val="bottom"/>
            <w:tcBorders>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931,958</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color w:val="0000FF"/>
              </w:rPr>
              <w:t>369,763</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Rousseau</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withheld by the Issuer to satisfy withholding taxes due in connection with the vesting of 80,657 restricted stock units ("RSUs") at a net settlement price equal to the closing stock price on October 25, 2024.</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725,913 shares of the Issuer's common stock underlying RSUs which will vest in nine equal quarterly installments commencing on January 25, 2025. Each RSU represents a contingent right to receive one share of common stock upon settlement.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480"/>
        <w:spacing w:after="0" w:line="272" w:lineRule="auto"/>
        <w:rPr>
          <w:sz w:val="20"/>
          <w:szCs w:val="20"/>
          <w:color w:val="auto"/>
        </w:rPr>
      </w:pPr>
      <w:r>
        <w:rPr>
          <w:rFonts w:ascii="Times New Roman" w:cs="Times New Roman" w:eastAsia="Times New Roman" w:hAnsi="Times New Roman"/>
          <w:sz w:val="13"/>
          <w:szCs w:val="13"/>
          <w:color w:val="008000"/>
        </w:rPr>
        <w:t>Title: Chairman, President and Chief Executive Officer. The Reporting Person states that this filing shall not be an admission that the Reporting Person is the beneficial owner of any of the securities reported herein as indirectly owned, and the Reporting Person disclaims beneficial ownership of such securities except to the extent of the Reporting Person's pecuniary interest therein.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Phipps,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10/29/2024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color w:val="auto"/>
        </w:rPr>
        <w:t>Exhibit 24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16" w:lineRule="exact"/>
        <w:rPr>
          <w:sz w:val="20"/>
          <w:szCs w:val="20"/>
          <w:color w:val="auto"/>
        </w:rPr>
      </w:pPr>
    </w:p>
    <w:p>
      <w:pPr>
        <w:ind w:firstLine="640"/>
        <w:spacing w:after="0" w:line="274" w:lineRule="auto"/>
        <w:rPr>
          <w:sz w:val="20"/>
          <w:szCs w:val="20"/>
          <w:color w:val="auto"/>
        </w:rPr>
      </w:pPr>
      <w:r>
        <w:rPr>
          <w:rFonts w:ascii="Times New Roman" w:cs="Times New Roman" w:eastAsia="Times New Roman" w:hAnsi="Times New Roman"/>
          <w:sz w:val="21"/>
          <w:szCs w:val="21"/>
          <w:color w:val="auto"/>
        </w:rPr>
        <w:t>KNOW ALL PERSONS BY THESE PRESENTS, that the undersigned hereby constitutes and appoints Jon Rousseau, Jennifer Phipps and Allison Brown, with full power of substitution, as the undersigned’s true and lawful attorney-in-fact to:</w:t>
      </w:r>
    </w:p>
    <w:p>
      <w:pPr>
        <w:spacing w:after="0" w:line="142" w:lineRule="exact"/>
        <w:rPr>
          <w:sz w:val="20"/>
          <w:szCs w:val="20"/>
          <w:color w:val="auto"/>
        </w:rPr>
      </w:pPr>
    </w:p>
    <w:p>
      <w:pPr>
        <w:jc w:val="both"/>
        <w:ind w:left="960" w:right="20" w:hanging="314"/>
        <w:spacing w:after="0" w:line="247" w:lineRule="auto"/>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in the undersigned’s name and on the undersigned’s behalf, and submit to the U.S. Securities and Exchange Commission (the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a Form ID, including amendments thereto, and any other documents necessary or appropriate to obtain codes and passwords enabling the undersigned to make electronic filings with the SEC of reports required by Section 16(a)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or any rule or regulation of the SEC;</w:t>
      </w:r>
    </w:p>
    <w:p>
      <w:pPr>
        <w:spacing w:after="0" w:line="169" w:lineRule="exact"/>
        <w:rPr>
          <w:rFonts w:ascii="Times New Roman" w:cs="Times New Roman" w:eastAsia="Times New Roman" w:hAnsi="Times New Roman"/>
          <w:sz w:val="21"/>
          <w:szCs w:val="21"/>
          <w:color w:val="auto"/>
        </w:rPr>
      </w:pPr>
    </w:p>
    <w:p>
      <w:pPr>
        <w:jc w:val="both"/>
        <w:ind w:left="960" w:right="20" w:hanging="314"/>
        <w:spacing w:after="0" w:line="256" w:lineRule="auto"/>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of BrightSpring Health Services,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Forms 3, 4, and 5 in accordance with Section 16(a) of the Exchange Act and the rules thereunder;</w:t>
      </w:r>
    </w:p>
    <w:p>
      <w:pPr>
        <w:spacing w:after="0" w:line="160" w:lineRule="exact"/>
        <w:rPr>
          <w:rFonts w:ascii="Times New Roman" w:cs="Times New Roman" w:eastAsia="Times New Roman" w:hAnsi="Times New Roman"/>
          <w:sz w:val="21"/>
          <w:szCs w:val="21"/>
          <w:color w:val="auto"/>
        </w:rPr>
      </w:pPr>
    </w:p>
    <w:p>
      <w:pPr>
        <w:jc w:val="both"/>
        <w:ind w:left="960" w:hanging="314"/>
        <w:spacing w:after="0" w:line="256" w:lineRule="auto"/>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60" w:lineRule="exact"/>
        <w:rPr>
          <w:rFonts w:ascii="Times New Roman" w:cs="Times New Roman" w:eastAsia="Times New Roman" w:hAnsi="Times New Roman"/>
          <w:sz w:val="21"/>
          <w:szCs w:val="21"/>
          <w:color w:val="auto"/>
        </w:rPr>
      </w:pPr>
    </w:p>
    <w:p>
      <w:pPr>
        <w:jc w:val="both"/>
        <w:ind w:left="960" w:hanging="314"/>
        <w:spacing w:after="0" w:line="247" w:lineRule="auto"/>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0" w:lineRule="exact"/>
        <w:rPr>
          <w:sz w:val="20"/>
          <w:szCs w:val="20"/>
          <w:color w:val="auto"/>
        </w:rPr>
      </w:pPr>
    </w:p>
    <w:p>
      <w:pPr>
        <w:jc w:val="both"/>
        <w:ind w:firstLine="640"/>
        <w:spacing w:after="0" w:line="250" w:lineRule="exact"/>
        <w:rPr>
          <w:sz w:val="20"/>
          <w:szCs w:val="20"/>
          <w:color w:val="auto"/>
        </w:rPr>
      </w:pPr>
      <w:r>
        <w:rPr>
          <w:rFonts w:ascii="Times New Roman" w:cs="Times New Roman" w:eastAsia="Times New Roman" w:hAnsi="Times New Roman"/>
          <w:sz w:val="21"/>
          <w:szCs w:val="21"/>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in serving in such capacity at the request of the undersigned, is not assuming, nor is the Company assuming, any of the undersigned’s responsibilities to comply with Section 16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w:t>
      </w:r>
    </w:p>
    <w:p>
      <w:pPr>
        <w:spacing w:after="0" w:line="139" w:lineRule="exact"/>
        <w:rPr>
          <w:sz w:val="20"/>
          <w:szCs w:val="20"/>
          <w:color w:val="auto"/>
        </w:rPr>
      </w:pPr>
    </w:p>
    <w:p>
      <w:pPr>
        <w:jc w:val="both"/>
        <w:ind w:right="20" w:firstLine="640"/>
        <w:spacing w:after="0" w:line="194"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28</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1"/>
          <w:szCs w:val="21"/>
          <w:color w:val="auto"/>
        </w:rPr>
        <w:t xml:space="preserve"> day of October, 2024.</w:t>
      </w:r>
    </w:p>
    <w:p>
      <w:pPr>
        <w:spacing w:after="0" w:line="3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color w:val="auto"/>
        </w:rPr>
        <w:t>/s/ Jon Rousseau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16510</wp:posOffset>
            </wp:positionV>
            <wp:extent cx="34778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77895" cy="1714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color w:val="auto"/>
        </w:rPr>
        <w:t>Signature</w:t>
      </w:r>
    </w:p>
    <w:p>
      <w:pPr>
        <w:spacing w:after="0" w:line="200" w:lineRule="exact"/>
        <w:rPr>
          <w:sz w:val="20"/>
          <w:szCs w:val="20"/>
          <w:color w:val="auto"/>
        </w:rPr>
      </w:pPr>
    </w:p>
    <w:p>
      <w:pPr>
        <w:spacing w:after="0" w:line="2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color w:val="auto"/>
        </w:rPr>
        <w:t>Jon Rousseau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16510</wp:posOffset>
            </wp:positionV>
            <wp:extent cx="34778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77895" cy="1714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color w:val="auto"/>
        </w:rPr>
        <w:t>Printed Name</w:t>
      </w:r>
    </w:p>
    <w:sectPr>
      <w:pgSz w:w="11900" w:h="16838" w:orient="portrait"/>
      <w:cols w:equalWidth="0" w:num="1">
        <w:col w:w="10980"/>
      </w:cols>
      <w:pgMar w:left="460" w:top="10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9775" TargetMode="External"/><Relationship Id="rId14" Type="http://schemas.openxmlformats.org/officeDocument/2006/relationships/hyperlink" Target="http://www.sec.gov/cgi-bin/browse-edgar?action=getcompany&amp;CIK=00018657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2024-10-29T16:06:24Z</dcterms:created>
  <dcterms:modified xsi:type="dcterms:W3CDTF">2024-10-29T16:06:24Z</dcterms:modified>
</cp:coreProperties>
</file>