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1315085</wp:posOffset>
            </wp:positionH>
            <wp:positionV relativeFrom="page">
              <wp:posOffset>587375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601345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62230</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80010</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7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8" w:lineRule="exact"/>
        <w:rPr>
          <w:sz w:val="24"/>
          <w:szCs w:val="24"/>
          <w:color w:val="auto"/>
        </w:rPr>
      </w:pPr>
    </w:p>
    <w:p>
      <w:pPr>
        <w:ind w:left="960" w:hanging="319"/>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7" w:lineRule="exact"/>
        <w:rPr>
          <w:sz w:val="24"/>
          <w:szCs w:val="24"/>
          <w:color w:val="auto"/>
        </w:rPr>
      </w:pPr>
    </w:p>
    <w:p>
      <w:pPr>
        <w:ind w:left="29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67945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88" w:lineRule="exact"/>
        <w:rPr>
          <w:sz w:val="24"/>
          <w:szCs w:val="24"/>
          <w:color w:val="auto"/>
        </w:rPr>
      </w:pPr>
    </w:p>
    <w:tbl>
      <w:tblPr>
        <w:tblLayout w:type="fixed"/>
        <w:tblInd w:w="22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82-2956404</w:t>
            </w:r>
          </w:p>
        </w:tc>
      </w:tr>
    </w:tbl>
    <w:p>
      <w:pPr>
        <w:spacing w:after="0" w:line="7" w:lineRule="exact"/>
        <w:rPr>
          <w:sz w:val="24"/>
          <w:szCs w:val="24"/>
          <w:color w:val="auto"/>
        </w:rPr>
      </w:pPr>
    </w:p>
    <w:p>
      <w:pPr>
        <w:sectPr>
          <w:pgSz w:w="11900" w:h="16838" w:orient="portrait"/>
          <w:cols w:equalWidth="0" w:num="1">
            <w:col w:w="9019"/>
          </w:cols>
          <w:pgMar w:left="1440" w:top="1048" w:right="1440" w:bottom="1440" w:gutter="0" w:footer="0" w:header="0"/>
        </w:sect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1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2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9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34" w:lineRule="exact"/>
        <w:rPr>
          <w:sz w:val="24"/>
          <w:szCs w:val="24"/>
          <w:color w:val="auto"/>
        </w:rPr>
      </w:pPr>
    </w:p>
    <w:p>
      <w:pPr>
        <w:sectPr>
          <w:pgSz w:w="11900" w:h="16838" w:orient="portrait"/>
          <w:cols w:equalWidth="0" w:num="2">
            <w:col w:w="5320" w:space="720"/>
            <w:col w:w="2979"/>
          </w:cols>
          <w:pgMar w:left="1440" w:top="1048"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5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BTSG</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6.75% Tangible Equity Units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BTSGU</w:t>
            </w:r>
          </w:p>
        </w:tc>
        <w:tc>
          <w:tcPr>
            <w:tcW w:w="8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640" w:right="67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640" w:right="71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640" w:right="639"/>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50"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640" w:right="1519"/>
        <w:spacing w:after="0" w:line="19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July 30, 2024 was 171,457,499.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92075</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687705</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1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Shareholders'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tcBorders>
              <w:left w:val="single" w:sz="8" w:color="0000FF"/>
            </w:tcBorders>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vMerge w:val="continue"/>
          </w:tcPr>
          <w:p>
            <w:pPr>
              <w:spacing w:after="0"/>
              <w:rPr>
                <w:sz w:val="24"/>
                <w:szCs w:val="24"/>
                <w:color w:val="auto"/>
              </w:rPr>
            </w:pP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ind w:left="640" w:right="879"/>
        <w:spacing w:after="0" w:line="293" w:lineRule="auto"/>
        <w:rPr>
          <w:sz w:val="20"/>
          <w:szCs w:val="20"/>
          <w:color w:val="auto"/>
        </w:rPr>
      </w:pPr>
      <w:r>
        <w:rPr>
          <w:rFonts w:ascii="Times New Roman" w:cs="Times New Roman" w:eastAsia="Times New Roman" w:hAnsi="Times New Roman"/>
          <w:sz w:val="14"/>
          <w:szCs w:val="14"/>
          <w:color w:val="auto"/>
        </w:rPr>
        <w:t>Unless the context requires otherwise, references in this Quarterly Report on Form 10-Q (this “Form 10-Q”) to “BrightSpring,” the “Company,” “we,” “us,” and “our” refer to BrightSpring Health Services, Inc. and its consolidated subsidiaries.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that reflect our current views with respect to, among other things, our operations, and financial performance. We have used the words “anticipate,” “assume,” “believe,” “continue,” “could,” “estimate,” “expect,” “intend,” “may,” “plan,” “potential,” “predict,” “project,” “future,” “will,” “seek,” “foreseeable,” the negative version of these words, or similar terms and phrases to identify forward-looking statements.</w:t>
      </w:r>
    </w:p>
    <w:p>
      <w:pPr>
        <w:spacing w:after="0" w:line="56" w:lineRule="exact"/>
        <w:rPr>
          <w:sz w:val="20"/>
          <w:szCs w:val="20"/>
          <w:color w:val="auto"/>
        </w:rPr>
      </w:pPr>
    </w:p>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2023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1"/>
        </w:trPr>
        <w:tc>
          <w:tcPr>
            <w:tcW w:w="5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9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984,758</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881,627</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374,289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402,776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137,805</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159,167</w:t>
            </w:r>
          </w:p>
        </w:tc>
        <w:tc>
          <w:tcPr>
            <w:tcW w:w="80" w:type="dxa"/>
            <w:vAlign w:val="bottom"/>
          </w:tcPr>
          <w:p>
            <w:pPr>
              <w:spacing w:after="0"/>
              <w:rPr>
                <w:sz w:val="16"/>
                <w:szCs w:val="16"/>
                <w:color w:val="auto"/>
              </w:rPr>
            </w:pPr>
          </w:p>
        </w:tc>
      </w:tr>
      <w:tr>
        <w:trPr>
          <w:trHeight w:val="185"/>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1,521,879</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1,456,641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6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$406,233 and $368,089 at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245,569</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245,908</w:t>
            </w:r>
          </w:p>
        </w:tc>
        <w:tc>
          <w:tcPr>
            <w:tcW w:w="80" w:type="dxa"/>
            <w:vAlign w:val="bottom"/>
          </w:tcPr>
          <w:p>
            <w:pPr>
              <w:spacing w:after="0"/>
              <w:rPr>
                <w:sz w:val="14"/>
                <w:szCs w:val="14"/>
                <w:color w:val="auto"/>
              </w:rPr>
            </w:pPr>
          </w:p>
        </w:tc>
      </w:tr>
      <w:tr>
        <w:trPr>
          <w:trHeight w:val="192"/>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June 30, 2024 and December 31, 2023, respectively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2,626,353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2,608,412</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851,297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881,476</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258,647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267,446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79,336</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72,838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5,605,081</w:t>
            </w:r>
          </w:p>
        </w:tc>
        <w:tc>
          <w:tcPr>
            <w:tcW w:w="20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5,532,721</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669,401</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641,607</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346,740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492,363</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68,253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71,053</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11,141</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48,670</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32,273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1,145,036</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1,248,437</w:t>
            </w:r>
          </w:p>
        </w:tc>
        <w:tc>
          <w:tcPr>
            <w:tcW w:w="80" w:type="dxa"/>
            <w:vAlign w:val="bottom"/>
          </w:tcPr>
          <w:p>
            <w:pPr>
              <w:spacing w:after="0"/>
              <w:rPr>
                <w:sz w:val="16"/>
                <w:szCs w:val="16"/>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195,507</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201,655</w:t>
            </w: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22,528</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2,563,536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3,331,941</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23,668</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70,973</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91,943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3,999,212</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4,920,172</w:t>
            </w:r>
          </w:p>
        </w:tc>
        <w:tc>
          <w:tcPr>
            <w:tcW w:w="80" w:type="dxa"/>
            <w:vAlign w:val="bottom"/>
          </w:tcPr>
          <w:p>
            <w:pPr>
              <w:spacing w:after="0"/>
              <w:rPr>
                <w:sz w:val="16"/>
                <w:szCs w:val="16"/>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80" w:type="dxa"/>
            <w:vAlign w:val="bottom"/>
            <w:shd w:val="clear" w:color="auto" w:fill="CFF0FC"/>
          </w:tcPr>
          <w:p>
            <w:pPr>
              <w:spacing w:after="0"/>
              <w:rPr>
                <w:sz w:val="16"/>
                <w:szCs w:val="16"/>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1"/>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$0.01 par value, 1,500,000,000 and 137,398,625 shares authorized,</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171,397,030 and 117,857,055 shares issued and outstanding at June 30, 2024 and</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$0.01 par value, 250,000,000 authorized, no shares issued and</w:t>
            </w: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outstanding at June 30, 2024; no shares authorized, issued or outstanding at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1,804,965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771,336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(226,150 )</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(200,319 )</w:t>
            </w: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19,025</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1,599,554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584,740</w:t>
            </w:r>
          </w:p>
        </w:tc>
        <w:tc>
          <w:tcPr>
            <w:tcW w:w="80" w:type="dxa"/>
            <w:vAlign w:val="bottom"/>
          </w:tcPr>
          <w:p>
            <w:pPr>
              <w:spacing w:after="0"/>
              <w:rPr>
                <w:sz w:val="16"/>
                <w:szCs w:val="16"/>
                <w:color w:val="auto"/>
              </w:rPr>
            </w:pPr>
          </w:p>
        </w:tc>
      </w:tr>
      <w:tr>
        <w:trPr>
          <w:trHeight w:val="18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1,599,933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80" w:type="dxa"/>
            <w:vAlign w:val="bottom"/>
          </w:tcPr>
          <w:p>
            <w:pPr>
              <w:spacing w:after="0"/>
              <w:rPr>
                <w:sz w:val="16"/>
                <w:szCs w:val="16"/>
                <w:color w:val="auto"/>
              </w:rPr>
            </w:pPr>
          </w:p>
        </w:tc>
      </w:tr>
      <w:tr>
        <w:trPr>
          <w:trHeight w:val="224"/>
        </w:trPr>
        <w:tc>
          <w:tcPr>
            <w:tcW w:w="532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5,605,081</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5,532,721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-4590415</wp:posOffset>
            </wp:positionV>
            <wp:extent cx="47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-4590415</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-3736340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-3736340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-2725420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-2725420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-1973580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-1973580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-539115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-539115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-279400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20" w:type="dxa"/>
            <w:vAlign w:val="bottom"/>
          </w:tcPr>
          <w:p>
            <w:pPr>
              <w:spacing w:after="0"/>
              <w:rPr>
                <w:sz w:val="12"/>
                <w:szCs w:val="12"/>
                <w:color w:val="auto"/>
              </w:rPr>
            </w:pPr>
          </w:p>
        </w:tc>
        <w:tc>
          <w:tcPr>
            <w:tcW w:w="164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1,596,839</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615,719</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569,885</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1,215,322</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1,131,261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2,730,210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2,166,724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5,306,848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4,195,102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1,409,249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2,716,230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409,417</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385,405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809,564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772,089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389,033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372,070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758,424</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706,783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326,619</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292,454</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687,943</w:t>
            </w:r>
          </w:p>
        </w:tc>
        <w:tc>
          <w:tcPr>
            <w:tcW w:w="1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575,612</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62,414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79,616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70,481</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52,439</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79,684</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117,459</w:t>
            </w: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157,861</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(59,704 )</w:t>
            </w: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(26,690 )</w:t>
            </w:r>
          </w:p>
        </w:tc>
        <w:tc>
          <w:tcPr>
            <w:tcW w:w="0" w:type="dxa"/>
            <w:vAlign w:val="bottom"/>
          </w:tcPr>
          <w:p>
            <w:pPr>
              <w:spacing w:after="0"/>
              <w:rPr>
                <w:sz w:val="1"/>
                <w:szCs w:val="1"/>
                <w:color w:val="auto"/>
              </w:rPr>
            </w:pPr>
          </w:p>
        </w:tc>
      </w:tr>
      <w:tr>
        <w:trPr>
          <w:trHeight w:val="19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(9,466 )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(2,834 )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(32,760 )</w:t>
            </w: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(7,180 )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(26,944 )</w:t>
            </w: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(19,510 )</w:t>
            </w:r>
          </w:p>
        </w:tc>
        <w:tc>
          <w:tcPr>
            <w:tcW w:w="0" w:type="dxa"/>
            <w:vAlign w:val="bottom"/>
          </w:tcPr>
          <w:p>
            <w:pPr>
              <w:spacing w:after="0"/>
              <w:rPr>
                <w:sz w:val="1"/>
                <w:szCs w:val="1"/>
                <w:color w:val="auto"/>
              </w:rPr>
            </w:pPr>
          </w:p>
        </w:tc>
      </w:tr>
      <w:tr>
        <w:trPr>
          <w:trHeight w:val="19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(478 )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(1,222 )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(1,113 )</w:t>
            </w: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(2,116 )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BrightSpring Health Services,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8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(25,831 )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(17,394 )</w:t>
            </w:r>
          </w:p>
        </w:tc>
        <w:tc>
          <w:tcPr>
            <w:tcW w:w="0" w:type="dxa"/>
            <w:vAlign w:val="bottom"/>
          </w:tcPr>
          <w:p>
            <w:pPr>
              <w:spacing w:after="0"/>
              <w:rPr>
                <w:sz w:val="1"/>
                <w:szCs w:val="1"/>
                <w:color w:val="auto"/>
              </w:rPr>
            </w:pPr>
          </w:p>
        </w:tc>
      </w:tr>
      <w:tr>
        <w:trPr>
          <w:trHeight w:val="165"/>
        </w:trPr>
        <w:tc>
          <w:tcPr>
            <w:tcW w:w="4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 and subsidiaries</w:t>
            </w:r>
          </w:p>
        </w:tc>
        <w:tc>
          <w:tcPr>
            <w:tcW w:w="1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 per common share (Note 12):</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Income (loss) per share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(0.14 )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per share -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(0.15 )</w:t>
            </w:r>
          </w:p>
        </w:tc>
        <w:tc>
          <w:tcPr>
            <w:tcW w:w="0" w:type="dxa"/>
            <w:vAlign w:val="bottom"/>
          </w:tcPr>
          <w:p>
            <w:pPr>
              <w:spacing w:after="0"/>
              <w:rPr>
                <w:sz w:val="1"/>
                <w:szCs w:val="1"/>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197,515</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117,883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117,875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126,449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-2604135</wp:posOffset>
            </wp:positionV>
            <wp:extent cx="546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-2604135</wp:posOffset>
            </wp:positionV>
            <wp:extent cx="5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-2604135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-2604135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-1975485</wp:posOffset>
            </wp:positionV>
            <wp:extent cx="546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-1975485</wp:posOffset>
            </wp:positionV>
            <wp:extent cx="546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-1975485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-1975485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-1600200</wp:posOffset>
            </wp:positionV>
            <wp:extent cx="546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-1600200</wp:posOffset>
            </wp:positionV>
            <wp:extent cx="546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-1600200</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-1600200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-1346835</wp:posOffset>
            </wp:positionV>
            <wp:extent cx="546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-1346835</wp:posOffset>
            </wp:positionV>
            <wp:extent cx="546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-1346835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-1346835</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-1094105</wp:posOffset>
            </wp:positionV>
            <wp:extent cx="546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-1094105</wp:posOffset>
            </wp:positionV>
            <wp:extent cx="546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-1094105</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-1094105</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(26,944 )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(19,510 )</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income, net of tax:</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(49 )</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(195 )</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26,159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21,104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20" w:type="dxa"/>
            <w:vAlign w:val="bottom"/>
          </w:tcPr>
          <w:p>
            <w:pPr>
              <w:ind w:left="280"/>
              <w:spacing w:after="0" w:line="193"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(7,186 )</w:t>
            </w:r>
          </w:p>
        </w:tc>
        <w:tc>
          <w:tcPr>
            <w:tcW w:w="2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(5,697 )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(14,428 )</w:t>
            </w:r>
          </w:p>
        </w:tc>
        <w:tc>
          <w:tcPr>
            <w:tcW w:w="2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(9,559 )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(4,090 )</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20,568</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(20,463 )</w:t>
            </w:r>
          </w:p>
        </w:tc>
        <w:tc>
          <w:tcPr>
            <w:tcW w:w="2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(9,153 )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(339 )</w:t>
            </w:r>
          </w:p>
        </w:tc>
        <w:tc>
          <w:tcPr>
            <w:tcW w:w="2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(1,222 )</w:t>
            </w: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(822 )</w:t>
            </w:r>
          </w:p>
        </w:tc>
        <w:tc>
          <w:tcPr>
            <w:tcW w:w="2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(2,116 )</w:t>
            </w:r>
          </w:p>
        </w:tc>
        <w:tc>
          <w:tcPr>
            <w:tcW w:w="0" w:type="dxa"/>
            <w:vAlign w:val="bottom"/>
          </w:tcPr>
          <w:p>
            <w:pPr>
              <w:spacing w:after="0"/>
              <w:rPr>
                <w:sz w:val="1"/>
                <w:szCs w:val="1"/>
                <w:color w:val="auto"/>
              </w:rPr>
            </w:pPr>
          </w:p>
        </w:tc>
      </w:tr>
      <w:tr>
        <w:trPr>
          <w:trHeight w:val="198"/>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(139 )</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(291 )</w:t>
            </w:r>
          </w:p>
        </w:tc>
        <w:tc>
          <w:tcPr>
            <w:tcW w:w="2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BrightSpring Health</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15,829</w:t>
            </w:r>
          </w:p>
        </w:tc>
        <w:tc>
          <w:tcPr>
            <w:tcW w:w="180" w:type="dxa"/>
            <w:vAlign w:val="bottom"/>
            <w:shd w:val="clear" w:color="auto" w:fill="CFF0FC"/>
          </w:tcPr>
          <w:p>
            <w:pPr>
              <w:spacing w:after="0"/>
              <w:rPr>
                <w:sz w:val="14"/>
                <w:szCs w:val="14"/>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24,556</w:t>
            </w:r>
          </w:p>
        </w:tc>
        <w:tc>
          <w:tcPr>
            <w:tcW w:w="16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(19,350 )</w:t>
            </w: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(7,037 )</w:t>
            </w: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Services, Inc. and subsidiaries</w:t>
            </w: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6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-730250</wp:posOffset>
            </wp:positionV>
            <wp:extent cx="546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-730250</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-730250</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-730250</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-19685</wp:posOffset>
            </wp:positionV>
            <wp:extent cx="546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-6350</wp:posOffset>
            </wp:positionV>
            <wp:extent cx="546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-19685</wp:posOffset>
            </wp:positionV>
            <wp:extent cx="476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-6350</wp:posOffset>
            </wp:positionV>
            <wp:extent cx="4762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-19685</wp:posOffset>
            </wp:positionV>
            <wp:extent cx="4762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-6350</wp:posOffset>
            </wp:positionV>
            <wp:extent cx="476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839" w:hanging="349"/>
        <w:spacing w:after="0" w:line="226" w:lineRule="auto"/>
        <w:tabs>
          <w:tab w:leader="none" w:pos="9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$(1,018) and $(6,833) for the three and six months ended June 30, 2024, respectively, and $(8,705) and $(6,591) for the three and six months ended June 30, 2023, respectively.</w:t>
      </w:r>
    </w:p>
    <w:p>
      <w:pPr>
        <w:spacing w:after="0" w:line="73" w:lineRule="exact"/>
        <w:rPr>
          <w:rFonts w:ascii="Times New Roman" w:cs="Times New Roman" w:eastAsia="Times New Roman" w:hAnsi="Times New Roman"/>
          <w:sz w:val="19"/>
          <w:szCs w:val="19"/>
          <w:color w:val="auto"/>
          <w:vertAlign w:val="superscript"/>
        </w:rPr>
      </w:pPr>
    </w:p>
    <w:p>
      <w:pPr>
        <w:ind w:left="980" w:right="739" w:hanging="349"/>
        <w:spacing w:after="0" w:line="226" w:lineRule="auto"/>
        <w:tabs>
          <w:tab w:leader="none" w:pos="9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$2,327 and $4,672 for the three and six months ended June 30, 2024, respectively, and $1,896 and $3,181 for the three and six months ended June 30, 2023,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4"/>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35"/>
              <w:spacing w:after="0" w:line="10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right"/>
              <w:ind w:right="232"/>
              <w:spacing w:after="0" w:line="101"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3"/>
          </w:tcPr>
          <w:p>
            <w:pPr>
              <w:jc w:val="right"/>
              <w:ind w:right="40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0" w:type="dxa"/>
            <w:vAlign w:val="bottom"/>
            <w:gridSpan w:val="3"/>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20" w:type="dxa"/>
            <w:vAlign w:val="bottom"/>
          </w:tcPr>
          <w:p>
            <w:pPr>
              <w:spacing w:after="0"/>
              <w:rPr>
                <w:sz w:val="8"/>
                <w:szCs w:val="8"/>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2"/>
                <w:szCs w:val="12"/>
                <w:color w:val="auto"/>
              </w:rPr>
            </w:pPr>
          </w:p>
        </w:tc>
        <w:tc>
          <w:tcPr>
            <w:tcW w:w="1460" w:type="dxa"/>
            <w:vAlign w:val="bottom"/>
            <w:gridSpan w:val="4"/>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4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171,190,389</w:t>
            </w:r>
          </w:p>
        </w:tc>
        <w:tc>
          <w:tcPr>
            <w:tcW w:w="220" w:type="dxa"/>
            <w:vAlign w:val="bottom"/>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1,788,728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(246,069 )</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23,115</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1,568,004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(139 )</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(4,090 )</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(4,090 )</w:t>
            </w:r>
          </w:p>
        </w:tc>
        <w:tc>
          <w:tcPr>
            <w:tcW w:w="0" w:type="dxa"/>
            <w:vAlign w:val="bottom"/>
          </w:tcPr>
          <w:p>
            <w:pPr>
              <w:spacing w:after="0"/>
              <w:rPr>
                <w:sz w:val="1"/>
                <w:szCs w:val="1"/>
                <w:color w:val="auto"/>
              </w:rPr>
            </w:pPr>
          </w:p>
        </w:tc>
      </w:tr>
      <w:tr>
        <w:trPr>
          <w:trHeight w:val="17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gridSpan w:val="2"/>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Shares issued under share-based compensation</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107,389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32"/>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plan, including tax effects</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900" w:type="dxa"/>
            <w:vAlign w:val="bottom"/>
            <w:tcBorders>
              <w:top w:val="single" w:sz="8" w:color="CFF0FC"/>
              <w:bottom w:val="single" w:sz="8" w:color="CFF0FC"/>
            </w:tcBorders>
            <w:gridSpan w:val="2"/>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Balances at June 30, 2024</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171,397,030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1,804,965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(226,150</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1,599,933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2023</w:t>
            </w: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3"/>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ind w:right="35"/>
              <w:spacing w:after="0" w:line="10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tcPr>
          <w:p>
            <w:pPr>
              <w:jc w:val="right"/>
              <w:ind w:right="172"/>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gridSpan w:val="3"/>
          </w:tcPr>
          <w:p>
            <w:pPr>
              <w:jc w:val="right"/>
              <w:ind w:right="34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0" w:type="dxa"/>
            <w:vAlign w:val="bottom"/>
            <w:gridSpan w:val="3"/>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20" w:type="dxa"/>
            <w:vAlign w:val="bottom"/>
          </w:tcPr>
          <w:p>
            <w:pPr>
              <w:spacing w:after="0"/>
              <w:rPr>
                <w:sz w:val="8"/>
                <w:szCs w:val="8"/>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4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117,883,231</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778,716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(67,098 )</w:t>
            </w:r>
          </w:p>
        </w:tc>
        <w:tc>
          <w:tcPr>
            <w:tcW w:w="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10,981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723,778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800" w:type="dxa"/>
            <w:vAlign w:val="bottom"/>
            <w:tcBorders>
              <w:top w:val="single" w:sz="8" w:color="CFF0FC"/>
              <w:bottom w:val="single" w:sz="8" w:color="CFF0FC"/>
            </w:tcBorders>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Balances at June 30, 2023</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117,883,231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779,541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(63,110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4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31,549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749,159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-1113155</wp:posOffset>
            </wp:positionV>
            <wp:extent cx="685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-1099185</wp:posOffset>
            </wp:positionV>
            <wp:extent cx="685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-1235710</wp:posOffset>
            </wp:positionV>
            <wp:extent cx="685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-1113155</wp:posOffset>
            </wp:positionV>
            <wp:extent cx="6858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-1099185</wp:posOffset>
            </wp:positionV>
            <wp:extent cx="6858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-1235710</wp:posOffset>
            </wp:positionV>
            <wp:extent cx="6858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-1113155</wp:posOffset>
            </wp:positionV>
            <wp:extent cx="6858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-1099185</wp:posOffset>
            </wp:positionV>
            <wp:extent cx="6858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-1235710</wp:posOffset>
            </wp:positionV>
            <wp:extent cx="6858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-1113155</wp:posOffset>
            </wp:positionV>
            <wp:extent cx="6159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-1099185</wp:posOffset>
            </wp:positionV>
            <wp:extent cx="615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-1235710</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-1113155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-1099185</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-1235710</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-1113155</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-1099185</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-1235710</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-1113155</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-1099185</wp:posOffset>
            </wp:positionV>
            <wp:extent cx="6159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-1235710</wp:posOffset>
            </wp:positionV>
            <wp:extent cx="6159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-19685</wp:posOffset>
            </wp:positionV>
            <wp:extent cx="6858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-6350</wp:posOffset>
            </wp:positionV>
            <wp:extent cx="6858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-142875</wp:posOffset>
            </wp:positionV>
            <wp:extent cx="6858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-19685</wp:posOffset>
            </wp:positionV>
            <wp:extent cx="6858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-6350</wp:posOffset>
            </wp:positionV>
            <wp:extent cx="6858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-142875</wp:posOffset>
            </wp:positionV>
            <wp:extent cx="6858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-19685</wp:posOffset>
            </wp:positionV>
            <wp:extent cx="6858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-6350</wp:posOffset>
            </wp:positionV>
            <wp:extent cx="6858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-142875</wp:posOffset>
            </wp:positionV>
            <wp:extent cx="6858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-19685</wp:posOffset>
            </wp:positionV>
            <wp:extent cx="6858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-6350</wp:posOffset>
            </wp:positionV>
            <wp:extent cx="685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-142875</wp:posOffset>
            </wp:positionV>
            <wp:extent cx="6858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-19685</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-6350</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-142875</wp:posOffset>
            </wp:positionV>
            <wp:extent cx="615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-19685</wp:posOffset>
            </wp:positionV>
            <wp:extent cx="615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-6350</wp:posOffset>
            </wp:positionV>
            <wp:extent cx="615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-142875</wp:posOffset>
            </wp:positionV>
            <wp:extent cx="6159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-19685</wp:posOffset>
            </wp:positionV>
            <wp:extent cx="6159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-6350</wp:posOffset>
            </wp:positionV>
            <wp:extent cx="6159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-142875</wp:posOffset>
            </wp:positionV>
            <wp:extent cx="615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48" w:lineRule="exact"/>
        <w:rPr>
          <w:sz w:val="20"/>
          <w:szCs w:val="20"/>
          <w:color w:val="auto"/>
        </w:rPr>
      </w:pPr>
    </w:p>
    <w:p>
      <w:pPr>
        <w:ind w:right="240" w:firstLine="3"/>
        <w:spacing w:after="0" w:line="233" w:lineRule="auto"/>
        <w:tabs>
          <w:tab w:leader="none" w:pos="148"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income (loss) to the Company for the three months ended June 30, 2024 and 2023 excludes $(339) and $(1,222), respectively, allocable to the redeemable noncontrolling interests for our joint venture arrangements.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 or otherwise indicated)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40" w:type="dxa"/>
            <w:vAlign w:val="bottom"/>
            <w:gridSpan w:val="3"/>
          </w:tcPr>
          <w:p>
            <w:pPr>
              <w:jc w:val="center"/>
              <w:ind w:right="4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00" w:type="dxa"/>
            <w:vAlign w:val="bottom"/>
          </w:tcPr>
          <w:p>
            <w:pPr>
              <w:spacing w:after="0"/>
              <w:rPr>
                <w:sz w:val="10"/>
                <w:szCs w:val="10"/>
                <w:color w:val="auto"/>
              </w:rPr>
            </w:pPr>
          </w:p>
        </w:tc>
        <w:tc>
          <w:tcPr>
            <w:tcW w:w="1800" w:type="dxa"/>
            <w:vAlign w:val="bottom"/>
            <w:gridSpan w:val="4"/>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117,857,055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771,336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(200,319 )</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12,544</w:t>
            </w:r>
          </w:p>
        </w:tc>
        <w:tc>
          <w:tcPr>
            <w:tcW w:w="320" w:type="dxa"/>
            <w:vAlign w:val="bottom"/>
            <w:gridSpan w:val="3"/>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8"/>
                <w:szCs w:val="18"/>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(25,831 )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(291 )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(26,122 )</w:t>
            </w:r>
          </w:p>
        </w:tc>
        <w:tc>
          <w:tcPr>
            <w:tcW w:w="0" w:type="dxa"/>
            <w:vAlign w:val="bottom"/>
          </w:tcPr>
          <w:p>
            <w:pPr>
              <w:spacing w:after="0"/>
              <w:rPr>
                <w:sz w:val="1"/>
                <w:szCs w:val="1"/>
                <w:color w:val="auto"/>
              </w:rPr>
            </w:pPr>
          </w:p>
        </w:tc>
      </w:tr>
      <w:tr>
        <w:trPr>
          <w:trHeight w:val="18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6,481</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Shares issued under share-based compensation</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107,389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plan, including tax effects</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Extinguishment of redeemable noncontrolling</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14,981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14,981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9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Issuance of common stock on initial public</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53,333,334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655,952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656,485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net of underwriting discounts and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and offering-related expenses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$36.8 million</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stock purchase contract issued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under tangible equity units, net of</w:t>
            </w: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underwriting discounts and commissions</w:t>
            </w: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of $9.1 million</w:t>
            </w:r>
          </w:p>
        </w:tc>
        <w:tc>
          <w:tcPr>
            <w:tcW w:w="940" w:type="dxa"/>
            <w:vAlign w:val="bottom"/>
            <w:tcBorders>
              <w:bottom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Balances at June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171,397,030</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1,804,965</w:t>
            </w:r>
          </w:p>
        </w:tc>
        <w:tc>
          <w:tcPr>
            <w:tcW w:w="2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(226,150</w:t>
            </w:r>
          </w:p>
        </w:tc>
        <w:tc>
          <w:tcPr>
            <w:tcW w:w="180" w:type="dxa"/>
            <w:vAlign w:val="bottom"/>
          </w:tcPr>
          <w:p>
            <w:pPr>
              <w:jc w:val="right"/>
              <w:ind w:right="52"/>
              <w:spacing w:after="0" w:line="160" w:lineRule="exact"/>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19,025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1,599,933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9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2023</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40" w:type="dxa"/>
            <w:vAlign w:val="bottom"/>
            <w:gridSpan w:val="3"/>
          </w:tcPr>
          <w:p>
            <w:pPr>
              <w:jc w:val="center"/>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900" w:type="dxa"/>
            <w:vAlign w:val="bottom"/>
          </w:tcPr>
          <w:p>
            <w:pPr>
              <w:spacing w:after="0"/>
              <w:rPr>
                <w:sz w:val="10"/>
                <w:szCs w:val="10"/>
                <w:color w:val="auto"/>
              </w:rPr>
            </w:pPr>
          </w:p>
        </w:tc>
        <w:tc>
          <w:tcPr>
            <w:tcW w:w="1800" w:type="dxa"/>
            <w:vAlign w:val="bottom"/>
            <w:gridSpan w:val="4"/>
            <w:vMerge w:val="restart"/>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117,860,839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778,121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(45,716 )</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21,192</w:t>
            </w:r>
          </w:p>
        </w:tc>
        <w:tc>
          <w:tcPr>
            <w:tcW w:w="20" w:type="dxa"/>
            <w:vAlign w:val="bottom"/>
            <w:shd w:val="clear" w:color="auto" w:fill="CFF0FC"/>
          </w:tcPr>
          <w:p>
            <w:pPr>
              <w:spacing w:after="0"/>
              <w:rPr>
                <w:sz w:val="15"/>
                <w:szCs w:val="15"/>
                <w:color w:val="auto"/>
              </w:rPr>
            </w:pPr>
          </w:p>
        </w:tc>
        <w:tc>
          <w:tcPr>
            <w:tcW w:w="320" w:type="dxa"/>
            <w:vAlign w:val="bottom"/>
            <w:gridSpan w:val="3"/>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754,776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8"/>
                <w:szCs w:val="18"/>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(17,394 )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(17,394 )</w:t>
            </w:r>
          </w:p>
        </w:tc>
        <w:tc>
          <w:tcPr>
            <w:tcW w:w="0" w:type="dxa"/>
            <w:vAlign w:val="bottom"/>
          </w:tcPr>
          <w:p>
            <w:pPr>
              <w:spacing w:after="0"/>
              <w:rPr>
                <w:sz w:val="1"/>
                <w:szCs w:val="1"/>
                <w:color w:val="auto"/>
              </w:rPr>
            </w:pPr>
          </w:p>
        </w:tc>
      </w:tr>
      <w:tr>
        <w:trPr>
          <w:trHeight w:val="18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3"/>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90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Shares issued under share-based compensation</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22,392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3"/>
            <w:shd w:val="clear" w:color="auto" w:fill="CFF0FC"/>
          </w:tcPr>
          <w:p>
            <w:pPr>
              <w:ind w:left="5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plan, including tax effects</w:t>
            </w:r>
          </w:p>
        </w:tc>
        <w:tc>
          <w:tcPr>
            <w:tcW w:w="9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117,883,231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(63,110 )</w:t>
            </w: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31,549</w:t>
            </w:r>
          </w:p>
        </w:tc>
        <w:tc>
          <w:tcPr>
            <w:tcW w:w="20" w:type="dxa"/>
            <w:vAlign w:val="bottom"/>
          </w:tcPr>
          <w:p>
            <w:pPr>
              <w:spacing w:after="0"/>
              <w:rPr>
                <w:sz w:val="14"/>
                <w:szCs w:val="14"/>
                <w:color w:val="auto"/>
              </w:rPr>
            </w:pPr>
          </w:p>
        </w:tc>
        <w:tc>
          <w:tcPr>
            <w:tcW w:w="3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-142875</wp:posOffset>
            </wp:positionV>
            <wp:extent cx="6858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-142875</wp:posOffset>
            </wp:positionV>
            <wp:extent cx="6858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-142875</wp:posOffset>
            </wp:positionV>
            <wp:extent cx="685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4442460</wp:posOffset>
            </wp:positionH>
            <wp:positionV relativeFrom="paragraph">
              <wp:posOffset>-142875</wp:posOffset>
            </wp:positionV>
            <wp:extent cx="6159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-142875</wp:posOffset>
            </wp:positionV>
            <wp:extent cx="6159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-142875</wp:posOffset>
            </wp:positionV>
            <wp:extent cx="615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-142875</wp:posOffset>
            </wp:positionV>
            <wp:extent cx="615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48" w:lineRule="exact"/>
        <w:rPr>
          <w:sz w:val="20"/>
          <w:szCs w:val="20"/>
          <w:color w:val="auto"/>
        </w:rPr>
      </w:pPr>
    </w:p>
    <w:p>
      <w:pPr>
        <w:ind w:right="200" w:firstLine="3"/>
        <w:spacing w:after="0" w:line="233" w:lineRule="auto"/>
        <w:tabs>
          <w:tab w:leader="none" w:pos="14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to the Company for the six months ended June 30, 2024 and 2023 excludes $(822) and $(2,116), respectively, allocable to the redeemable noncontrolling interests for our joint venture arrangements.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5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5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(26,944 )</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(19,510 )</w:t>
            </w: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cash (used in) provided by operating activities: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98,993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100,550</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12,174</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10,509</w:t>
            </w: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(49,260 )</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(25,755 )</w:t>
            </w: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Loss on disposition of fixed assets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(1,438 )</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 and dispositions: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(112,522 )</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(105,402 )</w:t>
            </w:r>
          </w:p>
        </w:tc>
      </w:tr>
      <w:tr>
        <w:trPr>
          <w:trHeight w:val="198"/>
        </w:trPr>
        <w:tc>
          <w:tcPr>
            <w:tcW w:w="52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21,737</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22,110</w:t>
            </w: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36,708</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Trade accounts payable</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41,329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(89,666 )</w:t>
            </w:r>
          </w:p>
        </w:tc>
      </w:tr>
      <w:tr>
        <w:trPr>
          <w:trHeight w:val="190"/>
        </w:trPr>
        <w:tc>
          <w:tcPr>
            <w:tcW w:w="5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(153,892 )</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69,682</w:t>
            </w:r>
          </w:p>
        </w:tc>
        <w:tc>
          <w:tcPr>
            <w:tcW w:w="80" w:type="dxa"/>
            <w:vAlign w:val="bottom"/>
          </w:tcPr>
          <w:p>
            <w:pPr>
              <w:spacing w:after="0"/>
              <w:rPr>
                <w:sz w:val="16"/>
                <w:szCs w:val="16"/>
                <w:color w:val="auto"/>
              </w:rPr>
            </w:pPr>
          </w:p>
        </w:tc>
      </w:tr>
      <w:tr>
        <w:trPr>
          <w:trHeight w:val="194"/>
        </w:trPr>
        <w:tc>
          <w:tcPr>
            <w:tcW w:w="52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(16,576 )</w:t>
            </w:r>
          </w:p>
        </w:tc>
        <w:tc>
          <w:tcPr>
            <w:tcW w:w="2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(4,988 )</w:t>
            </w:r>
          </w:p>
        </w:tc>
      </w:tr>
      <w:tr>
        <w:trPr>
          <w:trHeight w:val="20"/>
        </w:trPr>
        <w:tc>
          <w:tcPr>
            <w:tcW w:w="5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(94,084 )</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8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(45,559 )</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(38,794 )</w:t>
            </w:r>
          </w:p>
        </w:tc>
      </w:tr>
      <w:tr>
        <w:trPr>
          <w:trHeight w:val="198"/>
        </w:trPr>
        <w:tc>
          <w:tcPr>
            <w:tcW w:w="5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(43,611 )</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(25,464 )</w:t>
            </w:r>
          </w:p>
        </w:tc>
      </w:tr>
      <w:tr>
        <w:trPr>
          <w:trHeight w:val="190"/>
        </w:trPr>
        <w:tc>
          <w:tcPr>
            <w:tcW w:w="5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80" w:type="dxa"/>
            <w:vAlign w:val="bottom"/>
          </w:tcPr>
          <w:p>
            <w:pPr>
              <w:spacing w:after="0"/>
              <w:rPr>
                <w:sz w:val="16"/>
                <w:szCs w:val="16"/>
                <w:color w:val="auto"/>
              </w:rPr>
            </w:pPr>
          </w:p>
        </w:tc>
      </w:tr>
      <w:tr>
        <w:trPr>
          <w:trHeight w:val="184"/>
        </w:trPr>
        <w:tc>
          <w:tcPr>
            <w:tcW w:w="52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(88,630 )</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(62,764 )</w:t>
            </w:r>
          </w:p>
        </w:tc>
      </w:tr>
      <w:tr>
        <w:trPr>
          <w:trHeight w:val="185"/>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197"/>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debt borrowings</w:t>
            </w: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2,566,000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repayments</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(3,370,970 )</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(15,321 )</w:t>
            </w: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on initial public offering, net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656,485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tangible equity units, net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Borrowings of the Revolving Credit Facility, net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66,600</w:t>
            </w:r>
          </w:p>
        </w:tc>
        <w:tc>
          <w:tcPr>
            <w:tcW w:w="80" w:type="dxa"/>
            <w:vAlign w:val="bottom"/>
            <w:shd w:val="clear" w:color="auto" w:fill="CFF0FC"/>
          </w:tcPr>
          <w:p>
            <w:pPr>
              <w:spacing w:after="0"/>
              <w:rPr>
                <w:sz w:val="17"/>
                <w:szCs w:val="17"/>
                <w:color w:val="auto"/>
              </w:rPr>
            </w:pP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(43,188 )</w:t>
            </w:r>
          </w:p>
        </w:tc>
        <w:tc>
          <w:tcPr>
            <w:tcW w:w="2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(650 )</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issued under share-based compensation plan, including tax effects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Shares issued for payment of acquisition</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acquisition earn-outs</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(2,656 )</w:t>
            </w:r>
          </w:p>
        </w:tc>
        <w:tc>
          <w:tcPr>
            <w:tcW w:w="26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(300 )</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financing lease obligations</w:t>
            </w:r>
          </w:p>
        </w:tc>
        <w:tc>
          <w:tcPr>
            <w:tcW w:w="28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(5,636 )</w:t>
            </w: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(5,724 )</w:t>
            </w:r>
          </w:p>
        </w:tc>
      </w:tr>
      <w:tr>
        <w:trPr>
          <w:trHeight w:val="184"/>
        </w:trPr>
        <w:tc>
          <w:tcPr>
            <w:tcW w:w="526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194,670</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45,700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2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(2,372 )</w:t>
            </w:r>
          </w:p>
        </w:tc>
      </w:tr>
      <w:tr>
        <w:trPr>
          <w:trHeight w:val="194"/>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16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11,256</w:t>
            </w:r>
          </w:p>
        </w:tc>
        <w:tc>
          <w:tcPr>
            <w:tcW w:w="80" w:type="dxa"/>
            <w:vAlign w:val="bottom"/>
          </w:tcPr>
          <w:p>
            <w:pPr>
              <w:spacing w:after="0"/>
              <w:rPr>
                <w:sz w:val="16"/>
                <w:szCs w:val="16"/>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-2910205</wp:posOffset>
            </wp:positionV>
            <wp:extent cx="476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-2910205</wp:posOffset>
            </wp:positionV>
            <wp:extent cx="4762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-2138045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-2138045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-402590</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-402590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4499610</wp:posOffset>
            </wp:positionH>
            <wp:positionV relativeFrom="paragraph">
              <wp:posOffset>-149860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 (continued)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5"/>
          </w:tcPr>
          <w:p>
            <w:pPr>
              <w:ind w:left="14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5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56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110,905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147,433</w:t>
            </w:r>
          </w:p>
        </w:tc>
        <w:tc>
          <w:tcPr>
            <w:tcW w:w="80" w:type="dxa"/>
            <w:vAlign w:val="bottom"/>
            <w:shd w:val="clear" w:color="auto" w:fill="CFF0FC"/>
          </w:tcPr>
          <w:p>
            <w:pPr>
              <w:spacing w:after="0"/>
              <w:rPr>
                <w:sz w:val="17"/>
                <w:szCs w:val="17"/>
                <w:color w:val="auto"/>
              </w:rPr>
            </w:pPr>
          </w:p>
        </w:tc>
      </w:tr>
      <w:tr>
        <w:trPr>
          <w:trHeight w:val="190"/>
        </w:trPr>
        <w:tc>
          <w:tcPr>
            <w:tcW w:w="5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23,692</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26,556</w:t>
            </w: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Notes issued and contingent liabilities assumed in connection with acquisitions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Financing lease obligations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6,282</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80" w:type="dxa"/>
            <w:vAlign w:val="bottom"/>
            <w:shd w:val="clear" w:color="auto" w:fill="CFF0FC"/>
          </w:tcPr>
          <w:p>
            <w:pPr>
              <w:spacing w:after="0"/>
              <w:rPr>
                <w:sz w:val="17"/>
                <w:szCs w:val="17"/>
                <w:color w:val="auto"/>
              </w:rPr>
            </w:pPr>
          </w:p>
        </w:tc>
      </w:tr>
      <w:tr>
        <w:trPr>
          <w:trHeight w:val="190"/>
        </w:trPr>
        <w:tc>
          <w:tcPr>
            <w:tcW w:w="5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Acquisition consideration in accounts payable</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80" w:type="dxa"/>
            <w:vAlign w:val="bottom"/>
            <w:shd w:val="clear" w:color="auto" w:fill="CFF0FC"/>
          </w:tcPr>
          <w:p>
            <w:pPr>
              <w:spacing w:after="0"/>
              <w:rPr>
                <w:sz w:val="17"/>
                <w:szCs w:val="17"/>
                <w:color w:val="auto"/>
              </w:rPr>
            </w:pPr>
          </w:p>
        </w:tc>
      </w:tr>
      <w:tr>
        <w:trPr>
          <w:trHeight w:val="186"/>
        </w:trPr>
        <w:tc>
          <w:tcPr>
            <w:tcW w:w="56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Consideration for purchase of redeemable noncontrolling interest in 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4"/>
          <w:szCs w:val="14"/>
          <w:color w:val="auto"/>
        </w:rPr>
        <w:t>BrightSpring Health Services, Inc.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49" w:lineRule="exact"/>
        <w:rPr>
          <w:sz w:val="20"/>
          <w:szCs w:val="20"/>
          <w:color w:val="auto"/>
        </w:rPr>
      </w:pPr>
    </w:p>
    <w:p>
      <w:pPr>
        <w:jc w:val="both"/>
        <w:ind w:left="640" w:right="999"/>
        <w:spacing w:after="0" w:line="275"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and Walgreens Boots Alliance, Inc. (“WBA”) purchased PharMerica Corporation (“PharMerica”) and on March 5, 2019, expanded with the acquisition of BrightSpring Health Holdings Corp. The surviving entity was renamed BrightSpring Health Services, Inc.</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BrightSpring Health Services, Inc. completed its initial public offering (“IPO”) of 53,333,334 shares of its common stock at a price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$13.00 per share and its concurrent offering of 8,000,000 6.75% tangible equity units (“TEUs”) with a stated amount of $50.00 per</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unit in January 2024 (collectively, “the IPO Offerings”). The net proceeds from the IPO Offerings amounted to $656.5 million and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$389.0 million for the common stock and TEUs, respectively, after deducting underwriting discounts and commissions, and offering-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related expenses. The shares and TEUs began trading on the Nasdaq Global Select Market on January 26, 2024 under the ticker</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symbols “BTSG” and “BTSGU,” respectively. BrightSpring Health Services, Inc. used a portion of the net proceeds received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IPO Offerings to repay certain indebtedness (see Note 5). Additionally, a portion of the net proceeds will be used to pay termination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fees in connection with the termination of our monitoring agreement with our controlling stockholders, KKR and WBA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“Monitoring Agreement”) (see Note 13). The remaining proceeds were retained for general corporate purposes. In connection with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IPO Offerings, the Company also granted equity awards to management and certain other full-time employees (see Note 15).</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BrightSpring Health Services, Inc. and its subsidiaries (“BrightSpring,” the “Company,” “we,” “us,” or “our”). The Company consolidates its majority-owned and controlled entities, including variable interest entities (“VIEs”) for which the Company is the primary beneficiary. All intercompany balances and transactions have been eliminated.</w:t>
      </w:r>
    </w:p>
    <w:p>
      <w:pPr>
        <w:spacing w:after="0" w:line="56"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 (see Note 11).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spacing w:after="0" w:line="56" w:lineRule="exact"/>
        <w:rPr>
          <w:sz w:val="20"/>
          <w:szCs w:val="20"/>
          <w:color w:val="auto"/>
        </w:rPr>
      </w:pPr>
    </w:p>
    <w:p>
      <w:pPr>
        <w:jc w:val="both"/>
        <w:ind w:left="640" w:right="759"/>
        <w:spacing w:after="0" w:line="265" w:lineRule="auto"/>
        <w:rPr>
          <w:sz w:val="20"/>
          <w:szCs w:val="20"/>
          <w:color w:val="auto"/>
        </w:rPr>
      </w:pPr>
      <w:r>
        <w:rPr>
          <w:rFonts w:ascii="Times New Roman" w:cs="Times New Roman" w:eastAsia="Times New Roman" w:hAnsi="Times New Roman"/>
          <w:sz w:val="14"/>
          <w:szCs w:val="14"/>
          <w:color w:val="auto"/>
        </w:rPr>
        <w:t>This report should be read in conjunction with our consolidated financial statements and related notes thereto included in our Annual Report on Form 10-K for the year ended December 31, 2023, which include information and disclosures not included herein. Certain information and footnote disclosures normally included in annual financial statements prepared in accordance with U.S. GAAP have been condensed or omitted from the interim financial information presented, as allowed by the rules and regulations of the Securities and Exchange Commission.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819"/>
        <w:spacing w:after="0" w:line="264"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long-lived assets, definite and indefinite-lived intangibles, derivatives, insurance reserves, stock-based compensation, and goodwill. Actual amounts may differ from these estimates.</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At June 30, 2024 and December 31, 2023, the fair value of cash and cash equivalents, accounts receivable, trade accounts payable, and accrued expenses approximated their carrying values because of the short-term nature of these instruments. The carrying amounts of the Company’s long-term debt approximated fair value as interest rates and negotiated terms and conditions are consistent with current market rates due to the close proximity of recent refinancing transactions to the dates of these unaudited condensed consolidated financial statements. All debt classifications and interest rate swaps represent Level 2 fair value measurements. Contingent consideration, which represents future earn-outs associated with acquisitions, represents a Level 3 fair value measurement as there is little or no market data available. Refer to Note 9.</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Deferred Offering Costs</w:t>
      </w:r>
    </w:p>
    <w:p>
      <w:pPr>
        <w:spacing w:after="0" w:line="99"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Deferred offering costs of $5.6 million, which consist of legal, accounting, filing, and other fees and costs directly attributable to the Company’s IPO, were capitalized, and upon completion of the IPO in January 2024, were subsequently recorded in shareholders’ equity as a reduction of proceeds during the first fiscal quarter. There were $3.9 million of deferred offering costs included in other assets in the accompanying unaudited condensed consolidated balance sheet as of December 31, 2023.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Government Actions to Mitigate COVID-19’s Impact</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On May 11, 2023, the Department of Health and Human Services declared the COVID-19 pandemic is no longer a public health emergency. Through the Coronavirus Aid, Relief, and Economic Security Act, the Paycheck Protection Program and Health Care Enhancement Act, and the Consolidated Appropriations Act, $178 billion of funding was authorized to be distributed to health care providers through the Provider Relief Fund (“PRF”) in response to COVID-19.</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 received and recognized the following amounts from the PRF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2420" w:type="dxa"/>
            <w:vAlign w:val="bottom"/>
            <w:gridSpan w:val="6"/>
          </w:tcPr>
          <w:p>
            <w:pPr>
              <w:ind w:left="30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r>
      <w:tr>
        <w:trPr>
          <w:trHeight w:val="131"/>
        </w:trPr>
        <w:tc>
          <w:tcPr>
            <w:tcW w:w="53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Amounts received from the Provider Relief Fund</w:t>
            </w:r>
          </w:p>
        </w:tc>
        <w:tc>
          <w:tcPr>
            <w:tcW w:w="80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18,804</w:t>
            </w:r>
          </w:p>
        </w:tc>
        <w:tc>
          <w:tcPr>
            <w:tcW w:w="80" w:type="dxa"/>
            <w:vAlign w:val="bottom"/>
            <w:shd w:val="clear" w:color="auto" w:fill="CFF0FC"/>
          </w:tcPr>
          <w:p>
            <w:pPr>
              <w:spacing w:after="0"/>
              <w:rPr>
                <w:sz w:val="16"/>
                <w:szCs w:val="16"/>
                <w:color w:val="auto"/>
              </w:rPr>
            </w:pPr>
          </w:p>
        </w:tc>
      </w:tr>
      <w:tr>
        <w:trPr>
          <w:trHeight w:val="18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Amounts recognized into income</w:t>
            </w:r>
          </w:p>
        </w:tc>
        <w:tc>
          <w:tcPr>
            <w:tcW w:w="800" w:type="dxa"/>
            <w:vAlign w:val="bottom"/>
          </w:tcPr>
          <w:p>
            <w:pPr>
              <w:jc w:val="right"/>
              <w:ind w:right="65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18,804</w:t>
            </w:r>
          </w:p>
        </w:tc>
        <w:tc>
          <w:tcPr>
            <w:tcW w:w="80" w:type="dxa"/>
            <w:vAlign w:val="bottom"/>
          </w:tcPr>
          <w:p>
            <w:pPr>
              <w:spacing w:after="0"/>
              <w:rPr>
                <w:sz w:val="16"/>
                <w:szCs w:val="16"/>
                <w:color w:val="auto"/>
              </w:rPr>
            </w:pPr>
          </w:p>
        </w:tc>
      </w:tr>
    </w:tbl>
    <w:p>
      <w:pPr>
        <w:spacing w:after="0" w:line="79" w:lineRule="exact"/>
        <w:rPr>
          <w:sz w:val="20"/>
          <w:szCs w:val="20"/>
          <w:color w:val="auto"/>
        </w:rPr>
      </w:pPr>
    </w:p>
    <w:p>
      <w:pPr>
        <w:ind w:left="640" w:right="639"/>
        <w:spacing w:after="0" w:line="272" w:lineRule="auto"/>
        <w:rPr>
          <w:sz w:val="20"/>
          <w:szCs w:val="20"/>
          <w:color w:val="auto"/>
        </w:rPr>
      </w:pPr>
      <w:r>
        <w:rPr>
          <w:rFonts w:ascii="Times New Roman" w:cs="Times New Roman" w:eastAsia="Times New Roman" w:hAnsi="Times New Roman"/>
          <w:sz w:val="14"/>
          <w:szCs w:val="14"/>
          <w:color w:val="auto"/>
        </w:rPr>
        <w:t>The Company did not receive or recognize into income any PRF during the three months ended June 30, 2024 and 2023. The income recognized in the six months ended June 30, 2023 was offset directly by the expenses incurred within selling, general, and administrative expenses in our unaudited condensed consolidated statements of operations, which resulted in no net financial impact to the Company.</w:t>
      </w: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This ASU requires the following disclosures on an annual and interim basis:</w:t>
      </w:r>
    </w:p>
    <w:p>
      <w:pPr>
        <w:spacing w:after="0" w:line="84" w:lineRule="exact"/>
        <w:rPr>
          <w:sz w:val="20"/>
          <w:szCs w:val="20"/>
          <w:color w:val="auto"/>
        </w:rPr>
      </w:pPr>
    </w:p>
    <w:p>
      <w:pPr>
        <w:ind w:left="1340" w:right="79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segment expenses that are regularly provided to the chief operating decision maker (“CODM”) and included with each reported measure of segment profit/loss;</w:t>
      </w:r>
    </w:p>
    <w:p>
      <w:pPr>
        <w:spacing w:after="0" w:line="37" w:lineRule="exact"/>
        <w:rPr>
          <w:rFonts w:ascii="Times New Roman" w:cs="Times New Roman" w:eastAsia="Times New Roman" w:hAnsi="Times New Roman"/>
          <w:sz w:val="14"/>
          <w:szCs w:val="14"/>
          <w:color w:val="auto"/>
        </w:rPr>
      </w:pPr>
    </w:p>
    <w:p>
      <w:pPr>
        <w:ind w:left="1340" w:right="81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by reportable segment, consisting of differences between segment revenue and segment profit/loss not already disclosed above;</w:t>
      </w:r>
    </w:p>
    <w:p>
      <w:pPr>
        <w:spacing w:after="0" w:line="37" w:lineRule="exact"/>
        <w:rPr>
          <w:rFonts w:ascii="Times New Roman" w:cs="Times New Roman" w:eastAsia="Times New Roman" w:hAnsi="Times New Roman"/>
          <w:sz w:val="14"/>
          <w:szCs w:val="14"/>
          <w:color w:val="auto"/>
        </w:rPr>
      </w:pPr>
    </w:p>
    <w:p>
      <w:pPr>
        <w:ind w:left="1340" w:right="77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information by reportable segment, including total assets, depreciation and amortization, and capital expenditures; and</w:t>
      </w:r>
    </w:p>
    <w:p>
      <w:pPr>
        <w:spacing w:after="0" w:line="37" w:lineRule="exact"/>
        <w:rPr>
          <w:rFonts w:ascii="Times New Roman" w:cs="Times New Roman" w:eastAsia="Times New Roman" w:hAnsi="Times New Roman"/>
          <w:sz w:val="14"/>
          <w:szCs w:val="14"/>
          <w:color w:val="auto"/>
        </w:rPr>
      </w:pPr>
    </w:p>
    <w:p>
      <w:pPr>
        <w:ind w:left="1340" w:right="111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CODM and an explanation of how the CODM uses the reported measures of segment profit/loss in assessing segment performance and deciding how to allocate resources.</w:t>
      </w:r>
    </w:p>
    <w:p>
      <w:pPr>
        <w:spacing w:after="0" w:line="37" w:lineRule="exact"/>
        <w:rPr>
          <w:sz w:val="20"/>
          <w:szCs w:val="20"/>
          <w:color w:val="auto"/>
        </w:rPr>
      </w:pPr>
    </w:p>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The amendments in this ASU are effective for fiscal years beginning after December 15, 2023, and interim periods within fiscal years beginning after December 15, 2024, with early adoption permitted, and should be applied on a retrospective basis. This ASU will have no impact on the Company’s consolidated financial condition or results of operations. The Company is currently evaluating the impact to the related segment reporting disclosures.</w:t>
      </w:r>
    </w:p>
    <w:p>
      <w:pPr>
        <w:spacing w:after="0" w:line="54" w:lineRule="exact"/>
        <w:rPr>
          <w:sz w:val="20"/>
          <w:szCs w:val="20"/>
          <w:color w:val="auto"/>
        </w:rPr>
      </w:pPr>
    </w:p>
    <w:p>
      <w:pPr>
        <w:ind w:left="640" w:right="819"/>
        <w:spacing w:after="0" w:line="296"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This ASU requires the following disclosures on an annual basis:</w:t>
      </w:r>
    </w:p>
    <w:p>
      <w:pPr>
        <w:spacing w:after="0" w:line="35" w:lineRule="exact"/>
        <w:rPr>
          <w:sz w:val="20"/>
          <w:szCs w:val="20"/>
          <w:color w:val="auto"/>
        </w:rPr>
      </w:pPr>
    </w:p>
    <w:p>
      <w:pPr>
        <w:ind w:left="1340" w:right="1199" w:hanging="359"/>
        <w:spacing w:after="0" w:line="293"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tabular rate reconciliation using both percentages and amounts, broken out into specific categories with certain reconciling items at or above 5% of the statutory tax further broken out by nature and/or jurisdiction;</w:t>
      </w:r>
    </w:p>
    <w:p>
      <w:pPr>
        <w:spacing w:after="0" w:line="37" w:lineRule="exact"/>
        <w:rPr>
          <w:rFonts w:ascii="Times New Roman" w:cs="Times New Roman" w:eastAsia="Times New Roman" w:hAnsi="Times New Roman"/>
          <w:sz w:val="14"/>
          <w:szCs w:val="14"/>
          <w:color w:val="auto"/>
        </w:rPr>
      </w:pPr>
    </w:p>
    <w:p>
      <w:pPr>
        <w:ind w:left="1340" w:right="1099" w:hanging="359"/>
        <w:spacing w:after="0" w:line="293"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Qualitative disclosure of the nature and effect of significant reconciling items by specific categories and individual jurisdictions; and</w:t>
      </w:r>
    </w:p>
    <w:p>
      <w:pPr>
        <w:spacing w:after="0" w:line="1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1340" w:right="819" w:hanging="359"/>
        <w:spacing w:after="0" w:line="293"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paid (net of refunds received), broken out between federal, state/local and foreign, and amounts paid to an individual jurisdiction when 5% or more of the total income taxes paid.</w:t>
      </w:r>
    </w:p>
    <w:p>
      <w:pPr>
        <w:spacing w:after="0" w:line="37" w:lineRule="exact"/>
        <w:rPr>
          <w:sz w:val="20"/>
          <w:szCs w:val="20"/>
          <w:color w:val="auto"/>
        </w:rPr>
      </w:pPr>
    </w:p>
    <w:p>
      <w:pPr>
        <w:jc w:val="both"/>
        <w:ind w:left="640" w:right="739"/>
        <w:spacing w:after="0" w:line="275" w:lineRule="auto"/>
        <w:rPr>
          <w:sz w:val="20"/>
          <w:szCs w:val="20"/>
          <w:color w:val="auto"/>
        </w:rPr>
      </w:pPr>
      <w:r>
        <w:rPr>
          <w:rFonts w:ascii="Times New Roman" w:cs="Times New Roman" w:eastAsia="Times New Roman" w:hAnsi="Times New Roman"/>
          <w:sz w:val="14"/>
          <w:szCs w:val="14"/>
          <w:color w:val="auto"/>
        </w:rPr>
        <w:t>The amendments in this ASU are effective for annual periods beginning after December 15, 2024, with early adoption permitted, and should be applied on a prospective basis. This ASU will have no impact on the Company’s consolidated financial condition or results of operations. The Company is currently evaluating the impact to the income tax disclosures.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Revenue</w:t>
      </w:r>
    </w:p>
    <w:p>
      <w:pPr>
        <w:spacing w:after="0" w:line="18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The following tables set forth revenue by payor type (in millions):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1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7"/>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40" w:type="dxa"/>
            <w:vAlign w:val="bottom"/>
            <w:gridSpan w:val="2"/>
            <w:vMerge w:val="restart"/>
          </w:tcPr>
          <w:p>
            <w:pPr>
              <w:spacing w:after="0"/>
              <w:rPr>
                <w:sz w:val="8"/>
                <w:szCs w:val="8"/>
                <w:color w:val="auto"/>
              </w:rPr>
            </w:pPr>
          </w:p>
        </w:tc>
        <w:tc>
          <w:tcPr>
            <w:tcW w:w="580" w:type="dxa"/>
            <w:vAlign w:val="bottom"/>
            <w:gridSpan w:val="2"/>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60" w:type="dxa"/>
            <w:vAlign w:val="bottom"/>
            <w:gridSpan w:val="2"/>
            <w:vMerge w:val="restart"/>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40" w:type="dxa"/>
            <w:vAlign w:val="bottom"/>
            <w:gridSpan w:val="2"/>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6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20.9 %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18.5 % $ 1,074.6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7.6 %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6.1 %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0.7 %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13.8 %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17.5 %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28.2 %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21.3 %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2.0 %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77.4 %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73.7 % $ 4,091.5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77.1 %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gridSpan w:val="2"/>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500" w:type="dxa"/>
            <w:vAlign w:val="bottom"/>
          </w:tcPr>
          <w:p>
            <w:pPr>
              <w:jc w:val="center"/>
              <w:ind w:right="111"/>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jc w:val="right"/>
              <w:ind w:right="152"/>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580" w:type="dxa"/>
            <w:vAlign w:val="bottom"/>
          </w:tcPr>
          <w:p>
            <w:pPr>
              <w:jc w:val="center"/>
              <w:ind w:right="71"/>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40" w:type="dxa"/>
            <w:vAlign w:val="bottom"/>
            <w:gridSpan w:val="2"/>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560" w:type="dxa"/>
            <w:vAlign w:val="bottom"/>
          </w:tcPr>
          <w:p>
            <w:pPr>
              <w:jc w:val="center"/>
              <w:ind w:right="31"/>
              <w:spacing w:after="0" w:line="101"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4"/>
              </w:rPr>
              <w:t>Revenue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1.8 %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1.8 %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1.8 %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15.1 %</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16"/>
                <w:szCs w:val="16"/>
                <w:color w:val="auto"/>
              </w:rPr>
            </w:pP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22.6 %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26.3 % $ 1,215.3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22.9 %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12"/>
          </w:tcPr>
          <w:p>
            <w:pPr>
              <w:ind w:left="6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240" w:type="dxa"/>
            <w:vAlign w:val="bottom"/>
            <w:gridSpan w:val="2"/>
            <w:vMerge w:val="restart"/>
          </w:tcPr>
          <w:p>
            <w:pPr>
              <w:spacing w:after="0"/>
              <w:rPr>
                <w:sz w:val="8"/>
                <w:szCs w:val="8"/>
                <w:color w:val="auto"/>
              </w:rPr>
            </w:pPr>
          </w:p>
        </w:tc>
        <w:tc>
          <w:tcPr>
            <w:tcW w:w="580" w:type="dxa"/>
            <w:vAlign w:val="bottom"/>
            <w:gridSpan w:val="2"/>
          </w:tcPr>
          <w:p>
            <w:pPr>
              <w:jc w:val="center"/>
              <w:ind w:right="100"/>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gridSpan w:val="2"/>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60" w:type="dxa"/>
            <w:vAlign w:val="bottom"/>
            <w:gridSpan w:val="2"/>
            <w:vMerge w:val="restart"/>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gridSpan w:val="2"/>
            <w:vMerge w:val="restart"/>
          </w:tcPr>
          <w:p>
            <w:pPr>
              <w:spacing w:after="0"/>
              <w:rPr>
                <w:sz w:val="8"/>
                <w:szCs w:val="8"/>
                <w:color w:val="auto"/>
              </w:rPr>
            </w:pPr>
          </w:p>
        </w:tc>
        <w:tc>
          <w:tcPr>
            <w:tcW w:w="560" w:type="dxa"/>
            <w:vAlign w:val="bottom"/>
          </w:tcPr>
          <w:p>
            <w:pPr>
              <w:jc w:val="right"/>
              <w:ind w:right="111"/>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5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22.7 % $   439.8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20.3 % $ 1,170.3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22.0 %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831.3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19.9 %</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19.6 %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22.7 %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19.9 %</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8.6 %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10.7 %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473.2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0.9 %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14.8 %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18.2 %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94"/>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28.2 %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21.3 %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28.8 %</w:t>
            </w:r>
          </w:p>
        </w:tc>
        <w:tc>
          <w:tcPr>
            <w:tcW w:w="1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1,031.8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0" w:type="dxa"/>
            <w:vAlign w:val="bottom"/>
          </w:tcPr>
          <w:p>
            <w:pPr>
              <w:spacing w:after="0"/>
              <w:rPr>
                <w:sz w:val="1"/>
                <w:szCs w:val="1"/>
                <w:color w:val="auto"/>
              </w:rPr>
            </w:pPr>
          </w:p>
        </w:tc>
      </w:tr>
      <w:tr>
        <w:trPr>
          <w:trHeight w:val="200"/>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5.2 %</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5.9 %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5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100.0 %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100.0 % $ 5,306.8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100.0 % $</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4,195.1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-4166870</wp:posOffset>
            </wp:positionV>
            <wp:extent cx="4919345" cy="123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-3921125</wp:posOffset>
            </wp:positionV>
            <wp:extent cx="4919345" cy="123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-3675380</wp:posOffset>
            </wp:positionV>
            <wp:extent cx="4919345" cy="123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-3429000</wp:posOffset>
            </wp:positionV>
            <wp:extent cx="4919345" cy="1295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-2588895</wp:posOffset>
            </wp:positionV>
            <wp:extent cx="4919345" cy="123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-2342515</wp:posOffset>
            </wp:positionV>
            <wp:extent cx="4919345" cy="123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-2096770</wp:posOffset>
            </wp:positionV>
            <wp:extent cx="4919345" cy="123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-1851025</wp:posOffset>
            </wp:positionV>
            <wp:extent cx="4919345" cy="1295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-1010285</wp:posOffset>
            </wp:positionV>
            <wp:extent cx="4919345" cy="123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-764540</wp:posOffset>
            </wp:positionV>
            <wp:extent cx="4919345" cy="123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-518795</wp:posOffset>
            </wp:positionV>
            <wp:extent cx="4919345" cy="123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-272415</wp:posOffset>
            </wp:positionV>
            <wp:extent cx="4919345" cy="1295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19345" cy="129540"/>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Refer to Note 14 for the disaggregation of revenue by reportable segment.</w:t>
      </w:r>
    </w:p>
    <w:p>
      <w:pPr>
        <w:spacing w:after="0" w:line="1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Acquisitions</w:t>
      </w:r>
    </w:p>
    <w:p>
      <w:pPr>
        <w:spacing w:after="0" w:line="99" w:lineRule="exact"/>
        <w:rPr>
          <w:sz w:val="20"/>
          <w:szCs w:val="20"/>
          <w:color w:val="auto"/>
        </w:rPr>
      </w:pPr>
    </w:p>
    <w:p>
      <w:pPr>
        <w:ind w:left="640" w:right="819"/>
        <w:spacing w:after="0" w:line="268" w:lineRule="auto"/>
        <w:rPr>
          <w:sz w:val="20"/>
          <w:szCs w:val="20"/>
          <w:color w:val="auto"/>
        </w:rPr>
      </w:pPr>
      <w:r>
        <w:rPr>
          <w:rFonts w:ascii="Times New Roman" w:cs="Times New Roman" w:eastAsia="Times New Roman" w:hAnsi="Times New Roman"/>
          <w:sz w:val="14"/>
          <w:szCs w:val="14"/>
          <w:color w:val="auto"/>
        </w:rPr>
        <w:t>During the six months ended June 30, 2024, we completed four acquisitions within the Pharmacy Solutions and Provider Services segments. We entered these transactions in order to expand our services and geographic offerings. Aggregate consideration net of cash acquired for these acquisitions was approximately $43.9 million. The operating results of these acquisitions are included in our unaudited condensed consolidated financial statements from the respective dates of the acquisition.</w:t>
      </w:r>
    </w:p>
    <w:p>
      <w:pPr>
        <w:spacing w:after="0" w:line="56"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2024 acquisitions and the estimated fair value of the assets acquired and the liabilities assumed at the acquisition dates, which are adjusted for immaterial measurement-period adjustments through June 30, 2024. Consideration for acquisitions by the Pharmacy Solutions and Provider Services segments was $27.0 million and $16.9 million, respectively.</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Prepaids and other current assets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18,285</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28,883</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accounts payable</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80" w:type="dxa"/>
            <w:vAlign w:val="bottom"/>
            <w:shd w:val="clear" w:color="auto" w:fill="CFF0FC"/>
          </w:tcPr>
          <w:p>
            <w:pPr>
              <w:spacing w:after="0"/>
              <w:rPr>
                <w:sz w:val="17"/>
                <w:szCs w:val="17"/>
                <w:color w:val="auto"/>
              </w:rPr>
            </w:pPr>
          </w:p>
        </w:tc>
      </w:tr>
      <w:tr>
        <w:trPr>
          <w:trHeight w:val="18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 net of cash acquired</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43,894</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640" w:right="859"/>
        <w:spacing w:after="0" w:line="265" w:lineRule="auto"/>
        <w:rPr>
          <w:sz w:val="20"/>
          <w:szCs w:val="20"/>
          <w:color w:val="auto"/>
        </w:rPr>
      </w:pPr>
      <w:r>
        <w:rPr>
          <w:rFonts w:ascii="Times New Roman" w:cs="Times New Roman" w:eastAsia="Times New Roman" w:hAnsi="Times New Roman"/>
          <w:sz w:val="14"/>
          <w:szCs w:val="14"/>
          <w:color w:val="auto"/>
        </w:rPr>
        <w:t>The Company is in the process of reviewing the fair value of the assets acquired and liabilities assumed. We have estimated the fair value of acquired customer relationships, licenses, trade names, and covenants not to compete based upon third-party valuations and/or the values assigned in prior acquisitions that were deemed comparable in nature. Based on the Company’s preliminary valuations, the total estimated consideration of $43.9 million has been allocated to assets acquired and liabilities assumed as of the acquisition date.</w:t>
      </w:r>
    </w:p>
    <w:p>
      <w:pPr>
        <w:spacing w:after="0" w:line="58"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The estimated intangible assets consist primarily of $22.3 million in customer relationships, $5.5 million in licenses, $0.7 million in covenants not to compete, and $0.4 million in trade names. Definite-lived intangible assets have an estimated weighted average useful life of 11.6 years. We expect $12.0 million of the goodwill will be deductible for tax purposes. The Company believes the resulting amount of goodwill reflects its expectation of synergistic benefits of the acquisitions.</w:t>
      </w:r>
    </w:p>
    <w:p>
      <w:pPr>
        <w:spacing w:after="0" w:line="56"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The above acquisitions contributed approximately $15.1 million and $15.9 million in revenue during the three and six months ended June 30, 2024, respectively. The above acquisitions contributed approximately $0.9 million and $1.0 million in operating income during the three and six months ended June 30, 2024, respectively. Pro forma financial data for the 2024 acquisitions has not been included as the results of the operations are not material to our unaudited condensed consolidated financial statements.</w:t>
      </w:r>
    </w:p>
    <w:p>
      <w:pPr>
        <w:spacing w:after="0" w:line="56" w:lineRule="exact"/>
        <w:rPr>
          <w:sz w:val="20"/>
          <w:szCs w:val="20"/>
          <w:color w:val="auto"/>
        </w:rPr>
      </w:pPr>
    </w:p>
    <w:p>
      <w:pPr>
        <w:ind w:left="640" w:right="1239"/>
        <w:spacing w:after="0" w:line="275" w:lineRule="auto"/>
        <w:rPr>
          <w:sz w:val="20"/>
          <w:szCs w:val="20"/>
          <w:color w:val="auto"/>
        </w:rPr>
      </w:pPr>
      <w:r>
        <w:rPr>
          <w:rFonts w:ascii="Times New Roman" w:cs="Times New Roman" w:eastAsia="Times New Roman" w:hAnsi="Times New Roman"/>
          <w:sz w:val="14"/>
          <w:szCs w:val="14"/>
          <w:color w:val="auto"/>
        </w:rPr>
        <w:t>During the three and six months ended June 30, 2024, the Company incurred approximately $1.0 million and $1.3 million in transaction costs, respectively, related to the completed 2024 acquisitions. These costs are included in selling, general, and administrative expenses in our unaudited condensed consolidated statements of operations.</w:t>
      </w:r>
    </w:p>
    <w:p>
      <w:pPr>
        <w:spacing w:after="0" w:line="49" w:lineRule="exact"/>
        <w:rPr>
          <w:sz w:val="20"/>
          <w:szCs w:val="20"/>
          <w:color w:val="auto"/>
        </w:rPr>
      </w:pPr>
    </w:p>
    <w:p>
      <w:pPr>
        <w:jc w:val="both"/>
        <w:ind w:left="640" w:right="939"/>
        <w:spacing w:after="0" w:line="275" w:lineRule="auto"/>
        <w:rPr>
          <w:sz w:val="20"/>
          <w:szCs w:val="20"/>
          <w:color w:val="auto"/>
        </w:rPr>
      </w:pPr>
      <w:r>
        <w:rPr>
          <w:rFonts w:ascii="Times New Roman" w:cs="Times New Roman" w:eastAsia="Times New Roman" w:hAnsi="Times New Roman"/>
          <w:sz w:val="14"/>
          <w:szCs w:val="14"/>
          <w:color w:val="auto"/>
        </w:rPr>
        <w:t>The Company also purchased the remaining 30% noncontrolling interest in Gateway Pediatric Therapy LLC during the first fiscal quarter of 2024. This transaction did not meet the definition of a business combination in accordance with Accounting Standards Codification (“ASC”) 805</w:t>
      </w:r>
      <w:r>
        <w:rPr>
          <w:rFonts w:ascii="Times New Roman" w:cs="Times New Roman" w:eastAsia="Times New Roman" w:hAnsi="Times New Roman"/>
          <w:sz w:val="14"/>
          <w:szCs w:val="14"/>
          <w:i w:val="1"/>
          <w:iCs w:val="1"/>
          <w:color w:val="auto"/>
        </w:rPr>
        <w:t>, Business Combinations</w:t>
      </w:r>
      <w:r>
        <w:rPr>
          <w:rFonts w:ascii="Times New Roman" w:cs="Times New Roman" w:eastAsia="Times New Roman" w:hAnsi="Times New Roman"/>
          <w:sz w:val="14"/>
          <w:szCs w:val="14"/>
          <w:color w:val="auto"/>
        </w:rPr>
        <w:t xml:space="preserve"> (refer to Note 11).</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2023 Acquisitions</w:t>
      </w:r>
    </w:p>
    <w:p>
      <w:pPr>
        <w:spacing w:after="0" w:line="99" w:lineRule="exact"/>
        <w:rPr>
          <w:sz w:val="20"/>
          <w:szCs w:val="20"/>
          <w:color w:val="auto"/>
        </w:rPr>
      </w:pPr>
    </w:p>
    <w:p>
      <w:pPr>
        <w:ind w:left="640" w:right="879"/>
        <w:spacing w:after="0" w:line="275" w:lineRule="auto"/>
        <w:rPr>
          <w:sz w:val="20"/>
          <w:szCs w:val="20"/>
          <w:color w:val="auto"/>
        </w:rPr>
      </w:pPr>
      <w:r>
        <w:rPr>
          <w:rFonts w:ascii="Times New Roman" w:cs="Times New Roman" w:eastAsia="Times New Roman" w:hAnsi="Times New Roman"/>
          <w:sz w:val="14"/>
          <w:szCs w:val="14"/>
          <w:color w:val="auto"/>
        </w:rPr>
        <w:t>During the year ended December 31, 2023, we completed five acquisitions within the Pharmacy Solutions and Provider Services segments. We entered into these transactions in order to expand our services and geographic offerings. Aggregate consideration for these acquisitions was approximately $73.1 million. No cash was acquired as a part of these transactions. The operating results of</w:t>
      </w:r>
    </w:p>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4" w:name="page15"/>
    <w:bookmarkEnd w:id="14"/>
    <w:p>
      <w:pPr>
        <w:ind w:left="640" w:right="1239"/>
        <w:spacing w:after="0" w:line="293" w:lineRule="auto"/>
        <w:rPr>
          <w:sz w:val="20"/>
          <w:szCs w:val="20"/>
          <w:color w:val="auto"/>
        </w:rPr>
      </w:pPr>
      <w:r>
        <w:rPr>
          <w:rFonts w:ascii="Times New Roman" w:cs="Times New Roman" w:eastAsia="Times New Roman" w:hAnsi="Times New Roman"/>
          <w:sz w:val="14"/>
          <w:szCs w:val="14"/>
          <w:color w:val="auto"/>
        </w:rPr>
        <w:t>these acquisitions are included in our unaudited condensed consolidated financial statements from the respective dates of the acquisition.</w:t>
      </w:r>
    </w:p>
    <w:p>
      <w:pPr>
        <w:spacing w:after="0" w:line="37"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these 2023 acquisitions and the estimated fair value of the assets acquired and the liabilities assumed at the acquisition dates, which are adjusted for immaterial measurement-period adjustments through June 30, 2024. Consideration paid for acquisitions by the Pharmacy Solutions and Provider Services segments was $29.8 million and $43.3 million, respectively.</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31,494</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37,914</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FF0FC"/>
          </w:tcPr>
          <w:p>
            <w:pPr>
              <w:spacing w:after="0"/>
              <w:rPr>
                <w:sz w:val="17"/>
                <w:szCs w:val="17"/>
                <w:color w:val="auto"/>
              </w:rPr>
            </w:pPr>
          </w:p>
        </w:tc>
      </w:tr>
      <w:tr>
        <w:trPr>
          <w:trHeight w:val="18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73,077</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intangible assets consist primarily of $18.9 million in licenses, $14.0 million in customer relationships, $3.9 million in trade names, and $1.1 million in covenants not to compete. Definite-lived intangible assets have an estimated weighted average useful life of 11.2 years, and the licenses were assigned an indefinite life. We expect all of the goodwill will be deductible for tax purposes. The Company believes the resulting amount of goodwill reflects its expectation of synergistic benefits of the acquisitions.</w:t>
      </w:r>
    </w:p>
    <w:p>
      <w:pPr>
        <w:spacing w:after="0" w:line="56" w:lineRule="exact"/>
        <w:rPr>
          <w:sz w:val="20"/>
          <w:szCs w:val="20"/>
          <w:color w:val="auto"/>
        </w:rPr>
      </w:pPr>
    </w:p>
    <w:p>
      <w:pPr>
        <w:jc w:val="both"/>
        <w:ind w:left="640" w:right="639"/>
        <w:spacing w:after="0" w:line="275" w:lineRule="auto"/>
        <w:rPr>
          <w:sz w:val="20"/>
          <w:szCs w:val="20"/>
          <w:color w:val="auto"/>
        </w:rPr>
      </w:pPr>
      <w:r>
        <w:rPr>
          <w:rFonts w:ascii="Times New Roman" w:cs="Times New Roman" w:eastAsia="Times New Roman" w:hAnsi="Times New Roman"/>
          <w:sz w:val="14"/>
          <w:szCs w:val="14"/>
          <w:color w:val="auto"/>
        </w:rPr>
        <w:t>Measurement period adjustments for 2023 acquisitions recorded in the three and six months ended June 30, 2024 were not material to the unaudited condensed consolidated financial statements. The Company expects to finalize the purchase price allocation for the 2023 acquisitions prior to the one-year anniversary date of each acquisition.</w:t>
      </w:r>
    </w:p>
    <w:p>
      <w:pPr>
        <w:spacing w:after="0" w:line="49"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The above acquisitions contributed approximately $30.0 million and $57.4 million in revenue during the three and six months ended June 30, 2024, respectively, compared to $0.4 million in revenue during the three and six months ended June 30, 2023. The 2023 acquisitions contributed approximately $1.4 million and $2.0 million of operating income during the three and six months ended June 30, 2024, respectively, compared to $0.1 million in operating income during the three and six months ended June 30, 2023. Pro forma financial data for the 2023 acquisitions has not been included as the results of the operations are not material to our unaudited condensed consolidated financial statements.</w:t>
      </w:r>
    </w:p>
    <w:p>
      <w:pPr>
        <w:spacing w:after="0" w:line="56" w:lineRule="exact"/>
        <w:rPr>
          <w:sz w:val="20"/>
          <w:szCs w:val="20"/>
          <w:color w:val="auto"/>
        </w:rPr>
      </w:pPr>
    </w:p>
    <w:p>
      <w:pPr>
        <w:jc w:val="both"/>
        <w:ind w:left="640" w:right="879"/>
        <w:spacing w:after="0" w:line="275" w:lineRule="auto"/>
        <w:rPr>
          <w:sz w:val="20"/>
          <w:szCs w:val="20"/>
          <w:color w:val="auto"/>
        </w:rPr>
      </w:pPr>
      <w:r>
        <w:rPr>
          <w:rFonts w:ascii="Times New Roman" w:cs="Times New Roman" w:eastAsia="Times New Roman" w:hAnsi="Times New Roman"/>
          <w:sz w:val="14"/>
          <w:szCs w:val="14"/>
          <w:color w:val="auto"/>
        </w:rPr>
        <w:t>The Company incurred approximately $0.8 million and $0.9 million in transaction costs related to the completed 2023 acquisitions during the three and six months ended June 30, 2023, respectively. These costs are included in selling, general, and administrative expenses in our unaudited condensed consolidated statements of operations.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Goodwill and Intangible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by segment, is as follows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833,989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1,774,423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2,608,412</w:t>
            </w:r>
          </w:p>
        </w:tc>
        <w:tc>
          <w:tcPr>
            <w:tcW w:w="80" w:type="dxa"/>
            <w:vAlign w:val="bottom"/>
            <w:shd w:val="clear" w:color="auto" w:fill="CFF0FC"/>
          </w:tcPr>
          <w:p>
            <w:pPr>
              <w:spacing w:after="0"/>
              <w:rPr>
                <w:sz w:val="16"/>
                <w:szCs w:val="16"/>
                <w:color w:val="auto"/>
              </w:rPr>
            </w:pP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18,285</w:t>
            </w:r>
          </w:p>
        </w:tc>
        <w:tc>
          <w:tcPr>
            <w:tcW w:w="80" w:type="dxa"/>
            <w:vAlign w:val="bottom"/>
          </w:tcPr>
          <w:p>
            <w:pPr>
              <w:spacing w:after="0"/>
              <w:rPr>
                <w:sz w:val="16"/>
                <w:szCs w:val="16"/>
                <w:color w:val="auto"/>
              </w:rPr>
            </w:pPr>
          </w:p>
        </w:tc>
      </w:tr>
      <w:tr>
        <w:trPr>
          <w:trHeight w:val="198"/>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(200 )</w:t>
            </w: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r>
      <w:tr>
        <w:trPr>
          <w:trHeight w:val="19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(144 )</w:t>
            </w:r>
          </w:p>
        </w:tc>
        <w:tc>
          <w:tcPr>
            <w:tcW w:w="24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(144 )</w:t>
            </w:r>
          </w:p>
        </w:tc>
      </w:tr>
      <w:tr>
        <w:trPr>
          <w:trHeight w:val="224"/>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June 30, 2024*</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841,052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1,785,301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2,626,353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-19685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-6350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-19685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-6350</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4940" w:right="1039" w:hanging="4309"/>
        <w:spacing w:after="0" w:line="523" w:lineRule="auto"/>
        <w:tabs>
          <w:tab w:leader="none" w:pos="73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presented, the carrying amount of goodwill is presented net of accumulated impairment losses of $40.9 million.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586740</wp:posOffset>
            </wp:positionV>
            <wp:extent cx="494474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color w:val="auto"/>
        </w:rPr>
        <w:t>Intangible assets are as follows (in thousands):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w w:val="99"/>
              </w:rPr>
              <w:t>June 30, 2024</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96"/>
        </w:trPr>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39"/>
              <w:spacing w:after="0" w:line="9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38"/>
              <w:spacing w:after="0" w:line="96" w:lineRule="exact"/>
              <w:rPr>
                <w:sz w:val="20"/>
                <w:szCs w:val="20"/>
                <w:color w:val="auto"/>
              </w:rPr>
            </w:pPr>
            <w:r>
              <w:rPr>
                <w:rFonts w:ascii="Times New Roman" w:cs="Times New Roman" w:eastAsia="Times New Roman" w:hAnsi="Times New Roman"/>
                <w:sz w:val="10"/>
                <w:szCs w:val="10"/>
                <w:b w:val="1"/>
                <w:bCs w:val="1"/>
                <w:color w:val="auto"/>
                <w:w w:val="98"/>
              </w:rPr>
              <w:t>Net Carrying</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8"/>
                <w:szCs w:val="8"/>
                <w:color w:val="auto"/>
              </w:rPr>
            </w:pPr>
          </w:p>
        </w:tc>
        <w:tc>
          <w:tcPr>
            <w:tcW w:w="720" w:type="dxa"/>
            <w:vAlign w:val="bottom"/>
          </w:tcPr>
          <w:p>
            <w:pPr>
              <w:jc w:val="right"/>
              <w:ind w:right="58"/>
              <w:spacing w:after="0" w:line="96" w:lineRule="exact"/>
              <w:rPr>
                <w:sz w:val="20"/>
                <w:szCs w:val="20"/>
                <w:color w:val="auto"/>
              </w:rPr>
            </w:pPr>
            <w:r>
              <w:rPr>
                <w:rFonts w:ascii="Times New Roman" w:cs="Times New Roman" w:eastAsia="Times New Roman" w:hAnsi="Times New Roman"/>
                <w:sz w:val="10"/>
                <w:szCs w:val="10"/>
                <w:b w:val="1"/>
                <w:bCs w:val="1"/>
                <w:color w:val="auto"/>
              </w:rPr>
              <w:t>Net Carrying</w:t>
            </w:r>
          </w:p>
        </w:tc>
        <w:tc>
          <w:tcPr>
            <w:tcW w:w="140" w:type="dxa"/>
            <w:vAlign w:val="bottom"/>
          </w:tcPr>
          <w:p>
            <w:pPr>
              <w:spacing w:after="0"/>
              <w:rPr>
                <w:sz w:val="8"/>
                <w:szCs w:val="8"/>
                <w:color w:val="auto"/>
              </w:rPr>
            </w:pPr>
          </w:p>
        </w:tc>
        <w:tc>
          <w:tcPr>
            <w:tcW w:w="60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2"/>
              </w:rPr>
              <w:t>Life</w:t>
            </w:r>
          </w:p>
        </w:tc>
      </w:tr>
      <w:tr>
        <w:trPr>
          <w:trHeight w:val="133"/>
        </w:trPr>
        <w:tc>
          <w:tcPr>
            <w:tcW w:w="1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(Years)</w:t>
            </w:r>
          </w:p>
        </w:tc>
      </w:tr>
      <w:tr>
        <w:trPr>
          <w:trHeight w:val="175"/>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714,311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375,034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339,277</w:t>
            </w: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697,947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344,662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353,285</w:t>
            </w:r>
          </w:p>
        </w:tc>
        <w:tc>
          <w:tcPr>
            <w:tcW w:w="74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rPr>
              <w:t>5-20</w:t>
            </w:r>
          </w:p>
        </w:tc>
      </w:tr>
      <w:tr>
        <w:trPr>
          <w:trHeight w:val="175"/>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330,048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200,824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74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rPr>
              <w:t>3-20</w:t>
            </w:r>
          </w:p>
        </w:tc>
      </w:tr>
      <w:tr>
        <w:trPr>
          <w:trHeight w:val="191"/>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242,217</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61,788</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180,429</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238,682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56,022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182,660</w:t>
            </w:r>
          </w:p>
        </w:tc>
        <w:tc>
          <w:tcPr>
            <w:tcW w:w="74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3"/>
                <w:szCs w:val="13"/>
                <w:color w:val="auto"/>
                <w:w w:val="98"/>
              </w:rPr>
              <w:t>10-20</w:t>
            </w:r>
          </w:p>
        </w:tc>
      </w:tr>
      <w:tr>
        <w:trPr>
          <w:trHeight w:val="175"/>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74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w w:val="92"/>
              </w:rPr>
              <w:t>5-8</w:t>
            </w:r>
          </w:p>
        </w:tc>
      </w:tr>
      <w:tr>
        <w:trPr>
          <w:trHeight w:val="191"/>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13,766</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9,625</w:t>
            </w: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13,126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74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w w:val="92"/>
              </w:rPr>
              <w:t>2-7</w:t>
            </w:r>
          </w:p>
        </w:tc>
      </w:tr>
      <w:tr>
        <w:trPr>
          <w:trHeight w:val="180"/>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5,582</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5,358</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10,949</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6,140</w:t>
            </w:r>
          </w:p>
        </w:tc>
        <w:tc>
          <w:tcPr>
            <w:tcW w:w="74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w w:val="92"/>
              </w:rPr>
              <w:t>5-7</w:t>
            </w:r>
          </w:p>
        </w:tc>
      </w:tr>
      <w:tr>
        <w:trPr>
          <w:trHeight w:val="17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1,324,012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591,135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732,877</w:t>
            </w:r>
          </w:p>
        </w:tc>
        <w:tc>
          <w:tcPr>
            <w:tcW w:w="3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1,303,463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540,407</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763,056</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r>
      <w:tr>
        <w:trPr>
          <w:trHeight w:val="180"/>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r>
      <w:tr>
        <w:trPr>
          <w:trHeight w:val="208"/>
        </w:trPr>
        <w:tc>
          <w:tcPr>
            <w:tcW w:w="1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1,442,432</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591,135</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851,297</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1,421,883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540,407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881,476</w:t>
            </w:r>
          </w:p>
        </w:tc>
        <w:tc>
          <w:tcPr>
            <w:tcW w:w="1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-19685</wp:posOffset>
            </wp:positionV>
            <wp:extent cx="5461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-6350</wp:posOffset>
            </wp:positionV>
            <wp:extent cx="546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-19685</wp:posOffset>
            </wp:positionV>
            <wp:extent cx="546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-6350</wp:posOffset>
            </wp:positionV>
            <wp:extent cx="5461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-19685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-6350</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-19685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-6350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-19685</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-6350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-19685</wp:posOffset>
            </wp:positionV>
            <wp:extent cx="4762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-6350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1199"/>
        <w:spacing w:after="0" w:line="293" w:lineRule="auto"/>
        <w:rPr>
          <w:sz w:val="20"/>
          <w:szCs w:val="20"/>
          <w:color w:val="auto"/>
        </w:rPr>
      </w:pPr>
      <w:r>
        <w:rPr>
          <w:rFonts w:ascii="Times New Roman" w:cs="Times New Roman" w:eastAsia="Times New Roman" w:hAnsi="Times New Roman"/>
          <w:sz w:val="14"/>
          <w:szCs w:val="14"/>
          <w:color w:val="auto"/>
        </w:rPr>
        <w:t>Amortization expense for the three and six months ended June 30, 2024 was $29.0 million and $57.6 million, respectively, as compared to $30.7 million and $61.5 million for the three and six months ended June 30, 2023, respectively.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260" w:type="dxa"/>
            <w:vAlign w:val="bottom"/>
          </w:tcPr>
          <w:p>
            <w:pPr>
              <w:spacing w:after="0"/>
              <w:rPr>
                <w:sz w:val="12"/>
                <w:szCs w:val="12"/>
                <w:color w:val="auto"/>
              </w:rPr>
            </w:pPr>
          </w:p>
        </w:tc>
        <w:tc>
          <w:tcPr>
            <w:tcW w:w="1640" w:type="dxa"/>
            <w:vAlign w:val="bottom"/>
            <w:gridSpan w:val="4"/>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60" w:type="dxa"/>
            <w:vAlign w:val="bottom"/>
          </w:tcPr>
          <w:p>
            <w:pPr>
              <w:spacing w:after="0"/>
              <w:rPr>
                <w:sz w:val="12"/>
                <w:szCs w:val="12"/>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1"/>
        </w:trPr>
        <w:tc>
          <w:tcPr>
            <w:tcW w:w="42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r>
      <w:tr>
        <w:trPr>
          <w:trHeight w:val="184"/>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 payable to lenders at SOFR plus applicable margin</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8.72 % $  1,719,360</w:t>
            </w:r>
          </w:p>
        </w:tc>
        <w:tc>
          <w:tcPr>
            <w:tcW w:w="80" w:type="dxa"/>
            <w:vAlign w:val="bottom"/>
            <w:shd w:val="clear" w:color="auto" w:fill="CFF0FC"/>
          </w:tcPr>
          <w:p>
            <w:pPr>
              <w:spacing w:after="0"/>
              <w:rPr>
                <w:sz w:val="16"/>
                <w:szCs w:val="16"/>
                <w:color w:val="auto"/>
              </w:rPr>
            </w:pP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First Lien Incremental Term Loans Tranches B-2 and B-3 - payable</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8.97 %</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1,189,975</w:t>
            </w:r>
          </w:p>
        </w:tc>
        <w:tc>
          <w:tcPr>
            <w:tcW w:w="80" w:type="dxa"/>
            <w:vAlign w:val="bottom"/>
          </w:tcPr>
          <w:p>
            <w:pPr>
              <w:spacing w:after="0"/>
              <w:rPr>
                <w:sz w:val="14"/>
                <w:szCs w:val="14"/>
                <w:color w:val="auto"/>
              </w:rPr>
            </w:pPr>
          </w:p>
        </w:tc>
      </w:tr>
      <w:tr>
        <w:trPr>
          <w:trHeight w:val="19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lenders at SOFR plus applicable margin</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Incremental Term Loan Tranche B-4 - payable to lenders</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8.58 %</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2,559,585</w:t>
            </w:r>
          </w:p>
        </w:tc>
        <w:tc>
          <w:tcPr>
            <w:tcW w:w="160" w:type="dxa"/>
            <w:vAlign w:val="bottom"/>
            <w:shd w:val="clear" w:color="auto" w:fill="CFF0FC"/>
          </w:tcPr>
          <w:p>
            <w:pPr>
              <w:spacing w:after="0"/>
              <w:rPr>
                <w:sz w:val="15"/>
                <w:szCs w:val="15"/>
                <w:color w:val="auto"/>
              </w:rPr>
            </w:pPr>
          </w:p>
        </w:tc>
        <w:tc>
          <w:tcPr>
            <w:tcW w:w="96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at SOFR plus applicable margin</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Second Lien - payable to lenders at SOFR plus applicable margin</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13.97 %</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80" w:type="dxa"/>
            <w:vAlign w:val="bottom"/>
          </w:tcPr>
          <w:p>
            <w:pPr>
              <w:spacing w:after="0"/>
              <w:rPr>
                <w:sz w:val="16"/>
                <w:szCs w:val="16"/>
                <w:color w:val="auto"/>
              </w:rPr>
            </w:pPr>
          </w:p>
        </w:tc>
      </w:tr>
      <w:tr>
        <w:trPr>
          <w:trHeight w:val="172"/>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8.58 %</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9.59 %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FF0FC"/>
          </w:tcPr>
          <w:p>
            <w:pPr>
              <w:spacing w:after="0"/>
              <w:rPr>
                <w:sz w:val="14"/>
                <w:szCs w:val="14"/>
                <w:color w:val="auto"/>
              </w:rPr>
            </w:pPr>
          </w:p>
        </w:tc>
      </w:tr>
      <w:tr>
        <w:trPr>
          <w:trHeight w:val="198"/>
        </w:trPr>
        <w:tc>
          <w:tcPr>
            <w:tcW w:w="4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applicable margin</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10.75 %</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55,800</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11.75 %</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4"/>
                <w:szCs w:val="14"/>
                <w:color w:val="auto"/>
              </w:rPr>
            </w:pPr>
          </w:p>
        </w:tc>
      </w:tr>
      <w:tr>
        <w:trPr>
          <w:trHeight w:val="192"/>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applicable margin</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426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64,222</w:t>
            </w: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tcPr>
          <w:p>
            <w:pPr>
              <w:spacing w:after="0"/>
              <w:rPr>
                <w:sz w:val="16"/>
                <w:szCs w:val="16"/>
                <w:color w:val="auto"/>
              </w:rPr>
            </w:pPr>
          </w:p>
        </w:tc>
      </w:tr>
      <w:tr>
        <w:trPr>
          <w:trHeight w:val="18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w:t>
            </w: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2,685,940</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3,414,391</w:t>
            </w:r>
          </w:p>
        </w:tc>
        <w:tc>
          <w:tcPr>
            <w:tcW w:w="80" w:type="dxa"/>
            <w:vAlign w:val="bottom"/>
            <w:shd w:val="clear" w:color="auto" w:fill="CFF0FC"/>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73,734</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50,177</w:t>
            </w:r>
          </w:p>
        </w:tc>
        <w:tc>
          <w:tcPr>
            <w:tcW w:w="80" w:type="dxa"/>
            <w:vAlign w:val="bottom"/>
          </w:tcPr>
          <w:p>
            <w:pPr>
              <w:spacing w:after="0"/>
              <w:rPr>
                <w:sz w:val="16"/>
                <w:szCs w:val="16"/>
                <w:color w:val="auto"/>
              </w:rPr>
            </w:pPr>
          </w:p>
        </w:tc>
      </w:tr>
      <w:tr>
        <w:trPr>
          <w:trHeight w:val="18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2,612,206</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3,364,214</w:t>
            </w:r>
          </w:p>
        </w:tc>
        <w:tc>
          <w:tcPr>
            <w:tcW w:w="80" w:type="dxa"/>
            <w:vAlign w:val="bottom"/>
            <w:shd w:val="clear" w:color="auto" w:fill="CFF0FC"/>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48,670</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32,273</w:t>
            </w:r>
          </w:p>
        </w:tc>
        <w:tc>
          <w:tcPr>
            <w:tcW w:w="80" w:type="dxa"/>
            <w:vAlign w:val="bottom"/>
          </w:tcPr>
          <w:p>
            <w:pPr>
              <w:spacing w:after="0"/>
              <w:rPr>
                <w:sz w:val="16"/>
                <w:szCs w:val="16"/>
                <w:color w:val="auto"/>
              </w:rPr>
            </w:pPr>
          </w:p>
        </w:tc>
      </w:tr>
      <w:tr>
        <w:trPr>
          <w:trHeight w:val="224"/>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2,563,536</w:t>
            </w:r>
          </w:p>
        </w:tc>
        <w:tc>
          <w:tcPr>
            <w:tcW w:w="1000" w:type="dxa"/>
            <w:vAlign w:val="bottom"/>
            <w:tcBorders>
              <w:bottom w:val="single" w:sz="8" w:color="CFF0FC"/>
            </w:tcBorders>
            <w:gridSpan w:val="3"/>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3,331,941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-19685</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-6350</wp:posOffset>
            </wp:positionV>
            <wp:extent cx="4762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See Note 6 for discussion of Amortizing Notes.</w:t>
      </w:r>
    </w:p>
    <w:p>
      <w:pPr>
        <w:spacing w:after="0" w:line="174" w:lineRule="exact"/>
        <w:rPr>
          <w:sz w:val="20"/>
          <w:szCs w:val="20"/>
          <w:color w:val="auto"/>
        </w:rPr>
      </w:pPr>
    </w:p>
    <w:p>
      <w:pPr>
        <w:jc w:val="both"/>
        <w:ind w:left="640" w:right="799"/>
        <w:spacing w:after="0" w:line="275" w:lineRule="auto"/>
        <w:rPr>
          <w:sz w:val="20"/>
          <w:szCs w:val="20"/>
          <w:color w:val="auto"/>
        </w:rPr>
      </w:pPr>
      <w:r>
        <w:rPr>
          <w:rFonts w:ascii="Times New Roman" w:cs="Times New Roman" w:eastAsia="Times New Roman" w:hAnsi="Times New Roman"/>
          <w:sz w:val="14"/>
          <w:szCs w:val="14"/>
          <w:color w:val="auto"/>
        </w:rPr>
        <w:t>The following discussion summarizes the debt agreements and related modifications for the six months ended June 30, 2024 and the year ended December 31, 2023. We were in compliance with all applicable financial debt covenants at June 30, 2024 and December 31, 2023.</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$150.0 million was made on the First Lien, resulting in a gross borrowing of $1,800.0 million (“Tranche B-1”). The First Lien, as amended in 2020, provided for the establishment of a Tranche B-2 Term Loan (“Tranche B-2”) in an aggregate principal amount equal to $550.0 million. The First Lien, as amended in 2021, provided for the establishment of a Tranche B-3 Term Loan (“Tranche B-3”) in an aggregate principal amount equal to $675.0 million.</w:t>
      </w:r>
    </w:p>
    <w:p>
      <w:pPr>
        <w:spacing w:after="0" w:line="56" w:lineRule="exact"/>
        <w:rPr>
          <w:sz w:val="20"/>
          <w:szCs w:val="20"/>
          <w:color w:val="auto"/>
        </w:rPr>
      </w:pPr>
    </w:p>
    <w:p>
      <w:pPr>
        <w:ind w:left="640" w:right="899"/>
        <w:spacing w:after="0" w:line="275"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amended the First Lien to establish a new Tranche B-4 Term Loan (“Tranche B-4”) in an aggregate principal amount of $2,566.0 million. The proceeds from Tranche B-4 borrowings were used to refinance the equivalent</w:t>
      </w:r>
    </w:p>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6" w:name="page17"/>
    <w:bookmarkEnd w:id="16"/>
    <w:p>
      <w:pPr>
        <w:ind w:left="640" w:right="859"/>
        <w:spacing w:after="0" w:line="268" w:lineRule="auto"/>
        <w:rPr>
          <w:sz w:val="20"/>
          <w:szCs w:val="20"/>
          <w:color w:val="auto"/>
        </w:rPr>
      </w:pPr>
      <w:r>
        <w:rPr>
          <w:rFonts w:ascii="Times New Roman" w:cs="Times New Roman" w:eastAsia="Times New Roman" w:hAnsi="Times New Roman"/>
          <w:sz w:val="14"/>
          <w:szCs w:val="14"/>
          <w:color w:val="auto"/>
        </w:rPr>
        <w:t>amount of the remaining First Lien Tranches B-1, B-2, and B-3 borrowings at a rate equal to Secured Overnight Financing Rate (“SOFR”) plus 3.25%. Tranche B-4 has a maturity date of February 21, 2031. The transaction was accounted for as a debt modification. Principal payments are due on the last business day of each quarter, which commenced in the second fiscal quarter of 2024 and equate to 1% of the principal at issuance with a balloon payment due February 21, 2031.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First Lien also extended credit in the form of Revolving Credit Facility (the “Revolver”) made available at any time and from time to time prior to the Revolving Credit Maturity Date (as defined in the First Lien). The Revolver comprises Revolving Credit Loans and Swingline Loans. The Swingline Lender may issue Swingline Loans at any time and from time to time prior to the Revolving Credit Maturity Date, in an aggregated amount outstanding not in excess of $50.0 million. Additionally, the Letter of Credit Issuer may issue standby Letters of Credit at any time, in an aggregate stated amount outstanding not in excess of $82.5 million (the “LC Sublimit”), which reduces the Revolver borrowing capacity. In connection with the First Lien modification on February 21, 2024, borrowings of the Revolver bear interest at a rate equal to, SOFR (with a floor of 0.00%) plus 3.25% for the Revolving Credit Loans or Alternate Base Rate (“ABR”) plus 2.25% for the Swingline Loans. The modification also removed the springing maturity covenant of the Revolver. As such, the Revolver has a Revolving Credit Maturity Date of June 30, 2028.</w:t>
      </w:r>
    </w:p>
    <w:p>
      <w:pPr>
        <w:spacing w:after="0" w:line="60" w:lineRule="exact"/>
        <w:rPr>
          <w:sz w:val="20"/>
          <w:szCs w:val="20"/>
          <w:color w:val="auto"/>
        </w:rPr>
      </w:pPr>
    </w:p>
    <w:p>
      <w:pPr>
        <w:ind w:left="640" w:right="639"/>
        <w:spacing w:after="0" w:line="265" w:lineRule="auto"/>
        <w:rPr>
          <w:sz w:val="20"/>
          <w:szCs w:val="20"/>
          <w:color w:val="auto"/>
        </w:rPr>
      </w:pPr>
      <w:r>
        <w:rPr>
          <w:rFonts w:ascii="Times New Roman" w:cs="Times New Roman" w:eastAsia="Times New Roman" w:hAnsi="Times New Roman"/>
          <w:sz w:val="14"/>
          <w:szCs w:val="14"/>
          <w:color w:val="auto"/>
        </w:rPr>
        <w:t>The total borrowing capacity under the Revolver was $475.0 million as of June 30, 2024 and December 31, 2023. As of June 30, 2024, the Company had $55.8 million of borrowings outstanding under the Revolver and $7.8 million of letters of credit, reducing the available borrowing capacity to approximately $411.4 million. As of December 31, 2023, the Company had $50.7 million of borrowings outstanding under the Revolver and $6.6 million of letters of credit reducing the available borrowing capacity to approximately $417.7 million.</w:t>
      </w:r>
    </w:p>
    <w:p>
      <w:pPr>
        <w:spacing w:after="0" w:line="58" w:lineRule="exact"/>
        <w:rPr>
          <w:sz w:val="20"/>
          <w:szCs w:val="20"/>
          <w:color w:val="auto"/>
        </w:rPr>
      </w:pPr>
    </w:p>
    <w:p>
      <w:pPr>
        <w:ind w:left="640" w:right="719"/>
        <w:spacing w:after="0" w:line="265" w:lineRule="auto"/>
        <w:rPr>
          <w:sz w:val="20"/>
          <w:szCs w:val="20"/>
          <w:color w:val="auto"/>
        </w:rPr>
      </w:pPr>
      <w:r>
        <w:rPr>
          <w:rFonts w:ascii="Times New Roman" w:cs="Times New Roman" w:eastAsia="Times New Roman" w:hAnsi="Times New Roman"/>
          <w:sz w:val="14"/>
          <w:szCs w:val="14"/>
          <w:color w:val="auto"/>
        </w:rPr>
        <w:t>The Company’s First Lien also provides for an additional $55.0 million of letter of credit commitments (the “LC Facility”), which are not subject to the LC Sublimit and do not reduce the Revolver borrowing capacity. As of June 30, 2024, there were $54.2 million of letters of credit outstanding under the LC Facility, resulting in an available borrowing capacity of $0.8 million, As of December 31, 2023, there were $54.3 million of letters of credit outstanding under the LC Facility, resulting in an available borrowing capacity of $0.7 million.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Company’s amended and restated Second Lien Credit Agreement (the “Second Lien Facility”), with certain Lenders and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Wilmington Trust, National Association, as the Administrative Agent and the Collateral Agent consists of a principal amount of</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$450.0 million. On January 30, 2024, we used a portion of the net proceeds received from the IPO Offerings to repay all outstanding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borrowings under the Second Lien Facility. No remaining obligation exists related to the Second Lien Facility. This transaction was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accounted for as a debt extinguishment and the Company incurred a loss on extinguishment of debt of $12.7 million related to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write-off of unamortized debt issuance costs during the first fiscal quarter of 2024.</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three receive-variable, pay-fixed interest rate swap agreements, all effective September 30, 2022. Taken together with the related debt, these swaps create the economic equivalent of fixed-rate debt, up to the notional amount of the hedged debt. By using a derivative instrument to hedge exposures to changes in interest rates, we expose ourselves to credit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mitigates counterparty credit risk in derivative instruments by entering into transactions with high-quality counterparties. The derivative instruments entered into by the Company do not contain credit-risk-related contingent features.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June 30, 2024, we have the following interest rate swap agreements with a total notional value of $2.0 billion: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80" w:type="dxa"/>
            <w:vAlign w:val="bottom"/>
          </w:tcPr>
          <w:p>
            <w:pPr>
              <w:spacing w:after="0"/>
              <w:rPr>
                <w:sz w:val="12"/>
                <w:szCs w:val="12"/>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Floating Rate Debt</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Fixed Rates</w:t>
            </w:r>
          </w:p>
        </w:tc>
        <w:tc>
          <w:tcPr>
            <w:tcW w:w="140" w:type="dxa"/>
            <w:vAlign w:val="bottom"/>
          </w:tcPr>
          <w:p>
            <w:pPr>
              <w:spacing w:after="0"/>
              <w:rPr>
                <w:sz w:val="12"/>
                <w:szCs w:val="12"/>
                <w:color w:val="auto"/>
              </w:rPr>
            </w:pPr>
          </w:p>
        </w:tc>
      </w:tr>
      <w:tr>
        <w:trPr>
          <w:trHeight w:val="177"/>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Credit Suisse</w:t>
            </w:r>
          </w:p>
        </w:tc>
        <w:tc>
          <w:tcPr>
            <w:tcW w:w="8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3.4165 %</w:t>
            </w:r>
          </w:p>
        </w:tc>
      </w:tr>
      <w:tr>
        <w:trPr>
          <w:trHeight w:val="19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w:t>
            </w:r>
          </w:p>
        </w:tc>
        <w:tc>
          <w:tcPr>
            <w:tcW w:w="8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1,050,000,000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3.4200 %</w:t>
            </w:r>
          </w:p>
        </w:tc>
      </w:tr>
      <w:tr>
        <w:trPr>
          <w:trHeight w:val="18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Credit Agricole Corporate</w:t>
            </w:r>
          </w:p>
        </w:tc>
        <w:tc>
          <w:tcPr>
            <w:tcW w:w="80" w:type="dxa"/>
            <w:vAlign w:val="bottom"/>
          </w:tcPr>
          <w:p>
            <w:pPr>
              <w:spacing w:after="0"/>
              <w:rPr>
                <w:sz w:val="15"/>
                <w:szCs w:val="15"/>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450,000,000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3.5241 %</w:t>
            </w:r>
          </w:p>
        </w:tc>
      </w:tr>
      <w:tr>
        <w:trPr>
          <w:trHeight w:val="186"/>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Investment Bank</w:t>
            </w: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-469900</wp:posOffset>
            </wp:positionV>
            <wp:extent cx="4919345" cy="123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-224155</wp:posOffset>
            </wp:positionV>
            <wp:extent cx="4919345" cy="2324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19345" cy="232410"/>
                    </a:xfrm>
                    <a:prstGeom prst="rect">
                      <a:avLst/>
                    </a:prstGeom>
                    <a:noFill/>
                  </pic:spPr>
                </pic:pic>
              </a:graphicData>
            </a:graphic>
          </wp:anchor>
        </w:drawing>
      </w:r>
    </w:p>
    <w:p>
      <w:pPr>
        <w:spacing w:after="0" w:line="149" w:lineRule="exact"/>
        <w:rPr>
          <w:sz w:val="20"/>
          <w:szCs w:val="20"/>
          <w:color w:val="auto"/>
        </w:rPr>
      </w:pPr>
    </w:p>
    <w:p>
      <w:pPr>
        <w:ind w:left="640" w:right="659"/>
        <w:spacing w:after="0" w:line="293" w:lineRule="auto"/>
        <w:rPr>
          <w:sz w:val="20"/>
          <w:szCs w:val="20"/>
          <w:color w:val="auto"/>
        </w:rPr>
      </w:pPr>
      <w:r>
        <w:rPr>
          <w:rFonts w:ascii="Times New Roman" w:cs="Times New Roman" w:eastAsia="Times New Roman" w:hAnsi="Times New Roman"/>
          <w:sz w:val="14"/>
          <w:szCs w:val="14"/>
          <w:color w:val="auto"/>
        </w:rPr>
        <w:t>The fair value of the interest rate swaps as of June 30, 2024 and December 31, 2023 was $33.8 million and $24.9 million, respectively, and is reflected in other assets in the unaudited condensed consolidated balance sheets.</w:t>
      </w:r>
    </w:p>
    <w:p>
      <w:pPr>
        <w:spacing w:after="0" w:line="37" w:lineRule="exact"/>
        <w:rPr>
          <w:sz w:val="20"/>
          <w:szCs w:val="20"/>
          <w:color w:val="auto"/>
        </w:rPr>
      </w:pPr>
    </w:p>
    <w:p>
      <w:pPr>
        <w:ind w:left="640" w:right="679"/>
        <w:spacing w:after="0" w:line="293" w:lineRule="auto"/>
        <w:rPr>
          <w:sz w:val="20"/>
          <w:szCs w:val="20"/>
          <w:color w:val="auto"/>
        </w:rPr>
      </w:pPr>
      <w:r>
        <w:rPr>
          <w:rFonts w:ascii="Times New Roman" w:cs="Times New Roman" w:eastAsia="Times New Roman" w:hAnsi="Times New Roman"/>
          <w:sz w:val="14"/>
          <w:szCs w:val="14"/>
          <w:color w:val="auto"/>
        </w:rPr>
        <w:t>Amounts reported in accumulated other comprehensive income (“AOCI”) related to derivatives will be reclassified to interest expense as interest payments are made on the Company’s variable-rate debt. Interest received, including payments made or received under the</w:t>
      </w:r>
    </w:p>
    <w:p>
      <w:pPr>
        <w:spacing w:after="0" w:line="1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7" w:name="page18"/>
    <w:bookmarkEnd w:id="17"/>
    <w:p>
      <w:pPr>
        <w:jc w:val="both"/>
        <w:ind w:left="640" w:right="759"/>
        <w:spacing w:after="0" w:line="275" w:lineRule="auto"/>
        <w:rPr>
          <w:sz w:val="20"/>
          <w:szCs w:val="20"/>
          <w:color w:val="auto"/>
        </w:rPr>
      </w:pPr>
      <w:r>
        <w:rPr>
          <w:rFonts w:ascii="Times New Roman" w:cs="Times New Roman" w:eastAsia="Times New Roman" w:hAnsi="Times New Roman"/>
          <w:sz w:val="14"/>
          <w:szCs w:val="14"/>
          <w:color w:val="auto"/>
        </w:rPr>
        <w:t>cash flow hedges, was $9.5 million and $19.1 million for the three and six months ended June 30, 2024, respectively, as compared to $7.6 million and $12.7 million for the three and six months ended June 30, 2023, respectively. The Company expects approximately $29.4 million of pre-tax gains to be reclassified out of AOCI into earnings within the next twelve months.</w:t>
      </w:r>
    </w:p>
    <w:p>
      <w:pPr>
        <w:spacing w:after="0" w:line="49" w:lineRule="exact"/>
        <w:rPr>
          <w:sz w:val="20"/>
          <w:szCs w:val="20"/>
          <w:color w:val="auto"/>
        </w:rPr>
      </w:pPr>
    </w:p>
    <w:p>
      <w:pPr>
        <w:ind w:left="640" w:right="659"/>
        <w:spacing w:after="0" w:line="293" w:lineRule="auto"/>
        <w:rPr>
          <w:sz w:val="20"/>
          <w:szCs w:val="20"/>
          <w:color w:val="auto"/>
        </w:rPr>
      </w:pPr>
      <w:r>
        <w:rPr>
          <w:rFonts w:ascii="Times New Roman" w:cs="Times New Roman" w:eastAsia="Times New Roman" w:hAnsi="Times New Roman"/>
          <w:sz w:val="14"/>
          <w:szCs w:val="14"/>
          <w:color w:val="auto"/>
        </w:rPr>
        <w:t>The repayments on and modification of First Lien borrowings and extinguishment of the Second Lien Facility in the first fiscal quarter of 2024 did not impact the effectiveness of the cash flow hedge arrangements outstanding as of June 30, 2024.</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Tangible Equity Units</w:t>
      </w:r>
    </w:p>
    <w:p>
      <w:pPr>
        <w:spacing w:after="0" w:line="185"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will be the equivalent of 6.75% per year. Each installment payment constitutes a payment of interest and a partial repayment of principal. Each TEU may be separated by a holder into its constituent Purchase Contract and Amortizing Note, each of which is considered a freestanding financial instrument.</w:t>
      </w:r>
    </w:p>
    <w:p>
      <w:pPr>
        <w:spacing w:after="0" w:line="149"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The Amortizing Notes will rank equally in right of payment with all other existing and future unsecured senior indebtedness and will rank senior to all of our existing and future indebtedness, if any, that is subordinated to the Amortizing Notes. 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w:t>
      </w:r>
    </w:p>
    <w:p>
      <w:pPr>
        <w:spacing w:after="0" w:line="56"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The value allocated to the Amortizing Notes is reflected in long-term debt in the unaudited condensed consolidated balance sheet, with payments expected in the next twelve months reflected in current portion of long-term debt. Issuance costs related to the Amortizing Notes are reflected as a reduction of the carrying amount and will be amortized through the maturity date using the effective interest rate method. The proceeds from the issuance were allocated to equity and debt based on the relative fair value of the respective components of each TEU as follows (in thousands, except per unit values):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Equity Component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Debt Component</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r>
      <w:tr>
        <w:trPr>
          <w:trHeight w:val="192"/>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unit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41.3382</w:t>
            </w:r>
          </w:p>
        </w:tc>
        <w:tc>
          <w:tcPr>
            <w:tcW w:w="4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8.6618</w:t>
            </w: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FF0FC"/>
          </w:tcPr>
          <w:p>
            <w:pPr>
              <w:spacing w:after="0"/>
              <w:rPr>
                <w:sz w:val="16"/>
                <w:szCs w:val="16"/>
                <w:color w:val="auto"/>
              </w:rPr>
            </w:pPr>
          </w:p>
        </w:tc>
      </w:tr>
      <w:tr>
        <w:trPr>
          <w:trHeight w:val="194"/>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330,706</w:t>
            </w:r>
          </w:p>
        </w:tc>
        <w:tc>
          <w:tcPr>
            <w:tcW w:w="4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69,294</w:t>
            </w: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shd w:val="clear" w:color="auto" w:fill="CFF0FC"/>
          </w:tcPr>
          <w:p>
            <w:pPr>
              <w:spacing w:after="0"/>
              <w:rPr>
                <w:sz w:val="16"/>
                <w:szCs w:val="16"/>
                <w:color w:val="auto"/>
              </w:rPr>
            </w:pPr>
          </w:p>
        </w:tc>
      </w:t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Less: issuance costs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80" w:type="dxa"/>
            <w:vAlign w:val="bottom"/>
          </w:tcPr>
          <w:p>
            <w:pPr>
              <w:spacing w:after="0"/>
              <w:rPr>
                <w:sz w:val="16"/>
                <w:szCs w:val="16"/>
                <w:color w:val="auto"/>
              </w:rPr>
            </w:pPr>
          </w:p>
        </w:tc>
      </w:tr>
      <w:tr>
        <w:trPr>
          <w:trHeight w:val="224"/>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67,389</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-19685</wp:posOffset>
            </wp:positionV>
            <wp:extent cx="4762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-6350</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-19685</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-6350</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(“VWAP”) of our common stock as follows: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44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b w:val="1"/>
                <w:bCs w:val="1"/>
                <w:color w:val="auto"/>
              </w:rPr>
              <w:t>VWAP of BTSG Common Stock</w:t>
            </w:r>
          </w:p>
        </w:tc>
        <w:tc>
          <w:tcPr>
            <w:tcW w:w="100" w:type="dxa"/>
            <w:vAlign w:val="bottom"/>
          </w:tcPr>
          <w:p>
            <w:pPr>
              <w:spacing w:after="0"/>
              <w:rPr>
                <w:sz w:val="15"/>
                <w:szCs w:val="15"/>
                <w:color w:val="auto"/>
              </w:rPr>
            </w:pPr>
          </w:p>
        </w:tc>
        <w:tc>
          <w:tcPr>
            <w:tcW w:w="3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Common Stock Issued</w:t>
            </w:r>
          </w:p>
        </w:tc>
      </w:tr>
      <w:tr>
        <w:trPr>
          <w:trHeight w:val="192"/>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Greater than $15.28</w:t>
            </w:r>
          </w:p>
        </w:tc>
        <w:tc>
          <w:tcPr>
            <w:tcW w:w="100" w:type="dxa"/>
            <w:vAlign w:val="bottom"/>
            <w:shd w:val="clear" w:color="auto" w:fill="CFF0FC"/>
          </w:tcPr>
          <w:p>
            <w:pPr>
              <w:spacing w:after="0"/>
              <w:rPr>
                <w:sz w:val="16"/>
                <w:szCs w:val="16"/>
                <w:color w:val="auto"/>
              </w:rPr>
            </w:pPr>
          </w:p>
        </w:tc>
        <w:tc>
          <w:tcPr>
            <w:tcW w:w="3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3.2733 shares (minimum settlement rate)</w:t>
            </w: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Equal to or less than $15.28 but greater than or equal to $13.00</w:t>
            </w:r>
          </w:p>
        </w:tc>
        <w:tc>
          <w:tcPr>
            <w:tcW w:w="1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divided by VWAP</w:t>
            </w:r>
          </w:p>
        </w:tc>
      </w:tr>
      <w:tr>
        <w:trPr>
          <w:trHeight w:val="198"/>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$13.00</w:t>
            </w:r>
          </w:p>
        </w:tc>
        <w:tc>
          <w:tcPr>
            <w:tcW w:w="100" w:type="dxa"/>
            <w:vAlign w:val="bottom"/>
            <w:shd w:val="clear" w:color="auto" w:fill="CFF0FC"/>
          </w:tcPr>
          <w:p>
            <w:pPr>
              <w:spacing w:after="0"/>
              <w:rPr>
                <w:sz w:val="17"/>
                <w:szCs w:val="17"/>
                <w:color w:val="auto"/>
              </w:rPr>
            </w:pPr>
          </w:p>
        </w:tc>
        <w:tc>
          <w:tcPr>
            <w:tcW w:w="3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3.8461 shares (maximum settlement rate)</w:t>
            </w:r>
          </w:p>
        </w:tc>
      </w:tr>
    </w:tbl>
    <w:p>
      <w:pPr>
        <w:spacing w:after="0" w:line="157" w:lineRule="exact"/>
        <w:rPr>
          <w:sz w:val="20"/>
          <w:szCs w:val="20"/>
          <w:color w:val="auto"/>
        </w:rPr>
      </w:pPr>
    </w:p>
    <w:p>
      <w:pPr>
        <w:ind w:left="640" w:right="779"/>
        <w:spacing w:after="0" w:line="264"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color w:val="auto"/>
        </w:rPr>
        <w:t>7. Income Taxes</w:t>
      </w:r>
    </w:p>
    <w:p>
      <w:pPr>
        <w:spacing w:after="0" w:line="185"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 Each quarter, we update our estimate of the annual effective tax rate, and, if our estimated tax rate changes, we make a cumulative adjustment.</w:t>
      </w:r>
    </w:p>
    <w:p>
      <w:pPr>
        <w:spacing w:after="0" w:line="142" w:lineRule="exact"/>
        <w:rPr>
          <w:sz w:val="20"/>
          <w:szCs w:val="20"/>
          <w:color w:val="auto"/>
        </w:rPr>
      </w:pPr>
    </w:p>
    <w:p>
      <w:pPr>
        <w:ind w:left="640" w:right="679"/>
        <w:spacing w:after="0" w:line="265" w:lineRule="auto"/>
        <w:rPr>
          <w:sz w:val="20"/>
          <w:szCs w:val="20"/>
          <w:color w:val="auto"/>
        </w:rPr>
      </w:pPr>
      <w:r>
        <w:rPr>
          <w:rFonts w:ascii="Times New Roman" w:cs="Times New Roman" w:eastAsia="Times New Roman" w:hAnsi="Times New Roman"/>
          <w:sz w:val="14"/>
          <w:szCs w:val="14"/>
          <w:color w:val="auto"/>
        </w:rPr>
        <w:t>Our quarterly tax provision, and our quarterly estimate of our annual effective tax rate, is subject to significant variation due to several factors, including variability in accurately predicting our pre-tax and taxable income and loss, acquisitions, audit developments, changes in law, regulations and administrative practices, and relative changes of expenses or losses for which tax benefits are not recognized. Additionally, our effective tax rate can be more or less volatile based on the amount of pre-tax income. For example, the impact of discrete items and non-deductible expenses on our effective tax rate is greater when our pre-tax income is lower.</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reconciliation of the Company’s effective tax rate is as follows: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3960" w:type="dxa"/>
            <w:vAlign w:val="bottom"/>
          </w:tcPr>
          <w:p>
            <w:pPr>
              <w:spacing w:after="0"/>
              <w:rPr>
                <w:sz w:val="12"/>
                <w:szCs w:val="12"/>
                <w:color w:val="auto"/>
              </w:rPr>
            </w:pPr>
          </w:p>
        </w:tc>
        <w:tc>
          <w:tcPr>
            <w:tcW w:w="194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900" w:type="dxa"/>
            <w:vAlign w:val="bottom"/>
            <w:gridSpan w:val="6"/>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180" w:type="dxa"/>
            <w:vAlign w:val="bottom"/>
            <w:tcBorders>
              <w:bottom w:val="single" w:sz="8" w:color="auto"/>
            </w:tcBorders>
            <w:gridSpan w:val="3"/>
          </w:tcPr>
          <w:p>
            <w:pPr>
              <w:jc w:val="center"/>
              <w:ind w:left="55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Estimated annual effective tax rate before discrete items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84.2 %</w:t>
            </w:r>
          </w:p>
        </w:tc>
        <w:tc>
          <w:tcPr>
            <w:tcW w:w="1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3,722.0 %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33.0 %</w:t>
            </w:r>
          </w:p>
        </w:tc>
        <w:tc>
          <w:tcPr>
            <w:tcW w:w="22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Discrete items recognized</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(179.1 )%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445.6 %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21.9 %</w:t>
            </w:r>
          </w:p>
        </w:tc>
        <w:tc>
          <w:tcPr>
            <w:tcW w:w="22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Effective tax rate recognized in the statements of operations</w:t>
            </w: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60" w:type="dxa"/>
            <w:vAlign w:val="bottom"/>
            <w:vMerge w:val="continue"/>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(94.9 )%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4,167.6 %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54.9 %</w:t>
            </w:r>
          </w:p>
        </w:tc>
        <w:tc>
          <w:tcPr>
            <w:tcW w:w="2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-395605</wp:posOffset>
            </wp:positionV>
            <wp:extent cx="4919345" cy="123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137" w:lineRule="exact"/>
        <w:rPr>
          <w:sz w:val="20"/>
          <w:szCs w:val="20"/>
          <w:color w:val="auto"/>
        </w:rPr>
      </w:pPr>
    </w:p>
    <w:p>
      <w:pPr>
        <w:ind w:left="640" w:right="859"/>
        <w:spacing w:after="0" w:line="265" w:lineRule="auto"/>
        <w:rPr>
          <w:sz w:val="20"/>
          <w:szCs w:val="20"/>
          <w:color w:val="auto"/>
        </w:rPr>
      </w:pPr>
      <w:r>
        <w:rPr>
          <w:rFonts w:ascii="Times New Roman" w:cs="Times New Roman" w:eastAsia="Times New Roman" w:hAnsi="Times New Roman"/>
          <w:sz w:val="14"/>
          <w:szCs w:val="14"/>
          <w:color w:val="auto"/>
        </w:rPr>
        <w:t>During the three months ended June 30, 2024, the Company's effective tax rate was lower than the U.S. federal income tax rate, primarily as a result of the discrete tax benefit related to the Silver matter which was determined to be partially deductible upon finalization of the agreement. See Note 10 for further discussion of the Silver matter. The Company's effective tax rate for the three months ended June 30, 2023 was higher than the U.S. federal income tax rate, primarily as a result of the year-to-date cumulative adjustment of the estimated effective tax rate on near break-even pre-tax book loss for the quarter.</w:t>
      </w:r>
    </w:p>
    <w:p>
      <w:pPr>
        <w:spacing w:after="0" w:line="144" w:lineRule="exact"/>
        <w:rPr>
          <w:sz w:val="20"/>
          <w:szCs w:val="20"/>
          <w:color w:val="auto"/>
        </w:rPr>
      </w:pPr>
    </w:p>
    <w:p>
      <w:pPr>
        <w:ind w:left="640" w:right="779"/>
        <w:spacing w:after="0" w:line="264" w:lineRule="auto"/>
        <w:rPr>
          <w:sz w:val="20"/>
          <w:szCs w:val="20"/>
          <w:color w:val="auto"/>
        </w:rPr>
      </w:pPr>
      <w:r>
        <w:rPr>
          <w:rFonts w:ascii="Times New Roman" w:cs="Times New Roman" w:eastAsia="Times New Roman" w:hAnsi="Times New Roman"/>
          <w:sz w:val="14"/>
          <w:szCs w:val="14"/>
          <w:color w:val="auto"/>
        </w:rPr>
        <w:t>During the six months ended June 30, 2024, the Company's effective tax rate was higher than the U.S. federal income tax rate, primarily as a result of limitations on the deductibility of certain executive compensation that now apply to the Company upon completion of its IPO in January 2024. In addition, the discrete tax benefit related to the Silver matter increased the effective tax rate on pre-tax book losses to date. The Company's effective tax rate for the six months ended June 30, 2023 was lower than the U.S. federal income tax rate, primarily as a result of the favorable impact of job credits as a percentage of estimated annual pre-tax book loss.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11,516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Prepaid maintenance</w:t>
            </w: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4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14,509</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137,805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50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5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-866775</wp:posOffset>
            </wp:positionV>
            <wp:extent cx="476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-866775</wp:posOffset>
            </wp:positionV>
            <wp:extent cx="476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33,784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113,844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127,707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34,781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114,677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21,309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14,825</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22,738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Recoupment fees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Interest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346,740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492,363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Long-term liabilities consist of the following (in thousands):</w:t>
            </w: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28,768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Employee incentives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gain</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70,973</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91,943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-4017010</wp:posOffset>
            </wp:positionV>
            <wp:extent cx="476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-4017010</wp:posOffset>
            </wp:positionV>
            <wp:extent cx="476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-1591310</wp:posOffset>
            </wp:positionV>
            <wp:extent cx="476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-1577340</wp:posOffset>
            </wp:positionV>
            <wp:extent cx="4762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-1591310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-1577340</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-19685</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-6350</wp:posOffset>
            </wp:positionV>
            <wp:extent cx="4762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Fair Value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Assets and liabilities measured at fair value are based on one or more of the following three valuation techniques:</w:t>
      </w:r>
    </w:p>
    <w:p>
      <w:pPr>
        <w:spacing w:after="0" w:line="95" w:lineRule="exact"/>
        <w:rPr>
          <w:sz w:val="20"/>
          <w:szCs w:val="20"/>
          <w:color w:val="auto"/>
        </w:rPr>
      </w:pPr>
    </w:p>
    <w:p>
      <w:pPr>
        <w:ind w:left="1340" w:right="1279" w:hanging="359"/>
        <w:spacing w:after="0" w:line="296" w:lineRule="auto"/>
        <w:tabs>
          <w:tab w:leader="none" w:pos="1340" w:val="left"/>
        </w:tabs>
        <w:numPr>
          <w:ilvl w:val="0"/>
          <w:numId w:val="10"/>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Market approach: </w:t>
      </w:r>
      <w:r>
        <w:rPr>
          <w:rFonts w:ascii="Times New Roman" w:cs="Times New Roman" w:eastAsia="Times New Roman" w:hAnsi="Times New Roman"/>
          <w:sz w:val="14"/>
          <w:szCs w:val="14"/>
          <w:color w:val="231F20"/>
        </w:rPr>
        <w:t>Prices and other relevant information generated by market transactions involving identical or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comparable assets or liabilities.</w:t>
      </w:r>
    </w:p>
    <w:p>
      <w:pPr>
        <w:spacing w:after="0" w:line="33" w:lineRule="exact"/>
        <w:rPr>
          <w:rFonts w:ascii="Times New Roman" w:cs="Times New Roman" w:eastAsia="Times New Roman" w:hAnsi="Times New Roman"/>
          <w:sz w:val="14"/>
          <w:szCs w:val="14"/>
          <w:i w:val="1"/>
          <w:iCs w:val="1"/>
          <w:color w:val="231F20"/>
        </w:rPr>
      </w:pPr>
    </w:p>
    <w:p>
      <w:pPr>
        <w:ind w:left="1340" w:hanging="359"/>
        <w:spacing w:after="0"/>
        <w:tabs>
          <w:tab w:leader="none" w:pos="1340" w:val="left"/>
        </w:tabs>
        <w:numPr>
          <w:ilvl w:val="0"/>
          <w:numId w:val="10"/>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Cost approach: </w:t>
      </w:r>
      <w:r>
        <w:rPr>
          <w:rFonts w:ascii="Times New Roman" w:cs="Times New Roman" w:eastAsia="Times New Roman" w:hAnsi="Times New Roman"/>
          <w:sz w:val="14"/>
          <w:szCs w:val="14"/>
          <w:color w:val="231F20"/>
        </w:rPr>
        <w:t>Amount that would be required to replace the service capacity of an asset (replacement cost).</w:t>
      </w:r>
    </w:p>
    <w:p>
      <w:pPr>
        <w:spacing w:after="0" w:line="97" w:lineRule="exact"/>
        <w:rPr>
          <w:rFonts w:ascii="Times New Roman" w:cs="Times New Roman" w:eastAsia="Times New Roman" w:hAnsi="Times New Roman"/>
          <w:sz w:val="14"/>
          <w:szCs w:val="14"/>
          <w:i w:val="1"/>
          <w:iCs w:val="1"/>
          <w:color w:val="231F20"/>
        </w:rPr>
      </w:pPr>
    </w:p>
    <w:p>
      <w:pPr>
        <w:ind w:left="1340" w:right="1019" w:hanging="359"/>
        <w:spacing w:after="0" w:line="296" w:lineRule="auto"/>
        <w:tabs>
          <w:tab w:leader="none" w:pos="1340" w:val="left"/>
        </w:tabs>
        <w:numPr>
          <w:ilvl w:val="0"/>
          <w:numId w:val="10"/>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Income approach: </w:t>
      </w:r>
      <w:r>
        <w:rPr>
          <w:rFonts w:ascii="Times New Roman" w:cs="Times New Roman" w:eastAsia="Times New Roman" w:hAnsi="Times New Roman"/>
          <w:sz w:val="14"/>
          <w:szCs w:val="14"/>
          <w:color w:val="231F20"/>
        </w:rPr>
        <w:t>Techniques to convert future amounts to a single present amount based upon market expectations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(including present value techniques, option-pricing and excess earnings models).</w:t>
      </w:r>
    </w:p>
    <w:p>
      <w:pPr>
        <w:spacing w:after="0" w:line="200" w:lineRule="exact"/>
        <w:rPr>
          <w:sz w:val="20"/>
          <w:szCs w:val="20"/>
          <w:color w:val="auto"/>
        </w:rPr>
      </w:pPr>
    </w:p>
    <w:p>
      <w:pPr>
        <w:spacing w:after="0" w:line="26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i w:val="1"/>
          <w:iCs w:val="1"/>
          <w:color w:val="auto"/>
        </w:rPr>
        <w:t>Assets and Liabilities Measured at Fair Value on a Recurring Basis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financial assets or liabilities recorded at fair value on a recurring basis are set forth in the table below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bottom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0" w:type="dxa"/>
            <w:vAlign w:val="bottom"/>
          </w:tcPr>
          <w:p>
            <w:pPr>
              <w:spacing w:after="0"/>
              <w:rPr>
                <w:sz w:val="1"/>
                <w:szCs w:val="1"/>
                <w:color w:val="auto"/>
              </w:rPr>
            </w:pPr>
          </w:p>
        </w:tc>
      </w:tr>
      <w:tr>
        <w:trPr>
          <w:trHeight w:val="17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rate swaps (Level 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33,784</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33,784</w:t>
            </w:r>
          </w:p>
        </w:tc>
        <w:tc>
          <w:tcPr>
            <w:tcW w:w="5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Contingent consideration (Level 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5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-668655</wp:posOffset>
            </wp:positionV>
            <wp:extent cx="4762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-668655</wp:posOffset>
            </wp:positionV>
            <wp:extent cx="4762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-149860</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-149860</wp:posOffset>
            </wp:positionV>
            <wp:extent cx="4762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5.</w:t>
      </w:r>
    </w:p>
    <w:p>
      <w:pPr>
        <w:spacing w:after="0" w:line="56"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The contingent consideration represents future earn-outs associated with acquisitions. Contingent consideration liabilities are recognized as part of the purchase price at the estimated fair value on the acquisition date. The fair values of the liabilities associated with the contingent consideration were derived using the income approach with unobservable inputs, which included future earnings forecasts and present value assumptions, and there was little or no market data (Level 3). The Company will re-assess the fair values on each reporting period thereafter until settlement. These liabilities are classified as accrued expenses and long-term liabilities in our accompanying unaudited condensed consolidated balance sheets.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 care program payers. The U.S. Government and state governments declined to intervene in the case.</w:t>
      </w:r>
    </w:p>
    <w:p>
      <w:pPr>
        <w:spacing w:after="0" w:line="60"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the Company agreed to settle the matter without admitting liability. On May 29, 2024, the parties entered into a final settlement agreement, which was approved by both the United States Department of Justice and the District Court. The total financial impact of the settlement is $120.0 million; $90.0 million of which was paid during the three months ended June 30, 2024, with the remaining $30.0 million in accrued expenses in the unaudited condensed consolidated balance sheet as of June 30, 2024. As of December 31, 2023, the estimated financial impact of the settlement was $115.0 million, $105.0 million of which was included in accrued expenses and $10.0 million in long-term liabilities in the unaudited condensed consolidated balance sheet. The District Court entered an order dismissing the Silver action in its entirety, with prejudice, on July 3, 2024.</w:t>
      </w:r>
    </w:p>
    <w:p>
      <w:pPr>
        <w:spacing w:after="0" w:line="61"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11. Redeemable Noncontrolling Interests</w:t>
      </w:r>
    </w:p>
    <w:p>
      <w:pPr>
        <w:spacing w:after="0" w:line="185"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Company has a 60% ownership interest in SHC Medical Partners LLC (“Abode Care Partners”) and a 55% ownership interest in Harvest Grove LTC LLC (“Harvest Grove”) each of which meets the definition of a VIE. The Company is deemed to be the primary beneficiary of these VIEs because it possesses the power to direct activities of the VIEs that most significantly impact their economic performance and has the obligation to absorb losses or the right to receive benefits from the VIEs that are significant to them. Through a management agreement with the respective entities, we manage and handle all day-to-day operating decisions for Abode Care Partners and Harvest Grove. The terms of the agreements prohibit us from using the assets of each entity to satisfy the obligations of other entities. The combined assets of the entities, excluding goodwill and intangible assets, are insignificant to the Company’s unaudited condensed consolidated balance sheets.</w:t>
      </w:r>
    </w:p>
    <w:p>
      <w:pPr>
        <w:spacing w:after="0" w:line="63" w:lineRule="exact"/>
        <w:rPr>
          <w:sz w:val="20"/>
          <w:szCs w:val="20"/>
          <w:color w:val="auto"/>
        </w:rPr>
      </w:pPr>
    </w:p>
    <w:p>
      <w:pPr>
        <w:ind w:left="640" w:right="759"/>
        <w:spacing w:after="0" w:line="264" w:lineRule="auto"/>
        <w:rPr>
          <w:sz w:val="20"/>
          <w:szCs w:val="20"/>
          <w:color w:val="auto"/>
        </w:rPr>
      </w:pPr>
      <w:r>
        <w:rPr>
          <w:rFonts w:ascii="Times New Roman" w:cs="Times New Roman" w:eastAsia="Times New Roman" w:hAnsi="Times New Roman"/>
          <w:sz w:val="14"/>
          <w:szCs w:val="14"/>
          <w:color w:val="auto"/>
        </w:rPr>
        <w:t>The respective joint venture agreements contain both a put option for the minority partners and a call option for the Company, requiring or allowing the Company, in certain circumstances, to purchase the partners’ remaining interest in the joint ventures at a price based on predetermined earnings multiples. Each of these options is to be triggered upon the occurrence of specified events and/or upon the passage of time. The Company calculates the redemption amount related to the Abode Care Partners and Harvest Grove options using a Monte Carlo simulation and records the amount, if any, by which the redemption amount exceeds the carrying value as a charge to accumulated deficit.</w:t>
      </w:r>
    </w:p>
    <w:p>
      <w:pPr>
        <w:spacing w:after="0" w:line="56"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The total redeemable noncontrolling interest associated with Abode Care Partners was $4.7 million and $5.5 million as of June 30, 2024 and December 31, 2023, respectively. There was no change in the recorded redemption amount for Abode Care Partners for the three and six months ended June 30, 2024 or 2023. The total redeemable noncontrolling interest associated with Harvest Grove was $1.2 million and $1.0 million as of June 30, 2024 and December 31, 2023, respectively. There was no change in the recorded redemption amount for Harvest Grove for the three and six months ended June 30, 2024 or 2023.</w:t>
      </w:r>
    </w:p>
    <w:p>
      <w:pPr>
        <w:spacing w:after="0" w:line="58"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On March 1, 2024, the Company purchased the remaining 30% noncontrolling interest related to Gateway Pediatric Therapy LLC (“Gateway”) for $5.4 million. Subsequently, the Company owns 100% of common stock in Gateway. Of the $5.4 million purchase price, $0.3 million was paid during the first fiscal quarter of 2024 and the remaining $5.1 million is recorded in trade accounts payable in the unaudited condensed consolidated balance sheet as of June 30, 2024. As of December 31, 2023, Gateway met the definition of a VIE and the Company was deemed to be the primary beneficiary of the VIE. The total redeemable noncontrolling interest associated with the Company's 70% ownership in Gateway was $20.6 million as of December 31, 2023. The difference between cash consideration for the purchase of noncontrolling interest and the redeemable noncontrolling interest recorded in the unaudited condensed consolidated balance sheet of $15.0 million was recognized in additional paid-in capital as of the purchase date.</w:t>
      </w:r>
    </w:p>
    <w:p>
      <w:pPr>
        <w:spacing w:after="0" w:line="63" w:lineRule="exact"/>
        <w:rPr>
          <w:sz w:val="20"/>
          <w:szCs w:val="20"/>
          <w:color w:val="auto"/>
        </w:rPr>
      </w:pPr>
    </w:p>
    <w:p>
      <w:pPr>
        <w:ind w:left="640" w:right="1319"/>
        <w:spacing w:after="0" w:line="293" w:lineRule="auto"/>
        <w:rPr>
          <w:sz w:val="20"/>
          <w:szCs w:val="20"/>
          <w:color w:val="auto"/>
        </w:rPr>
      </w:pPr>
      <w:r>
        <w:rPr>
          <w:rFonts w:ascii="Times New Roman" w:cs="Times New Roman" w:eastAsia="Times New Roman" w:hAnsi="Times New Roman"/>
          <w:sz w:val="14"/>
          <w:szCs w:val="14"/>
          <w:color w:val="auto"/>
        </w:rPr>
        <w:t>The following table summarizes the changes in the carrying value of the Company’s redeemable noncontrolling interest (in thousands):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Extinguishment of redeemable noncontrolling interest</w:t>
            </w:r>
          </w:p>
        </w:tc>
        <w:tc>
          <w:tcPr>
            <w:tcW w:w="4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(14,981 )</w:t>
            </w:r>
          </w:p>
        </w:tc>
      </w:tr>
      <w:tr>
        <w:trPr>
          <w:trHeight w:val="198"/>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4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(5,400 )</w:t>
            </w:r>
          </w:p>
        </w:tc>
      </w:tr>
      <w:tr>
        <w:trPr>
          <w:trHeight w:val="19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4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(822 )</w:t>
            </w:r>
          </w:p>
        </w:tc>
      </w:tr>
      <w:tr>
        <w:trPr>
          <w:trHeight w:val="224"/>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Earnings Per Share (“EPS”)</w:t>
      </w:r>
    </w:p>
    <w:p>
      <w:pPr>
        <w:spacing w:after="0" w:line="185"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Basic net earnings (loss) per share of common stock is calculated by dividing net income (loss) attributable to common shareholders by the weighted average number of shares outstanding for the reporting period. Diluted net earnings (loss)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56"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stock option awards subject to only a time-based condition is calculated using the treasury stock method, if dilutive. Stock option awards subject to a performance condition are not included in the denominator of the diluted EPS calculation using the treasury stock method for the three and six months ended June 30, 2023 as the performance condition had not been satisfied. Upon completion of the IPO in January 2024, the performance condition was met. Thus, the number of additional shares of common stock related to stock option awards subject to a performance condition are included in the denominator of the diluted EPS calculation using the treasury stock method for the three and six months ended June 30, 2024, if dilutive.</w:t>
      </w:r>
    </w:p>
    <w:p>
      <w:pPr>
        <w:spacing w:after="0" w:line="233" w:lineRule="exact"/>
        <w:rPr>
          <w:sz w:val="20"/>
          <w:szCs w:val="20"/>
          <w:color w:val="auto"/>
        </w:rPr>
      </w:pPr>
    </w:p>
    <w:p>
      <w:pPr>
        <w:ind w:left="640" w:right="959"/>
        <w:spacing w:after="0" w:line="293"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is reflected in the denominator of the diluted EPS calculation using the treasury stock method, if dilutive.</w:t>
      </w:r>
    </w:p>
    <w:p>
      <w:pPr>
        <w:spacing w:after="0" w:line="1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2" w:name="page23"/>
    <w:bookmarkEnd w:id="22"/>
    <w:p>
      <w:pPr>
        <w:ind w:left="640" w:right="699"/>
        <w:spacing w:after="0" w:line="268" w:lineRule="auto"/>
        <w:rPr>
          <w:sz w:val="20"/>
          <w:szCs w:val="20"/>
          <w:color w:val="auto"/>
        </w:rPr>
      </w:pPr>
      <w:r>
        <w:rPr>
          <w:rFonts w:ascii="Times New Roman" w:cs="Times New Roman" w:eastAsia="Times New Roman" w:hAnsi="Times New Roman"/>
          <w:sz w:val="14"/>
          <w:szCs w:val="14"/>
          <w:color w:val="auto"/>
        </w:rPr>
        <w:t>For the three and six months ended June 30, 2024, the TEUs were assumed to be outstanding at the minimum settlement amount for weighted-average shares for basic EPS. For diluted EPS, the shares were assumed to be settled at a conversion factor based on the 20-day VWAP per share of the Company's common stock not to exceed 3.8461 shares per Purchase Contract, if dilutive. See Note 6 for further discussion of TEUs.</w:t>
      </w:r>
    </w:p>
    <w:p>
      <w:pPr>
        <w:spacing w:after="0" w:line="56" w:lineRule="exact"/>
        <w:rPr>
          <w:sz w:val="20"/>
          <w:szCs w:val="20"/>
          <w:color w:val="auto"/>
        </w:rPr>
      </w:pPr>
    </w:p>
    <w:p>
      <w:pPr>
        <w:ind w:left="640" w:right="659"/>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common shareholders (in thousands, except per share amounts):</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(26,944 )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(19,510 )</w:t>
            </w:r>
          </w:p>
        </w:tc>
      </w:tr>
      <w:tr>
        <w:trPr>
          <w:trHeight w:val="194"/>
        </w:trPr>
        <w:tc>
          <w:tcPr>
            <w:tcW w:w="4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(478 )</w:t>
            </w:r>
          </w:p>
        </w:tc>
        <w:tc>
          <w:tcPr>
            <w:tcW w:w="2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(1,222 )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(1,113 )</w:t>
            </w:r>
          </w:p>
        </w:tc>
        <w:tc>
          <w:tcPr>
            <w:tcW w:w="2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(2,116 )</w:t>
            </w:r>
          </w:p>
        </w:tc>
      </w:tr>
      <w:tr>
        <w:trPr>
          <w:trHeight w:val="20"/>
        </w:trPr>
        <w:tc>
          <w:tcPr>
            <w:tcW w:w="40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1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(25,831 )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(17,394 )</w:t>
            </w: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Denominator:</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197,515</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117,883</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117,875</w:t>
            </w:r>
          </w:p>
        </w:tc>
        <w:tc>
          <w:tcPr>
            <w:tcW w:w="8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4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4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4,764</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RSUs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0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TEUs</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40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126,449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70"/>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(0.15 )</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6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(0.15 )</w:t>
            </w: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-1714500</wp:posOffset>
            </wp:positionV>
            <wp:extent cx="546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-1714500</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-1714500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-1714500</wp:posOffset>
            </wp:positionV>
            <wp:extent cx="4762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-429895</wp:posOffset>
            </wp:positionV>
            <wp:extent cx="546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-415925</wp:posOffset>
            </wp:positionV>
            <wp:extent cx="54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-429895</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-415925</wp:posOffset>
            </wp:positionV>
            <wp:extent cx="476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-429895</wp:posOffset>
            </wp:positionV>
            <wp:extent cx="476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-415925</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-429895</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-415925</wp:posOffset>
            </wp:positionV>
            <wp:extent cx="476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-163195</wp:posOffset>
            </wp:positionV>
            <wp:extent cx="5461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-149860</wp:posOffset>
            </wp:positionV>
            <wp:extent cx="546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-163195</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-149860</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-163195</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-149860</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-163195</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799"/>
        <w:spacing w:after="0" w:line="275" w:lineRule="auto"/>
        <w:rPr>
          <w:sz w:val="20"/>
          <w:szCs w:val="20"/>
          <w:color w:val="auto"/>
        </w:rPr>
      </w:pPr>
      <w:r>
        <w:rPr>
          <w:rFonts w:ascii="Times New Roman" w:cs="Times New Roman" w:eastAsia="Times New Roman" w:hAnsi="Times New Roman"/>
          <w:sz w:val="14"/>
          <w:szCs w:val="14"/>
          <w:color w:val="auto"/>
        </w:rPr>
        <w:t>The following potentially common share equivalents were excluded from the computation of diluted net loss per share because their effect would have been anti-dilutive for the periods presented, as well as options that are contingent upon the satisfaction of certain conditions which were not satisfied by the end of the period (in thousands):</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3960" w:type="dxa"/>
            <w:vAlign w:val="bottom"/>
          </w:tcPr>
          <w:p>
            <w:pPr>
              <w:spacing w:after="0"/>
              <w:rPr>
                <w:sz w:val="12"/>
                <w:szCs w:val="12"/>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8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3960" w:type="dxa"/>
            <w:vAlign w:val="bottom"/>
          </w:tcPr>
          <w:p>
            <w:pPr>
              <w:spacing w:after="0"/>
              <w:rPr>
                <w:sz w:val="12"/>
                <w:szCs w:val="12"/>
                <w:color w:val="auto"/>
              </w:rPr>
            </w:pPr>
          </w:p>
        </w:tc>
        <w:tc>
          <w:tcPr>
            <w:tcW w:w="11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3960" w:type="dxa"/>
            <w:vAlign w:val="bottom"/>
          </w:tcPr>
          <w:p>
            <w:pPr>
              <w:spacing w:after="0"/>
              <w:rPr>
                <w:sz w:val="11"/>
                <w:szCs w:val="11"/>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3960" w:type="dxa"/>
            <w:vAlign w:val="bottom"/>
            <w:shd w:val="clear" w:color="auto" w:fill="CFF0FC"/>
          </w:tcPr>
          <w:p>
            <w:pPr>
              <w:spacing w:after="0" w:line="184" w:lineRule="exact"/>
              <w:rPr>
                <w:sz w:val="20"/>
                <w:szCs w:val="20"/>
                <w:color w:val="auto"/>
              </w:rPr>
            </w:pPr>
            <w:r>
              <w:rPr>
                <w:rFonts w:ascii="Times New Roman" w:cs="Times New Roman" w:eastAsia="Times New Roman" w:hAnsi="Times New Roman"/>
                <w:sz w:val="14"/>
                <w:szCs w:val="14"/>
                <w:color w:val="auto"/>
              </w:rPr>
              <w:t xml:space="preserve">Stock options </w:t>
            </w:r>
            <w:r>
              <w:rPr>
                <w:rFonts w:ascii="Times New Roman" w:cs="Times New Roman" w:eastAsia="Times New Roman" w:hAnsi="Times New Roman"/>
                <w:sz w:val="19"/>
                <w:szCs w:val="19"/>
                <w:color w:val="auto"/>
                <w:vertAlign w:val="superscript"/>
              </w:rPr>
              <w:t>(1)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14,143</w:t>
            </w:r>
          </w:p>
        </w:tc>
        <w:tc>
          <w:tcPr>
            <w:tcW w:w="80" w:type="dxa"/>
            <w:vAlign w:val="bottom"/>
            <w:shd w:val="clear" w:color="auto" w:fill="CFF0FC"/>
          </w:tcPr>
          <w:p>
            <w:pPr>
              <w:spacing w:after="0"/>
              <w:rPr>
                <w:sz w:val="16"/>
                <w:szCs w:val="16"/>
                <w:color w:val="auto"/>
              </w:rPr>
            </w:pP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RSUs</w:t>
            </w: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11,526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TEUs</w:t>
            </w:r>
          </w:p>
        </w:tc>
        <w:tc>
          <w:tcPr>
            <w:tcW w:w="118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r>
      <w:tr>
        <w:trPr>
          <w:trHeight w:val="224"/>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31,439</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14,143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-19685</wp:posOffset>
            </wp:positionV>
            <wp:extent cx="546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-6350</wp:posOffset>
            </wp:positionV>
            <wp:extent cx="546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-19685</wp:posOffset>
            </wp:positionV>
            <wp:extent cx="4762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-6350</wp:posOffset>
            </wp:positionV>
            <wp:extent cx="4762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-19685</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4657090</wp:posOffset>
            </wp:positionH>
            <wp:positionV relativeFrom="paragraph">
              <wp:posOffset>-6350</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70" w:lineRule="exact"/>
        <w:rPr>
          <w:sz w:val="20"/>
          <w:szCs w:val="20"/>
          <w:color w:val="auto"/>
        </w:rPr>
      </w:pPr>
    </w:p>
    <w:p>
      <w:pPr>
        <w:ind w:left="640" w:right="1099" w:firstLine="1"/>
        <w:spacing w:after="0" w:line="233" w:lineRule="auto"/>
        <w:tabs>
          <w:tab w:leader="none" w:pos="78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all periods presented, the dilutive effect of stock options were excluded from the computation of income (loss) per share because the assumed proceeds from the awards' exercise were greater than the average market price of the common shares.</w:t>
      </w:r>
    </w:p>
    <w:p>
      <w:pPr>
        <w:spacing w:after="0" w:line="170" w:lineRule="exact"/>
        <w:rPr>
          <w:sz w:val="20"/>
          <w:szCs w:val="20"/>
          <w:color w:val="auto"/>
        </w:rPr>
      </w:pPr>
    </w:p>
    <w:p>
      <w:pPr>
        <w:ind w:left="640" w:right="759"/>
        <w:spacing w:after="0" w:line="293" w:lineRule="auto"/>
        <w:rPr>
          <w:sz w:val="20"/>
          <w:szCs w:val="20"/>
          <w:color w:val="auto"/>
        </w:rPr>
      </w:pPr>
      <w:r>
        <w:rPr>
          <w:rFonts w:ascii="Times New Roman" w:cs="Times New Roman" w:eastAsia="Times New Roman" w:hAnsi="Times New Roman"/>
          <w:sz w:val="14"/>
          <w:szCs w:val="14"/>
          <w:color w:val="auto"/>
        </w:rPr>
        <w:t>All share and per share amounts have been retroactively adjusted to reflect the effects of the stock split that occurred in January 2024 (see Note 15).</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185"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Company was party to a Monitoring Agreement with KKR and WBA, which required payment of an aggregate advisory fee equivalent to 1% of consolidated earnings before interest, taxes, depreciation, and amortization (“EBITDA”), payable in quarterly installments in arrears at the end of each quarter. The Monitoring Agreement terminated upon the completion of the IPO Offerings in January 2024.</w:t>
      </w:r>
    </w:p>
    <w:p>
      <w:pPr>
        <w:spacing w:after="0" w:line="56"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Prior to the termination of the Monitoring Agreement, the Company recognized $0.7 million in monitoring and advisory fees during the first fiscal quarter of 2024 as a component of selling, general, and administrative expenses in our accompanying unaudited condensed consolidated statements of operations compared to $1.5 million and $2.9 million for the three and six months ended June 30, 2023, respectively.</w:t>
      </w:r>
    </w:p>
    <w:p>
      <w:pPr>
        <w:spacing w:after="0" w:line="1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3" w:name="page24"/>
    <w:bookmarkEnd w:id="23"/>
    <w:p>
      <w:pPr>
        <w:ind w:left="640" w:right="679"/>
        <w:spacing w:after="0" w:line="267" w:lineRule="auto"/>
        <w:rPr>
          <w:sz w:val="20"/>
          <w:szCs w:val="20"/>
          <w:color w:val="auto"/>
        </w:rPr>
      </w:pPr>
      <w:r>
        <w:rPr>
          <w:rFonts w:ascii="Times New Roman" w:cs="Times New Roman" w:eastAsia="Times New Roman" w:hAnsi="Times New Roman"/>
          <w:sz w:val="14"/>
          <w:szCs w:val="14"/>
          <w:color w:val="auto"/>
        </w:rPr>
        <w:t>As a result of the termination of the Monitoring Agreement, the Company will pay $22.7 million in termination fees to KKR and WBA in accordance with the terms of the Monitoring Agreement. The termination fees were recognized in the first fiscal quarter of 2024 and are included in trade accounts payable in our unaudited condensed consolidated balance sheet as of June 30, 2024 and as selling, general, and administrative expense in our unaudited condensed consolidated statement of operations for the six months ended June 30, 2024.</w:t>
      </w:r>
    </w:p>
    <w:p>
      <w:pPr>
        <w:spacing w:after="0" w:line="230"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KKR Capital Markets LLC (“KCM”), a wholly owned subsidiary of KKR, acted as an arranger and bookrunner for the financing transactions in the first fiscal quarter of 2024, for which the Company paid a fee of $1.9 million. KCM also acted as an underwriter in the IPO Offerings during the first fiscal quarter of 2024 and received $7.4 million in underwriting discounts and commission. The aforementioned fees paid to KCM during the first fiscal quarter of 2024 were included within selling, general, and administrative expenses in our unaudited condensed consolidated statement of operations for the six months ended June 30, 2024. There were no similar fees paid to KCM during the three months ended June 30, 2024, and the three or six months ended June 30, 2023.</w:t>
      </w:r>
    </w:p>
    <w:p>
      <w:pPr>
        <w:spacing w:after="0" w:line="56" w:lineRule="exact"/>
        <w:rPr>
          <w:sz w:val="20"/>
          <w:szCs w:val="20"/>
          <w:color w:val="auto"/>
        </w:rPr>
      </w:pPr>
    </w:p>
    <w:p>
      <w:pPr>
        <w:jc w:val="both"/>
        <w:ind w:left="640" w:right="899"/>
        <w:spacing w:after="0" w:line="293" w:lineRule="auto"/>
        <w:rPr>
          <w:sz w:val="20"/>
          <w:szCs w:val="20"/>
          <w:color w:val="auto"/>
        </w:rPr>
      </w:pPr>
      <w:r>
        <w:rPr>
          <w:rFonts w:ascii="Times New Roman" w:cs="Times New Roman" w:eastAsia="Times New Roman" w:hAnsi="Times New Roman"/>
          <w:sz w:val="14"/>
          <w:szCs w:val="14"/>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37" w:lineRule="exact"/>
        <w:rPr>
          <w:sz w:val="20"/>
          <w:szCs w:val="20"/>
          <w:color w:val="auto"/>
        </w:rPr>
      </w:pPr>
    </w:p>
    <w:p>
      <w:pPr>
        <w:ind w:left="640" w:right="879"/>
        <w:spacing w:after="0" w:line="264" w:lineRule="auto"/>
        <w:rPr>
          <w:sz w:val="20"/>
          <w:szCs w:val="20"/>
          <w:color w:val="auto"/>
        </w:rPr>
      </w:pPr>
      <w:r>
        <w:rPr>
          <w:rFonts w:ascii="Times New Roman" w:cs="Times New Roman" w:eastAsia="Times New Roman" w:hAnsi="Times New Roman"/>
          <w:sz w:val="14"/>
          <w:szCs w:val="14"/>
          <w:color w:val="auto"/>
        </w:rPr>
        <w:t>The Company has agreements with WBA and/or certain of its affiliates under which the Company purchases significant volume of inventory, including a Joinder Agreement to the Pharmaceutical Purchase and Distribution Agreement between WBA and AmerisourceBergen Drug Corporation. The Company, as a third-party beneficiary to the Pharmaceutical Purchase and Distribution Agreement, has the right to participate in certain pricing and payment related terms as well as appoint WBA to negotiate certain commercial and other mutually agreed upon terms for generic pharmaceutical products in accordance with guiding principles that address topics such as improvements in pricing and notification regarding switches in suppliers.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Segment Information</w:t>
      </w:r>
    </w:p>
    <w:p>
      <w:pPr>
        <w:spacing w:after="0" w:line="185" w:lineRule="exact"/>
        <w:rPr>
          <w:sz w:val="20"/>
          <w:szCs w:val="20"/>
          <w:color w:val="auto"/>
        </w:rPr>
      </w:pPr>
    </w:p>
    <w:p>
      <w:pPr>
        <w:ind w:left="640" w:right="819"/>
        <w:spacing w:after="0" w:line="293" w:lineRule="auto"/>
        <w:rPr>
          <w:sz w:val="20"/>
          <w:szCs w:val="20"/>
          <w:color w:val="auto"/>
        </w:rPr>
      </w:pPr>
      <w:r>
        <w:rPr>
          <w:rFonts w:ascii="Times New Roman" w:cs="Times New Roman" w:eastAsia="Times New Roman" w:hAnsi="Times New Roman"/>
          <w:sz w:val="14"/>
          <w:szCs w:val="14"/>
          <w:color w:val="auto"/>
        </w:rPr>
        <w:t>Our CODM evaluates the performance of our segments and allocates resources to them based on segment EBITDA. Segment assets are not reviewed by the Company’s CODM and, therefore, are not disclosed.</w:t>
      </w:r>
    </w:p>
    <w:p>
      <w:pPr>
        <w:spacing w:after="0" w:line="37"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Insignificant amounts of revenue and costs of goods and services may be recorded at the corporate level and are not attributable to a particular segment. Unallocated selling, general, and administrative expenses are those costs for functions performed in a centralized manner and therefore are not attributable to a particular segment. These costs include accounting, finance, human resources, legal, information technology, corporate office support, and overall corporate management.</w:t>
      </w:r>
    </w:p>
    <w:p>
      <w:pPr>
        <w:spacing w:after="0" w:line="56"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5"/>
          </w:tcPr>
          <w:p>
            <w:pPr>
              <w:jc w:val="center"/>
              <w:ind w:left="473"/>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11"/>
                <w:szCs w:val="11"/>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615,719</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2,730,210</w:t>
            </w:r>
          </w:p>
        </w:tc>
        <w:tc>
          <w:tcPr>
            <w:tcW w:w="80" w:type="dxa"/>
            <w:vAlign w:val="bottom"/>
            <w:shd w:val="clear" w:color="auto" w:fill="CFF0FC"/>
          </w:tcPr>
          <w:p>
            <w:pPr>
              <w:spacing w:after="0"/>
              <w:rPr>
                <w:sz w:val="16"/>
                <w:szCs w:val="16"/>
                <w:color w:val="auto"/>
              </w:rPr>
            </w:pPr>
          </w:p>
        </w:tc>
      </w:tr>
      <w:tr>
        <w:trPr>
          <w:trHeight w:val="194"/>
        </w:trPr>
        <w:tc>
          <w:tcPr>
            <w:tcW w:w="412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409,417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2,341,177</w:t>
            </w:r>
          </w:p>
        </w:tc>
        <w:tc>
          <w:tcPr>
            <w:tcW w:w="8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27,222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16,321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43,543</w:t>
            </w:r>
          </w:p>
        </w:tc>
        <w:tc>
          <w:tcPr>
            <w:tcW w:w="80" w:type="dxa"/>
            <w:vAlign w:val="bottom"/>
            <w:shd w:val="clear" w:color="auto" w:fill="CFF0FC"/>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86,047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180,543</w:t>
            </w:r>
          </w:p>
        </w:tc>
        <w:tc>
          <w:tcPr>
            <w:tcW w:w="80" w:type="dxa"/>
            <w:vAlign w:val="bottom"/>
          </w:tcPr>
          <w:p>
            <w:pPr>
              <w:spacing w:after="0"/>
              <w:rPr>
                <w:sz w:val="16"/>
                <w:szCs w:val="16"/>
                <w:color w:val="auto"/>
              </w:rPr>
            </w:pPr>
          </w:p>
        </w:tc>
      </w:tr>
      <w:tr>
        <w:trPr>
          <w:trHeight w:val="341"/>
        </w:trPr>
        <w:tc>
          <w:tcPr>
            <w:tcW w:w="4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left="473"/>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2023</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11"/>
                <w:szCs w:val="11"/>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1,596,839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569,885</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2,166,724</w:t>
            </w:r>
          </w:p>
        </w:tc>
        <w:tc>
          <w:tcPr>
            <w:tcW w:w="80" w:type="dxa"/>
            <w:vAlign w:val="bottom"/>
            <w:shd w:val="clear" w:color="auto" w:fill="CFF0FC"/>
          </w:tcPr>
          <w:p>
            <w:pPr>
              <w:spacing w:after="0"/>
              <w:rPr>
                <w:sz w:val="16"/>
                <w:szCs w:val="16"/>
                <w:color w:val="auto"/>
              </w:rPr>
            </w:pPr>
          </w:p>
        </w:tc>
      </w:tr>
      <w:tr>
        <w:trPr>
          <w:trHeight w:val="194"/>
        </w:trPr>
        <w:tc>
          <w:tcPr>
            <w:tcW w:w="412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1,409,249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385,405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1,794,654</w:t>
            </w:r>
          </w:p>
        </w:tc>
        <w:tc>
          <w:tcPr>
            <w:tcW w:w="8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28,726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44,782</w:t>
            </w:r>
          </w:p>
        </w:tc>
        <w:tc>
          <w:tcPr>
            <w:tcW w:w="80" w:type="dxa"/>
            <w:vAlign w:val="bottom"/>
            <w:shd w:val="clear" w:color="auto" w:fill="CFF0FC"/>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74,387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184,193</w:t>
            </w:r>
          </w:p>
        </w:tc>
        <w:tc>
          <w:tcPr>
            <w:tcW w:w="80" w:type="dxa"/>
            <w:vAlign w:val="bottom"/>
          </w:tcPr>
          <w:p>
            <w:pPr>
              <w:spacing w:after="0"/>
              <w:rPr>
                <w:sz w:val="16"/>
                <w:szCs w:val="16"/>
                <w:color w:val="auto"/>
              </w:rPr>
            </w:pPr>
          </w:p>
        </w:tc>
      </w:tr>
      <w:tr>
        <w:trPr>
          <w:trHeight w:val="320"/>
        </w:trPr>
        <w:tc>
          <w:tcPr>
            <w:tcW w:w="4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left="493"/>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4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11"/>
                <w:szCs w:val="11"/>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1,215,322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5,306,848</w:t>
            </w:r>
          </w:p>
        </w:tc>
        <w:tc>
          <w:tcPr>
            <w:tcW w:w="80" w:type="dxa"/>
            <w:vAlign w:val="bottom"/>
            <w:shd w:val="clear" w:color="auto" w:fill="CFF0FC"/>
          </w:tcPr>
          <w:p>
            <w:pPr>
              <w:spacing w:after="0"/>
              <w:rPr>
                <w:sz w:val="16"/>
                <w:szCs w:val="16"/>
                <w:color w:val="auto"/>
              </w:rPr>
            </w:pPr>
          </w:p>
        </w:tc>
      </w:tr>
      <w:tr>
        <w:trPr>
          <w:trHeight w:val="194"/>
        </w:trPr>
        <w:tc>
          <w:tcPr>
            <w:tcW w:w="412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809,564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4,548,424</w:t>
            </w:r>
          </w:p>
        </w:tc>
        <w:tc>
          <w:tcPr>
            <w:tcW w:w="8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54,471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31,749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86,220</w:t>
            </w:r>
          </w:p>
        </w:tc>
        <w:tc>
          <w:tcPr>
            <w:tcW w:w="80" w:type="dxa"/>
            <w:vAlign w:val="bottom"/>
            <w:shd w:val="clear" w:color="auto" w:fill="CFF0FC"/>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167,959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350,629</w:t>
            </w:r>
          </w:p>
        </w:tc>
        <w:tc>
          <w:tcPr>
            <w:tcW w:w="80" w:type="dxa"/>
            <w:vAlign w:val="bottom"/>
          </w:tcPr>
          <w:p>
            <w:pPr>
              <w:spacing w:after="0"/>
              <w:rPr>
                <w:sz w:val="16"/>
                <w:szCs w:val="16"/>
                <w:color w:val="auto"/>
              </w:rPr>
            </w:pPr>
          </w:p>
        </w:tc>
      </w:tr>
      <w:tr>
        <w:trPr>
          <w:trHeight w:val="523"/>
        </w:trPr>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05"/>
        </w:trPr>
        <w:tc>
          <w:tcPr>
            <w:tcW w:w="4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4" w:name="page25"/>
    <w:bookmarkEnd w:id="24"/>
    <w:tbl>
      <w:tblPr>
        <w:tblLayout w:type="fixed"/>
        <w:tblInd w:w="640" w:type="dxa"/>
        <w:tblCellMar>
          <w:top w:w="0" w:type="dxa"/>
          <w:left w:w="0" w:type="dxa"/>
          <w:bottom w:w="0" w:type="dxa"/>
          <w:right w:w="0" w:type="dxa"/>
        </w:tblCellMar>
      </w:tblPr>
      <w:tr>
        <w:trPr>
          <w:trHeight w:val="148"/>
        </w:trPr>
        <w:tc>
          <w:tcPr>
            <w:tcW w:w="4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2023</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60" w:type="dxa"/>
            <w:vAlign w:val="bottom"/>
          </w:tcPr>
          <w:p>
            <w:pPr>
              <w:spacing w:after="0"/>
              <w:rPr>
                <w:sz w:val="11"/>
                <w:szCs w:val="11"/>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3,063,841</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1,131,261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4,195,102</w:t>
            </w:r>
          </w:p>
        </w:tc>
        <w:tc>
          <w:tcPr>
            <w:tcW w:w="80" w:type="dxa"/>
            <w:vAlign w:val="bottom"/>
            <w:shd w:val="clear" w:color="auto" w:fill="CFF0FC"/>
          </w:tcPr>
          <w:p>
            <w:pPr>
              <w:spacing w:after="0"/>
              <w:rPr>
                <w:sz w:val="16"/>
                <w:szCs w:val="16"/>
                <w:color w:val="auto"/>
              </w:rPr>
            </w:pPr>
          </w:p>
        </w:tc>
      </w:tr>
      <w:tr>
        <w:trPr>
          <w:trHeight w:val="194"/>
        </w:trPr>
        <w:tc>
          <w:tcPr>
            <w:tcW w:w="412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2,716,230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772,089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3,488,319</w:t>
            </w:r>
          </w:p>
        </w:tc>
        <w:tc>
          <w:tcPr>
            <w:tcW w:w="80" w:type="dxa"/>
            <w:vAlign w:val="bottom"/>
          </w:tcPr>
          <w:p>
            <w:pPr>
              <w:spacing w:after="0"/>
              <w:rPr>
                <w:sz w:val="16"/>
                <w:szCs w:val="16"/>
                <w:color w:val="auto"/>
              </w:rPr>
            </w:pPr>
          </w:p>
        </w:tc>
      </w:tr>
      <w:tr>
        <w:trPr>
          <w:trHeight w:val="194"/>
        </w:trPr>
        <w:tc>
          <w:tcPr>
            <w:tcW w:w="412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57,304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89,589</w:t>
            </w:r>
          </w:p>
        </w:tc>
        <w:tc>
          <w:tcPr>
            <w:tcW w:w="80" w:type="dxa"/>
            <w:vAlign w:val="bottom"/>
            <w:shd w:val="clear" w:color="auto" w:fill="CFF0FC"/>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139,692</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331,820</w:t>
            </w:r>
          </w:p>
        </w:tc>
        <w:tc>
          <w:tcPr>
            <w:tcW w:w="80" w:type="dxa"/>
            <w:vAlign w:val="bottom"/>
          </w:tcPr>
          <w:p>
            <w:pPr>
              <w:spacing w:after="0"/>
              <w:rPr>
                <w:sz w:val="16"/>
                <w:szCs w:val="16"/>
                <w:color w:val="auto"/>
              </w:rPr>
            </w:pPr>
          </w:p>
        </w:tc>
      </w:tr>
    </w:tbl>
    <w:p>
      <w:pPr>
        <w:spacing w:after="0" w:line="165" w:lineRule="exact"/>
        <w:rPr>
          <w:sz w:val="20"/>
          <w:szCs w:val="20"/>
          <w:color w:val="auto"/>
        </w:rPr>
      </w:pPr>
    </w:p>
    <w:p>
      <w:pPr>
        <w:ind w:left="980" w:hanging="349"/>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depreciation and amortization expense that relates to revenue-generating assets</w:t>
      </w:r>
    </w:p>
    <w:p>
      <w:pPr>
        <w:spacing w:after="0" w:line="24" w:lineRule="exact"/>
        <w:rPr>
          <w:rFonts w:ascii="Times New Roman" w:cs="Times New Roman" w:eastAsia="Times New Roman" w:hAnsi="Times New Roman"/>
          <w:sz w:val="14"/>
          <w:szCs w:val="14"/>
          <w:color w:val="auto"/>
        </w:rPr>
      </w:pPr>
    </w:p>
    <w:p>
      <w:pPr>
        <w:ind w:left="980" w:hanging="349"/>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inclusive of any depreciation and amortization expense recorded in cost of goods and services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reconciliation:</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180,543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184,193</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350,629</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331,820</w:t>
            </w:r>
          </w:p>
        </w:tc>
        <w:tc>
          <w:tcPr>
            <w:tcW w:w="80" w:type="dxa"/>
            <w:vAlign w:val="bottom"/>
          </w:tcPr>
          <w:p>
            <w:pPr>
              <w:spacing w:after="0"/>
              <w:rPr>
                <w:sz w:val="16"/>
                <w:szCs w:val="16"/>
                <w:color w:val="auto"/>
              </w:rPr>
            </w:pPr>
          </w:p>
        </w:tc>
      </w:tr>
      <w:tr>
        <w:trPr>
          <w:trHeight w:val="17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not allocated at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68,058</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54,372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181,155</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100,099</w:t>
            </w:r>
          </w:p>
        </w:tc>
        <w:tc>
          <w:tcPr>
            <w:tcW w:w="80" w:type="dxa"/>
            <w:vAlign w:val="bottom"/>
            <w:shd w:val="clear" w:color="auto" w:fill="CFF0FC"/>
          </w:tcPr>
          <w:p>
            <w:pPr>
              <w:spacing w:after="0"/>
              <w:rPr>
                <w:sz w:val="14"/>
                <w:szCs w:val="14"/>
                <w:color w:val="auto"/>
              </w:rPr>
            </w:pPr>
          </w:p>
        </w:tc>
      </w:tr>
      <w:tr>
        <w:trPr>
          <w:trHeight w:val="198"/>
        </w:trPr>
        <w:tc>
          <w:tcPr>
            <w:tcW w:w="4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segment level</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50,071</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98,993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100,550</w:t>
            </w:r>
          </w:p>
        </w:tc>
        <w:tc>
          <w:tcPr>
            <w:tcW w:w="80" w:type="dxa"/>
            <w:vAlign w:val="bottom"/>
          </w:tcPr>
          <w:p>
            <w:pPr>
              <w:spacing w:after="0"/>
              <w:rPr>
                <w:sz w:val="16"/>
                <w:szCs w:val="16"/>
                <w:color w:val="auto"/>
              </w:rPr>
            </w:pPr>
          </w:p>
        </w:tc>
      </w:tr>
      <w:tr>
        <w:trPr>
          <w:trHeight w:val="18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62,414</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79,616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70,481</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131,171</w:t>
            </w:r>
          </w:p>
        </w:tc>
        <w:tc>
          <w:tcPr>
            <w:tcW w:w="80" w:type="dxa"/>
            <w:vAlign w:val="bottom"/>
            <w:shd w:val="clear" w:color="auto" w:fill="CFF0FC"/>
          </w:tcPr>
          <w:p>
            <w:pPr>
              <w:spacing w:after="0"/>
              <w:rPr>
                <w:sz w:val="16"/>
                <w:szCs w:val="16"/>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52,439</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79,684</w:t>
            </w: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117,459</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157,861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(59,704 )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(26,690 )</w:t>
            </w: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-149860</wp:posOffset>
            </wp:positionV>
            <wp:extent cx="546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-149860</wp:posOffset>
            </wp:positionV>
            <wp:extent cx="4762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-149860</wp:posOffset>
            </wp:positionV>
            <wp:extent cx="4762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15. Common Stock, Preferred Stock, and Share-Based Compensation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Common Stock and Preferred Stock</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approved a 15.7027-for-one stock split of the Company’s common stock on January 24, 2024. The stock split became effective on January 25, 2024. The par value per share of the Company’s common stock remained unchanged at $0.01 per share, and the authorized shares of the Company’s common stock was increased from 8,750,000 to 137,398,625. Upon completion of the IPO Offerings in January 2024, the Company's Board of Directors approved an amendment to our articles of incorporation to authorize 1,500,000,000 and 250,000,000 shares of common stock and preferred stock, respectively, each with a par value of $0.01 per share.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Share-Based Compensation</w:t>
      </w:r>
    </w:p>
    <w:p>
      <w:pPr>
        <w:spacing w:after="0" w:line="99" w:lineRule="exact"/>
        <w:rPr>
          <w:sz w:val="20"/>
          <w:szCs w:val="20"/>
          <w:color w:val="auto"/>
        </w:rPr>
      </w:pPr>
    </w:p>
    <w:p>
      <w:pPr>
        <w:jc w:val="both"/>
        <w:ind w:left="640" w:right="839"/>
        <w:spacing w:after="0" w:line="265" w:lineRule="auto"/>
        <w:rPr>
          <w:sz w:val="20"/>
          <w:szCs w:val="20"/>
          <w:color w:val="auto"/>
        </w:rPr>
      </w:pPr>
      <w:r>
        <w:rPr>
          <w:rFonts w:ascii="Times New Roman" w:cs="Times New Roman" w:eastAsia="Times New Roman" w:hAnsi="Times New Roman"/>
          <w:sz w:val="14"/>
          <w:szCs w:val="14"/>
          <w:color w:val="auto"/>
        </w:rPr>
        <w:t>Upon completion of the IPO and included in the results for the three and six months ended June 30, 2024, the Company recognized $13.3 million and $21.4 million of costs related to new equity awards granted to management and certain other full-time employees under the 2024 Equity Incentive Plan. Additionally, the performance condition was satisfied for the Tier I and Tier II performance-vesting options under the 2017 Stock Plan upon completion of the IPO which resulted in $15.0 million of previously unrecognized share-based compensation expense being recognized in the six months ended June 30,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2023 (our “Form 10-K”). Factors that could cause or contribute to such difference are not limited to those identified in “Risk Factors.” When used in the following discussion, “Senior” patients and populations mean individuals who are aged 65 and older, “Specialty” patients and populations mean individuals who have unique, specialized and most often chronic/life-long health conditions and needs, and “Behavioral” patients and populations mean individuals with intellectual and developmental disabilities including mental illness.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400,000 patients daily through over 10,000 clinical providers and pharmacists, and our services make a profound impact in the lives and communities of the people we serve.</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For additional overview of our business, see “PART I - Item 1. Business” of our Form 10-K.</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Second Quarter of 2024 Key Highlights</w:t>
      </w:r>
    </w:p>
    <w:p>
      <w:pPr>
        <w:spacing w:after="0" w:line="97" w:lineRule="exact"/>
        <w:rPr>
          <w:sz w:val="20"/>
          <w:szCs w:val="20"/>
          <w:color w:val="auto"/>
        </w:rPr>
      </w:pPr>
    </w:p>
    <w:p>
      <w:pPr>
        <w:ind w:left="1340" w:hanging="35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Completed three acquisitions within our Pharmacy Solutions and Provider Services segments</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7.7 million restricted stock units granted to certain full-time employees, as disclosed in connection with our IPO Offerings</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Second Quarter of 2024 Compared to Second Quarter of 2023</w:t>
      </w:r>
    </w:p>
    <w:p>
      <w:pPr>
        <w:spacing w:after="0" w:line="97" w:lineRule="exact"/>
        <w:rPr>
          <w:sz w:val="20"/>
          <w:szCs w:val="20"/>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$563.5 million, or 26.0% to $2.7 billion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$517.7 million, or 32.4%, to $2.1 billion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$45.8 million, or 8.0%, to $615.7 million</w:t>
      </w:r>
    </w:p>
    <w:p>
      <w:pPr>
        <w:spacing w:after="0" w:line="97" w:lineRule="exact"/>
        <w:rPr>
          <w:rFonts w:ascii="Times New Roman" w:cs="Times New Roman" w:eastAsia="Times New Roman" w:hAnsi="Times New Roman"/>
          <w:sz w:val="14"/>
          <w:szCs w:val="14"/>
          <w:color w:val="auto"/>
        </w:rPr>
      </w:pPr>
    </w:p>
    <w:p>
      <w:pPr>
        <w:ind w:left="1340" w:right="799" w:hanging="359"/>
        <w:spacing w:after="0" w:line="296" w:lineRule="auto"/>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Net income increased by $15.9 million to $19.9 million; when excluding the approximately $30 million quality incentive payment </w:t>
      </w:r>
      <w:r>
        <w:rPr>
          <w:rFonts w:ascii="Times New Roman" w:cs="Times New Roman" w:eastAsia="Times New Roman" w:hAnsi="Times New Roman"/>
          <w:sz w:val="14"/>
          <w:szCs w:val="14"/>
          <w:color w:val="auto"/>
        </w:rPr>
        <w:t>(“QIP”)</w:t>
      </w:r>
      <w:r>
        <w:rPr>
          <w:rFonts w:ascii="Times New Roman" w:cs="Times New Roman" w:eastAsia="Times New Roman" w:hAnsi="Times New Roman"/>
          <w:sz w:val="14"/>
          <w:szCs w:val="14"/>
          <w:i w:val="1"/>
          <w:iCs w:val="1"/>
          <w:color w:val="auto"/>
        </w:rPr>
        <w:t xml:space="preserve"> received in the second fiscal quarter of 2023, net income increased by $46.8 million</w:t>
      </w:r>
    </w:p>
    <w:p>
      <w:pPr>
        <w:spacing w:after="0" w:line="38" w:lineRule="exact"/>
        <w:rPr>
          <w:rFonts w:ascii="Times New Roman" w:cs="Times New Roman" w:eastAsia="Times New Roman" w:hAnsi="Times New Roman"/>
          <w:sz w:val="14"/>
          <w:szCs w:val="14"/>
          <w:color w:val="auto"/>
        </w:rPr>
      </w:pPr>
    </w:p>
    <w:p>
      <w:pPr>
        <w:ind w:left="1340" w:right="1079" w:hanging="359"/>
        <w:spacing w:after="0" w:line="238" w:lineRule="auto"/>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decreased by $10.3 million, or 6.9%, to $139.1 million; when excluding the approximately $30 million </w:t>
      </w:r>
      <w:r>
        <w:rPr>
          <w:rFonts w:ascii="Times New Roman" w:cs="Times New Roman" w:eastAsia="Times New Roman" w:hAnsi="Times New Roman"/>
          <w:sz w:val="14"/>
          <w:szCs w:val="14"/>
          <w:color w:val="auto"/>
        </w:rPr>
        <w:t>QIP received in the second fiscal quarter of</w:t>
      </w:r>
      <w:r>
        <w:rPr>
          <w:rFonts w:ascii="Times New Roman" w:cs="Times New Roman" w:eastAsia="Times New Roman" w:hAnsi="Times New Roman"/>
          <w:sz w:val="14"/>
          <w:szCs w:val="14"/>
          <w:i w:val="1"/>
          <w:iCs w:val="1"/>
          <w:color w:val="auto"/>
        </w:rPr>
        <w:t xml:space="preserve"> 2023, Adjusted EBITDA increased by $19.9 million, or 16.7%</w:t>
      </w:r>
    </w:p>
    <w:p>
      <w:pPr>
        <w:spacing w:after="0" w:line="70" w:lineRule="exact"/>
        <w:rPr>
          <w:rFonts w:ascii="Times New Roman" w:cs="Times New Roman" w:eastAsia="Times New Roman" w:hAnsi="Times New Roman"/>
          <w:sz w:val="14"/>
          <w:szCs w:val="14"/>
          <w:color w:val="auto"/>
        </w:rPr>
      </w:pPr>
    </w:p>
    <w:p>
      <w:pPr>
        <w:ind w:left="1340" w:right="1039" w:hanging="359"/>
        <w:spacing w:after="0" w:line="276" w:lineRule="auto"/>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decreased by $15.3 million, or 13.9%, to $94.5 million; when excluding the approximately $30 million QIP received in the second fiscal quarter of 2023, Pharmacy Solutions segment EBITDA increased by $14.9 million, or 18.7%</w:t>
      </w:r>
    </w:p>
    <w:p>
      <w:pPr>
        <w:spacing w:after="0" w:line="4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$11.7 million, or 15.7%, to $86.0 million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Income per share increased by $0.07 from $0.03 to $0.10</w:t>
      </w:r>
    </w:p>
    <w:p>
      <w:pPr>
        <w:spacing w:after="0" w:line="102"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EPS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was $0.10</w:t>
      </w:r>
    </w:p>
    <w:p>
      <w:pPr>
        <w:spacing w:after="0" w:line="241" w:lineRule="exact"/>
        <w:rPr>
          <w:rFonts w:ascii="Times New Roman" w:cs="Times New Roman" w:eastAsia="Times New Roman" w:hAnsi="Times New Roman"/>
          <w:sz w:val="14"/>
          <w:szCs w:val="14"/>
          <w:color w:val="auto"/>
        </w:rPr>
      </w:pPr>
    </w:p>
    <w:p>
      <w:pPr>
        <w:ind w:left="640" w:right="819" w:hanging="9"/>
        <w:spacing w:after="0" w:line="226" w:lineRule="auto"/>
        <w:tabs>
          <w:tab w:leader="none" w:pos="788"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74"/>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w w:val="99"/>
              </w:rPr>
              <w:t>Revenue</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77.4 %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73.7 %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77.1 %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22.6 %</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26.3 %   1,215.3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22.9 %   1,131.3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23"/>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-395605</wp:posOffset>
            </wp:positionV>
            <wp:extent cx="4919345" cy="1231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859" w:firstLine="351"/>
        <w:spacing w:after="0" w:line="268"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12% of total Company revenue for the three and six months ended June 30, 2024, compared to 15% and 14% for the three and six months ended June 30, 2023, respectively.</w:t>
      </w:r>
    </w:p>
    <w:p>
      <w:pPr>
        <w:spacing w:after="0" w:line="56"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We provide our services across all 50 states, Puerto Rico and Canada, with our top 10 states of operations comprising 52% and 45% of total Company revenues for the three and six months ended June 30, 2024, respectively, compared to 53% and 46% for the three and six months ended June 30, 2023, respectively. The federal, state, and local programs under which we operate are subject to legislative and budgetary changes that can influence reimbursement rates.</w:t>
      </w:r>
    </w:p>
    <w:p>
      <w:pPr>
        <w:spacing w:after="0" w:line="56" w:lineRule="exact"/>
        <w:rPr>
          <w:sz w:val="20"/>
          <w:szCs w:val="20"/>
          <w:color w:val="auto"/>
        </w:rPr>
      </w:pPr>
    </w:p>
    <w:p>
      <w:pPr>
        <w:ind w:left="640" w:right="8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17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2024</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8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Medicaid</w:t>
            </w:r>
          </w:p>
        </w:tc>
        <w:tc>
          <w:tcPr>
            <w:tcW w:w="180" w:type="dxa"/>
            <w:vAlign w:val="bottom"/>
            <w:vMerge w:val="restart"/>
          </w:tcPr>
          <w:p>
            <w:pPr>
              <w:spacing w:after="0"/>
              <w:rPr>
                <w:sz w:val="8"/>
                <w:szCs w:val="8"/>
                <w:color w:val="auto"/>
              </w:rPr>
            </w:pP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68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8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5.1 %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0.6 %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13.8 %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19.1 %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58.0 %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2.2 %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4.7 %</w:t>
            </w:r>
          </w:p>
        </w:tc>
        <w:tc>
          <w:tcPr>
            <w:tcW w:w="76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0.0 %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9.1 %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0.9 %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19.4 %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20.9 %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4.7 %</w:t>
            </w:r>
          </w:p>
        </w:tc>
        <w:tc>
          <w:tcPr>
            <w:tcW w:w="760" w:type="dxa"/>
            <w:vAlign w:val="bottom"/>
            <w:gridSpan w:val="2"/>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0.6 %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28.2 %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1.9 %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77.4 %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2.5 %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3.9 %</w:t>
            </w:r>
          </w:p>
        </w:tc>
        <w:tc>
          <w:tcPr>
            <w:tcW w:w="76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0.3 %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0.0 %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1.3 %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9.8 %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0.0 %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2.0 %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13.3 %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1.8 %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12.3 %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3.9 %</w:t>
            </w:r>
          </w:p>
        </w:tc>
        <w:tc>
          <w:tcPr>
            <w:tcW w:w="760" w:type="dxa"/>
            <w:vAlign w:val="bottom"/>
            <w:gridSpan w:val="2"/>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0.3 %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0.0 %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3.3 %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22.6 %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22.7 %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19.6 %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8.6 %</w:t>
            </w:r>
          </w:p>
        </w:tc>
        <w:tc>
          <w:tcPr>
            <w:tcW w:w="760" w:type="dxa"/>
            <w:vAlign w:val="bottom"/>
            <w:gridSpan w:val="2"/>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0.9 %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14.8 %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28.2 %</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5.2 %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7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For the Three Months Ended June 30, 2023</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88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80" w:type="dxa"/>
            <w:vAlign w:val="bottom"/>
            <w:vMerge w:val="restart"/>
          </w:tcPr>
          <w:p>
            <w:pPr>
              <w:spacing w:after="0"/>
              <w:rPr>
                <w:sz w:val="8"/>
                <w:szCs w:val="8"/>
                <w:color w:val="auto"/>
              </w:rPr>
            </w:pPr>
          </w:p>
        </w:tc>
        <w:tc>
          <w:tcPr>
            <w:tcW w:w="76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6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8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80" w:type="dxa"/>
            <w:vAlign w:val="bottom"/>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17.1 %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color w:val="auto"/>
              </w:rPr>
              <w:t>0.7 %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17.5 %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10.9 %</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1.0 %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52.3 %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76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color w:val="auto"/>
              </w:rPr>
              <w:t>0.0 %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10.4 %</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1.0 %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21.4 %</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18.5 %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7.6 %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6.1 %</w:t>
            </w:r>
          </w:p>
        </w:tc>
        <w:tc>
          <w:tcPr>
            <w:tcW w:w="760" w:type="dxa"/>
            <w:vAlign w:val="bottom"/>
            <w:gridSpan w:val="2"/>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0.7 %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17.5 %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21.3 %</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2.0 %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73.7 %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0.4 %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76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color w:val="auto"/>
              </w:rPr>
              <w:t>0.2 %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0.7 %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1.4 %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10.4 %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12.0 %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color w:val="auto"/>
              </w:rPr>
              <w:t>0.0 %</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0.0 %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2.5 %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15.9 %</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1.8 %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15.1 %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4.6 %</w:t>
            </w:r>
          </w:p>
        </w:tc>
        <w:tc>
          <w:tcPr>
            <w:tcW w:w="760" w:type="dxa"/>
            <w:vAlign w:val="bottom"/>
            <w:gridSpan w:val="2"/>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0.2 %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0.7 %</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3.9 %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26.3 %</w:t>
            </w:r>
          </w:p>
        </w:tc>
        <w:tc>
          <w:tcPr>
            <w:tcW w:w="0" w:type="dxa"/>
            <w:vAlign w:val="bottom"/>
          </w:tcPr>
          <w:p>
            <w:pPr>
              <w:spacing w:after="0"/>
              <w:rPr>
                <w:sz w:val="1"/>
                <w:szCs w:val="1"/>
                <w:color w:val="auto"/>
              </w:rPr>
            </w:pP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22.7 %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10.7 %</w:t>
            </w:r>
          </w:p>
        </w:tc>
        <w:tc>
          <w:tcPr>
            <w:tcW w:w="760" w:type="dxa"/>
            <w:vAlign w:val="bottom"/>
            <w:gridSpan w:val="2"/>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0.9 %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18.2 %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21.3 %</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5.9 %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-1714500</wp:posOffset>
            </wp:positionV>
            <wp:extent cx="4919345" cy="889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-1529715</wp:posOffset>
            </wp:positionV>
            <wp:extent cx="4919345" cy="889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-1351915</wp:posOffset>
            </wp:positionV>
            <wp:extent cx="4919345" cy="95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-1160780</wp:posOffset>
            </wp:positionV>
            <wp:extent cx="4919345" cy="1092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19345" cy="10922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-662305</wp:posOffset>
            </wp:positionV>
            <wp:extent cx="4919345" cy="889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-477520</wp:posOffset>
            </wp:positionV>
            <wp:extent cx="4919345" cy="889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-299720</wp:posOffset>
            </wp:positionV>
            <wp:extent cx="4919345" cy="958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-108585</wp:posOffset>
            </wp:positionV>
            <wp:extent cx="4919345" cy="1092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19345" cy="109220"/>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7" w:name="page28"/>
    <w:bookmarkEnd w:id="27"/>
    <w:tbl>
      <w:tblPr>
        <w:tblLayout w:type="fixed"/>
        <w:tblInd w:w="640" w:type="dxa"/>
        <w:tblCellMar>
          <w:top w:w="0" w:type="dxa"/>
          <w:left w:w="0" w:type="dxa"/>
          <w:bottom w:w="0" w:type="dxa"/>
          <w:right w:w="0" w:type="dxa"/>
        </w:tblCellMar>
      </w:tblPr>
      <w:tr>
        <w:trPr>
          <w:trHeight w:val="148"/>
        </w:trPr>
        <w:tc>
          <w:tcPr>
            <w:tcW w:w="17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60" w:type="dxa"/>
            <w:vAlign w:val="bottom"/>
            <w:vMerge w:val="restart"/>
          </w:tcPr>
          <w:p>
            <w:pPr>
              <w:spacing w:after="0"/>
              <w:rPr>
                <w:sz w:val="8"/>
                <w:szCs w:val="8"/>
                <w:color w:val="auto"/>
              </w:rPr>
            </w:pP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82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2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0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6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17.8 %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5.1 %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0.6 %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13.5 %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19.7 %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0.8 %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57.5 %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2.2 %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0.0 %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9.1 %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1.1 %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19.6 %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0.6 %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13.5 %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28.8 %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1.9 %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77.1 %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2.6 %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4.0 %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0.3 %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0.9 %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1.3 %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9.4 %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10.0 %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0.0 %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0.0 %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2.0 %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13.5 %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1.8 %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12.6 %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0.3 %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0.9 %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0.0 %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3.3 %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22.9 %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22.0 %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19.9 %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8.8 %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0.9 %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14.4 %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28.8 %</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5.2 %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7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2023</w:t>
            </w: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60" w:type="dxa"/>
            <w:vAlign w:val="bottom"/>
            <w:vMerge w:val="restart"/>
          </w:tcPr>
          <w:p>
            <w:pPr>
              <w:spacing w:after="0"/>
              <w:rPr>
                <w:sz w:val="8"/>
                <w:szCs w:val="8"/>
                <w:color w:val="auto"/>
              </w:rPr>
            </w:pP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820" w:type="dxa"/>
            <w:vAlign w:val="bottom"/>
            <w:gridSpan w:val="2"/>
          </w:tcPr>
          <w:p>
            <w:pPr>
              <w:jc w:val="center"/>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2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0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6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200" w:type="dxa"/>
            <w:vAlign w:val="bottom"/>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16.8 %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4.9 %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0.6 %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13.7 %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14.2 %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1.1 %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51.3 %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2.5 %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6.5 %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10.4 %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1.0 %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21.7 %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18.1 %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7.4 %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6.5 %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0.6 %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13.7 %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24.6 %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2.1 %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73.0 %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3.2 %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4.8 %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0.3 %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0.7 %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1.4 %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10.8 %</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12.2 %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0.0 %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2.6 %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1.8 %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15.4 %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0.3 %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0.7 %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4.0 %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27.0 %</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6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19.9 %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22.8 %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11.3 %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0.9 %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14.4 %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24.6 %</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6.1 %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-1700530</wp:posOffset>
            </wp:positionV>
            <wp:extent cx="4919345" cy="889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-1516380</wp:posOffset>
            </wp:positionV>
            <wp:extent cx="4919345" cy="889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-1338580</wp:posOffset>
            </wp:positionV>
            <wp:extent cx="4919345" cy="95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-1147445</wp:posOffset>
            </wp:positionV>
            <wp:extent cx="4919345" cy="1092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19345" cy="10922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-662305</wp:posOffset>
            </wp:positionV>
            <wp:extent cx="4919345" cy="889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-477520</wp:posOffset>
            </wp:positionV>
            <wp:extent cx="4919345" cy="889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-299720</wp:posOffset>
            </wp:positionV>
            <wp:extent cx="4919345" cy="958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-108585</wp:posOffset>
            </wp:positionV>
            <wp:extent cx="4919345" cy="1092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19345" cy="109220"/>
                    </a:xfrm>
                    <a:prstGeom prst="rect">
                      <a:avLst/>
                    </a:prstGeom>
                    <a:noFill/>
                  </pic:spPr>
                </pic:pic>
              </a:graphicData>
            </a:graphic>
          </wp:anchor>
        </w:drawing>
      </w:r>
    </w:p>
    <w:p>
      <w:pPr>
        <w:spacing w:after="0" w:line="137" w:lineRule="exact"/>
        <w:rPr>
          <w:sz w:val="20"/>
          <w:szCs w:val="20"/>
          <w:color w:val="auto"/>
        </w:rPr>
      </w:pPr>
    </w:p>
    <w:p>
      <w:pPr>
        <w:jc w:val="both"/>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See Note 2 of the unaudited condensed consolidated financial statements and related notes in this Quarterly Report on Form 10-Q for more information regarding revenue by payor type for each reportable segment for the three and six months ended June 30, 2024 and 2023.</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Pharmacy Solutions Patient Populations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Overall, our pharmacy has grown patient census and prescriptions by 10% and 9%, respectively, in the second fiscal quarter of 2024 compared to the second fiscal quarter of 2023. We are a leading independent pharmacy provider in our respective pharmacy patient markets, and we expect to continue to increase our share, including home infusion patients, specialty oncology patients, behavioral patients, in-home Seniors, and hospice patients.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spacing w:after="0" w:line="58"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Over the past five years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28" w:name="page29"/>
    <w:bookmarkEnd w:id="28"/>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230"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 and growth. The Company’s geographic and operations scale, and platform of complementary segments and service lines, provides us with access to more de novo opportunities to consider and prioritize.</w:t>
      </w:r>
    </w:p>
    <w:p>
      <w:pPr>
        <w:spacing w:after="0" w:line="56" w:lineRule="exact"/>
        <w:rPr>
          <w:sz w:val="20"/>
          <w:szCs w:val="20"/>
          <w:color w:val="auto"/>
        </w:rPr>
      </w:pPr>
    </w:p>
    <w:p>
      <w:pPr>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the second fiscal quarter of 2024, we opened four de novo offices (branches/agencies) and clinics in new locations across our pharmacy and provider services. 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and we believe de novo investments facilitate more integrated care capability and are a meaningful organic growth driver for the Company.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6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20,000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CCRx is aimed at providing medication risk and therapy management continuously and longitudinally post discharge from hospitals and skilled nursing customers. Within the provider services, patients often transition from home health to hospice services and can receive therapy and supportive care services concurrent with each other and with home health and hospice.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9" w:name="page30"/>
    <w:bookmarkEnd w:id="29"/>
    <w:p>
      <w:pPr>
        <w:ind w:left="640" w:right="799"/>
        <w:spacing w:after="0" w:line="264" w:lineRule="auto"/>
        <w:rPr>
          <w:sz w:val="20"/>
          <w:szCs w:val="20"/>
          <w:color w:val="auto"/>
        </w:rPr>
      </w:pPr>
      <w:r>
        <w:rPr>
          <w:rFonts w:ascii="Times New Roman" w:cs="Times New Roman" w:eastAsia="Times New Roman" w:hAnsi="Times New Roman"/>
          <w:sz w:val="14"/>
          <w:szCs w:val="14"/>
          <w:color w:val="auto"/>
        </w:rPr>
        <w:t>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several accountable care organization (“ACO”) arrangements to participate in shared savings from its attributed primary care patients and other ACO partnerships and contract as a preferred provider.</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On January 30, 2024, we completed our initial public offering (“IPO”) of 53,333,334 shares of common stock at a price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$13.00 per share and a concurrent offering of 8,000,000 6.75% tangible equity units (“TEUs”) with a stated amount of $50.00 per unit</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(collectively, the “IPO Offerings”). The net proceeds from the IPO Offerings amounted to $656.5 million and $389.0 million for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common stock and TEUs, respectively, after deducting underwriting discounts, commissions, and offering-related expenses.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shares of common stock and TEUs began trading on the Nasdaq Global Select Market on January 26, 2024 under the ticker symbols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“BTSG” and “BTSGU,” respectively.</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used the proceeds received from the IPO Offerings (i) to repay all indebtedness outstanding under the Second Lien Facility,</w:t>
      </w:r>
    </w:p>
    <w:p>
      <w:pPr>
        <w:spacing w:after="0" w:line="25" w:lineRule="exact"/>
        <w:rPr>
          <w:sz w:val="20"/>
          <w:szCs w:val="20"/>
          <w:color w:val="auto"/>
        </w:rPr>
      </w:pPr>
    </w:p>
    <w:p>
      <w:pPr>
        <w:ind w:left="640" w:right="639" w:hanging="9"/>
        <w:spacing w:after="0" w:line="260" w:lineRule="auto"/>
        <w:tabs>
          <w:tab w:leader="none" w:pos="85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repay all indebtedness outstanding under the Revolving Credit Facility, (iii) to repay $343.3 million outstanding aggregate amount under the First Lien Facility, and (iv) to pay certain expenses in the offering. We intend to use the remaining proceeds for general corporate purposes. Additionally, we will pay $22.7 million of termination fees in connection with the termination of our monitoring agreement with our controlling stockholders, Kohlberg Kravis Roberts &amp; Co. L.P. (“KKR”) and Walgreens Boots Alliance, Inc. (together with KKR, the “Managers”) (the “Monitoring Agreement”).</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New Equity Awards</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We granted approximately $63.3 million in non-cash share-based compensation with respect to equity awards to our management and certain other full-time employees in January 2024 at the time of the IPO Offerings. Additionally, as previously disclosed in connection with the IPO, we granted approximately $100.0 million in non-cash share-based compensation with respect to equity awards, which equates to approximately 7.7 million restricted stock units, to certain full-time employees in the second quarter of fiscal year 2024.</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Factors Affecting Results of Operations and Comparability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Quality Incentive Payment</w:t>
      </w:r>
    </w:p>
    <w:p>
      <w:pPr>
        <w:spacing w:after="0" w:line="187"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As discussed under Part I, Item 1. “Business” in our Annual Report on Form 10-K for the year ended December 31, 2023, the Company was eligible to receive incentive payments in connection with a payor contract based on the Company's Net Promoter Score (“NPS”) achieved from surveys performed directly by the payor. During the second fiscal quarter of 2023, our Infusion and Specialty Pharmacy services earned a QIP of approximately $30 million. The Company did not receive a QIP during the three and six months ended June 30, 2024. The QIP program has reached its conclusion.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Costs and Settlements Accrual</w:t>
      </w:r>
    </w:p>
    <w:p>
      <w:pPr>
        <w:spacing w:after="0" w:line="101" w:lineRule="exact"/>
        <w:rPr>
          <w:sz w:val="20"/>
          <w:szCs w:val="20"/>
          <w:color w:val="auto"/>
        </w:rPr>
      </w:pPr>
    </w:p>
    <w:p>
      <w:pPr>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In November 2023, the Company agreed to settle the Silver matter without admitting liability, as discussed under Part I, Item 3. “Legal Proceedings” in our Annual Report on Form 10-K for the year ended December 31, 2023. On May 29, 2024, the parties entered into a final settlement agreement, which was approved by both the United States Department of Justice and the District Court. The total financial impact of the settlement is $120.0 million. The District Court entered an order dismissing the Silver action in its entirety, with prejudice, on July 3, 2024. See Note 10 “Commitments and Contingencies” within the unaudited condensed consolidated financial statements and related notes, included elsewhere in this Quarterly Report on Form 10-Q.</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Update on the Impact of the COVID-19 Pandemic</w:t>
      </w:r>
    </w:p>
    <w:p>
      <w:pPr>
        <w:spacing w:after="0" w:line="101" w:lineRule="exact"/>
        <w:rPr>
          <w:sz w:val="20"/>
          <w:szCs w:val="20"/>
          <w:color w:val="auto"/>
        </w:rPr>
      </w:pPr>
    </w:p>
    <w:p>
      <w:pPr>
        <w:ind w:left="640" w:right="699" w:firstLine="516"/>
        <w:spacing w:after="0" w:line="262" w:lineRule="auto"/>
        <w:rPr>
          <w:sz w:val="20"/>
          <w:szCs w:val="20"/>
          <w:color w:val="auto"/>
        </w:rPr>
      </w:pPr>
      <w:r>
        <w:rPr>
          <w:rFonts w:ascii="Times New Roman" w:cs="Times New Roman" w:eastAsia="Times New Roman" w:hAnsi="Times New Roman"/>
          <w:sz w:val="14"/>
          <w:szCs w:val="14"/>
          <w:color w:val="auto"/>
        </w:rPr>
        <w:t>On May 11, 2023, the Department of Health and Human Services declared the COVID-19 pandemic is no longer a public health emergency. New variants could affect our operations for an extended period; however, at this time we cannot confidently forecast the duration or the ultimate financial impact on our operations, should such an impact occur. In the three and six months ended June 30, 2024 and the three months ended June 30, 2023, the Company received no funds from the Provider Relief Fund (“PRF”) and recognized no income related to the program. The Company received and recognized into income $18.8 million from the PRF for the six months ended June 30, 2023. The income recognized was offset directly by the expenses incurred within selling, general, and administrative expenses in our unaudited condensed consolidated statement of operations, which resulted in no net financial impact to the Company.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3" w:lineRule="exact"/>
        <w:rPr>
          <w:sz w:val="20"/>
          <w:szCs w:val="20"/>
          <w:color w:val="auto"/>
        </w:rPr>
      </w:pPr>
    </w:p>
    <w:p>
      <w:pPr>
        <w:ind w:left="640" w:right="73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55"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55" w:lineRule="exact"/>
        <w:rPr>
          <w:sz w:val="20"/>
          <w:szCs w:val="20"/>
          <w:color w:val="auto"/>
        </w:rPr>
      </w:pPr>
    </w:p>
    <w:p>
      <w:pPr>
        <w:ind w:left="640" w:right="79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55" w:lineRule="exact"/>
        <w:rPr>
          <w:sz w:val="20"/>
          <w:szCs w:val="20"/>
          <w:color w:val="auto"/>
        </w:rPr>
      </w:pPr>
    </w:p>
    <w:p>
      <w:pPr>
        <w:ind w:left="640" w:right="75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Loss on Extinguishment of Debt. </w:t>
      </w:r>
      <w:r>
        <w:rPr>
          <w:rFonts w:ascii="Times New Roman" w:cs="Times New Roman" w:eastAsia="Times New Roman" w:hAnsi="Times New Roman"/>
          <w:sz w:val="14"/>
          <w:szCs w:val="14"/>
          <w:color w:val="auto"/>
        </w:rPr>
        <w:t>Loss on extinguishment of debt reflects the write-off of unamortized debt issuance costs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early repayment of our Second Lien Facility.</w:t>
      </w:r>
    </w:p>
    <w:p>
      <w:pPr>
        <w:spacing w:after="0" w:line="33" w:lineRule="exact"/>
        <w:rPr>
          <w:sz w:val="20"/>
          <w:szCs w:val="20"/>
          <w:color w:val="auto"/>
        </w:rPr>
      </w:pPr>
    </w:p>
    <w:p>
      <w:pPr>
        <w:ind w:left="640" w:right="8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the debt service costs associated with our various debt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First Lien Facilities and Second Lien Facility,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53" w:lineRule="exact"/>
        <w:rPr>
          <w:sz w:val="20"/>
          <w:szCs w:val="20"/>
          <w:color w:val="auto"/>
        </w:rPr>
      </w:pPr>
    </w:p>
    <w:p>
      <w:pPr>
        <w:jc w:val="both"/>
        <w:ind w:left="640" w:right="83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Income Tax Benefit</w:t>
      </w:r>
      <w:r>
        <w:rPr>
          <w:rFonts w:ascii="Times New Roman" w:cs="Times New Roman" w:eastAsia="Times New Roman" w:hAnsi="Times New Roman"/>
          <w:sz w:val="14"/>
          <w:szCs w:val="14"/>
          <w:color w:val="auto"/>
        </w:rPr>
        <w:t>. Our provision for income taxes is based on permanent book/tax differences and statutory tax rates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jurisdictions in which we operate. Significant estimates and judgments are required in determining the provision for income taxes.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2024 Compared to Three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6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120" w:type="dxa"/>
            <w:vAlign w:val="bottom"/>
          </w:tcPr>
          <w:p>
            <w:pPr>
              <w:spacing w:after="0"/>
              <w:rPr>
                <w:sz w:val="16"/>
                <w:szCs w:val="16"/>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1,596,839</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517,652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32.4 %</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569,885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2,730,210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563,486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26.0 %</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1,409,249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372,070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292,454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79,616</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(17,202</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79,684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(27,245 )</w:t>
            </w:r>
          </w:p>
        </w:tc>
        <w:tc>
          <w:tcPr>
            <w:tcW w:w="2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(68 )</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10,043</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(9,466 )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(2,834 )</w:t>
            </w:r>
          </w:p>
        </w:tc>
        <w:tc>
          <w:tcPr>
            <w:tcW w:w="1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(6,632 )</w:t>
            </w:r>
          </w:p>
        </w:tc>
        <w:tc>
          <w:tcPr>
            <w:tcW w:w="280" w:type="dxa"/>
            <w:vAlign w:val="bottom"/>
          </w:tcPr>
          <w:p>
            <w:pPr>
              <w:spacing w:after="0"/>
              <w:rPr>
                <w:sz w:val="16"/>
                <w:szCs w:val="16"/>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16,675</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620" w:type="dxa"/>
            <w:vAlign w:val="bottom"/>
            <w:tcBorders>
              <w:top w:val="single" w:sz="8" w:color="auto"/>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w w:val="96"/>
              </w:rPr>
              <w:t>n.m.</w:t>
            </w: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9"/>
                <w:szCs w:val="19"/>
                <w:color w:val="auto"/>
                <w:vertAlign w:val="superscript"/>
              </w:rPr>
              <w:t>(1)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139,142</w:t>
            </w:r>
          </w:p>
        </w:tc>
        <w:tc>
          <w:tcPr>
            <w:tcW w:w="120" w:type="dxa"/>
            <w:vAlign w:val="bottom"/>
          </w:tcPr>
          <w:p>
            <w:pPr>
              <w:spacing w:after="0"/>
              <w:rPr>
                <w:sz w:val="16"/>
                <w:szCs w:val="16"/>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149,427</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(10,285 )</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-1283970</wp:posOffset>
            </wp:positionV>
            <wp:extent cx="4919345" cy="1231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-1031240</wp:posOffset>
            </wp:positionV>
            <wp:extent cx="4919345" cy="1231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-1543685</wp:posOffset>
            </wp:positionV>
            <wp:extent cx="4919345" cy="1295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-784860</wp:posOffset>
            </wp:positionV>
            <wp:extent cx="4919345" cy="1295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-149860</wp:posOffset>
            </wp:positionV>
            <wp:extent cx="5461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-149860</wp:posOffset>
            </wp:positionV>
            <wp:extent cx="4762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-149860</wp:posOffset>
            </wp:positionV>
            <wp:extent cx="4762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83" w:lineRule="exact"/>
        <w:rPr>
          <w:sz w:val="20"/>
          <w:szCs w:val="20"/>
          <w:color w:val="auto"/>
        </w:rPr>
      </w:pPr>
    </w:p>
    <w:p>
      <w:pPr>
        <w:ind w:left="640" w:right="819" w:hanging="9"/>
        <w:spacing w:after="0" w:line="293" w:lineRule="auto"/>
        <w:tabs>
          <w:tab w:leader="none" w:pos="8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1" w:name="page32"/>
    <w:bookmarkEnd w:id="31"/>
    <w:p>
      <w:pPr>
        <w:ind w:left="640" w:right="859" w:firstLine="351"/>
        <w:spacing w:after="0" w:line="293"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839" w:firstLine="351"/>
        <w:spacing w:after="0" w:line="275" w:lineRule="auto"/>
        <w:rPr>
          <w:sz w:val="20"/>
          <w:szCs w:val="20"/>
          <w:color w:val="auto"/>
        </w:rPr>
      </w:pPr>
      <w:r>
        <w:rPr>
          <w:rFonts w:ascii="Times New Roman" w:cs="Times New Roman" w:eastAsia="Times New Roman" w:hAnsi="Times New Roman"/>
          <w:sz w:val="14"/>
          <w:szCs w:val="14"/>
          <w:color w:val="auto"/>
        </w:rPr>
        <w:t>Revenues were $2,730.2 million for the three months ended June 30, 2024, as compared with $2,166.7 million for the three months ended June 30, 2023, an increase of $563.5 million or 26.0%. The increase resulted from growth in our Pharmacy Solutions and Provider Services segments.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77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$1,931.8 million for the three months ended June 30, 2024, as compared with $1,409.2 million for the three months ended June 30, 2023, an increase of $522.5 million or 37.1%. The increase resulted from an increase in Pharmacy Solutions cost of goods.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7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$409.4 million for the three months ended June 30, 2024, as compared with $385.4 million for the three months ended June 30, 2023, an increase of $24.0 million or 6.2%. The increase resulted from an increase in Provider Services cost of services.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jc w:val="both"/>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were $326.6 million for the three months ended June 30, 2024, as compared with $292.5 million for the three months ended June 30, 2023, an increase of $34.2 million or 11.7%. The increase primarily resulted from the following segment activity and factors:</w:t>
      </w:r>
    </w:p>
    <w:p>
      <w:pPr>
        <w:spacing w:after="0" w:line="49" w:lineRule="exact"/>
        <w:rPr>
          <w:sz w:val="20"/>
          <w:szCs w:val="20"/>
          <w:color w:val="auto"/>
        </w:rPr>
      </w:pPr>
    </w:p>
    <w:p>
      <w:pPr>
        <w:jc w:val="both"/>
        <w:ind w:left="1340" w:right="939" w:hanging="359"/>
        <w:spacing w:after="0" w:line="275"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$15.8 million, or 5.4% growth on consolidated 2023 selling, general, and administrative expenses, as a result of growth in our Pharmacy Solutions and Provider Services segments. See additional discussion in “—Segment Results of Operations” below;</w:t>
      </w:r>
    </w:p>
    <w:p>
      <w:pPr>
        <w:spacing w:after="0" w:line="49" w:lineRule="exact"/>
        <w:rPr>
          <w:rFonts w:ascii="Times New Roman" w:cs="Times New Roman" w:eastAsia="Times New Roman" w:hAnsi="Times New Roman"/>
          <w:sz w:val="14"/>
          <w:szCs w:val="14"/>
          <w:color w:val="auto"/>
        </w:rPr>
      </w:pPr>
    </w:p>
    <w:p>
      <w:pPr>
        <w:ind w:left="1340" w:right="819" w:hanging="359"/>
        <w:spacing w:after="0" w:line="275"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$13.3 million, or 4.5% growth on consolidated 2023 selling, general, and administrative expenses, due to non-cash share-based compensation related to the new equity awards granted to management and certain full-time employees in conjunction with the IPO; and</w:t>
      </w:r>
    </w:p>
    <w:p>
      <w:pPr>
        <w:spacing w:after="0" w:line="49" w:lineRule="exact"/>
        <w:rPr>
          <w:rFonts w:ascii="Times New Roman" w:cs="Times New Roman" w:eastAsia="Times New Roman" w:hAnsi="Times New Roman"/>
          <w:sz w:val="14"/>
          <w:szCs w:val="14"/>
          <w:color w:val="auto"/>
        </w:rPr>
      </w:pPr>
    </w:p>
    <w:p>
      <w:pPr>
        <w:ind w:left="1340" w:right="679" w:hanging="359"/>
        <w:spacing w:after="0" w:line="293"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$5.1 million, or 1.8% growth on consolidated 2023 selling, general, and administrative expenses, as a result of an increase in other operational expenses year-over-year.</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Interest expense, net was $52.4 million for the three months ended June 30, 2024, as compared with $79.7 million for the three months ended June 30, 2023, a decrease of $27.2 million or 34.2%. The decrease primarily resulted from lower outstanding term debt as compared to the prior period and a $1.9 million increase in interest income related to cash flow hedges of interest rate risk from $7.6 million of interest income for the three months ended June 30, 2023 to $9.5 million for the three months ended June 30, 2024.</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Benefit</w:t>
      </w:r>
    </w:p>
    <w:p>
      <w:pPr>
        <w:spacing w:after="0" w:line="99" w:lineRule="exact"/>
        <w:rPr>
          <w:sz w:val="20"/>
          <w:szCs w:val="20"/>
          <w:color w:val="auto"/>
        </w:rPr>
      </w:pPr>
    </w:p>
    <w:p>
      <w:pPr>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Income tax benefit was $9.5 million for the three months ended June 30, 2024, as compared to $2.8 million for the three months ended June 30, 2023, an increase of $6.6 million. The increase in the income tax benefit is attributable to a decrease in the effective tax rate for the three months ended June 30, 2024 of (94.9%) compared to 4,167.6% for the three months ended June 30, 2023. The decrease in the effective tax rate is primarily due to a combination of the discrete tax benefit recognized in the quarter related to the Silver matter that was finalized during the second fiscal quarter of 2024 as well as the impact of the year-to-date cumulative adjustment of the second fiscal quarter of 2023 estimated effective tax rate on near break-even pre-tax book loss for the quarter. For additional information on the Silver matter, see Note 10 within the unaudited condensed consolidated financial statements and related notes in this Quarterly Report on Form 10-Q.</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Income</w:t>
      </w:r>
    </w:p>
    <w:p>
      <w:pPr>
        <w:spacing w:after="0" w:line="9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Net income was $19.4 million for the three months ended June 30, 2024, as compared with $2.8 million for the three months ended June 30, 2023, an increase of $16.7 million. Net income for the second fiscal quarter of 2024 is primarily attributable to the aforementioned decrease in interest expense, net, increase in revenues, and increase in income tax benefit. When excluding the approximately $30 million QIP received in the second fiscal quarter of 2023, net income increased by $46.8 million compared to a net loss of $27.4 million in the second fiscal quarter of 2023.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Adjusted EBITDA was $139.1 million for the three months ended June 30, 2024, as compared with $149.4 million for the three months ended June 30, 2023, a decrease of $10.3 million or 6.9%. When excluding the approximately $30 million QIP received in the second fiscal quarter of 2023, Adjusted EBITDA increased $19.9 million or 16.7%. The decrease of $10.3 million primarily resulted from the following segment activity and factors:</w:t>
      </w:r>
    </w:p>
    <w:p>
      <w:pPr>
        <w:spacing w:after="0" w:line="56" w:lineRule="exact"/>
        <w:rPr>
          <w:sz w:val="20"/>
          <w:szCs w:val="20"/>
          <w:color w:val="auto"/>
        </w:rPr>
      </w:pPr>
    </w:p>
    <w:p>
      <w:pPr>
        <w:ind w:left="1340" w:right="1119" w:hanging="359"/>
        <w:spacing w:after="0" w:line="293"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$11.7 million, or 7.8% growth on consolidated 2023 Adjusted EBITDA, as a result of growth in our Provider Services segment. See additional discussion in “—Segment Results of Operations” below; offset by</w:t>
      </w:r>
    </w:p>
    <w:p>
      <w:pPr>
        <w:spacing w:after="0" w:line="37" w:lineRule="exact"/>
        <w:rPr>
          <w:rFonts w:ascii="Times New Roman" w:cs="Times New Roman" w:eastAsia="Times New Roman" w:hAnsi="Times New Roman"/>
          <w:sz w:val="14"/>
          <w:szCs w:val="14"/>
          <w:color w:val="auto"/>
        </w:rPr>
      </w:pPr>
    </w:p>
    <w:p>
      <w:pPr>
        <w:ind w:left="1340" w:right="979" w:hanging="359"/>
        <w:spacing w:after="0" w:line="275"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$15.3 million, or 10.2% decline on consolidated 2023 Adjusted EBITDA, as a result of a decline in our Pharmacy Solutions segment primarily attributable to not receiving a QIP in 2024. See additional discussion in “— Segment Results of Operations” below; and</w:t>
      </w:r>
    </w:p>
    <w:p>
      <w:pPr>
        <w:spacing w:after="0" w:line="49" w:lineRule="exact"/>
        <w:rPr>
          <w:sz w:val="20"/>
          <w:szCs w:val="20"/>
          <w:color w:val="auto"/>
        </w:rPr>
      </w:pPr>
    </w:p>
    <w:p>
      <w:pPr>
        <w:ind w:left="1660" w:right="739" w:hanging="255"/>
        <w:spacing w:after="0" w:line="275" w:lineRule="auto"/>
        <w:tabs>
          <w:tab w:leader="none" w:pos="16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excluding the approximately $30 million QIP received in the second fiscal quarter of 2023, Adjusted EBITDA related to the Pharmacy Solutions segment increased 12.5% compared to consolidated Adjusted EBITDA of $119.2 million in the second fiscal quarter of 2023.</w:t>
      </w:r>
    </w:p>
    <w:p>
      <w:pPr>
        <w:spacing w:after="0" w:line="49" w:lineRule="exact"/>
        <w:rPr>
          <w:rFonts w:ascii="Times New Roman" w:cs="Times New Roman" w:eastAsia="Times New Roman" w:hAnsi="Times New Roman"/>
          <w:sz w:val="14"/>
          <w:szCs w:val="14"/>
          <w:color w:val="auto"/>
        </w:rPr>
      </w:pPr>
    </w:p>
    <w:p>
      <w:pPr>
        <w:ind w:left="1340" w:right="919" w:hanging="359"/>
        <w:spacing w:after="0" w:line="275" w:lineRule="auto"/>
        <w:tabs>
          <w:tab w:leader="none" w:pos="1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$6.7 million, or 4.5% decline on consolidated 2023 Adjusted EBITDA, as a result of increases in certain public company costs incurred, investments in information technology, and positions to support growth within the business.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2024 Compared to Six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6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20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3,063,841</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1,027,685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33.5 %</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1,215,322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1,131,261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84,061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5,306,848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4,195,102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1,111,746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26.5 %</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2,716,230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1,022,630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37.6 %</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809,564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772,089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706,783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687,943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112,331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70,481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131,171</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(60,690</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4"/>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157,861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(40,402 )</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(59,704 )</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(26,690 )</w:t>
            </w:r>
          </w:p>
        </w:tc>
        <w:tc>
          <w:tcPr>
            <w:tcW w:w="1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(33,014 )</w:t>
            </w:r>
          </w:p>
        </w:tc>
        <w:tc>
          <w:tcPr>
            <w:tcW w:w="28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8"/>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(32,760 )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(7,180 )</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(25,580 )</w:t>
            </w:r>
          </w:p>
        </w:tc>
        <w:tc>
          <w:tcPr>
            <w:tcW w:w="2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(26,944 )</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(19,510 )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(7,434 )</w:t>
            </w:r>
          </w:p>
        </w:tc>
        <w:tc>
          <w:tcPr>
            <w:tcW w:w="280" w:type="dxa"/>
            <w:vAlign w:val="bottom"/>
          </w:tcPr>
          <w:p>
            <w:pPr>
              <w:spacing w:after="0"/>
              <w:rPr>
                <w:sz w:val="15"/>
                <w:szCs w:val="15"/>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21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9"/>
                <w:szCs w:val="19"/>
                <w:color w:val="auto"/>
                <w:vertAlign w:val="superscript"/>
              </w:rPr>
              <w:t>(1)</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269,640</w:t>
            </w:r>
          </w:p>
        </w:tc>
        <w:tc>
          <w:tcPr>
            <w:tcW w:w="20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264,705</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-1406525</wp:posOffset>
            </wp:positionV>
            <wp:extent cx="4919345" cy="1231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-1153795</wp:posOffset>
            </wp:positionV>
            <wp:extent cx="4919345" cy="1231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-1666240</wp:posOffset>
            </wp:positionV>
            <wp:extent cx="4919345" cy="1295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-908050</wp:posOffset>
            </wp:positionV>
            <wp:extent cx="4919345" cy="1295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-655320</wp:posOffset>
            </wp:positionV>
            <wp:extent cx="4919345" cy="1295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-279400</wp:posOffset>
            </wp:positionV>
            <wp:extent cx="5461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-279400</wp:posOffset>
            </wp:positionV>
            <wp:extent cx="4762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-279400</wp:posOffset>
            </wp:positionV>
            <wp:extent cx="4762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169" w:lineRule="exact"/>
        <w:rPr>
          <w:sz w:val="20"/>
          <w:szCs w:val="20"/>
          <w:color w:val="auto"/>
        </w:rPr>
      </w:pPr>
    </w:p>
    <w:p>
      <w:pPr>
        <w:ind w:left="640" w:right="859" w:firstLine="351"/>
        <w:spacing w:after="0" w:line="293"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39" w:firstLine="351"/>
        <w:spacing w:after="0" w:line="275" w:lineRule="auto"/>
        <w:rPr>
          <w:sz w:val="20"/>
          <w:szCs w:val="20"/>
          <w:color w:val="auto"/>
        </w:rPr>
      </w:pPr>
      <w:r>
        <w:rPr>
          <w:rFonts w:ascii="Times New Roman" w:cs="Times New Roman" w:eastAsia="Times New Roman" w:hAnsi="Times New Roman"/>
          <w:sz w:val="14"/>
          <w:szCs w:val="14"/>
          <w:color w:val="auto"/>
        </w:rPr>
        <w:t>Revenues were $5,306.8 million for the six months ended June 30, 2024, as compared with $4,195.1 million for the six months ended June 30, 2023, an increase of $1,111.7 million or 26.5%. The increase resulted from growth in our Pharmacy Solutions and Provider Services segments. See additional discussion in “—Segment Results of Operations” below.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right="819" w:hanging="9"/>
        <w:spacing w:after="0" w:line="293" w:lineRule="auto"/>
        <w:tabs>
          <w:tab w:leader="none" w:pos="84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$3,738.9 million for the six months ended June 30, 2024, as compared with $2,716.2 million for the six months ended June 30, 2023, an increase of $1,022.6 million or 37.6%. The increase resulted from an increase in Pharmacy Solutions cost of goods.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$809.6 million for the six months ended June 30, 2024, as compared with $772.1 million for the six months ended June 30, 2023, an increase of $37.5 million or 4.9%. The increase resulted from an increase in Provider Services cost of services.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779" w:firstLine="351"/>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were $687.9 million for the six months ended June 30, 2024, as compared with $575.6 million for the six months ended June 30, 2023, an increase of $112.3 million or 19.5%. The increase primarily resulted from the following segment activity and factors:</w:t>
      </w:r>
    </w:p>
    <w:p>
      <w:pPr>
        <w:spacing w:after="0" w:line="49" w:lineRule="exact"/>
        <w:rPr>
          <w:sz w:val="20"/>
          <w:szCs w:val="20"/>
          <w:color w:val="auto"/>
        </w:rPr>
      </w:pPr>
    </w:p>
    <w:p>
      <w:pPr>
        <w:jc w:val="both"/>
        <w:ind w:left="1340" w:right="939" w:hanging="359"/>
        <w:spacing w:after="0" w:line="275"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$24.3 million, or 4.2% growth on consolidated 2023 selling, general, and administrative expenses, as a result of growth in our Pharmacy Solutions and Provider Services segments. See additional discussion in “—Segment Results of Operations” below;</w:t>
      </w:r>
    </w:p>
    <w:p>
      <w:pPr>
        <w:spacing w:after="0" w:line="49" w:lineRule="exact"/>
        <w:rPr>
          <w:rFonts w:ascii="Times New Roman" w:cs="Times New Roman" w:eastAsia="Times New Roman" w:hAnsi="Times New Roman"/>
          <w:sz w:val="14"/>
          <w:szCs w:val="14"/>
          <w:color w:val="auto"/>
        </w:rPr>
      </w:pPr>
    </w:p>
    <w:p>
      <w:pPr>
        <w:ind w:left="1340" w:right="679" w:hanging="359"/>
        <w:spacing w:after="0" w:line="265"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$43.2 million, or 7.5% growth on consolidated 2023 selling, general, and administrative expenses, as a result of our IPO Offerings and are therefore not expected to reoccur. These expenses include $22.7 million of termination fees we will pay to the Managers in connection with the termination of our Monitoring Agreement; $15.0 million of previously unrecognized non-cash share-based compensation expense related to performance-vesting options, which vested upon the IPO; and $5.5 million of non-capitalizable offering costs;</w:t>
      </w:r>
    </w:p>
    <w:p>
      <w:pPr>
        <w:spacing w:after="0" w:line="58" w:lineRule="exact"/>
        <w:rPr>
          <w:rFonts w:ascii="Times New Roman" w:cs="Times New Roman" w:eastAsia="Times New Roman" w:hAnsi="Times New Roman"/>
          <w:sz w:val="14"/>
          <w:szCs w:val="14"/>
          <w:color w:val="auto"/>
        </w:rPr>
      </w:pPr>
    </w:p>
    <w:p>
      <w:pPr>
        <w:ind w:left="1340" w:right="819" w:hanging="359"/>
        <w:spacing w:after="0" w:line="275"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$21.4 million, or 3.7% growth on consolidated 2023 selling, general, and administrative expenses, due to non-cash share-based compensation related to the new equity awards granted to management and certain full-time employees in conjunction with the IPO;</w:t>
      </w:r>
    </w:p>
    <w:p>
      <w:pPr>
        <w:spacing w:after="0" w:line="49" w:lineRule="exact"/>
        <w:rPr>
          <w:rFonts w:ascii="Times New Roman" w:cs="Times New Roman" w:eastAsia="Times New Roman" w:hAnsi="Times New Roman"/>
          <w:sz w:val="14"/>
          <w:szCs w:val="14"/>
          <w:color w:val="auto"/>
        </w:rPr>
      </w:pPr>
    </w:p>
    <w:p>
      <w:pPr>
        <w:ind w:left="1340" w:right="719" w:hanging="359"/>
        <w:spacing w:after="0" w:line="293"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$12.0 million, or 2.1% growth on consolidated 2023 selling, general, and administrative expenses, due to a change in estimate of legal settlements and defense costs related to certain historical PharMerica litigation matters; and</w:t>
      </w:r>
    </w:p>
    <w:p>
      <w:pPr>
        <w:spacing w:after="0" w:line="37" w:lineRule="exact"/>
        <w:rPr>
          <w:rFonts w:ascii="Times New Roman" w:cs="Times New Roman" w:eastAsia="Times New Roman" w:hAnsi="Times New Roman"/>
          <w:sz w:val="14"/>
          <w:szCs w:val="14"/>
          <w:color w:val="auto"/>
        </w:rPr>
      </w:pPr>
    </w:p>
    <w:p>
      <w:pPr>
        <w:ind w:left="1340" w:right="959" w:hanging="359"/>
        <w:spacing w:after="0" w:line="293"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$11.4 million, or 2.0% growth on consolidated 2023 selling, general, and administrative expenses, as a result of an increase in other operational expenses year-over-year.</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9" w:lineRule="exact"/>
        <w:rPr>
          <w:sz w:val="20"/>
          <w:szCs w:val="20"/>
          <w:color w:val="auto"/>
        </w:rPr>
      </w:pPr>
    </w:p>
    <w:p>
      <w:pPr>
        <w:ind w:left="640" w:right="799" w:firstLine="516"/>
        <w:spacing w:after="0" w:line="275" w:lineRule="auto"/>
        <w:rPr>
          <w:sz w:val="20"/>
          <w:szCs w:val="20"/>
          <w:color w:val="auto"/>
        </w:rPr>
      </w:pPr>
      <w:r>
        <w:rPr>
          <w:rFonts w:ascii="Times New Roman" w:cs="Times New Roman" w:eastAsia="Times New Roman" w:hAnsi="Times New Roman"/>
          <w:sz w:val="14"/>
          <w:szCs w:val="14"/>
          <w:color w:val="auto"/>
        </w:rPr>
        <w:t>During the six months ended June 30, 2024, we used proceeds from the IPO Offerings to repay the Second Lien on January 30, 2024 and, as a result, incurred a loss on extinguishment of debt of $12.7 million related to the write-off of unamortized debt issuance costs. There was no loss on extinguishment of debt recognized for the six months ended June 30, 2023.</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Interest expense, net was $117.5 million for the six months ended June 30, 2024, as compared with $157.9 million for the six</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months ended June 30, 2023, a decrease of $40.4 million or 25.6%. The decrease primarily resulted from lower outstanding term debt</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 compared to the prior period and a $6.4 million increase in interest income related to cash flow hedges of interest rate risk from</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$12.7 million of interest income for the six months ended June 30, 2023 to $19.1 million for the six months ended June 30, 2024.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Company's outstanding term debt decreased in the first fiscal quarter of 2024 due to the paydowns on our term debt using proceeds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from the IPO Offerings.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Benefit</w:t>
      </w:r>
    </w:p>
    <w:p>
      <w:pPr>
        <w:spacing w:after="0" w:line="99"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Income tax benefit was $32.8 million for the six months ended June 30, 2024, as compared to $7.2 million for the six months ended June 30, 2023, an increase of $25.6 million. The increase in the income tax benefit is attributable to an increase in the pre-tax book loss for the six months ended June 30, 2024 as compared to the six months ended June 30, 2023, and an increase in the effective tax rate for the six months ended June 30, 2024 of 54.9% compared to 26.9% for the six months ended June 30, 2023. The increase in the effective tax rate is primarily due to limitations on the deductibility of certain executive compensation that now apply to the Company upon completion of its IPO in January 2024, as well as the discrete tax benefit recognized in the period related to the Silver matter that was finalized during the second fiscal quarter of 2024. See Note 10 within the unaudited condensed consolidated financial statements and related notes in this Quarterly Report on Form 10-Q for additional information on the matter.</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i w:val="1"/>
          <w:iCs w:val="1"/>
          <w:color w:val="auto"/>
        </w:rPr>
        <w:t>Net Loss</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Net loss was $26.9 million for the six months ended June 30, 2024, as compared with $19.5 million for the six months ended June 30, 2023, an increase of $7.4 million. Net loss for 2024 includes the aforementioned $42.7 million of expense related to non-recurring costs directly associated with the IPO Offerings. Additionally, the Company incurred a write-off of $12.7 million of unamortized debt issuance costs upon the extinguishment of the Second Lien and $21.4 million of non-cash share-based compensation expense related to new equity awards granted to management and certain full-time employees in connection with the IPO Offerings. The increase in expenses is offset by the aforementioned decrease in interest expense, net, increase in revenues, and increase in income tax benefit. When excluding the approximately $30 million QIP received in 2023, net loss decreased by $22.8 million compared to a net loss of $49.7 million in 2023.</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939" w:firstLine="351"/>
        <w:spacing w:after="0" w:line="268" w:lineRule="auto"/>
        <w:rPr>
          <w:sz w:val="20"/>
          <w:szCs w:val="20"/>
          <w:color w:val="auto"/>
        </w:rPr>
      </w:pPr>
      <w:r>
        <w:rPr>
          <w:rFonts w:ascii="Times New Roman" w:cs="Times New Roman" w:eastAsia="Times New Roman" w:hAnsi="Times New Roman"/>
          <w:sz w:val="14"/>
          <w:szCs w:val="14"/>
          <w:color w:val="auto"/>
        </w:rPr>
        <w:t>Adjusted EBITDA was $269.6 million for the six months ended June 30, 2024, as compared with $264.7 million for the six months ended June 30, 2023, an increase of $4.9 million or 1.9%. When excluding the approximately $30 million QIP received in 2023, Adjusted EBITDA increased $35.1 million or 15.0%. The increase of $4.9 million primarily resulted from the following segment activity and factors:</w:t>
      </w:r>
    </w:p>
    <w:p>
      <w:pPr>
        <w:spacing w:after="0" w:line="56" w:lineRule="exact"/>
        <w:rPr>
          <w:sz w:val="20"/>
          <w:szCs w:val="20"/>
          <w:color w:val="auto"/>
        </w:rPr>
      </w:pPr>
    </w:p>
    <w:p>
      <w:pPr>
        <w:ind w:left="1340" w:right="1039" w:hanging="359"/>
        <w:spacing w:after="0" w:line="293"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$28.3 million, or 10.7% growth on consolidated 2023 Adjusted EBITDA, as a result of growth in our Provider Services segments. See additional discussion in “—Segment Results of Operations” below; offset by,</w:t>
      </w:r>
    </w:p>
    <w:p>
      <w:pPr>
        <w:spacing w:after="0" w:line="37" w:lineRule="exact"/>
        <w:rPr>
          <w:rFonts w:ascii="Times New Roman" w:cs="Times New Roman" w:eastAsia="Times New Roman" w:hAnsi="Times New Roman"/>
          <w:sz w:val="14"/>
          <w:szCs w:val="14"/>
          <w:color w:val="auto"/>
        </w:rPr>
      </w:pPr>
    </w:p>
    <w:p>
      <w:pPr>
        <w:jc w:val="both"/>
        <w:ind w:left="1340" w:right="1059" w:hanging="359"/>
        <w:spacing w:after="0" w:line="275"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decrease of $9.5 million, or 3.6% decline on consolidated 2023 Adjusted EBITDA, as a result of a decline in our Pharmacy Solutions segment primarily attributable to not receiving a QIP in 2024. See additional discussion in “— Segment Results of Operations” below; and,</w:t>
      </w:r>
    </w:p>
    <w:p>
      <w:pPr>
        <w:spacing w:after="0" w:line="49" w:lineRule="exact"/>
        <w:rPr>
          <w:sz w:val="20"/>
          <w:szCs w:val="20"/>
          <w:color w:val="auto"/>
        </w:rPr>
      </w:pPr>
    </w:p>
    <w:p>
      <w:pPr>
        <w:ind w:left="1660" w:right="679" w:hanging="255"/>
        <w:spacing w:after="0" w:line="286" w:lineRule="auto"/>
        <w:tabs>
          <w:tab w:leader="none" w:pos="1660" w:val="left"/>
        </w:tabs>
        <w:numPr>
          <w:ilvl w:val="2"/>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excluding the approximately $30 million QIP received in 2023, consolidated Adjusted EBITDA related to the Pharmacy Solutions segment increased 8.9% compared to consolidated Adjusted EBITDA of $234.5 million in 2023.</w:t>
      </w:r>
    </w:p>
    <w:p>
      <w:pPr>
        <w:spacing w:after="0" w:line="218" w:lineRule="exact"/>
        <w:rPr>
          <w:rFonts w:ascii="Times New Roman" w:cs="Times New Roman" w:eastAsia="Times New Roman" w:hAnsi="Times New Roman"/>
          <w:sz w:val="14"/>
          <w:szCs w:val="14"/>
          <w:color w:val="auto"/>
        </w:rPr>
      </w:pPr>
    </w:p>
    <w:p>
      <w:pPr>
        <w:ind w:left="1340" w:right="839" w:hanging="359"/>
        <w:spacing w:after="0" w:line="275" w:lineRule="auto"/>
        <w:tabs>
          <w:tab w:leader="none" w:pos="134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$13.9 million, or 5.2% decline on consolidated 2023 Adjusted EBITDA, as a result of increases in certain public company costs incurred, investments in information technology, and positions to support growth within the business.</w:t>
      </w:r>
    </w:p>
    <w:p>
      <w:pPr>
        <w:spacing w:after="0" w:line="59" w:lineRule="exact"/>
        <w:rPr>
          <w:rFonts w:ascii="Times New Roman" w:cs="Times New Roman" w:eastAsia="Times New Roman" w:hAnsi="Times New Roman"/>
          <w:sz w:val="14"/>
          <w:szCs w:val="14"/>
          <w:color w:val="auto"/>
        </w:rPr>
      </w:pPr>
    </w:p>
    <w:p>
      <w:pPr>
        <w:ind w:left="640" w:right="819" w:hanging="9"/>
        <w:spacing w:after="0" w:line="226" w:lineRule="auto"/>
        <w:tabs>
          <w:tab w:leader="none" w:pos="788"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2024 Compared to Three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2,114,491</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1,596,839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517,652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32.4 %</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1,931,760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1,409,249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522,511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23"/>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187,590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(4,859 )</w:t>
            </w:r>
          </w:p>
        </w:tc>
        <w:tc>
          <w:tcPr>
            <w:tcW w:w="2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201"/>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67,274</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81,079</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(13,805</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94,496</w:t>
            </w:r>
          </w:p>
        </w:tc>
        <w:tc>
          <w:tcPr>
            <w:tcW w:w="18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109,806</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(15,310 )</w:t>
            </w:r>
          </w:p>
        </w:tc>
        <w:tc>
          <w:tcPr>
            <w:tcW w:w="2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(13.9 )%</w:t>
            </w:r>
          </w:p>
        </w:tc>
        <w:tc>
          <w:tcPr>
            <w:tcW w:w="0" w:type="dxa"/>
            <w:vAlign w:val="bottom"/>
          </w:tcPr>
          <w:p>
            <w:pPr>
              <w:spacing w:after="0"/>
              <w:rPr>
                <w:sz w:val="1"/>
                <w:szCs w:val="1"/>
                <w:color w:val="auto"/>
              </w:rPr>
            </w:pPr>
          </w:p>
        </w:tc>
      </w:tr>
      <w:tr>
        <w:trPr>
          <w:trHeight w:val="188"/>
        </w:trPr>
        <w:tc>
          <w:tcPr>
            <w:tcW w:w="34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10,120,197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9,274,294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845,903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94"/>
        </w:trPr>
        <w:tc>
          <w:tcPr>
            <w:tcW w:w="3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208.94</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21.3 %</w:t>
            </w:r>
          </w:p>
        </w:tc>
        <w:tc>
          <w:tcPr>
            <w:tcW w:w="0" w:type="dxa"/>
            <w:vAlign w:val="bottom"/>
          </w:tcPr>
          <w:p>
            <w:pPr>
              <w:spacing w:after="0"/>
              <w:rPr>
                <w:sz w:val="1"/>
                <w:szCs w:val="1"/>
                <w:color w:val="auto"/>
              </w:rPr>
            </w:pPr>
          </w:p>
        </w:tc>
      </w:tr>
      <w:tr>
        <w:trPr>
          <w:trHeight w:val="194"/>
        </w:trPr>
        <w:tc>
          <w:tcPr>
            <w:tcW w:w="3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(2.17 )</w:t>
            </w:r>
          </w:p>
        </w:tc>
        <w:tc>
          <w:tcPr>
            <w:tcW w:w="2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-1378585</wp:posOffset>
            </wp:positionV>
            <wp:extent cx="4919345" cy="1231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-1125855</wp:posOffset>
            </wp:positionV>
            <wp:extent cx="4919345" cy="1231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-360680</wp:posOffset>
            </wp:positionV>
            <wp:extent cx="4919345" cy="1231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-114935</wp:posOffset>
            </wp:positionV>
            <wp:extent cx="4919345" cy="1231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-885825</wp:posOffset>
            </wp:positionV>
            <wp:extent cx="4919345" cy="161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19345" cy="161925"/>
                    </a:xfrm>
                    <a:prstGeom prst="rect">
                      <a:avLst/>
                    </a:prstGeom>
                    <a:noFill/>
                  </pic:spPr>
                </pic:pic>
              </a:graphicData>
            </a:graphic>
          </wp:anchor>
        </w:drawing>
      </w:r>
    </w:p>
    <w:p>
      <w:pPr>
        <w:spacing w:after="0" w:line="149" w:lineRule="exact"/>
        <w:rPr>
          <w:sz w:val="20"/>
          <w:szCs w:val="20"/>
          <w:color w:val="auto"/>
        </w:rPr>
      </w:pPr>
    </w:p>
    <w:p>
      <w:pPr>
        <w:ind w:left="640" w:right="89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Revenues were $2,114.5 million for the three months ended June 30, 2024, as compared with $1,596.8 million for the three months ended June 30, 2023, an increase of $517.7 million or 32.4%. The increase primarily resulted from volume growth in prescriptions dispensed across and within the Pharmacy Solutions segment. Revenues attributable to Infusion and Specialty Pharmacy was $1,586.1 million for the three months ended June 30, 2024, as compared with $1,130.3 million for the three months ended June 30, 2023, an increase of $455.8 million or 40.3% attributable to an increase in prescriptions dispensed on certain specialty branded drugs. Revenues attributable to Home and Community Pharmacy was $528.4 million for the three months ended June 30, 2024, as compared with $466.5 million for the three months ended June 30, 2023, an increase of $61.9 million or 13.3% attributable to volume growth.</w:t>
      </w:r>
    </w:p>
    <w:p>
      <w:pPr>
        <w:spacing w:after="0" w:line="233" w:lineRule="exact"/>
        <w:rPr>
          <w:sz w:val="20"/>
          <w:szCs w:val="20"/>
          <w:color w:val="auto"/>
        </w:rPr>
      </w:pPr>
    </w:p>
    <w:p>
      <w:pPr>
        <w:ind w:left="640" w:right="1079" w:firstLine="351"/>
        <w:spacing w:after="0" w:line="293"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77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$1,931.8 million for the three months ended June 30, 2024, as compared with $1,409.2 million for the three months ended June 30, 2023, an increase of $522.5 million or 37.1%. The increase primarily resulted from the aforementioned revenue growth in the period as well as an increase in cost per prescription dispensed as a result of mix shift.</w:t>
      </w:r>
    </w:p>
    <w:p>
      <w:pPr>
        <w:spacing w:after="0" w:line="49" w:lineRule="exact"/>
        <w:rPr>
          <w:sz w:val="20"/>
          <w:szCs w:val="20"/>
          <w:color w:val="auto"/>
        </w:rPr>
      </w:pPr>
    </w:p>
    <w:p>
      <w:pPr>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Gross profit was $182.7 million for the three months ended June 30, 2024, as compared with $187.6 million for the three months ended June 30, 2023, a decrease of $4.9 million or 2.6%. The decrease primarily resulted from outsized volume growth as well as mix in certain specialty branded drugs, which have lower margins, and the QIP received in the second fiscal quarter of 2023 for which there was no comparable in 2024. When excluding the approximately $30 million QIP received in the second fiscal quarter of 2023, gross profit increased 16.1% compared to gross profit of $157.4 million in the second fiscal quarter of 2023.</w:t>
      </w:r>
    </w:p>
    <w:p>
      <w:pPr>
        <w:spacing w:after="0" w:line="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Gross profit margin for the three months ended June 30, 2024 was 8.6% compared to 11.7% for the three months ended June 30,</w:t>
      </w:r>
    </w:p>
    <w:p>
      <w:pPr>
        <w:spacing w:after="0" w:line="25" w:lineRule="exact"/>
        <w:rPr>
          <w:sz w:val="20"/>
          <w:szCs w:val="20"/>
          <w:color w:val="auto"/>
        </w:rPr>
      </w:pPr>
    </w:p>
    <w:p>
      <w:pPr>
        <w:ind w:left="640" w:right="759"/>
        <w:spacing w:after="0" w:line="262" w:lineRule="auto"/>
        <w:rPr>
          <w:sz w:val="20"/>
          <w:szCs w:val="20"/>
          <w:color w:val="auto"/>
        </w:rPr>
      </w:pPr>
      <w:r>
        <w:rPr>
          <w:rFonts w:ascii="Times New Roman" w:cs="Times New Roman" w:eastAsia="Times New Roman" w:hAnsi="Times New Roman"/>
          <w:sz w:val="14"/>
          <w:szCs w:val="14"/>
          <w:color w:val="auto"/>
        </w:rPr>
        <w:t>2023. The decrease in gross profit margin is due to mix shift in the Pharmacy Solutions segment with greater relative volume growth in Infusion and Specialty Pharmacy, along with product-level mix shifts, rate changes, an increase in the fulfillment cost per script in Home and Community Pharmacy, and the QIP received in the second fiscal quarter of 2023 for which there was no comparable in 2024. When excluding the aforementioned QIP, gross profit margin was 10.0% for the three months ended June 30, 2023.</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$115.5 million for the three months ended June 30, 2024, as compared with $106.5 million for the three months ended June 30, 2023, an increase of $8.9 million or 8.4%. The increase primarily resulted from the aforementioned revenue growth in the period with selling, general, and administrative expenses growing less than the volume growth rate and demonstrating economies of scale.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99" w:firstLine="351"/>
        <w:spacing w:after="0" w:line="264" w:lineRule="auto"/>
        <w:rPr>
          <w:sz w:val="20"/>
          <w:szCs w:val="20"/>
          <w:color w:val="auto"/>
        </w:rPr>
      </w:pPr>
      <w:r>
        <w:rPr>
          <w:rFonts w:ascii="Times New Roman" w:cs="Times New Roman" w:eastAsia="Times New Roman" w:hAnsi="Times New Roman"/>
          <w:sz w:val="14"/>
          <w:szCs w:val="14"/>
          <w:color w:val="auto"/>
        </w:rPr>
        <w:t>Segment EBITDA was $94.5 million for the three months ended June 30, 2024, as compared with $109.8 million for the three months ended June 30, 2023, a decrease of $15.3 million or 13.9%. The decrease primarily resulted from the QIP received in the second fiscal quarter of 2023 that was not received in the comparable period. When excluding the approximately $30 million QIP received in the second fiscal quarter of 2023, segment EBITDA increased 18.7% compared to segment EBITDA of $79.6 million in the second fiscal quarter of 2023. See Note 14 “Segment Information” to our unaudited condensed consolidated financial statements and related notes included elsewhere in this Quarterly Report on Form 10-Q for further discussion.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2024 Compared to Six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4,091,526</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3,063,841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1,027,685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33.5 %</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3,738,860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2,716,230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37.6 %</w:t>
            </w:r>
          </w:p>
        </w:tc>
        <w:tc>
          <w:tcPr>
            <w:tcW w:w="0" w:type="dxa"/>
            <w:vAlign w:val="bottom"/>
          </w:tcPr>
          <w:p>
            <w:pPr>
              <w:spacing w:after="0"/>
              <w:rPr>
                <w:sz w:val="1"/>
                <w:szCs w:val="1"/>
                <w:color w:val="auto"/>
              </w:rPr>
            </w:pPr>
          </w:p>
        </w:tc>
      </w:tr>
      <w:tr>
        <w:trPr>
          <w:trHeight w:val="2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352,666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212,788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5.5 %</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8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128,199</w:t>
            </w:r>
          </w:p>
        </w:tc>
        <w:tc>
          <w:tcPr>
            <w:tcW w:w="16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134,823</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182,670</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192,128</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(9,458 )</w:t>
            </w:r>
          </w:p>
        </w:tc>
        <w:tc>
          <w:tcPr>
            <w:tcW w:w="2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88"/>
        </w:trPr>
        <w:tc>
          <w:tcPr>
            <w:tcW w:w="35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Prescriptions dispensed</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19,974,692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18,302,205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1,672,487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9.1 %</w:t>
            </w:r>
          </w:p>
        </w:tc>
        <w:tc>
          <w:tcPr>
            <w:tcW w:w="0" w:type="dxa"/>
            <w:vAlign w:val="bottom"/>
          </w:tcPr>
          <w:p>
            <w:pPr>
              <w:spacing w:after="0"/>
              <w:rPr>
                <w:sz w:val="1"/>
                <w:szCs w:val="1"/>
                <w:color w:val="auto"/>
              </w:rPr>
            </w:pPr>
          </w:p>
        </w:tc>
      </w:tr>
      <w:tr>
        <w:trPr>
          <w:trHeight w:val="194"/>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per script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204.84</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22.4 %</w:t>
            </w:r>
          </w:p>
        </w:tc>
        <w:tc>
          <w:tcPr>
            <w:tcW w:w="0" w:type="dxa"/>
            <w:vAlign w:val="bottom"/>
          </w:tcPr>
          <w:p>
            <w:pPr>
              <w:spacing w:after="0"/>
              <w:rPr>
                <w:sz w:val="1"/>
                <w:szCs w:val="1"/>
                <w:color w:val="auto"/>
              </w:rPr>
            </w:pPr>
          </w:p>
        </w:tc>
      </w:tr>
      <w:tr>
        <w:trPr>
          <w:trHeight w:val="194"/>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profit per script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(1.33 )</w:t>
            </w:r>
          </w:p>
        </w:tc>
        <w:tc>
          <w:tcPr>
            <w:tcW w:w="2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-1378585</wp:posOffset>
            </wp:positionV>
            <wp:extent cx="4919345" cy="1231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-1125855</wp:posOffset>
            </wp:positionV>
            <wp:extent cx="4919345" cy="123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-360680</wp:posOffset>
            </wp:positionV>
            <wp:extent cx="4919345" cy="1231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-114935</wp:posOffset>
            </wp:positionV>
            <wp:extent cx="4919345" cy="1231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-885825</wp:posOffset>
            </wp:positionV>
            <wp:extent cx="4919345" cy="161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919345" cy="161925"/>
                    </a:xfrm>
                    <a:prstGeom prst="rect">
                      <a:avLst/>
                    </a:prstGeom>
                    <a:noFill/>
                  </pic:spPr>
                </pic:pic>
              </a:graphicData>
            </a:graphic>
          </wp:anchor>
        </w:drawing>
      </w:r>
    </w:p>
    <w:p>
      <w:pPr>
        <w:spacing w:after="0" w:line="149" w:lineRule="exact"/>
        <w:rPr>
          <w:sz w:val="20"/>
          <w:szCs w:val="20"/>
          <w:color w:val="auto"/>
        </w:rPr>
      </w:pPr>
    </w:p>
    <w:p>
      <w:pPr>
        <w:ind w:left="640" w:right="89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Revenues were $4,091.5 million for the six months ended June 30, 2024, as compared with $3,063.8 million for the six months ended June 30, 2023, an increase of $1,027.7 million or 33.5%. The increase primarily resulted from volume growth in prescriptions dispensed across and within the Pharmacy Solutions segment. Revenues attributable to Infusion and Specialty Pharmacy was $3,051.7 million for the six months ended June 30, 2024, as compared with $2,151.2 million for the six months ended June 30, 2023, an increase of $900.5 million or 41.9% attributable to an increase in prescriptions dispensed on certain specialty branded drugs. Revenues attributable to Home and Community Pharmacy was $1,039.8 million for the six months ended June 30, 2024, as compared with $912.6 million for the six months ended June 30, 2023, an increase of $127.2 million or 13.9% attributable to volume growth.</w:t>
      </w:r>
    </w:p>
    <w:p>
      <w:pPr>
        <w:spacing w:after="0" w:line="61" w:lineRule="exact"/>
        <w:rPr>
          <w:sz w:val="20"/>
          <w:szCs w:val="20"/>
          <w:color w:val="auto"/>
        </w:rPr>
      </w:pPr>
    </w:p>
    <w:p>
      <w:pPr>
        <w:ind w:left="640" w:right="1079" w:firstLine="351"/>
        <w:spacing w:after="0" w:line="293"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101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$3,738.9 million for the six months ended June 30, 2024, as compared with $2,716.2 million for the six months ended June 30, 2023, an increase of $1,022.6 million or 37.6%. The increase primarily resulted from the aforementioned revenue growth in the period as well as an increase in cost per prescription dispensed as a result of mix shift.</w:t>
      </w:r>
    </w:p>
    <w:p>
      <w:pPr>
        <w:spacing w:after="0" w:line="4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Gross profit was $352.7 million for the six months ended June 30, 2024, as compared with $347.6 million for the six months ended June 30, 2023, an increase of $5.1 million or 1.5%. The increase primarily resulted from the aforementioned revenue growth in the period, primarily the result of outsized volume growth as well as mix in certain specialty branded drugs, which have lower margins, partially offset the QIP received in 2023 for which there was no comparable in 2024. When excluding the approximately $30 million QIP received in 2023, gross profit increased 11.1% compared to gross profit of $317.4 million in 2023.</w:t>
      </w:r>
    </w:p>
    <w:p>
      <w:pPr>
        <w:spacing w:after="0" w:line="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Gross profit margin for the six months ended June 30, 2024 was 8.6% compared to 11.3% for the six months ended June 30,</w:t>
      </w:r>
    </w:p>
    <w:p>
      <w:pPr>
        <w:spacing w:after="0" w:line="25" w:lineRule="exact"/>
        <w:rPr>
          <w:sz w:val="20"/>
          <w:szCs w:val="20"/>
          <w:color w:val="auto"/>
        </w:rPr>
      </w:pPr>
    </w:p>
    <w:p>
      <w:pPr>
        <w:ind w:left="640" w:right="759"/>
        <w:spacing w:after="0" w:line="262" w:lineRule="auto"/>
        <w:rPr>
          <w:sz w:val="20"/>
          <w:szCs w:val="20"/>
          <w:color w:val="auto"/>
        </w:rPr>
      </w:pPr>
      <w:r>
        <w:rPr>
          <w:rFonts w:ascii="Times New Roman" w:cs="Times New Roman" w:eastAsia="Times New Roman" w:hAnsi="Times New Roman"/>
          <w:sz w:val="14"/>
          <w:szCs w:val="14"/>
          <w:color w:val="auto"/>
        </w:rPr>
        <w:t>2023. The decrease in gross profit margin is due to mix shift in the Pharmacy Solutions segment with greater relative volume growth in Infusion and Specialty Pharmacy, along with product-level mix shifts, rate changes, an increase in the fulfillment cost per script in Home and Community Pharmacy, and the QIP received in 2023 for which there was no comparable in 2024. When excluding the aforementioned QIP, gross profit margin was 10.5% for the six months ended June 30, 2023.</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$224.5 million for the six months ended June 30, 2024,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$212.8 million for the six months ended June 30, 2023, an increase of $11.7 million or 5.5%.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aforementioned revenue growth in the period with selling, general, and administrative expenses growing less than the volume growth</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rate and demonstrating economies of scale.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4" w:lineRule="auto"/>
        <w:rPr>
          <w:sz w:val="20"/>
          <w:szCs w:val="20"/>
          <w:color w:val="auto"/>
        </w:rPr>
      </w:pPr>
      <w:r>
        <w:rPr>
          <w:rFonts w:ascii="Times New Roman" w:cs="Times New Roman" w:eastAsia="Times New Roman" w:hAnsi="Times New Roman"/>
          <w:sz w:val="14"/>
          <w:szCs w:val="14"/>
          <w:color w:val="auto"/>
        </w:rPr>
        <w:t>Segment EBITDA was $182.7 million for the six months ended June 30, 2024, as compared with $192.1 million for the six months ended June 30, 2023, a decrease of $9.5 million or 4.9%. The decrease primarily resulted from the QIP received in fiscal year 2023 that was not received in the comparable year. When excluding the approximately $30 million QIP received in 2023, segment EBITDA increased 12.8% compared to segment EBITDA of $161.9 million in 2023. See Note 14 “Segment Information” to our unaudited condensed consolidated financial statements and related notes included elsewhere in this Quarterly Report on Form 10-Q for further discussion.</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June 30, 2024 Compared to Three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615,719</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569,885</w:t>
            </w:r>
          </w:p>
        </w:tc>
        <w:tc>
          <w:tcPr>
            <w:tcW w:w="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8.0 %</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409,417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385,405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24,012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23"/>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206,302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184,480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136,575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8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69,727</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54,805</w:t>
            </w:r>
          </w:p>
        </w:tc>
        <w:tc>
          <w:tcPr>
            <w:tcW w:w="16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86,047</w:t>
            </w:r>
          </w:p>
        </w:tc>
        <w:tc>
          <w:tcPr>
            <w:tcW w:w="1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74,387</w:t>
            </w:r>
          </w:p>
        </w:tc>
        <w:tc>
          <w:tcPr>
            <w:tcW w:w="16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15.7 %</w:t>
            </w:r>
          </w:p>
        </w:tc>
        <w:tc>
          <w:tcPr>
            <w:tcW w:w="0" w:type="dxa"/>
            <w:vAlign w:val="bottom"/>
          </w:tcPr>
          <w:p>
            <w:pPr>
              <w:spacing w:after="0"/>
              <w:rPr>
                <w:sz w:val="1"/>
                <w:szCs w:val="1"/>
                <w:color w:val="auto"/>
              </w:rPr>
            </w:pPr>
          </w:p>
        </w:tc>
      </w:tr>
      <w:tr>
        <w:trPr>
          <w:trHeight w:val="188"/>
        </w:trPr>
        <w:tc>
          <w:tcPr>
            <w:tcW w:w="35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44,246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94"/>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Community and Rehab Care persons served</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(14 )</w:t>
            </w:r>
          </w:p>
        </w:tc>
        <w:tc>
          <w:tcPr>
            <w:tcW w:w="22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-1256030</wp:posOffset>
            </wp:positionV>
            <wp:extent cx="4919345" cy="1231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-1003300</wp:posOffset>
            </wp:positionV>
            <wp:extent cx="4919345" cy="1231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-238125</wp:posOffset>
            </wp:positionV>
            <wp:extent cx="4919345" cy="123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-762635</wp:posOffset>
            </wp:positionV>
            <wp:extent cx="4919345" cy="161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19345" cy="161925"/>
                    </a:xfrm>
                    <a:prstGeom prst="rect">
                      <a:avLst/>
                    </a:prstGeom>
                    <a:noFill/>
                  </pic:spPr>
                </pic:pic>
              </a:graphicData>
            </a:graphic>
          </wp:anchor>
        </w:drawing>
      </w:r>
    </w:p>
    <w:p>
      <w:pPr>
        <w:spacing w:after="0" w:line="149" w:lineRule="exact"/>
        <w:rPr>
          <w:sz w:val="20"/>
          <w:szCs w:val="20"/>
          <w:color w:val="auto"/>
        </w:rPr>
      </w:pPr>
    </w:p>
    <w:p>
      <w:pPr>
        <w:ind w:left="640" w:right="103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Revenues were $615.7 million for the three months ended June 30, 2024, as compared with $569.9 million for the three months ended June 30, 2023, an increase of $45.8 million or 8.0%. The increase primarily resulted from volume growth as well as rate increases received during the period. Revenues attributable to Home Health Care was $253.8 million for the three months ended June 30, 2024, as compared with $224.7 million for the three months ended June 30, 2023, an increase of $29.1 million or 13.0%. Revenues attributable to Community and Rehab Care was $361.9 million for the three months ended June 30, 2024, as compared with $345.2 million for the three months ended June 30, 2023, an increase of $16.7 million or 4.8%.</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77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$409.4 million for the three months ended June 30, 2024, as compared with $385.4 million for the three months ended June 30, 2023, an increase of $24.0 million or 6.2%. The increase primarily resulted from the aforementioned revenue growth and included operational improvements resulting in lower costs of services increases compared to revenue growth.</w:t>
      </w:r>
    </w:p>
    <w:p>
      <w:pPr>
        <w:spacing w:after="0" w:line="49" w:lineRule="exact"/>
        <w:rPr>
          <w:sz w:val="20"/>
          <w:szCs w:val="20"/>
          <w:color w:val="auto"/>
        </w:rPr>
      </w:pPr>
    </w:p>
    <w:p>
      <w:pPr>
        <w:ind w:left="640" w:right="639" w:firstLine="351"/>
        <w:spacing w:after="0" w:line="275" w:lineRule="auto"/>
        <w:rPr>
          <w:sz w:val="20"/>
          <w:szCs w:val="20"/>
          <w:color w:val="auto"/>
        </w:rPr>
      </w:pPr>
      <w:r>
        <w:rPr>
          <w:rFonts w:ascii="Times New Roman" w:cs="Times New Roman" w:eastAsia="Times New Roman" w:hAnsi="Times New Roman"/>
          <w:sz w:val="14"/>
          <w:szCs w:val="14"/>
          <w:color w:val="auto"/>
        </w:rPr>
        <w:t>Gross profit was $206.3 million for the three months ended June 30, 2024, as compared with $184.5 million for the three months ended June 30, 2023, an increase of $21.8 million or 11.8%. The increase primarily resulted from the aforementioned revenue growth and costs of services improvements in the period.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$136.6 million for the three months ended June 30, 2024, as compared with $129.7 million for the three months ended June 30, 2023, an increase of $6.9 million or 5.3%. The increase primarily resulted from the aforementioned revenue growth in the period with selling, general, and administrative expenses growing less than the volume growth rate and demonstrating economies of scale.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699" w:firstLine="351"/>
        <w:spacing w:after="0" w:line="293" w:lineRule="auto"/>
        <w:rPr>
          <w:sz w:val="20"/>
          <w:szCs w:val="20"/>
          <w:color w:val="auto"/>
        </w:rPr>
      </w:pPr>
      <w:r>
        <w:rPr>
          <w:rFonts w:ascii="Times New Roman" w:cs="Times New Roman" w:eastAsia="Times New Roman" w:hAnsi="Times New Roman"/>
          <w:sz w:val="14"/>
          <w:szCs w:val="14"/>
          <w:color w:val="auto"/>
        </w:rPr>
        <w:t>Segment EBITDA was $86.0 million for the three months ended June 30, 2024, as compared with $74.4 million for the three months ended June 30, 2023, an increase of $11.7 million or 15.7%. The increase primarily resulted from the aforementioned revenue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8" w:name="page39"/>
    <w:bookmarkEnd w:id="38"/>
    <w:p>
      <w:pPr>
        <w:ind w:left="640" w:right="779"/>
        <w:spacing w:after="0" w:line="293" w:lineRule="auto"/>
        <w:rPr>
          <w:sz w:val="20"/>
          <w:szCs w:val="20"/>
          <w:color w:val="auto"/>
        </w:rPr>
      </w:pPr>
      <w:r>
        <w:rPr>
          <w:rFonts w:ascii="Times New Roman" w:cs="Times New Roman" w:eastAsia="Times New Roman" w:hAnsi="Times New Roman"/>
          <w:sz w:val="14"/>
          <w:szCs w:val="14"/>
          <w:color w:val="auto"/>
        </w:rPr>
        <w:t>growth and operational improvements impacting cost of services. See Note 14 “Segment Information" to our unaudited condensed consolidated financial statements and related notes included elsewhere in this Quarterly Report on Form 10-Q for further discussion.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2024 Compared to Six Months Ended June 30,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1,215,322</w:t>
            </w: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1,131,261</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84,061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7.4 %</w:t>
            </w:r>
          </w:p>
        </w:tc>
        <w:tc>
          <w:tcPr>
            <w:tcW w:w="0" w:type="dxa"/>
            <w:vAlign w:val="bottom"/>
          </w:tcPr>
          <w:p>
            <w:pPr>
              <w:spacing w:after="0"/>
              <w:rPr>
                <w:sz w:val="1"/>
                <w:szCs w:val="1"/>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809,564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772,089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405,758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359,172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0" w:type="dxa"/>
            <w:vAlign w:val="bottom"/>
          </w:tcPr>
          <w:p>
            <w:pPr>
              <w:spacing w:after="0"/>
              <w:rPr>
                <w:sz w:val="1"/>
                <w:szCs w:val="1"/>
                <w:color w:val="auto"/>
              </w:rPr>
            </w:pPr>
          </w:p>
        </w:tc>
      </w:tr>
      <w:tr>
        <w:trPr>
          <w:trHeight w:val="201"/>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269,547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256,887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136,211</w:t>
            </w:r>
          </w:p>
        </w:tc>
        <w:tc>
          <w:tcPr>
            <w:tcW w:w="16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102,285</w:t>
            </w:r>
          </w:p>
        </w:tc>
        <w:tc>
          <w:tcPr>
            <w:tcW w:w="1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167,959</w:t>
            </w:r>
          </w:p>
        </w:tc>
        <w:tc>
          <w:tcPr>
            <w:tcW w:w="16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139,692</w:t>
            </w:r>
          </w:p>
        </w:tc>
        <w:tc>
          <w:tcPr>
            <w:tcW w:w="1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0" w:type="dxa"/>
            <w:vAlign w:val="bottom"/>
          </w:tcPr>
          <w:p>
            <w:pPr>
              <w:spacing w:after="0"/>
              <w:rPr>
                <w:sz w:val="1"/>
                <w:szCs w:val="1"/>
                <w:color w:val="auto"/>
              </w:rPr>
            </w:pPr>
          </w:p>
        </w:tc>
      </w:tr>
      <w:tr>
        <w:trPr>
          <w:trHeight w:val="188"/>
        </w:trPr>
        <w:tc>
          <w:tcPr>
            <w:tcW w:w="35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194"/>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Community and Rehab Care persons served</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16,685</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-1256030</wp:posOffset>
            </wp:positionV>
            <wp:extent cx="4919345" cy="123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-1003300</wp:posOffset>
            </wp:positionV>
            <wp:extent cx="4919345" cy="123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-238125</wp:posOffset>
            </wp:positionV>
            <wp:extent cx="4919345" cy="1231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-762635</wp:posOffset>
            </wp:positionV>
            <wp:extent cx="4919345" cy="161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19345" cy="161925"/>
                    </a:xfrm>
                    <a:prstGeom prst="rect">
                      <a:avLst/>
                    </a:prstGeom>
                    <a:noFill/>
                  </pic:spPr>
                </pic:pic>
              </a:graphicData>
            </a:graphic>
          </wp:anchor>
        </w:drawing>
      </w:r>
    </w:p>
    <w:p>
      <w:pPr>
        <w:spacing w:after="0" w:line="149" w:lineRule="exact"/>
        <w:rPr>
          <w:sz w:val="20"/>
          <w:szCs w:val="20"/>
          <w:color w:val="auto"/>
        </w:rPr>
      </w:pPr>
    </w:p>
    <w:p>
      <w:pPr>
        <w:ind w:left="640" w:right="103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Revenues were $1,215.3 million for the six months ended June 30, 2024, as compared with $1,131.3 million for the six months ended June 30, 2023, an increase of $84.1 million or 7.4%. The increase primarily resulted from volume growth as well as rate increases received during the period. Revenue attributable to Home Health Care was $495.8 million for the six months ended June 30, 2024, as compared with $447.6 million for the six months ended June 30, 2023, an increase of $48.2 million or 10.8%. Revenue attributable to Community and Rehab Care was $719.5 million for the six months ended June 30, 2024, as compared with $683.7 million for the six months ended June 30, 2023, an increase of $35.8 million or 5.2%.</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$809.6 million for the six months ended June 30, 2024, as compared with $772.1 million for the six months ended June 30, 2023, an increase of $37.5 million or 4.9%. The increase primarily resulted from the aforementioned revenue growth and included operational improvements resulting in lower costs of services increases compared to revenue growth.</w:t>
      </w:r>
    </w:p>
    <w:p>
      <w:pPr>
        <w:spacing w:after="0" w:line="49" w:lineRule="exact"/>
        <w:rPr>
          <w:sz w:val="20"/>
          <w:szCs w:val="20"/>
          <w:color w:val="auto"/>
        </w:rPr>
      </w:pPr>
    </w:p>
    <w:p>
      <w:pPr>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Gross profit was $405.8 million for the six months ended June 30, 2024, as compared with $359.2 million for the six months ended June 30, 2023, an increase of $46.6 million or 13.0%. The increase primarily resulted from the aforementioned revenue growth and costs of services improvements in the period.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Selling, general, and administrative expenses were $269.5 million for the six months ended June 30, 2024, as compared 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$256.9 million for the six months ended June 30, 2023, an increase of $12.7 million or 4.9%. The increase primarily resulted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aforementioned revenue growth in the period with selling, general, and administrative expenses growing less than the volume growth</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rate and demonstrating economies of scale.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$168.0 million for the six months ended June 30, 2024, as compared with $139.7 million for the six months ended June 30, 2023, an increase of $28.3 million or 20.2%. The increase primarily resulted from the aforementioned revenue growth and operational improvements impacting cost of services. See Note 14 “Segment Information" to our unaudited condensed consolidated financial statements and related notes included elsewhere in this Quarterly Report on Form 10-Q for further discussion.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EPS. These non-GAAP financial measures are not intended to replace financial performance measures determined in accordance with U.S. GAAP, such as net income (loss) and diluted EPS. Rather, we present EBITDA, Adjusted EBITDA, and Adjusted EPS as supplemental measures of our performance.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income (loss) before income tax benefit,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goodwill impairment; legal costs associated with certain historical matters for PharMerica and settlement costs; significant projects; management fees; and unreimbursed COVID-19 related costs.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income (loss). The financial measure calculated under U.S. GAAP which is most directly comparable to Adjusted EPS is diluted EPS.</w:t>
      </w:r>
    </w:p>
    <w:p>
      <w:pPr>
        <w:spacing w:after="0" w:line="238" w:lineRule="exact"/>
        <w:rPr>
          <w:sz w:val="20"/>
          <w:szCs w:val="20"/>
          <w:color w:val="auto"/>
        </w:rPr>
      </w:pPr>
    </w:p>
    <w:p>
      <w:pPr>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6"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The legal costs and settlements adjustment represents defense costs associated with certain PharMerica litigation matters associated with three cases, two of which are being finalized as of June 30, 2024, that commenced prior to KKR Stockholder’s and Walgreen Stockholder’s acquisition of PharMerica in December 2017, as well as settlement costs associated with the Silver matter, which settled in November 2023. We have excluded defense costs associated with these PharMerica litigation matters from our Adjusted EBITDA and Adjusted EPS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have excluded settlement costs associated with the Silver matter from our Adjusted EBITDA and Adjusted EPS due to the magnitude of the case and the costs attributable to it, as well as the fact that the Silver matter is unlike our routine legal and regulatory proceedings that we see in the normal course of business.</w:t>
      </w:r>
    </w:p>
    <w:p>
      <w:pPr>
        <w:spacing w:after="0" w:line="64"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significant projects adjustment represents costs associated with certain transformational projects, which are not considered to be a part of our normal and recurring business operations and are not expected to recur in our future business plans. Moreover, the costs associated with significant projects, which are incurred on an infrequent and limited basis, are not reflective of our operating performance. Due to the aforementioned reasons, we have excluded the costs related to significant projects from our Adjusted EBITDA and Adjusted EPS, as such adjustment provides a more meaningful understanding to investors and others of our ongoing results.</w:t>
      </w:r>
    </w:p>
    <w:p>
      <w:pPr>
        <w:spacing w:after="0" w:line="230"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the IPO Offerings, or (ii) acquisitions, divestitures, and external financing activities, which costs would otherwise be excluded from our Adjusted EBITDA and Adjusted EPS. Therefore, we have excluded management fees from our Adjusted EBITDA and Adjusted EPS, as such fees are no longer applicable and representative of our ordinary operating performance as a result of the completion of the IPO Offerings.</w:t>
      </w:r>
    </w:p>
    <w:p>
      <w:pPr>
        <w:spacing w:after="0" w:line="56"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income (loss) , diluted EPS or other financial measures performed in accordance with U.S. GAAP. Our method of determining non-GAAP financial measures may differ from other companies’ financial measures and therefore may not be comparable to methods used by other companies.</w:t>
      </w:r>
    </w:p>
    <w:p>
      <w:pPr>
        <w:spacing w:after="0" w:line="56" w:lineRule="exact"/>
        <w:rPr>
          <w:sz w:val="20"/>
          <w:szCs w:val="20"/>
          <w:color w:val="auto"/>
        </w:rPr>
      </w:pPr>
    </w:p>
    <w:p>
      <w:pPr>
        <w:ind w:left="640" w:right="879" w:firstLine="351"/>
        <w:spacing w:after="0" w:line="268"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income (loss) to EBITDA and Adjusted EBITDA:</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0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20" w:type="dxa"/>
            <w:vAlign w:val="bottom"/>
          </w:tcPr>
          <w:p>
            <w:pPr>
              <w:spacing w:after="0"/>
              <w:rPr>
                <w:sz w:val="12"/>
                <w:szCs w:val="12"/>
                <w:color w:val="auto"/>
              </w:rPr>
            </w:pPr>
          </w:p>
        </w:tc>
        <w:tc>
          <w:tcPr>
            <w:tcW w:w="180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(26,944 )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(19,510 )</w:t>
            </w: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(9,466 )</w:t>
            </w:r>
          </w:p>
        </w:tc>
        <w:tc>
          <w:tcPr>
            <w:tcW w:w="2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(2,834 )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(32,760 )</w:t>
            </w:r>
          </w:p>
        </w:tc>
        <w:tc>
          <w:tcPr>
            <w:tcW w:w="20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(7,180 )</w:t>
            </w:r>
          </w:p>
        </w:tc>
      </w:tr>
      <w:tr>
        <w:trPr>
          <w:trHeight w:val="19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52,439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79,684</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117,459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157,861</w:t>
            </w:r>
          </w:p>
        </w:tc>
        <w:tc>
          <w:tcPr>
            <w:tcW w:w="80" w:type="dxa"/>
            <w:vAlign w:val="bottom"/>
            <w:shd w:val="clear" w:color="auto" w:fill="CFF0FC"/>
          </w:tcPr>
          <w:p>
            <w:pPr>
              <w:spacing w:after="0"/>
              <w:rPr>
                <w:sz w:val="17"/>
                <w:szCs w:val="17"/>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50,071</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50,205</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98,993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100,550</w:t>
            </w:r>
          </w:p>
        </w:tc>
        <w:tc>
          <w:tcPr>
            <w:tcW w:w="80" w:type="dxa"/>
            <w:vAlign w:val="bottom"/>
          </w:tcPr>
          <w:p>
            <w:pPr>
              <w:spacing w:after="0"/>
              <w:rPr>
                <w:sz w:val="16"/>
                <w:szCs w:val="16"/>
                <w:color w:val="auto"/>
              </w:rPr>
            </w:pPr>
          </w:p>
        </w:tc>
      </w:tr>
      <w:tr>
        <w:trPr>
          <w:trHeight w:val="18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112,485</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129,821</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156,748</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231,721</w:t>
            </w:r>
          </w:p>
        </w:tc>
        <w:tc>
          <w:tcPr>
            <w:tcW w:w="80" w:type="dxa"/>
            <w:vAlign w:val="bottom"/>
            <w:shd w:val="clear" w:color="auto" w:fill="CFF0FC"/>
          </w:tcPr>
          <w:p>
            <w:pPr>
              <w:spacing w:after="0"/>
              <w:rPr>
                <w:sz w:val="16"/>
                <w:szCs w:val="16"/>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80" w:type="dxa"/>
            <w:vAlign w:val="bottom"/>
          </w:tcPr>
          <w:p>
            <w:pPr>
              <w:spacing w:after="0"/>
              <w:rPr>
                <w:sz w:val="16"/>
                <w:szCs w:val="16"/>
                <w:color w:val="auto"/>
              </w:rPr>
            </w:pPr>
          </w:p>
        </w:tc>
      </w:tr>
      <w:tr>
        <w:trPr>
          <w:trHeight w:val="19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(2)</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7,435</w:t>
            </w:r>
          </w:p>
        </w:tc>
        <w:tc>
          <w:tcPr>
            <w:tcW w:w="80" w:type="dxa"/>
            <w:vAlign w:val="bottom"/>
            <w:shd w:val="clear" w:color="auto" w:fill="CFF0FC"/>
          </w:tcPr>
          <w:p>
            <w:pPr>
              <w:spacing w:after="0"/>
              <w:rPr>
                <w:sz w:val="17"/>
                <w:szCs w:val="17"/>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(3)</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80" w:type="dxa"/>
            <w:vAlign w:val="bottom"/>
          </w:tcPr>
          <w:p>
            <w:pPr>
              <w:spacing w:after="0"/>
              <w:rPr>
                <w:sz w:val="16"/>
                <w:szCs w:val="16"/>
                <w:color w:val="auto"/>
              </w:rPr>
            </w:pPr>
          </w:p>
        </w:tc>
      </w:tr>
      <w:tr>
        <w:trPr>
          <w:trHeight w:val="19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costs and settlements (4)</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12,966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80" w:type="dxa"/>
            <w:vAlign w:val="bottom"/>
            <w:shd w:val="clear" w:color="auto" w:fill="CFF0FC"/>
          </w:tcPr>
          <w:p>
            <w:pPr>
              <w:spacing w:after="0"/>
              <w:rPr>
                <w:sz w:val="17"/>
                <w:szCs w:val="17"/>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Significant projects (5)</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80" w:type="dxa"/>
            <w:vAlign w:val="bottom"/>
          </w:tcPr>
          <w:p>
            <w:pPr>
              <w:spacing w:after="0"/>
              <w:rPr>
                <w:sz w:val="16"/>
                <w:szCs w:val="16"/>
                <w:color w:val="auto"/>
              </w:rPr>
            </w:pPr>
          </w:p>
        </w:tc>
      </w:tr>
      <w:tr>
        <w:trPr>
          <w:trHeight w:val="19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Management fee (6)</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80" w:type="dxa"/>
            <w:vAlign w:val="bottom"/>
            <w:shd w:val="clear" w:color="auto" w:fill="CFF0FC"/>
          </w:tcPr>
          <w:p>
            <w:pPr>
              <w:spacing w:after="0"/>
              <w:rPr>
                <w:sz w:val="17"/>
                <w:szCs w:val="17"/>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Unreimbursed COVID-19 related costs</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r>
      <w:tr>
        <w:trPr>
          <w:trHeight w:val="184"/>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26,657</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19,606</w:t>
            </w: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112,892</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139,142</w:t>
            </w:r>
          </w:p>
        </w:tc>
        <w:tc>
          <w:tcPr>
            <w:tcW w:w="1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149,427</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269,640</w:t>
            </w:r>
          </w:p>
        </w:tc>
        <w:tc>
          <w:tcPr>
            <w:tcW w:w="16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264,705</w:t>
            </w:r>
          </w:p>
        </w:tc>
        <w:tc>
          <w:tcPr>
            <w:tcW w:w="80" w:type="dxa"/>
            <w:vAlign w:val="bottom"/>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-149860</wp:posOffset>
            </wp:positionV>
            <wp:extent cx="5461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-149860</wp:posOffset>
            </wp:positionV>
            <wp:extent cx="47625"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-149860</wp:posOffset>
            </wp:positionV>
            <wp:extent cx="4762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739" w:hanging="349"/>
        <w:spacing w:after="0" w:line="265"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and full-time employees. The three and six months ended June 30, 2024 includes $13.3 million and $21.4 million of costs, respectively, related to new equity awards granted upon the completion of our IPO under the 2024 Equity Incentive Plan. The six months ended June 30, 2024 includes $15.0 million of previously unrecognized share-based compensation expense related to performance-vesting options under the 2017 Stock Plan, which vested upon completion of the IPO.</w:t>
      </w:r>
    </w:p>
    <w:p>
      <w:pPr>
        <w:spacing w:after="0" w:line="58" w:lineRule="exact"/>
        <w:rPr>
          <w:rFonts w:ascii="Times New Roman" w:cs="Times New Roman" w:eastAsia="Times New Roman" w:hAnsi="Times New Roman"/>
          <w:sz w:val="14"/>
          <w:szCs w:val="14"/>
          <w:color w:val="auto"/>
        </w:rPr>
      </w:pPr>
    </w:p>
    <w:p>
      <w:pPr>
        <w:ind w:left="980" w:right="639" w:hanging="349"/>
        <w:spacing w:after="0" w:line="261"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and integration costs incurred including any facility consolidation, integration travel, or severance associated with the integration of an acquisition. These costs also included $1.1 million and $5.5 million of costs related to the IPO Offerings which were not capitalizable for the three and six months ended June 30, 2024, respectively, compared to $0.0 million and $0.2 million for the three and six months ended June 30, 2023, respectively; and system implementation costs associated with the integration of acquisitions of $0.1 million and $0.2 million for the three and six months ended June 30, 2024, respectively, compared to $0.5 million and $1.5 million for the three and six months ended June 30, 2023, respectively.</w:t>
      </w:r>
    </w:p>
    <w:p>
      <w:pPr>
        <w:spacing w:after="0" w:line="62" w:lineRule="exact"/>
        <w:rPr>
          <w:rFonts w:ascii="Times New Roman" w:cs="Times New Roman" w:eastAsia="Times New Roman" w:hAnsi="Times New Roman"/>
          <w:sz w:val="14"/>
          <w:szCs w:val="14"/>
          <w:color w:val="auto"/>
        </w:rPr>
      </w:pPr>
    </w:p>
    <w:p>
      <w:pPr>
        <w:ind w:left="980" w:right="679" w:hanging="349"/>
        <w:spacing w:after="0" w:line="264"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and related license impairment, and severance expenses associated with certain enterprise-wide or significant business line cost-savings measures. These costs included $12.7 million of unamortized debt issuance costs associated with the extinguishment of our Second Lien Facility in the six months ended June 30, 2024. These costs also included $0.1 million and $1.9 million of intangible asset and other investment impairment for the three and six months ended June 30, 2024, respectively, as compared to $3.8 million and $6.0 million for the three and six months ended June 30, 2023, respectively.</w:t>
      </w:r>
    </w:p>
    <w:p>
      <w:pPr>
        <w:spacing w:after="0" w:line="56" w:lineRule="exact"/>
        <w:rPr>
          <w:rFonts w:ascii="Times New Roman" w:cs="Times New Roman" w:eastAsia="Times New Roman" w:hAnsi="Times New Roman"/>
          <w:sz w:val="14"/>
          <w:szCs w:val="14"/>
          <w:color w:val="auto"/>
        </w:rPr>
      </w:pPr>
    </w:p>
    <w:p>
      <w:pPr>
        <w:ind w:left="980" w:right="819" w:hanging="349"/>
        <w:spacing w:after="0" w:line="268"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settlement and defense costs associated with certain PharMerica litigation matters associated with two historical cases, which includes the Silver matter. For the six months ended June 30, 2024, these costs included $5.0 million associated with the settlement of the Silver matter due to a change in estimate. See Note 10 within the unaudited condensed consolidated financial statements and related notes in this Quarterly Report on Form 10-Q for additional information.</w:t>
      </w:r>
    </w:p>
    <w:p>
      <w:pPr>
        <w:spacing w:after="0" w:line="55" w:lineRule="exact"/>
        <w:rPr>
          <w:rFonts w:ascii="Times New Roman" w:cs="Times New Roman" w:eastAsia="Times New Roman" w:hAnsi="Times New Roman"/>
          <w:sz w:val="14"/>
          <w:szCs w:val="14"/>
          <w:color w:val="auto"/>
        </w:rPr>
      </w:pPr>
    </w:p>
    <w:p>
      <w:pPr>
        <w:ind w:left="980" w:right="659" w:hanging="349"/>
        <w:spacing w:after="0" w:line="260"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costs associated with certain transformational projects and for the periods presented. General ledger system migration and related business intelligence system implementation costs, which were capitalized as development costs and are subsequently amortized in accordance with ASC 350-40, </w:t>
      </w:r>
      <w:r>
        <w:rPr>
          <w:rFonts w:ascii="Times New Roman" w:cs="Times New Roman" w:eastAsia="Times New Roman" w:hAnsi="Times New Roman"/>
          <w:sz w:val="14"/>
          <w:szCs w:val="14"/>
          <w:i w:val="1"/>
          <w:iCs w:val="1"/>
          <w:color w:val="auto"/>
        </w:rPr>
        <w:t>Internal Use Software</w:t>
      </w:r>
      <w:r>
        <w:rPr>
          <w:rFonts w:ascii="Times New Roman" w:cs="Times New Roman" w:eastAsia="Times New Roman" w:hAnsi="Times New Roman"/>
          <w:sz w:val="14"/>
          <w:szCs w:val="14"/>
          <w:color w:val="auto"/>
        </w:rPr>
        <w:t>, were $0.2 million and $0.7 million for the three and six months ended June 30, 2024, respectively, compared to $0.5 million and $1.0 million for the three and six month ended June 30, 2023, respectively. The general ledger system migration and related business intelligence system project costs were completed during the second fiscal quarter of 2024. Pharmacy billing system implementation costs were $0.1 million and $0.7 million for the three and six months ended June 30, 2024, respectively, compared to $0.7 million and $1.1 million for the three and six months ended June 30, 2023, respectively. The pharmacy billing system project costs were completed in the second fiscal quarter of 2024. Ransomware attack response costs associated with the ransomware attack in the first half of 2023 were $0.5 million and $2.5 million for the three and six months ended June 30, 2023.</w:t>
      </w:r>
    </w:p>
    <w:p>
      <w:pPr>
        <w:spacing w:after="0" w:line="63" w:lineRule="exact"/>
        <w:rPr>
          <w:rFonts w:ascii="Times New Roman" w:cs="Times New Roman" w:eastAsia="Times New Roman" w:hAnsi="Times New Roman"/>
          <w:sz w:val="14"/>
          <w:szCs w:val="14"/>
          <w:color w:val="auto"/>
        </w:rPr>
      </w:pPr>
    </w:p>
    <w:p>
      <w:pPr>
        <w:ind w:left="980" w:right="699" w:hanging="349"/>
        <w:spacing w:after="0" w:line="275"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management fees payable to the Managers under the Monitoring Agreement through the date of the IPO, and $22.7 million of termination fees resulting from the Monitoring Agreement being terminated upon completion of the IPO Offerings. All management fees have ceased following the completion of the IPO.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41" w:name="page42"/>
    <w:bookmarkEnd w:id="41"/>
    <w:p>
      <w:pPr>
        <w:ind w:left="114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0"/>
        </w:trPr>
        <w:tc>
          <w:tcPr>
            <w:tcW w:w="41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(shares in thousands)</w:t>
            </w:r>
          </w:p>
        </w:tc>
        <w:tc>
          <w:tcPr>
            <w:tcW w:w="100" w:type="dxa"/>
            <w:vAlign w:val="bottom"/>
          </w:tcPr>
          <w:p>
            <w:pPr>
              <w:spacing w:after="0"/>
              <w:rPr>
                <w:sz w:val="12"/>
                <w:szCs w:val="12"/>
                <w:color w:val="auto"/>
              </w:rPr>
            </w:pPr>
          </w:p>
        </w:tc>
        <w:tc>
          <w:tcPr>
            <w:tcW w:w="172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12"/>
                <w:szCs w:val="12"/>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r>
      <w:tr>
        <w:trPr>
          <w:trHeight w:val="148"/>
        </w:trPr>
        <w:tc>
          <w:tcPr>
            <w:tcW w:w="4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(0.15 )</w:t>
            </w:r>
          </w:p>
        </w:tc>
      </w:tr>
      <w:tr>
        <w:trPr>
          <w:trHeight w:val="19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r>
      <w:tr>
        <w:trPr>
          <w:trHeight w:val="19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(1)</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FF0FC"/>
          </w:tcPr>
          <w:p>
            <w:pPr>
              <w:spacing w:after="0"/>
              <w:rPr>
                <w:sz w:val="17"/>
                <w:szCs w:val="17"/>
                <w:color w:val="auto"/>
              </w:rPr>
            </w:pPr>
          </w:p>
        </w:tc>
      </w:tr>
      <w:tr>
        <w:trPr>
          <w:trHeight w:val="19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(1)</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6"/>
                <w:szCs w:val="16"/>
                <w:color w:val="auto"/>
              </w:rPr>
            </w:pPr>
          </w:p>
        </w:tc>
      </w:tr>
      <w:tr>
        <w:trPr>
          <w:trHeight w:val="19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costs and settlements (1)</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shd w:val="clear" w:color="auto" w:fill="CFF0FC"/>
          </w:tcPr>
          <w:p>
            <w:pPr>
              <w:spacing w:after="0"/>
              <w:rPr>
                <w:sz w:val="17"/>
                <w:szCs w:val="17"/>
                <w:color w:val="auto"/>
              </w:rPr>
            </w:pPr>
          </w:p>
        </w:tc>
      </w:tr>
      <w:tr>
        <w:trPr>
          <w:trHeight w:val="19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Significant projects (1)</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r>
      <w:tr>
        <w:trPr>
          <w:trHeight w:val="19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Management fee (1)</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FF0FC"/>
          </w:tcPr>
          <w:p>
            <w:pPr>
              <w:spacing w:after="0"/>
              <w:rPr>
                <w:sz w:val="17"/>
                <w:szCs w:val="17"/>
                <w:color w:val="auto"/>
              </w:rPr>
            </w:pPr>
          </w:p>
        </w:tc>
      </w:tr>
      <w:tr>
        <w:trPr>
          <w:trHeight w:val="190"/>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Unreimbursed COVID-19 related costs (1)</w:t>
            </w: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6"/>
                <w:szCs w:val="16"/>
                <w:color w:val="auto"/>
              </w:rPr>
            </w:pPr>
          </w:p>
        </w:tc>
      </w:tr>
      <w:tr>
        <w:trPr>
          <w:trHeight w:val="19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impact on adjustments (2)(3)</w:t>
            </w:r>
          </w:p>
        </w:tc>
        <w:tc>
          <w:tcPr>
            <w:tcW w:w="1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(0.12 )</w:t>
            </w:r>
          </w:p>
        </w:tc>
        <w:tc>
          <w:tcPr>
            <w:tcW w:w="2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(0.04 )</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(0.22 )</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(0.07 )</w:t>
            </w:r>
          </w:p>
        </w:tc>
      </w:tr>
      <w:tr>
        <w:trPr>
          <w:trHeight w:val="181"/>
        </w:trPr>
        <w:tc>
          <w:tcPr>
            <w:tcW w:w="4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top w:val="single" w:sz="8" w:color="CFF0FC"/>
            </w:tcBorders>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126,449</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186,523</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117,875</w:t>
            </w:r>
          </w:p>
        </w:tc>
        <w:tc>
          <w:tcPr>
            <w:tcW w:w="80" w:type="dxa"/>
            <w:vAlign w:val="bottom"/>
            <w:shd w:val="clear" w:color="auto" w:fill="CFF0FC"/>
          </w:tcPr>
          <w:p>
            <w:pPr>
              <w:spacing w:after="0"/>
              <w:rPr>
                <w:sz w:val="14"/>
                <w:szCs w:val="14"/>
                <w:color w:val="auto"/>
              </w:rPr>
            </w:pPr>
          </w:p>
        </w:tc>
      </w:tr>
      <w:tr>
        <w:trPr>
          <w:trHeight w:val="198"/>
        </w:trPr>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diluted U.S. GAAP net income (loss) per common share</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used in calculating</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208,987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197,360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126,485</w:t>
            </w:r>
          </w:p>
        </w:tc>
        <w:tc>
          <w:tcPr>
            <w:tcW w:w="80" w:type="dxa"/>
            <w:vAlign w:val="bottom"/>
          </w:tcPr>
          <w:p>
            <w:pPr>
              <w:spacing w:after="0"/>
              <w:rPr>
                <w:sz w:val="14"/>
                <w:szCs w:val="14"/>
                <w:color w:val="auto"/>
              </w:rPr>
            </w:pPr>
          </w:p>
        </w:tc>
      </w:tr>
      <w:tr>
        <w:trPr>
          <w:trHeight w:val="186"/>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Non-GAAP net income (loss) per common share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-729615</wp:posOffset>
            </wp:positionV>
            <wp:extent cx="5461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-729615</wp:posOffset>
            </wp:positionV>
            <wp:extent cx="47625"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-729615</wp:posOffset>
            </wp:positionV>
            <wp:extent cx="47625"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-729615</wp:posOffset>
            </wp:positionV>
            <wp:extent cx="47625"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63" w:lineRule="exact"/>
        <w:rPr>
          <w:sz w:val="20"/>
          <w:szCs w:val="20"/>
          <w:color w:val="auto"/>
        </w:rPr>
      </w:pPr>
    </w:p>
    <w:p>
      <w:pPr>
        <w:ind w:left="980" w:hanging="349"/>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7" w:lineRule="exact"/>
        <w:rPr>
          <w:rFonts w:ascii="Times New Roman" w:cs="Times New Roman" w:eastAsia="Times New Roman" w:hAnsi="Times New Roman"/>
          <w:sz w:val="14"/>
          <w:szCs w:val="14"/>
          <w:color w:val="auto"/>
        </w:rPr>
      </w:pPr>
    </w:p>
    <w:p>
      <w:pPr>
        <w:ind w:left="980" w:right="1079" w:hanging="349"/>
        <w:spacing w:after="0" w:line="293"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w:t>
      </w:r>
    </w:p>
    <w:p>
      <w:pPr>
        <w:spacing w:after="0" w:line="37" w:lineRule="exact"/>
        <w:rPr>
          <w:rFonts w:ascii="Times New Roman" w:cs="Times New Roman" w:eastAsia="Times New Roman" w:hAnsi="Times New Roman"/>
          <w:sz w:val="14"/>
          <w:szCs w:val="14"/>
          <w:color w:val="auto"/>
        </w:rPr>
      </w:pPr>
    </w:p>
    <w:p>
      <w:pPr>
        <w:ind w:left="980" w:right="659" w:hanging="349"/>
        <w:spacing w:after="0" w:line="275"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six months ended June 30, 2024, the income tax impact on adjustments is inclusive of a discrete tax benefit related to the Silver matter that was finalized in connection with the signing of the settlement agreement during the second fiscal quarter of 2024.</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refinancing or additional financing on favorable terms or at all.</w:t>
      </w:r>
    </w:p>
    <w:p>
      <w:pPr>
        <w:spacing w:after="0" w:line="233"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42" w:name="page43"/>
    <w:bookmarkEnd w:id="42"/>
    <w:p>
      <w:pPr>
        <w:ind w:left="98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9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For the Six Months Ended</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Year Ended</w:t>
            </w:r>
          </w:p>
        </w:tc>
      </w:tr>
      <w:tr>
        <w:trPr>
          <w:trHeight w:val="148"/>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1"/>
        </w:trPr>
        <w:tc>
          <w:tcPr>
            <w:tcW w:w="49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2"/>
                <w:szCs w:val="12"/>
                <w:color w:val="auto"/>
              </w:rPr>
            </w:pPr>
          </w:p>
        </w:tc>
      </w:tr>
      <w:tr>
        <w:trPr>
          <w:trHeight w:val="184"/>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Revolving Credit Facility Rollforward</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Beginning Revolving Credit Facility balance</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74,800</w:t>
            </w:r>
          </w:p>
        </w:tc>
        <w:tc>
          <w:tcPr>
            <w:tcW w:w="80" w:type="dxa"/>
            <w:vAlign w:val="bottom"/>
          </w:tcPr>
          <w:p>
            <w:pPr>
              <w:spacing w:after="0"/>
              <w:rPr>
                <w:sz w:val="16"/>
                <w:szCs w:val="16"/>
                <w:color w:val="auto"/>
              </w:rPr>
            </w:pPr>
          </w:p>
        </w:tc>
      </w:tr>
      <w:tr>
        <w:trPr>
          <w:trHeight w:val="194"/>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Borrowings (repayments) of the Revolving Credit Facility, net</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(24,100 )</w:t>
            </w:r>
          </w:p>
        </w:tc>
      </w:tr>
      <w:tr>
        <w:trPr>
          <w:trHeight w:val="184"/>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Ending Revolving Credit Facility balance</w:t>
            </w: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55,800</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80" w:type="dxa"/>
            <w:vAlign w:val="bottom"/>
            <w:tcBorders>
              <w:top w:val="single" w:sz="8" w:color="CFF0FC"/>
            </w:tcBorders>
          </w:tcPr>
          <w:p>
            <w:pPr>
              <w:spacing w:after="0"/>
              <w:rPr>
                <w:sz w:val="16"/>
                <w:szCs w:val="16"/>
                <w:color w:val="auto"/>
              </w:rPr>
            </w:pPr>
          </w:p>
        </w:tc>
      </w:tr>
      <w:tr>
        <w:trPr>
          <w:trHeight w:val="18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Calculation of Revolving Credit Facility and LC Facility availability</w:t>
            </w: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 and LC Facility limit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6"/>
                <w:szCs w:val="16"/>
                <w:color w:val="auto"/>
              </w:rPr>
            </w:pPr>
          </w:p>
        </w:tc>
      </w:tr>
      <w:tr>
        <w:trPr>
          <w:trHeight w:val="198"/>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Revolving Credit Facility balance</w:t>
            </w: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(55,800 )</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(50,700 )</w:t>
            </w:r>
          </w:p>
        </w:tc>
      </w:tr>
      <w:tr>
        <w:trPr>
          <w:trHeight w:val="190"/>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Less: outstanding letters of credit subject to LC Sublimit</w:t>
            </w:r>
          </w:p>
        </w:tc>
        <w:tc>
          <w:tcPr>
            <w:tcW w:w="3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(7,795 )</w:t>
            </w: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(6,632 )</w:t>
            </w:r>
          </w:p>
        </w:tc>
      </w:tr>
      <w:tr>
        <w:trPr>
          <w:trHeight w:val="194"/>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letters of credit under the LC Facility</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(54,221 )</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(54,279 )</w:t>
            </w:r>
          </w:p>
        </w:tc>
      </w:tr>
      <w:tr>
        <w:trPr>
          <w:trHeight w:val="184"/>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End of period Revolving Credit Facility and LC Facility availability</w:t>
            </w: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412,184</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418,389</w:t>
            </w:r>
          </w:p>
        </w:tc>
        <w:tc>
          <w:tcPr>
            <w:tcW w:w="80" w:type="dxa"/>
            <w:vAlign w:val="bottom"/>
            <w:tcBorders>
              <w:top w:val="single" w:sz="8" w:color="CFF0FC"/>
            </w:tcBorders>
          </w:tcPr>
          <w:p>
            <w:pPr>
              <w:spacing w:after="0"/>
              <w:rPr>
                <w:sz w:val="16"/>
                <w:szCs w:val="16"/>
                <w:color w:val="auto"/>
              </w:rPr>
            </w:pPr>
          </w:p>
        </w:tc>
      </w:tr>
      <w:tr>
        <w:trPr>
          <w:trHeight w:val="194"/>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 cash balance</w:t>
            </w: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25,027</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Total Liquidity, end of period</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437,211</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431,460</w:t>
            </w:r>
          </w:p>
        </w:tc>
        <w:tc>
          <w:tcPr>
            <w:tcW w:w="80" w:type="dxa"/>
            <w:vAlign w:val="bottom"/>
          </w:tcPr>
          <w:p>
            <w:pPr>
              <w:spacing w:after="0"/>
              <w:rPr>
                <w:sz w:val="16"/>
                <w:szCs w:val="16"/>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-1153795</wp:posOffset>
            </wp:positionV>
            <wp:extent cx="4762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-1153795</wp:posOffset>
            </wp:positionV>
            <wp:extent cx="47625"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-402590</wp:posOffset>
            </wp:positionV>
            <wp:extent cx="47625"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-402590</wp:posOffset>
            </wp:positionV>
            <wp:extent cx="47625"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-149860</wp:posOffset>
            </wp:positionV>
            <wp:extent cx="4762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Six Months Ended June 30, 2024 and 2023</w:t>
      </w:r>
    </w:p>
    <w:p>
      <w:pPr>
        <w:spacing w:after="0" w:line="99" w:lineRule="exact"/>
        <w:rPr>
          <w:sz w:val="20"/>
          <w:szCs w:val="20"/>
          <w:color w:val="auto"/>
        </w:rPr>
      </w:pPr>
    </w:p>
    <w:p>
      <w:pPr>
        <w:ind w:left="640" w:right="79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a summary of our cash flows provided by (used in) operating, investing, and financing activities for the periods presented:</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2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4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w w:val="98"/>
              </w:rPr>
              <w:t>Variance</w:t>
            </w:r>
          </w:p>
        </w:tc>
        <w:tc>
          <w:tcPr>
            <w:tcW w:w="80" w:type="dxa"/>
            <w:vAlign w:val="bottom"/>
          </w:tcPr>
          <w:p>
            <w:pPr>
              <w:spacing w:after="0"/>
              <w:rPr>
                <w:sz w:val="12"/>
                <w:szCs w:val="12"/>
                <w:color w:val="auto"/>
              </w:rPr>
            </w:pPr>
          </w:p>
        </w:tc>
      </w:tr>
      <w:tr>
        <w:trPr>
          <w:trHeight w:val="184"/>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(94,084 )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(108,776 )</w:t>
            </w: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(88,630 )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(62,764 )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(25,866 )</w:t>
            </w:r>
          </w:p>
        </w:tc>
      </w:tr>
      <w:tr>
        <w:trPr>
          <w:trHeight w:val="19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194,670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45,700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148,970</w:t>
            </w:r>
          </w:p>
        </w:tc>
        <w:tc>
          <w:tcPr>
            <w:tcW w:w="80" w:type="dxa"/>
            <w:vAlign w:val="bottom"/>
            <w:shd w:val="clear" w:color="auto" w:fill="CFF0FC"/>
          </w:tcPr>
          <w:p>
            <w:pPr>
              <w:spacing w:after="0"/>
              <w:rPr>
                <w:sz w:val="17"/>
                <w:szCs w:val="17"/>
                <w:color w:val="auto"/>
              </w:rPr>
            </w:pP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799" w:firstLine="351"/>
        <w:spacing w:after="0" w:line="293" w:lineRule="auto"/>
        <w:rPr>
          <w:sz w:val="20"/>
          <w:szCs w:val="20"/>
          <w:color w:val="auto"/>
        </w:rPr>
      </w:pPr>
      <w:r>
        <w:rPr>
          <w:rFonts w:ascii="Times New Roman" w:cs="Times New Roman" w:eastAsia="Times New Roman" w:hAnsi="Times New Roman"/>
          <w:sz w:val="14"/>
          <w:szCs w:val="14"/>
          <w:color w:val="auto"/>
        </w:rPr>
        <w:t>Net cash used in operating activities was $94.1 million for the six months ended June 30, 2024 compared to net cash provided by operating activities of $14.7 million for the six months ended June 30, 2023. The change was primarily due to the following:</w:t>
      </w:r>
    </w:p>
    <w:p>
      <w:pPr>
        <w:spacing w:after="0" w:line="37" w:lineRule="exact"/>
        <w:rPr>
          <w:sz w:val="20"/>
          <w:szCs w:val="20"/>
          <w:color w:val="auto"/>
        </w:rPr>
      </w:pPr>
    </w:p>
    <w:p>
      <w:pPr>
        <w:ind w:left="1340" w:right="899" w:hanging="359"/>
        <w:spacing w:after="0" w:line="293"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$90.0 million in cash outflows for the partial payment of the legal settlement for the Silver matter in the second fiscal quarter of 2024;</w:t>
      </w:r>
    </w:p>
    <w:p>
      <w:pPr>
        <w:spacing w:after="0" w:line="3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$42.8 million in cash outflows for direct and indirect remuneration fees paid;</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approximately $30 million of cash inflows related to the QIP received in 2023 that was not received in 2024;</w:t>
      </w:r>
    </w:p>
    <w:p>
      <w:pPr>
        <w:spacing w:after="0" w:line="97" w:lineRule="exact"/>
        <w:rPr>
          <w:rFonts w:ascii="Times New Roman" w:cs="Times New Roman" w:eastAsia="Times New Roman" w:hAnsi="Times New Roman"/>
          <w:sz w:val="14"/>
          <w:szCs w:val="14"/>
          <w:color w:val="auto"/>
        </w:rPr>
      </w:pPr>
    </w:p>
    <w:p>
      <w:pPr>
        <w:ind w:left="1340" w:right="779" w:hanging="359"/>
        <w:spacing w:after="0" w:line="293"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$18.8 million of cash inflows for the PRF general distribution which was received in 2023, as compared to no PRF general distribution in 2024;</w:t>
      </w:r>
    </w:p>
    <w:p>
      <w:pPr>
        <w:spacing w:after="0" w:line="37" w:lineRule="exact"/>
        <w:rPr>
          <w:rFonts w:ascii="Times New Roman" w:cs="Times New Roman" w:eastAsia="Times New Roman" w:hAnsi="Times New Roman"/>
          <w:sz w:val="14"/>
          <w:szCs w:val="14"/>
          <w:color w:val="auto"/>
        </w:rPr>
      </w:pPr>
    </w:p>
    <w:p>
      <w:pPr>
        <w:ind w:left="1340" w:right="719" w:hanging="359"/>
        <w:spacing w:after="0" w:line="293"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$7.1 million of cash inflows in accounts receivable due to volume growth in the first half of 2024 compared to the first half of 2023;</w:t>
      </w:r>
    </w:p>
    <w:p>
      <w:pPr>
        <w:spacing w:after="0" w:line="3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$38.0 million in cash outflows due to timing of payments for inventory purchases driven by volume growth;</w:t>
      </w:r>
    </w:p>
    <w:p>
      <w:pPr>
        <w:spacing w:after="0" w:line="97" w:lineRule="exact"/>
        <w:rPr>
          <w:rFonts w:ascii="Times New Roman" w:cs="Times New Roman" w:eastAsia="Times New Roman" w:hAnsi="Times New Roman"/>
          <w:sz w:val="14"/>
          <w:szCs w:val="14"/>
          <w:color w:val="auto"/>
        </w:rPr>
      </w:pPr>
    </w:p>
    <w:p>
      <w:pPr>
        <w:ind w:left="1340" w:right="1039" w:hanging="359"/>
        <w:spacing w:after="0" w:line="293"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$36.5 million in cash outflows for interest, net primarily as a result of paydowns, extinguishments and modifications of debt utilizing proceeds from the IPO Offerings; and</w:t>
      </w:r>
    </w:p>
    <w:p>
      <w:pPr>
        <w:spacing w:after="0" w:line="3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decrease of $2.9 million in cash outflows for income taxes.</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819" w:firstLine="351"/>
        <w:spacing w:after="0" w:line="275" w:lineRule="auto"/>
        <w:rPr>
          <w:sz w:val="20"/>
          <w:szCs w:val="20"/>
          <w:color w:val="auto"/>
        </w:rPr>
      </w:pPr>
      <w:r>
        <w:rPr>
          <w:rFonts w:ascii="Times New Roman" w:cs="Times New Roman" w:eastAsia="Times New Roman" w:hAnsi="Times New Roman"/>
          <w:sz w:val="14"/>
          <w:szCs w:val="14"/>
          <w:color w:val="auto"/>
        </w:rPr>
        <w:t>Net cash used in investing activities increased by $25.9 million, from $62.8 million in the six months ended June 30, 2023 to $88.6 million in the six months ended June 30, 2024. The increase was primarily due to a $6.8 million increase in purchases of property and equipment in 2024 compared to 2023 and an increase of $18.1 million paid for acquisitions in 2024 compared to 2023.</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was $194.7 million for the six months ended June 30, 2024, primarily attributable to net proceeds received from the IPO Offerings of $1,045.5 million, offset by extinguishment of and repayments on our long-term debt of $805.0 million, and payment of debt issuance costs of $43.2 million, partially offset by net borrowings on our Revolving Credit Facility of $5.1 million and other financing activities.</w:t>
      </w:r>
    </w:p>
    <w:p>
      <w:pPr>
        <w:spacing w:after="0" w:line="56" w:lineRule="exact"/>
        <w:rPr>
          <w:sz w:val="20"/>
          <w:szCs w:val="20"/>
          <w:color w:val="auto"/>
        </w:rPr>
      </w:pPr>
    </w:p>
    <w:p>
      <w:pPr>
        <w:ind w:left="640" w:right="679" w:firstLine="351"/>
        <w:spacing w:after="0" w:line="275" w:lineRule="auto"/>
        <w:rPr>
          <w:sz w:val="20"/>
          <w:szCs w:val="20"/>
          <w:color w:val="auto"/>
        </w:rPr>
      </w:pPr>
      <w:r>
        <w:rPr>
          <w:rFonts w:ascii="Times New Roman" w:cs="Times New Roman" w:eastAsia="Times New Roman" w:hAnsi="Times New Roman"/>
          <w:sz w:val="14"/>
          <w:szCs w:val="14"/>
          <w:color w:val="auto"/>
        </w:rPr>
        <w:t>Net cash provided by financing activities was $45.7 million for the six months ended June 30, 2023, primarily attributable to net borrowings on our Revolving Credit Facility of $66.6 million, partially offset by repayments on our long-term debt of $15.3 million, and other financing activities.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 Below is a summary of our long-term indebtedness as of June 30, 2024 and December 31, 2023.</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were in compliance with all applicable financial covenants as of June 30, 2024 and December 31, 2023.</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The First Lien Credit Agreement originally consisted of a principal amount of $1,650.0 million. In 2019, an additional delayed draw of $150.0 million was made on the First Lien Credit Agreement (“Tranche B-1”). The First Lien Credit Agreement was further amended in 2020 (“Tranche B-2”) and 2021 (“Tranche B-3”) to establish additional borrowings of $550.0 million and $675.0 million, respectively, resulting in a total gross borrowings of $3,025.0 million.</w:t>
      </w:r>
    </w:p>
    <w:p>
      <w:pPr>
        <w:spacing w:after="0" w:line="61" w:lineRule="exact"/>
        <w:rPr>
          <w:sz w:val="20"/>
          <w:szCs w:val="20"/>
          <w:color w:val="auto"/>
        </w:rPr>
      </w:pPr>
    </w:p>
    <w:p>
      <w:pPr>
        <w:ind w:left="640" w:right="839" w:firstLine="351"/>
        <w:spacing w:after="0" w:line="293" w:lineRule="auto"/>
        <w:rPr>
          <w:sz w:val="20"/>
          <w:szCs w:val="20"/>
          <w:color w:val="auto"/>
        </w:rPr>
      </w:pPr>
      <w:r>
        <w:rPr>
          <w:rFonts w:ascii="Times New Roman" w:cs="Times New Roman" w:eastAsia="Times New Roman" w:hAnsi="Times New Roman"/>
          <w:sz w:val="14"/>
          <w:szCs w:val="14"/>
          <w:color w:val="auto"/>
        </w:rPr>
        <w:t>On June 30, 2023, the Company amended the terms of the First Lien Credit Agreement to reflect a change in reference rate to the Secured Overnight Financing Rate (“SOFR”).</w:t>
      </w:r>
    </w:p>
    <w:p>
      <w:pPr>
        <w:spacing w:after="0" w:line="37" w:lineRule="exact"/>
        <w:rPr>
          <w:sz w:val="20"/>
          <w:szCs w:val="20"/>
          <w:color w:val="auto"/>
        </w:rPr>
      </w:pPr>
    </w:p>
    <w:p>
      <w:pPr>
        <w:ind w:left="640" w:right="659" w:firstLine="516"/>
        <w:spacing w:after="0" w:line="265"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established Tranche B-4 to refinance the remaining $2,566.0 million of borrowings under the First Lien Credit Agreement at a rate equal to SOFR plus 3.25%. Tranche B-4 has a maturity date of February 21, 2031. For additional information about our First Lien Credit Agreement, see Note 5 of the unaudited condensed consolidated financial statements and related notes in this Quarterly Report on Form 10-Q.</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719" w:firstLine="351"/>
        <w:spacing w:after="0" w:line="265" w:lineRule="auto"/>
        <w:rPr>
          <w:sz w:val="20"/>
          <w:szCs w:val="20"/>
          <w:color w:val="auto"/>
        </w:rPr>
      </w:pPr>
      <w:r>
        <w:rPr>
          <w:rFonts w:ascii="Times New Roman" w:cs="Times New Roman" w:eastAsia="Times New Roman" w:hAnsi="Times New Roman"/>
          <w:sz w:val="14"/>
          <w:szCs w:val="14"/>
          <w:color w:val="auto"/>
        </w:rPr>
        <w:t>The total borrowing capacity under the Revolving Credit Facility (the “Revolver”) was $475.0 million as of June 30, 2024 and December 31, 2023. As of June 30, 2024, the Company had $55.8 million of borrowings outstanding under the Revolver and $7.8 million of letters of credit reducing the available borrowing capacity to approximately $411.4 million. As of December 31, 2023, the Company had $50.7 million of borrowings outstanding under the Revolver and $6.6 million of letters of credit, reducing the available borrowing capacity to $417.7 million.</w:t>
      </w:r>
    </w:p>
    <w:p>
      <w:pPr>
        <w:spacing w:after="0" w:line="58"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First Lien Credit Agreement, as amended, provides for an additional $55.0 million of letter of credit commitments, or the LC Facility, which are not subject to the LC Sublimit. As of June 30, 2024, there were $54.2 million of letters of credit outstanding under the LC Facility, resulting in an available borrowing capacity of $0.8 million. As of December 31, 2023, there were $54.3 million of letters of credit outstanding under the LC Facility, resulting in an available borrowing capacity of $0.7 million.</w:t>
      </w:r>
    </w:p>
    <w:p>
      <w:pPr>
        <w:spacing w:after="0" w:line="56" w:lineRule="exact"/>
        <w:rPr>
          <w:sz w:val="20"/>
          <w:szCs w:val="20"/>
          <w:color w:val="auto"/>
        </w:rPr>
      </w:pPr>
    </w:p>
    <w:p>
      <w:pPr>
        <w:ind w:left="640" w:right="1019" w:firstLine="552"/>
        <w:spacing w:after="0" w:line="293" w:lineRule="auto"/>
        <w:rPr>
          <w:sz w:val="20"/>
          <w:szCs w:val="20"/>
          <w:color w:val="auto"/>
        </w:rPr>
      </w:pPr>
      <w:r>
        <w:rPr>
          <w:rFonts w:ascii="Times New Roman" w:cs="Times New Roman" w:eastAsia="Times New Roman" w:hAnsi="Times New Roman"/>
          <w:sz w:val="14"/>
          <w:szCs w:val="14"/>
          <w:color w:val="auto"/>
        </w:rPr>
        <w:t>For additional information about our Revolving Credit Facility and LC Facility, see Note 5 of the unaudited condensed consolidated financial statements and related notes in this Quarterly Report on Form 10-Q.</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On March 5, 2019, the Company entered into a $450.0 million Second Lien Facility. Borrowings under the Second Lien Facility were subordinated to the First Lien Credit Agreement. On January 30, 2024, we used a portion of the net proceeds received from the IPO Offerings to repay all outstanding borrowings under the Second Lien Facility. No further obligation exists related to the Second Lien Facility. This transaction was accounted for as a debt extinguishment and the Company incurred a loss on extinguishment of debt of $12.7 million related to the write-off of unamortized debt issuance costs.</w:t>
      </w:r>
    </w:p>
    <w:p>
      <w:pPr>
        <w:spacing w:after="0" w:line="58" w:lineRule="exact"/>
        <w:rPr>
          <w:sz w:val="20"/>
          <w:szCs w:val="20"/>
          <w:color w:val="auto"/>
        </w:rPr>
      </w:pPr>
    </w:p>
    <w:p>
      <w:pPr>
        <w:ind w:left="640" w:right="659" w:firstLine="351"/>
        <w:spacing w:after="0" w:line="293" w:lineRule="auto"/>
        <w:rPr>
          <w:sz w:val="20"/>
          <w:szCs w:val="20"/>
          <w:color w:val="auto"/>
        </w:rPr>
      </w:pPr>
      <w:r>
        <w:rPr>
          <w:rFonts w:ascii="Times New Roman" w:cs="Times New Roman" w:eastAsia="Times New Roman" w:hAnsi="Times New Roman"/>
          <w:sz w:val="14"/>
          <w:szCs w:val="14"/>
          <w:color w:val="auto"/>
        </w:rPr>
        <w:t>The First Lien Credit Agreement and the Second Lien Credit Agreement described above contain customary negative covenants, including, but not limited to, restrictions on the Company and its restricted subsidiaries’ ability to merge and consolidate with other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640" w:right="679"/>
        <w:spacing w:after="0" w:line="264" w:lineRule="auto"/>
        <w:rPr>
          <w:sz w:val="20"/>
          <w:szCs w:val="20"/>
          <w:color w:val="auto"/>
        </w:rPr>
      </w:pPr>
      <w:r>
        <w:rPr>
          <w:rFonts w:ascii="Times New Roman" w:cs="Times New Roman" w:eastAsia="Times New Roman" w:hAnsi="Times New Roman"/>
          <w:sz w:val="14"/>
          <w:szCs w:val="14"/>
          <w:color w:val="auto"/>
        </w:rPr>
        <w:t>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three receive-variable, pay-fixed interest rate swap agreements, with a combined notional value of $2.0 billion, all effective September 30, 2022 with a maturity date of September 30, 2025. The refinancing of existing term debt on February 21, 2024 did not result in a change to the terms of the interest rate swap agreements. For the six months ended June 30, 2024 and the year ended December 31, 2023, interest expense, net includes interest income related to cash flow hedges of interest rate risk of $19.1 million and $31.4 million, respectively.</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Tangible Equity Units</w:t>
      </w:r>
    </w:p>
    <w:p>
      <w:pPr>
        <w:spacing w:after="0" w:line="99" w:lineRule="exact"/>
        <w:rPr>
          <w:sz w:val="20"/>
          <w:szCs w:val="20"/>
          <w:color w:val="auto"/>
        </w:rPr>
      </w:pPr>
    </w:p>
    <w:p>
      <w:pPr>
        <w:ind w:left="640" w:right="679" w:firstLine="516"/>
        <w:spacing w:after="0" w:line="261"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was $0.8531 per Amortizing Note, with a final installment payment date of February 1, 2027. In the aggregate, the annual quarterly cash installments will be equivalent of 6.75% per year. Each installment payment constitutes a payment of interest and a partial repayment of principal. Each TEU may be separated by a holder into its constituent Purchase Contract and Amortizing Note. Refer to Note 6 within our unaudited condensed consolidated financial statements and related notes in this Quarterly Report on Form 10-Q for further discussion.</w:t>
      </w:r>
    </w:p>
    <w:p>
      <w:pPr>
        <w:spacing w:after="0" w:line="2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38"/>
        </w:trPr>
        <w:tc>
          <w:tcPr>
            <w:tcW w:w="2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600" w:type="dxa"/>
            <w:vAlign w:val="bottom"/>
          </w:tcPr>
          <w:p>
            <w:pPr>
              <w:spacing w:after="0"/>
              <w:rPr>
                <w:sz w:val="12"/>
                <w:szCs w:val="12"/>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Long-term obligation and note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1"/>
                <w:szCs w:val="11"/>
                <w:b w:val="1"/>
                <w:bCs w:val="1"/>
                <w:color w:val="auto"/>
                <w:w w:val="98"/>
              </w:rPr>
              <w:t>payable</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800" w:type="dxa"/>
            <w:vAlign w:val="bottom"/>
            <w:gridSpan w:val="2"/>
          </w:tcPr>
          <w:p>
            <w:pPr>
              <w:jc w:val="right"/>
              <w:ind w:right="243"/>
              <w:spacing w:after="0" w:line="101" w:lineRule="exact"/>
              <w:rPr>
                <w:sz w:val="20"/>
                <w:szCs w:val="20"/>
                <w:color w:val="auto"/>
              </w:rPr>
            </w:pPr>
            <w:r>
              <w:rPr>
                <w:rFonts w:ascii="Times New Roman" w:cs="Times New Roman" w:eastAsia="Times New Roman" w:hAnsi="Times New Roman"/>
                <w:sz w:val="11"/>
                <w:szCs w:val="11"/>
                <w:b w:val="1"/>
                <w:bCs w:val="1"/>
                <w:color w:val="auto"/>
              </w:rPr>
              <w:t>June 30,</w:t>
            </w:r>
          </w:p>
        </w:tc>
        <w:tc>
          <w:tcPr>
            <w:tcW w:w="7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59"/>
              <w:spacing w:after="0" w:line="101"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jc w:val="right"/>
              <w:ind w:right="99"/>
              <w:spacing w:after="0" w:line="101"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8"/>
                <w:szCs w:val="8"/>
                <w:color w:val="auto"/>
              </w:rPr>
            </w:pPr>
          </w:p>
        </w:tc>
        <w:tc>
          <w:tcPr>
            <w:tcW w:w="1160" w:type="dxa"/>
            <w:vAlign w:val="bottom"/>
            <w:gridSpan w:val="3"/>
          </w:tcPr>
          <w:p>
            <w:pPr>
              <w:jc w:val="right"/>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Six Months Ended</w:t>
            </w:r>
          </w:p>
        </w:tc>
        <w:tc>
          <w:tcPr>
            <w:tcW w:w="6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Fiscal Year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2"/>
                <w:szCs w:val="12"/>
                <w:color w:val="auto"/>
              </w:rPr>
              <w:t>First Lien - payable to lenders at SOFR</w:t>
            </w:r>
          </w:p>
        </w:tc>
        <w:tc>
          <w:tcPr>
            <w:tcW w:w="800" w:type="dxa"/>
            <w:vAlign w:val="bottom"/>
            <w:gridSpan w:val="2"/>
            <w:shd w:val="clear" w:color="auto" w:fill="CFF0FC"/>
          </w:tcPr>
          <w:p>
            <w:pPr>
              <w:jc w:val="right"/>
              <w:ind w:right="143"/>
              <w:spacing w:after="0" w:line="11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0"/>
                <w:szCs w:val="10"/>
                <w:color w:val="auto"/>
              </w:rPr>
            </w:pPr>
          </w:p>
        </w:tc>
        <w:tc>
          <w:tcPr>
            <w:tcW w:w="820" w:type="dxa"/>
            <w:vAlign w:val="bottom"/>
            <w:gridSpan w:val="3"/>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8.72 % $</w:t>
            </w:r>
          </w:p>
        </w:tc>
        <w:tc>
          <w:tcPr>
            <w:tcW w:w="5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right w:val="single" w:sz="8" w:color="CFF0FC"/>
            </w:tcBorders>
            <w:shd w:val="clear" w:color="auto" w:fill="CFF0FC"/>
          </w:tcPr>
          <w:p>
            <w:pPr>
              <w:jc w:val="right"/>
              <w:ind w:right="19"/>
              <w:spacing w:after="0" w:line="116" w:lineRule="exact"/>
              <w:rPr>
                <w:sz w:val="20"/>
                <w:szCs w:val="20"/>
                <w:color w:val="auto"/>
              </w:rPr>
            </w:pPr>
            <w:r>
              <w:rPr>
                <w:rFonts w:ascii="Times New Roman" w:cs="Times New Roman" w:eastAsia="Times New Roman" w:hAnsi="Times New Roman"/>
                <w:sz w:val="12"/>
                <w:szCs w:val="12"/>
                <w:color w:val="auto"/>
              </w:rPr>
              <w:t>1,719,360</w:t>
            </w:r>
          </w:p>
        </w:tc>
        <w:tc>
          <w:tcPr>
            <w:tcW w:w="20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21,217</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jc w:val="right"/>
              <w:ind w:right="40"/>
              <w:spacing w:after="0" w:line="116"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146,167</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plus applicable margin</w:t>
            </w: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First Lien Incremental Term Loans</w:t>
            </w:r>
          </w:p>
        </w:tc>
        <w:tc>
          <w:tcPr>
            <w:tcW w:w="800" w:type="dxa"/>
            <w:vAlign w:val="bottom"/>
            <w:gridSpan w:val="2"/>
          </w:tcPr>
          <w:p>
            <w:pPr>
              <w:jc w:val="right"/>
              <w:ind w:right="143"/>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7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8.97 %</w:t>
            </w:r>
          </w:p>
        </w:tc>
        <w:tc>
          <w:tcPr>
            <w:tcW w:w="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1,189,975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15,106</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104,190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Tranches B-2 and B-3 - payable to</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800" w:type="dxa"/>
            <w:vAlign w:val="bottom"/>
            <w:gridSpan w:val="2"/>
            <w:shd w:val="clear" w:color="auto" w:fill="CFF0FC"/>
          </w:tcPr>
          <w:p>
            <w:pPr>
              <w:jc w:val="right"/>
              <w:ind w:right="23"/>
              <w:spacing w:after="0" w:line="125" w:lineRule="exact"/>
              <w:rPr>
                <w:sz w:val="20"/>
                <w:szCs w:val="20"/>
                <w:color w:val="auto"/>
              </w:rPr>
            </w:pPr>
            <w:r>
              <w:rPr>
                <w:rFonts w:ascii="Times New Roman" w:cs="Times New Roman" w:eastAsia="Times New Roman" w:hAnsi="Times New Roman"/>
                <w:sz w:val="12"/>
                <w:szCs w:val="12"/>
                <w:color w:val="auto"/>
              </w:rPr>
              <w:t>8.58 %</w:t>
            </w:r>
          </w:p>
        </w:tc>
        <w:tc>
          <w:tcPr>
            <w:tcW w:w="200" w:type="dxa"/>
            <w:vAlign w:val="bottom"/>
            <w:shd w:val="clear" w:color="auto" w:fill="CFF0FC"/>
          </w:tcPr>
          <w:p>
            <w:pPr>
              <w:spacing w:after="0"/>
              <w:rPr>
                <w:sz w:val="10"/>
                <w:szCs w:val="10"/>
                <w:color w:val="auto"/>
              </w:rPr>
            </w:pPr>
          </w:p>
        </w:tc>
        <w:tc>
          <w:tcPr>
            <w:tcW w:w="820" w:type="dxa"/>
            <w:vAlign w:val="bottom"/>
            <w:gridSpan w:val="3"/>
            <w:shd w:val="clear" w:color="auto" w:fill="CFF0FC"/>
          </w:tcPr>
          <w:p>
            <w:pPr>
              <w:jc w:val="right"/>
              <w:ind w:right="183"/>
              <w:spacing w:after="0" w:line="125"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2,559,585</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tcBorders>
              <w:right w:val="single" w:sz="8" w:color="CFF0FC"/>
            </w:tcBorders>
            <w:shd w:val="clear" w:color="auto" w:fill="CFF0FC"/>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80,058</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 B-4 - payable to lenders at</w:t>
            </w: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Second Lien - payable to lenders at</w:t>
            </w:r>
          </w:p>
        </w:tc>
        <w:tc>
          <w:tcPr>
            <w:tcW w:w="800" w:type="dxa"/>
            <w:vAlign w:val="bottom"/>
            <w:gridSpan w:val="2"/>
          </w:tcPr>
          <w:p>
            <w:pPr>
              <w:jc w:val="right"/>
              <w:ind w:right="143"/>
              <w:spacing w:after="0" w:line="125"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7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13.97 %</w:t>
            </w:r>
          </w:p>
        </w:tc>
        <w:tc>
          <w:tcPr>
            <w:tcW w:w="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450,000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5,239</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62,012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Revolving Credit Loans - payable to</w:t>
            </w:r>
          </w:p>
        </w:tc>
        <w:tc>
          <w:tcPr>
            <w:tcW w:w="800" w:type="dxa"/>
            <w:vAlign w:val="bottom"/>
            <w:gridSpan w:val="2"/>
            <w:shd w:val="clear" w:color="auto" w:fill="CFF0FC"/>
          </w:tcPr>
          <w:p>
            <w:pPr>
              <w:jc w:val="right"/>
              <w:ind w:right="23"/>
              <w:spacing w:after="0" w:line="125" w:lineRule="exact"/>
              <w:rPr>
                <w:sz w:val="20"/>
                <w:szCs w:val="20"/>
                <w:color w:val="auto"/>
              </w:rPr>
            </w:pPr>
            <w:r>
              <w:rPr>
                <w:rFonts w:ascii="Times New Roman" w:cs="Times New Roman" w:eastAsia="Times New Roman" w:hAnsi="Times New Roman"/>
                <w:sz w:val="12"/>
                <w:szCs w:val="12"/>
                <w:color w:val="auto"/>
              </w:rPr>
              <w:t>8.58 %</w:t>
            </w:r>
          </w:p>
        </w:tc>
        <w:tc>
          <w:tcPr>
            <w:tcW w:w="2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9.59 %</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tcBorders>
              <w:right w:val="single" w:sz="8" w:color="CFF0FC"/>
            </w:tcBorders>
            <w:shd w:val="clear" w:color="auto" w:fill="CFF0FC"/>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50,000</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387</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3,988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Swingline/Base Rate - payable to lenders</w:t>
            </w:r>
          </w:p>
        </w:tc>
        <w:tc>
          <w:tcPr>
            <w:tcW w:w="800" w:type="dxa"/>
            <w:vAlign w:val="bottom"/>
            <w:gridSpan w:val="2"/>
          </w:tcPr>
          <w:p>
            <w:pPr>
              <w:jc w:val="right"/>
              <w:ind w:right="23"/>
              <w:spacing w:after="0" w:line="125" w:lineRule="exact"/>
              <w:rPr>
                <w:sz w:val="20"/>
                <w:szCs w:val="20"/>
                <w:color w:val="auto"/>
              </w:rPr>
            </w:pPr>
            <w:r>
              <w:rPr>
                <w:rFonts w:ascii="Times New Roman" w:cs="Times New Roman" w:eastAsia="Times New Roman" w:hAnsi="Times New Roman"/>
                <w:sz w:val="12"/>
                <w:szCs w:val="12"/>
                <w:color w:val="auto"/>
              </w:rPr>
              <w:t>10.75 %</w:t>
            </w:r>
          </w:p>
        </w:tc>
        <w:tc>
          <w:tcPr>
            <w:tcW w:w="200" w:type="dxa"/>
            <w:vAlign w:val="bottom"/>
          </w:tcPr>
          <w:p>
            <w:pPr>
              <w:spacing w:after="0"/>
              <w:rPr>
                <w:sz w:val="10"/>
                <w:szCs w:val="10"/>
                <w:color w:val="auto"/>
              </w:rPr>
            </w:pPr>
          </w:p>
        </w:tc>
        <w:tc>
          <w:tcPr>
            <w:tcW w:w="74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11.75 %</w:t>
            </w:r>
          </w:p>
        </w:tc>
        <w:tc>
          <w:tcPr>
            <w:tcW w:w="8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55,800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700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3,371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12,243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at ABR plus applicable margin</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Amortizing Notes</w:t>
            </w:r>
          </w:p>
        </w:tc>
        <w:tc>
          <w:tcPr>
            <w:tcW w:w="6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64,222</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tcBorders>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2,817</w:t>
            </w: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and other</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6,333</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4,356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Amortization of deferred financing costs</w:t>
            </w: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tcBorders>
              <w:right w:val="single" w:sz="8" w:color="CFF0FC"/>
            </w:tcBorders>
            <w:shd w:val="clear" w:color="auto" w:fill="CFF0FC"/>
          </w:tcPr>
          <w:p>
            <w:pPr>
              <w:jc w:val="right"/>
              <w:ind w:right="19"/>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00"/>
              <w:spacing w:after="0" w:line="125" w:lineRule="exact"/>
              <w:rPr>
                <w:sz w:val="20"/>
                <w:szCs w:val="20"/>
                <w:color w:val="auto"/>
              </w:rPr>
            </w:pPr>
            <w:r>
              <w:rPr>
                <w:rFonts w:ascii="Times New Roman" w:cs="Times New Roman" w:eastAsia="Times New Roman" w:hAnsi="Times New Roman"/>
                <w:sz w:val="12"/>
                <w:szCs w:val="12"/>
                <w:color w:val="auto"/>
              </w:rPr>
              <w:t>(10,746 )</w:t>
            </w:r>
          </w:p>
        </w:tc>
        <w:tc>
          <w:tcPr>
            <w:tcW w:w="18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(4,009 )</w:t>
            </w: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and other, net of interest income from</w:t>
            </w: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cash flow hedges</w:t>
            </w:r>
          </w:p>
        </w:tc>
        <w:tc>
          <w:tcPr>
            <w:tcW w:w="6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right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debt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2,685,940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3,414,391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117,459</w:t>
            </w:r>
          </w:p>
        </w:tc>
        <w:tc>
          <w:tcPr>
            <w:tcW w:w="14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324,593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6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73,734</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50,177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debt, net of debt issuance costs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2,612,206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3,364,214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6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48,670</w:t>
            </w:r>
          </w:p>
        </w:tc>
        <w:tc>
          <w:tcPr>
            <w:tcW w:w="1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right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2"/>
                <w:szCs w:val="12"/>
                <w:color w:val="auto"/>
              </w:rPr>
              <w:t>32,273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2,563,536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3,331,941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-518795</wp:posOffset>
            </wp:positionV>
            <wp:extent cx="47625"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-518795</wp:posOffset>
            </wp:positionV>
            <wp:extent cx="47625"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-518795</wp:posOffset>
            </wp:positionV>
            <wp:extent cx="4762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-518795</wp:posOffset>
            </wp:positionV>
            <wp:extent cx="4762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-320675</wp:posOffset>
            </wp:positionV>
            <wp:extent cx="47625"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-320675</wp:posOffset>
            </wp:positionV>
            <wp:extent cx="47625"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-122555</wp:posOffset>
            </wp:positionV>
            <wp:extent cx="4762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-122555</wp:posOffset>
            </wp:positionV>
            <wp:extent cx="4762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899" w:firstLine="516"/>
        <w:spacing w:after="0" w:line="293" w:lineRule="auto"/>
        <w:rPr>
          <w:sz w:val="20"/>
          <w:szCs w:val="20"/>
          <w:color w:val="auto"/>
        </w:rPr>
      </w:pPr>
      <w:r>
        <w:rPr>
          <w:rFonts w:ascii="Times New Roman" w:cs="Times New Roman" w:eastAsia="Times New Roman" w:hAnsi="Times New Roman"/>
          <w:sz w:val="14"/>
          <w:szCs w:val="14"/>
          <w:color w:val="auto"/>
        </w:rPr>
        <w:t>Our Company leverage, as calculated under our First Lien Credit Agreement and the Second Lien Credit Agreement, was 4.51x and 5.86x at June 30, 2024 and December 31, 2023, respectively.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8"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There have been no material changes to our critical accounting policies and estimates from those disclosed in Part II, Item 7 of our Annual Report on Form 10-K for the year ended December 31, 2023, which are hereby incorporated by reference.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56"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56" w:lineRule="exact"/>
        <w:rPr>
          <w:sz w:val="20"/>
          <w:szCs w:val="20"/>
          <w:color w:val="auto"/>
        </w:rPr>
      </w:pPr>
    </w:p>
    <w:p>
      <w:pPr>
        <w:ind w:left="640" w:right="1119" w:firstLine="351"/>
        <w:spacing w:after="0" w:line="293"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Our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spacing w:after="0" w:line="58"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As of June 30, 2024, our debt outstanding was $2.7 billion and we had three interest rate swaps with a combined notional value of $2.0 billion that were designated as cash flow hedges of interest rate risk. A hypothetical 1% increase in interest rates would increase our net loss and decrease our cash flows by $6.2 million on an annual basis based upon our borrowing level at June 30, 2024. The market risks associated with our debt obligations as of June 30, 2024 have not changed from those reported in “Part II. Item 7A. Quantitative and Qualitative Disclosure About Market Risk” in our Annual Report on Form 10-K for the year ended December 31, 2023. See Note 5 within the unaudited condensed consolidated financial statements and related notes, in the Quarterly Report on Form 10-Q for additional information on our debt obligations and derivative instruments.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9" w:lineRule="exact"/>
        <w:rPr>
          <w:sz w:val="20"/>
          <w:szCs w:val="20"/>
          <w:color w:val="auto"/>
        </w:rPr>
      </w:pPr>
    </w:p>
    <w:p>
      <w:pPr>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jc w:val="both"/>
        <w:ind w:left="640" w:right="859" w:firstLine="351"/>
        <w:spacing w:after="0" w:line="275"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(as defined in Rule 13a-15(f) under the Exchange Act) that occurred during the quarter ended June 30, 2024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56" w:lineRule="exact"/>
        <w:rPr>
          <w:sz w:val="20"/>
          <w:szCs w:val="20"/>
          <w:color w:val="auto"/>
        </w:rPr>
      </w:pPr>
    </w:p>
    <w:p>
      <w:pPr>
        <w:ind w:left="640" w:right="699" w:firstLine="351"/>
        <w:spacing w:after="0" w:line="293" w:lineRule="auto"/>
        <w:rPr>
          <w:sz w:val="20"/>
          <w:szCs w:val="20"/>
          <w:color w:val="auto"/>
        </w:rPr>
      </w:pPr>
      <w:r>
        <w:rPr>
          <w:rFonts w:ascii="Times New Roman" w:cs="Times New Roman" w:eastAsia="Times New Roman" w:hAnsi="Times New Roman"/>
          <w:sz w:val="14"/>
          <w:szCs w:val="14"/>
          <w:color w:val="auto"/>
        </w:rPr>
        <w:t>For a summary of our material legal proceedings, refer to Note 10 of the unaudited condensed consolidated financial statements and related notes in this Quarterly Report on Form 10-Q.</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2023. Additional risks and uncertainties not currently known to us or that we currently deem to be immaterial may also materially adversely affect our business, financial condition, or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334"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6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gridSpan w:val="23"/>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2"/>
                <w:szCs w:val="22"/>
                <w:color w:val="auto"/>
              </w:rPr>
            </w:pPr>
          </w:p>
        </w:tc>
        <w:tc>
          <w:tcPr>
            <w:tcW w:w="35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Second Amended and Restated Certificate of Incorporation of</w:t>
              </w:r>
            </w:hyperlink>
          </w:p>
        </w:tc>
        <w:tc>
          <w:tcPr>
            <w:tcW w:w="74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Borders>
              <w:bottom w:val="single" w:sz="8" w:color="0000FF"/>
            </w:tcBorders>
            <w:gridSpan w:val="7"/>
          </w:tcPr>
          <w:p>
            <w:pPr>
              <w:spacing w:after="0" w:line="152" w:lineRule="exact"/>
              <w:rPr>
                <w:rFonts w:ascii="Times New Roman" w:cs="Times New Roman" w:eastAsia="Times New Roman" w:hAnsi="Times New Roman"/>
                <w:sz w:val="14"/>
                <w:szCs w:val="14"/>
                <w:color w:val="0000FF"/>
              </w:rPr>
            </w:pPr>
            <w:hyperlink r:id="rId343">
              <w:r>
                <w:rPr>
                  <w:rFonts w:ascii="Times New Roman" w:cs="Times New Roman" w:eastAsia="Times New Roman" w:hAnsi="Times New Roman"/>
                  <w:sz w:val="14"/>
                  <w:szCs w:val="14"/>
                  <w:color w:val="0000FF"/>
                </w:rPr>
                <w:t>BrightSpring Health Services, Inc.</w:t>
              </w:r>
            </w:hyperlink>
          </w:p>
        </w:tc>
        <w:tc>
          <w:tcPr>
            <w:tcW w:w="234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39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344">
              <w:r>
                <w:rPr>
                  <w:rFonts w:ascii="Times New Roman" w:cs="Times New Roman" w:eastAsia="Times New Roman" w:hAnsi="Times New Roman"/>
                  <w:sz w:val="14"/>
                  <w:szCs w:val="14"/>
                  <w:color w:val="0000FF"/>
                </w:rPr>
                <w:t>Amended and Restated Bylaws of BrightSpring Health Services, Inc.</w:t>
              </w:r>
            </w:hyperlink>
          </w:p>
        </w:tc>
        <w:tc>
          <w:tcPr>
            <w:tcW w:w="20" w:type="dxa"/>
            <w:vAlign w:val="bottom"/>
            <w:tcBorders>
              <w:bottom w:val="single" w:sz="8" w:color="0000EE"/>
            </w:tcBorders>
          </w:tcPr>
          <w:p>
            <w:pPr>
              <w:spacing w:after="0"/>
              <w:rPr>
                <w:sz w:val="15"/>
                <w:szCs w:val="15"/>
                <w:color w:val="auto"/>
              </w:rPr>
            </w:pPr>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40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Purchase Contract Agreement, dated as of January 30, 2024, between</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BrightSpring Health Services, Inc. and U.S. Bank Trust Company,</w:t>
              </w:r>
            </w:hyperlink>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bottom w:val="single" w:sz="8" w:color="0000FF"/>
            </w:tcBorders>
            <w:gridSpan w:val="29"/>
          </w:tcPr>
          <w:p>
            <w:pPr>
              <w:spacing w:after="0" w:line="152"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National Association, as purchase contract agent, as attorney-in-fact for the</w:t>
              </w:r>
            </w:hyperlink>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bottom w:val="single" w:sz="8" w:color="0000FF"/>
            </w:tcBorders>
            <w:gridSpan w:val="22"/>
          </w:tcPr>
          <w:p>
            <w:pPr>
              <w:spacing w:after="0" w:line="152"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Holders from time to time as provided therein and as trustee under the</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indenture referred to therein.</w:t>
              </w:r>
            </w:hyperlink>
          </w:p>
        </w:tc>
        <w:tc>
          <w:tcPr>
            <w:tcW w:w="20" w:type="dxa"/>
            <w:vAlign w:val="bottom"/>
            <w:tcBorders>
              <w:bottom w:val="single" w:sz="8" w:color="0000EE"/>
            </w:tcBorders>
          </w:tcPr>
          <w:p>
            <w:pPr>
              <w:spacing w:after="0"/>
              <w:rPr>
                <w:sz w:val="13"/>
                <w:szCs w:val="13"/>
                <w:color w:val="auto"/>
              </w:rPr>
            </w:pPr>
          </w:p>
        </w:tc>
        <w:tc>
          <w:tcPr>
            <w:tcW w:w="266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4320" w:type="dxa"/>
            <w:vAlign w:val="bottom"/>
            <w:gridSpan w:val="29"/>
          </w:tcPr>
          <w:p>
            <w:pPr>
              <w:spacing w:after="0"/>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Form of Unit (included in Exhibit 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4320" w:type="dxa"/>
            <w:vAlign w:val="bottom"/>
            <w:gridSpan w:val="29"/>
          </w:tcPr>
          <w:p>
            <w:pPr>
              <w:spacing w:after="0"/>
              <w:rPr>
                <w:rFonts w:ascii="Times New Roman" w:cs="Times New Roman" w:eastAsia="Times New Roman" w:hAnsi="Times New Roman"/>
                <w:sz w:val="14"/>
                <w:szCs w:val="14"/>
                <w:color w:val="0000FF"/>
              </w:rPr>
            </w:pPr>
            <w:hyperlink r:id="rId345">
              <w:r>
                <w:rPr>
                  <w:rFonts w:ascii="Times New Roman" w:cs="Times New Roman" w:eastAsia="Times New Roman" w:hAnsi="Times New Roman"/>
                  <w:sz w:val="14"/>
                  <w:szCs w:val="14"/>
                  <w:color w:val="0000FF"/>
                </w:rPr>
                <w:t>Form of Purchase Contract (included in Exhibit 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404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Indenture, dated as of January 30, 2024, between BrightSpring Health</w:t>
              </w:r>
            </w:hyperlink>
          </w:p>
        </w:tc>
        <w:tc>
          <w:tcPr>
            <w:tcW w:w="2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Borders>
              <w:bottom w:val="single" w:sz="8" w:color="0000FF"/>
            </w:tcBorders>
            <w:gridSpan w:val="23"/>
          </w:tcPr>
          <w:p>
            <w:pPr>
              <w:spacing w:after="0" w:line="152"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Services, Inc. and U.S. Bank Trust Company, National Association, as</w:t>
              </w:r>
            </w:hyperlink>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gridSpan w:val="29"/>
          </w:tcPr>
          <w:p>
            <w:pPr>
              <w:spacing w:after="0" w:line="152" w:lineRule="exact"/>
              <w:rPr>
                <w:rFonts w:ascii="Times New Roman" w:cs="Times New Roman" w:eastAsia="Times New Roman" w:hAnsi="Times New Roman"/>
                <w:sz w:val="14"/>
                <w:szCs w:val="14"/>
                <w:color w:val="0000FF"/>
              </w:rPr>
            </w:pPr>
            <w:hyperlink r:id="rId346">
              <w:r>
                <w:rPr>
                  <w:rFonts w:ascii="Times New Roman" w:cs="Times New Roman" w:eastAsia="Times New Roman" w:hAnsi="Times New Roman"/>
                  <w:sz w:val="14"/>
                  <w:szCs w:val="14"/>
                  <w:color w:val="0000FF"/>
                </w:rPr>
                <w:t>trustee.</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398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First Supplemental Indenture, dated as of January 30, 2024, between</w:t>
              </w:r>
            </w:hyperlink>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40" w:type="dxa"/>
            <w:vAlign w:val="bottom"/>
            <w:tcBorders>
              <w:bottom w:val="single" w:sz="8" w:color="0000FF"/>
            </w:tcBorders>
            <w:gridSpan w:val="16"/>
          </w:tcPr>
          <w:p>
            <w:pPr>
              <w:spacing w:after="0" w:line="152" w:lineRule="exact"/>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BrightSpring Health Services, Inc. and U.S. Bank Trust Company,</w:t>
              </w:r>
            </w:hyperlink>
          </w:p>
        </w:tc>
        <w:tc>
          <w:tcPr>
            <w:tcW w:w="48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tcBorders>
              <w:bottom w:val="single" w:sz="8" w:color="0000FF"/>
            </w:tcBorders>
            <w:gridSpan w:val="17"/>
          </w:tcPr>
          <w:p>
            <w:pPr>
              <w:spacing w:after="0" w:line="152" w:lineRule="exact"/>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National Association, as trustee, paying agent and security registrar.</w:t>
              </w:r>
            </w:hyperlink>
          </w:p>
        </w:tc>
        <w:tc>
          <w:tcPr>
            <w:tcW w:w="42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30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347">
              <w:r>
                <w:rPr>
                  <w:rFonts w:ascii="Times New Roman" w:cs="Times New Roman" w:eastAsia="Times New Roman" w:hAnsi="Times New Roman"/>
                  <w:sz w:val="14"/>
                  <w:szCs w:val="14"/>
                  <w:color w:val="0000FF"/>
                </w:rPr>
                <w:t>Form of Amortizing Note (included in Exhibit 4.5).</w:t>
              </w:r>
            </w:hyperlink>
          </w:p>
        </w:tc>
        <w:tc>
          <w:tcPr>
            <w:tcW w:w="128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418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348">
              <w:r>
                <w:rPr>
                  <w:rFonts w:ascii="Times New Roman" w:cs="Times New Roman" w:eastAsia="Times New Roman" w:hAnsi="Times New Roman"/>
                  <w:sz w:val="14"/>
                  <w:szCs w:val="14"/>
                  <w:color w:val="0000FF"/>
                </w:rPr>
                <w:t>Registration Rights Agreement, dated December 7, 2017, by and among</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bottom w:val="single" w:sz="8" w:color="0000FF"/>
            </w:tcBorders>
            <w:gridSpan w:val="15"/>
          </w:tcPr>
          <w:p>
            <w:pPr>
              <w:spacing w:after="0" w:line="152" w:lineRule="exact"/>
              <w:rPr>
                <w:rFonts w:ascii="Times New Roman" w:cs="Times New Roman" w:eastAsia="Times New Roman" w:hAnsi="Times New Roman"/>
                <w:sz w:val="14"/>
                <w:szCs w:val="14"/>
                <w:color w:val="0000FF"/>
              </w:rPr>
            </w:pPr>
            <w:hyperlink r:id="rId348">
              <w:r>
                <w:rPr>
                  <w:rFonts w:ascii="Times New Roman" w:cs="Times New Roman" w:eastAsia="Times New Roman" w:hAnsi="Times New Roman"/>
                  <w:sz w:val="14"/>
                  <w:szCs w:val="14"/>
                  <w:color w:val="0000FF"/>
                </w:rPr>
                <w:t>Phoenix Parent Holdings Inc., KKR Phoenix Aggregator L.P., and</w:t>
              </w:r>
            </w:hyperlink>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0000FF"/>
            </w:tcBorders>
            <w:gridSpan w:val="3"/>
          </w:tcPr>
          <w:p>
            <w:pPr>
              <w:spacing w:after="0" w:line="152" w:lineRule="exact"/>
              <w:rPr>
                <w:rFonts w:ascii="Times New Roman" w:cs="Times New Roman" w:eastAsia="Times New Roman" w:hAnsi="Times New Roman"/>
                <w:sz w:val="14"/>
                <w:szCs w:val="14"/>
                <w:color w:val="0000FF"/>
                <w:w w:val="98"/>
              </w:rPr>
            </w:pPr>
            <w:hyperlink r:id="rId348">
              <w:r>
                <w:rPr>
                  <w:rFonts w:ascii="Times New Roman" w:cs="Times New Roman" w:eastAsia="Times New Roman" w:hAnsi="Times New Roman"/>
                  <w:sz w:val="14"/>
                  <w:szCs w:val="14"/>
                  <w:color w:val="0000FF"/>
                  <w:w w:val="98"/>
                </w:rPr>
                <w:t>Walgreens Co.</w:t>
              </w:r>
            </w:hyperlink>
          </w:p>
        </w:tc>
        <w:tc>
          <w:tcPr>
            <w:tcW w:w="20" w:type="dxa"/>
            <w:vAlign w:val="bottom"/>
            <w:tcBorders>
              <w:bottom w:val="single" w:sz="8" w:color="0000EE"/>
            </w:tcBorders>
          </w:tcPr>
          <w:p>
            <w:pPr>
              <w:spacing w:after="0"/>
              <w:rPr>
                <w:sz w:val="13"/>
                <w:szCs w:val="13"/>
                <w:color w:val="auto"/>
              </w:rPr>
            </w:pPr>
          </w:p>
        </w:tc>
        <w:tc>
          <w:tcPr>
            <w:tcW w:w="346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39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349">
              <w:r>
                <w:rPr>
                  <w:rFonts w:ascii="Times New Roman" w:cs="Times New Roman" w:eastAsia="Times New Roman" w:hAnsi="Times New Roman"/>
                  <w:sz w:val="14"/>
                  <w:szCs w:val="14"/>
                  <w:color w:val="0000FF"/>
                </w:rPr>
                <w:t>BrightSpring Health Services, Inc. Senior Executive Cash Incentive</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bottom w:val="single" w:sz="8" w:color="0000FF"/>
            </w:tcBorders>
            <w:gridSpan w:val="8"/>
          </w:tcPr>
          <w:p>
            <w:pPr>
              <w:spacing w:after="0" w:line="152" w:lineRule="exact"/>
              <w:rPr>
                <w:rFonts w:ascii="Times New Roman" w:cs="Times New Roman" w:eastAsia="Times New Roman" w:hAnsi="Times New Roman"/>
                <w:sz w:val="14"/>
                <w:szCs w:val="14"/>
                <w:color w:val="0000FF"/>
              </w:rPr>
            </w:pPr>
            <w:hyperlink r:id="rId349">
              <w:r>
                <w:rPr>
                  <w:rFonts w:ascii="Times New Roman" w:cs="Times New Roman" w:eastAsia="Times New Roman" w:hAnsi="Times New Roman"/>
                  <w:sz w:val="14"/>
                  <w:szCs w:val="14"/>
                  <w:color w:val="0000FF"/>
                </w:rPr>
                <w:t>Bonus Plan, adopted May 29, 2024</w:t>
              </w:r>
            </w:hyperlink>
          </w:p>
        </w:tc>
        <w:tc>
          <w:tcPr>
            <w:tcW w:w="20" w:type="dxa"/>
            <w:vAlign w:val="bottom"/>
            <w:tcBorders>
              <w:bottom w:val="single" w:sz="8" w:color="0000EE"/>
            </w:tcBorders>
          </w:tcPr>
          <w:p>
            <w:pPr>
              <w:spacing w:after="0"/>
              <w:rPr>
                <w:sz w:val="13"/>
                <w:szCs w:val="13"/>
                <w:color w:val="auto"/>
              </w:rPr>
            </w:pPr>
          </w:p>
        </w:tc>
        <w:tc>
          <w:tcPr>
            <w:tcW w:w="228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4"/>
                <w:szCs w:val="24"/>
                <w:color w:val="auto"/>
              </w:rPr>
            </w:pPr>
          </w:p>
        </w:tc>
        <w:tc>
          <w:tcPr>
            <w:tcW w:w="41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bottom w:val="single" w:sz="8" w:color="0000FF"/>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and 15d-14(a) under the Securities Exchange Act of 1934, as Adopted</w:t>
            </w: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bottom w:val="single" w:sz="8" w:color="0000EE"/>
            </w:tcBorders>
          </w:tcPr>
          <w:p>
            <w:pPr>
              <w:spacing w:after="0"/>
              <w:rPr>
                <w:sz w:val="13"/>
                <w:szCs w:val="13"/>
                <w:color w:val="auto"/>
              </w:rPr>
            </w:pPr>
          </w:p>
        </w:tc>
        <w:tc>
          <w:tcPr>
            <w:tcW w:w="8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24"/>
                <w:szCs w:val="24"/>
                <w:color w:val="auto"/>
              </w:rPr>
            </w:pPr>
          </w:p>
        </w:tc>
        <w:tc>
          <w:tcPr>
            <w:tcW w:w="41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w:t>
            </w:r>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bottom w:val="single" w:sz="8" w:color="0000FF"/>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and 15d-14(a) under the Securities Exchange Act of 1934, as Adopted</w:t>
            </w:r>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40" w:type="dxa"/>
            <w:vAlign w:val="bottom"/>
            <w:tcBorders>
              <w:bottom w:val="single" w:sz="8" w:color="0000FF"/>
            </w:tcBorders>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Pursuant to Section 302 of the Sarbanes-Oxley Act of 2002.</w:t>
            </w:r>
          </w:p>
        </w:tc>
        <w:tc>
          <w:tcPr>
            <w:tcW w:w="20" w:type="dxa"/>
            <w:vAlign w:val="bottom"/>
            <w:tcBorders>
              <w:bottom w:val="single" w:sz="8" w:color="0000EE"/>
            </w:tcBorders>
          </w:tcPr>
          <w:p>
            <w:pPr>
              <w:spacing w:after="0"/>
              <w:rPr>
                <w:sz w:val="13"/>
                <w:szCs w:val="13"/>
                <w:color w:val="auto"/>
              </w:rPr>
            </w:pPr>
          </w:p>
        </w:tc>
        <w:tc>
          <w:tcPr>
            <w:tcW w:w="8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4"/>
                <w:szCs w:val="24"/>
                <w:color w:val="auto"/>
              </w:rPr>
            </w:pPr>
          </w:p>
        </w:tc>
        <w:tc>
          <w:tcPr>
            <w:tcW w:w="42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Borders>
              <w:bottom w:val="single" w:sz="8" w:color="0000FF"/>
            </w:tcBorders>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w:t>
            </w: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2002.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900" w:type="dxa"/>
            <w:vAlign w:val="bottom"/>
            <w:gridSpan w:val="2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24"/>
                <w:szCs w:val="24"/>
                <w:color w:val="auto"/>
              </w:rPr>
            </w:pPr>
          </w:p>
        </w:tc>
        <w:tc>
          <w:tcPr>
            <w:tcW w:w="42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60" w:type="dxa"/>
            <w:vAlign w:val="bottom"/>
            <w:tcBorders>
              <w:bottom w:val="single" w:sz="8" w:color="0000FF"/>
            </w:tcBorders>
            <w:gridSpan w:val="25"/>
          </w:tcPr>
          <w:p>
            <w:pPr>
              <w:spacing w:after="0" w:line="15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w:t>
            </w: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0000FF"/>
                <w:w w:val="95"/>
              </w:rPr>
              <w:t>2002.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9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24"/>
                <w:szCs w:val="24"/>
                <w:color w:val="auto"/>
              </w:rPr>
            </w:pPr>
          </w:p>
        </w:tc>
        <w:tc>
          <w:tcPr>
            <w:tcW w:w="43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 the Interactive Data File because XBRL tags are embedded within the</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document.</w:t>
            </w:r>
          </w:p>
        </w:tc>
        <w:tc>
          <w:tcPr>
            <w:tcW w:w="0" w:type="dxa"/>
            <w:vAlign w:val="bottom"/>
          </w:tcPr>
          <w:p>
            <w:pPr>
              <w:spacing w:after="0"/>
              <w:rPr>
                <w:sz w:val="1"/>
                <w:szCs w:val="1"/>
                <w:color w:val="auto"/>
              </w:rPr>
            </w:pPr>
          </w:p>
        </w:tc>
      </w:tr>
      <w:tr>
        <w:trPr>
          <w:trHeight w:val="2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24"/>
                <w:szCs w:val="24"/>
                <w:color w:val="auto"/>
              </w:rPr>
            </w:pPr>
          </w:p>
        </w:tc>
        <w:tc>
          <w:tcPr>
            <w:tcW w:w="43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gridSpan w:val="29"/>
          </w:tcPr>
          <w:p>
            <w:pPr>
              <w:spacing w:after="0"/>
              <w:rPr>
                <w:sz w:val="20"/>
                <w:szCs w:val="20"/>
                <w:color w:val="auto"/>
              </w:rPr>
            </w:pPr>
            <w:r>
              <w:rPr>
                <w:rFonts w:ascii="Times New Roman" w:cs="Times New Roman" w:eastAsia="Times New Roman" w:hAnsi="Times New Roman"/>
                <w:sz w:val="14"/>
                <w:szCs w:val="14"/>
                <w:color w:val="auto"/>
              </w:rPr>
              <w:t>Documents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360" w:right="380" w:hanging="719"/>
        <w:spacing w:after="0" w:line="293" w:lineRule="auto"/>
        <w:tabs>
          <w:tab w:leader="none" w:pos="13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165354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1653540" cy="698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60" w:type="dxa"/>
            <w:vAlign w:val="bottom"/>
          </w:tcPr>
          <w:p>
            <w:pPr>
              <w:spacing w:after="0"/>
              <w:rPr>
                <w:sz w:val="12"/>
                <w:szCs w:val="12"/>
                <w:color w:val="auto"/>
              </w:rPr>
            </w:pPr>
          </w:p>
        </w:tc>
        <w:tc>
          <w:tcPr>
            <w:tcW w:w="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12"/>
                <w:szCs w:val="12"/>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291"/>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366"/>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3.2</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194"/>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882"/>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4.2</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194"/>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4.3</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194"/>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538"/>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4.5</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538"/>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4.6</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r>
      <w:tr>
        <w:trPr>
          <w:trHeight w:val="194"/>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333-276348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1/10/2024</w:t>
            </w:r>
          </w:p>
        </w:tc>
      </w:tr>
      <w:tr>
        <w:trPr>
          <w:trHeight w:val="538"/>
        </w:trPr>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10.1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5/31/2024</w:t>
            </w:r>
          </w:p>
        </w:tc>
      </w:tr>
    </w:tbl>
    <w:p>
      <w:pPr>
        <w:spacing w:after="0" w:line="4657" w:lineRule="exact"/>
        <w:rPr>
          <w:sz w:val="20"/>
          <w:szCs w:val="20"/>
          <w:color w:val="auto"/>
        </w:rPr>
      </w:pPr>
    </w:p>
    <w:p>
      <w:pPr>
        <w:sectPr>
          <w:pgSz w:w="11900" w:h="16838" w:orient="portrait"/>
          <w:cols w:equalWidth="0" w:num="2">
            <w:col w:w="5680" w:space="100"/>
            <w:col w:w="3239"/>
          </w:cols>
          <w:pgMar w:left="1440" w:top="81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79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tc>
      </w:tr>
      <w:tr>
        <w:trPr>
          <w:trHeight w:val="377"/>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Date: August 2, 2024</w:t>
            </w:r>
          </w:p>
        </w:tc>
        <w:tc>
          <w:tcPr>
            <w:tcW w:w="16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60"/>
        </w:trPr>
        <w:tc>
          <w:tcPr>
            <w:tcW w:w="2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Jon Rousseau</w:t>
            </w:r>
          </w:p>
        </w:tc>
      </w:tr>
      <w:tr>
        <w:trPr>
          <w:trHeight w:val="186"/>
        </w:trPr>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79"/>
        </w:trPr>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381"/>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Date: August 2, 2024</w:t>
            </w:r>
          </w:p>
        </w:tc>
        <w:tc>
          <w:tcPr>
            <w:tcW w:w="16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r>
      <w:tr>
        <w:trPr>
          <w:trHeight w:val="160"/>
        </w:trPr>
        <w:tc>
          <w:tcPr>
            <w:tcW w:w="2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Jim Mattingly</w:t>
            </w:r>
          </w:p>
        </w:tc>
      </w:tr>
      <w:tr>
        <w:trPr>
          <w:trHeight w:val="186"/>
        </w:trPr>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9"/>
        </w:trPr>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(Principal Financial Officer)</w:t>
            </w:r>
          </w:p>
        </w:tc>
      </w:tr>
      <w:tr>
        <w:trPr>
          <w:trHeight w:val="381"/>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Date: August 2, 2024</w:t>
            </w:r>
          </w:p>
        </w:tc>
        <w:tc>
          <w:tcPr>
            <w:tcW w:w="1660" w:type="dxa"/>
            <w:vAlign w:val="bottom"/>
          </w:tcPr>
          <w:p>
            <w:pPr>
              <w:ind w:left="138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Jennifer Phipps</w:t>
            </w:r>
          </w:p>
        </w:tc>
      </w:tr>
      <w:tr>
        <w:trPr>
          <w:trHeight w:val="160"/>
        </w:trPr>
        <w:tc>
          <w:tcPr>
            <w:tcW w:w="2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Jennifer Phipps</w:t>
            </w:r>
          </w:p>
        </w:tc>
      </w:tr>
      <w:tr>
        <w:trPr>
          <w:trHeight w:val="186"/>
        </w:trPr>
        <w:tc>
          <w:tcPr>
            <w:tcW w:w="2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179"/>
        </w:trPr>
        <w:tc>
          <w:tcPr>
            <w:tcW w:w="2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(Principal Accounting Officer)</w:t>
            </w:r>
          </w:p>
        </w:tc>
      </w:tr>
      <w:tr>
        <w:trPr>
          <w:trHeight w:val="531"/>
        </w:trPr>
        <w:tc>
          <w:tcPr>
            <w:tcW w:w="2520" w:type="dxa"/>
            <w:vAlign w:val="bottom"/>
          </w:tcPr>
          <w:p>
            <w:pPr>
              <w:spacing w:after="0"/>
              <w:rPr>
                <w:sz w:val="24"/>
                <w:szCs w:val="24"/>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48</w:t>
            </w:r>
          </w:p>
        </w:tc>
        <w:tc>
          <w:tcPr>
            <w:tcW w:w="3560" w:type="dxa"/>
            <w:vAlign w:val="bottom"/>
          </w:tcPr>
          <w:p>
            <w:pPr>
              <w:spacing w:after="0"/>
              <w:rPr>
                <w:sz w:val="24"/>
                <w:szCs w:val="24"/>
                <w:color w:val="auto"/>
              </w:rPr>
            </w:pPr>
          </w:p>
        </w:tc>
      </w:tr>
      <w:tr>
        <w:trPr>
          <w:trHeight w:val="605"/>
        </w:trPr>
        <w:tc>
          <w:tcPr>
            <w:tcW w:w="2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50" w:name="page51"/>
    <w:bookmarkEnd w:id="5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jc w:val="center"/>
        <w:ind w:left="640" w:right="659"/>
        <w:spacing w:after="0" w:line="275"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2022</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30" w:lineRule="exact"/>
        <w:rPr>
          <w:sz w:val="20"/>
          <w:szCs w:val="20"/>
          <w:color w:val="auto"/>
        </w:rPr>
      </w:pPr>
    </w:p>
    <w:p>
      <w:pPr>
        <w:ind w:left="1140" w:right="899" w:hanging="251"/>
        <w:spacing w:after="0" w:line="293"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June 30, 2024 of BrightSpring Health Services, Inc.;</w:t>
      </w:r>
    </w:p>
    <w:p>
      <w:pPr>
        <w:spacing w:after="0" w:line="58" w:lineRule="exact"/>
        <w:rPr>
          <w:rFonts w:ascii="Times New Roman" w:cs="Times New Roman" w:eastAsia="Times New Roman" w:hAnsi="Times New Roman"/>
          <w:sz w:val="14"/>
          <w:szCs w:val="14"/>
          <w:color w:val="auto"/>
        </w:rPr>
      </w:pPr>
    </w:p>
    <w:p>
      <w:pPr>
        <w:ind w:left="1140" w:right="659" w:hanging="251"/>
        <w:spacing w:after="0" w:line="275"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140" w:right="719" w:hanging="251"/>
        <w:spacing w:after="0" w:line="275"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140" w:right="979" w:hanging="251"/>
        <w:spacing w:after="0" w:line="275"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4"/>
          <w:szCs w:val="14"/>
          <w:color w:val="auto"/>
        </w:rPr>
      </w:pPr>
    </w:p>
    <w:p>
      <w:pPr>
        <w:ind w:left="1660" w:right="699" w:hanging="255"/>
        <w:spacing w:after="0" w:line="268" w:lineRule="auto"/>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4"/>
          <w:szCs w:val="14"/>
          <w:color w:val="auto"/>
        </w:rPr>
      </w:pPr>
    </w:p>
    <w:p>
      <w:pPr>
        <w:ind w:left="1660" w:hanging="255"/>
        <w:spacing w:after="0"/>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29" w:lineRule="exact"/>
        <w:rPr>
          <w:rFonts w:ascii="Times New Roman" w:cs="Times New Roman" w:eastAsia="Times New Roman" w:hAnsi="Times New Roman"/>
          <w:sz w:val="14"/>
          <w:szCs w:val="14"/>
          <w:color w:val="auto"/>
        </w:rPr>
      </w:pPr>
    </w:p>
    <w:p>
      <w:pPr>
        <w:ind w:left="1660" w:right="699" w:hanging="255"/>
        <w:spacing w:after="0" w:line="275" w:lineRule="auto"/>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4"/>
          <w:szCs w:val="14"/>
          <w:color w:val="auto"/>
        </w:rPr>
      </w:pPr>
    </w:p>
    <w:p>
      <w:pPr>
        <w:ind w:left="1660" w:right="799" w:hanging="255"/>
        <w:spacing w:after="0" w:line="268" w:lineRule="auto"/>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14"/>
          <w:szCs w:val="14"/>
          <w:color w:val="auto"/>
        </w:rPr>
      </w:pPr>
    </w:p>
    <w:p>
      <w:pPr>
        <w:ind w:left="1140" w:right="939" w:hanging="251"/>
        <w:spacing w:after="0" w:line="275" w:lineRule="auto"/>
        <w:tabs>
          <w:tab w:leader="none" w:pos="1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660" w:right="839" w:hanging="255"/>
        <w:spacing w:after="0" w:line="275" w:lineRule="auto"/>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4"/>
          <w:szCs w:val="14"/>
          <w:color w:val="auto"/>
        </w:rPr>
      </w:pPr>
    </w:p>
    <w:p>
      <w:pPr>
        <w:ind w:left="1660" w:right="699" w:hanging="255"/>
        <w:spacing w:after="0" w:line="293" w:lineRule="auto"/>
        <w:tabs>
          <w:tab w:leader="none" w:pos="166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August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c>
          <w:tcPr>
            <w:tcW w:w="320" w:type="dxa"/>
            <w:vAlign w:val="bottom"/>
          </w:tcPr>
          <w:p>
            <w:pPr>
              <w:spacing w:after="0"/>
              <w:rPr>
                <w:sz w:val="16"/>
                <w:szCs w:val="16"/>
                <w:color w:val="auto"/>
              </w:rPr>
            </w:pP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320" w:type="dxa"/>
            <w:vAlign w:val="bottom"/>
          </w:tcPr>
          <w:p>
            <w:pPr>
              <w:spacing w:after="0"/>
              <w:rPr>
                <w:sz w:val="15"/>
                <w:szCs w:val="15"/>
                <w:color w:val="auto"/>
              </w:rPr>
            </w:pP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320" w:type="dxa"/>
            <w:vAlign w:val="bottom"/>
          </w:tcPr>
          <w:p>
            <w:pPr>
              <w:spacing w:after="0"/>
              <w:rPr>
                <w:sz w:val="16"/>
                <w:szCs w:val="16"/>
                <w:color w:val="auto"/>
              </w:rPr>
            </w:pP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20" w:type="dxa"/>
            <w:vAlign w:val="bottom"/>
          </w:tcPr>
          <w:p>
            <w:pPr>
              <w:spacing w:after="0"/>
              <w:rPr>
                <w:sz w:val="16"/>
                <w:szCs w:val="16"/>
                <w:color w:val="auto"/>
              </w:rPr>
            </w:pPr>
          </w:p>
        </w:tc>
      </w:tr>
      <w:tr>
        <w:trPr>
          <w:trHeight w:val="896"/>
        </w:trPr>
        <w:tc>
          <w:tcPr>
            <w:tcW w:w="1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51" w:name="page52"/>
    <w:bookmarkEnd w:id="5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jc w:val="center"/>
        <w:ind w:left="640" w:right="659"/>
        <w:spacing w:after="0" w:line="275"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2022</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Jim Mattingly, certify that:</w:t>
      </w:r>
    </w:p>
    <w:p>
      <w:pPr>
        <w:spacing w:after="0" w:line="130" w:lineRule="exact"/>
        <w:rPr>
          <w:sz w:val="20"/>
          <w:szCs w:val="20"/>
          <w:color w:val="auto"/>
        </w:rPr>
      </w:pPr>
    </w:p>
    <w:p>
      <w:pPr>
        <w:ind w:left="1140" w:right="899" w:hanging="251"/>
        <w:spacing w:after="0" w:line="293" w:lineRule="auto"/>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June 30, 2024 of BrightSpring Health Services, Inc.;</w:t>
      </w:r>
    </w:p>
    <w:p>
      <w:pPr>
        <w:spacing w:after="0" w:line="58" w:lineRule="exact"/>
        <w:rPr>
          <w:rFonts w:ascii="Times New Roman" w:cs="Times New Roman" w:eastAsia="Times New Roman" w:hAnsi="Times New Roman"/>
          <w:sz w:val="14"/>
          <w:szCs w:val="14"/>
          <w:color w:val="auto"/>
        </w:rPr>
      </w:pPr>
    </w:p>
    <w:p>
      <w:pPr>
        <w:ind w:left="1140" w:right="659" w:hanging="251"/>
        <w:spacing w:after="0" w:line="275" w:lineRule="auto"/>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140" w:right="719" w:hanging="251"/>
        <w:spacing w:after="0" w:line="275" w:lineRule="auto"/>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140" w:right="979" w:hanging="251"/>
        <w:spacing w:after="0" w:line="275" w:lineRule="auto"/>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4"/>
          <w:szCs w:val="14"/>
          <w:color w:val="auto"/>
        </w:rPr>
      </w:pPr>
    </w:p>
    <w:p>
      <w:pPr>
        <w:ind w:left="1660" w:right="699" w:hanging="255"/>
        <w:spacing w:after="0" w:line="268"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4"/>
          <w:szCs w:val="14"/>
          <w:color w:val="auto"/>
        </w:rPr>
      </w:pPr>
    </w:p>
    <w:p>
      <w:pPr>
        <w:ind w:left="1660" w:hanging="255"/>
        <w:spacing w:after="0"/>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29" w:lineRule="exact"/>
        <w:rPr>
          <w:rFonts w:ascii="Times New Roman" w:cs="Times New Roman" w:eastAsia="Times New Roman" w:hAnsi="Times New Roman"/>
          <w:sz w:val="14"/>
          <w:szCs w:val="14"/>
          <w:color w:val="auto"/>
        </w:rPr>
      </w:pPr>
    </w:p>
    <w:p>
      <w:pPr>
        <w:ind w:left="1660" w:right="699" w:hanging="255"/>
        <w:spacing w:after="0" w:line="275"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4"/>
          <w:szCs w:val="14"/>
          <w:color w:val="auto"/>
        </w:rPr>
      </w:pPr>
    </w:p>
    <w:p>
      <w:pPr>
        <w:ind w:left="1660" w:right="799" w:hanging="255"/>
        <w:spacing w:after="0" w:line="268"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14"/>
          <w:szCs w:val="14"/>
          <w:color w:val="auto"/>
        </w:rPr>
      </w:pPr>
    </w:p>
    <w:p>
      <w:pPr>
        <w:ind w:left="1140" w:right="939" w:hanging="251"/>
        <w:spacing w:after="0" w:line="275" w:lineRule="auto"/>
        <w:tabs>
          <w:tab w:leader="none" w:pos="1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660" w:right="839" w:hanging="255"/>
        <w:spacing w:after="0" w:line="275"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4"/>
          <w:szCs w:val="14"/>
          <w:color w:val="auto"/>
        </w:rPr>
      </w:pPr>
    </w:p>
    <w:p>
      <w:pPr>
        <w:ind w:left="1660" w:right="699" w:hanging="255"/>
        <w:spacing w:after="0" w:line="293" w:lineRule="auto"/>
        <w:tabs>
          <w:tab w:leader="none" w:pos="16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August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c>
          <w:tcPr>
            <w:tcW w:w="320" w:type="dxa"/>
            <w:vAlign w:val="bottom"/>
          </w:tcPr>
          <w:p>
            <w:pPr>
              <w:spacing w:after="0"/>
              <w:rPr>
                <w:sz w:val="16"/>
                <w:szCs w:val="16"/>
                <w:color w:val="auto"/>
              </w:rPr>
            </w:pP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Jim Mattingly</w:t>
            </w:r>
          </w:p>
        </w:tc>
        <w:tc>
          <w:tcPr>
            <w:tcW w:w="320" w:type="dxa"/>
            <w:vAlign w:val="bottom"/>
          </w:tcPr>
          <w:p>
            <w:pPr>
              <w:spacing w:after="0"/>
              <w:rPr>
                <w:sz w:val="15"/>
                <w:szCs w:val="15"/>
                <w:color w:val="auto"/>
              </w:rPr>
            </w:pP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320" w:type="dxa"/>
            <w:vAlign w:val="bottom"/>
          </w:tcPr>
          <w:p>
            <w:pPr>
              <w:spacing w:after="0"/>
              <w:rPr>
                <w:sz w:val="16"/>
                <w:szCs w:val="16"/>
                <w:color w:val="auto"/>
              </w:rPr>
            </w:pP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20" w:type="dxa"/>
            <w:vAlign w:val="bottom"/>
          </w:tcPr>
          <w:p>
            <w:pPr>
              <w:spacing w:after="0"/>
              <w:rPr>
                <w:sz w:val="16"/>
                <w:szCs w:val="16"/>
                <w:color w:val="auto"/>
              </w:rPr>
            </w:pPr>
          </w:p>
        </w:tc>
      </w:tr>
      <w:tr>
        <w:trPr>
          <w:trHeight w:val="896"/>
        </w:trPr>
        <w:tc>
          <w:tcPr>
            <w:tcW w:w="1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52" w:name="page53"/>
    <w:bookmarkEnd w:id="5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2022</w:t>
      </w:r>
    </w:p>
    <w:p>
      <w:pPr>
        <w:spacing w:after="0" w:line="200" w:lineRule="exact"/>
        <w:rPr>
          <w:sz w:val="20"/>
          <w:szCs w:val="20"/>
          <w:color w:val="auto"/>
        </w:rPr>
      </w:pPr>
    </w:p>
    <w:p>
      <w:pPr>
        <w:spacing w:after="0" w:line="206"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June 30, 2024,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77" w:lineRule="exact"/>
        <w:rPr>
          <w:sz w:val="20"/>
          <w:szCs w:val="20"/>
          <w:color w:val="auto"/>
        </w:rPr>
      </w:pPr>
    </w:p>
    <w:p>
      <w:pPr>
        <w:ind w:left="1140" w:right="819" w:hanging="251"/>
        <w:spacing w:after="0" w:line="293" w:lineRule="auto"/>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69" w:lineRule="exact"/>
        <w:rPr>
          <w:rFonts w:ascii="Times New Roman" w:cs="Times New Roman" w:eastAsia="Times New Roman" w:hAnsi="Times New Roman"/>
          <w:sz w:val="14"/>
          <w:szCs w:val="14"/>
          <w:color w:val="auto"/>
        </w:rPr>
      </w:pPr>
    </w:p>
    <w:p>
      <w:pPr>
        <w:ind w:left="1140" w:right="1179" w:hanging="251"/>
        <w:spacing w:after="0" w:line="293" w:lineRule="auto"/>
        <w:tabs>
          <w:tab w:leader="none" w:pos="1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August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88" w:lineRule="exact"/>
        <w:rPr>
          <w:sz w:val="20"/>
          <w:szCs w:val="20"/>
          <w:color w:val="auto"/>
        </w:rPr>
      </w:pPr>
    </w:p>
    <w:p>
      <w:pPr>
        <w:jc w:val="both"/>
        <w:ind w:left="640" w:right="67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612775</wp:posOffset>
            </wp:positionV>
            <wp:extent cx="4944745"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53" w:name="page54"/>
    <w:bookmarkEnd w:id="5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2022</w:t>
      </w:r>
    </w:p>
    <w:p>
      <w:pPr>
        <w:spacing w:after="0" w:line="200" w:lineRule="exact"/>
        <w:rPr>
          <w:sz w:val="20"/>
          <w:szCs w:val="20"/>
          <w:color w:val="auto"/>
        </w:rPr>
      </w:pPr>
    </w:p>
    <w:p>
      <w:pPr>
        <w:spacing w:after="0" w:line="206"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June 30, 2024, as filed with the Securities and Exchange Commission on the date of the signatures below (the Report), Jim Mattingly, Executive Vice President and Chief Financial Officer of the Company, do hereby certify, pursuant to 18 U.S.C. Section 1350, as adopted pursuant to Section 906 of the Sarbanes-Oxley Act of 2002, that, to the best of their respective knowledge:</w:t>
      </w:r>
    </w:p>
    <w:p>
      <w:pPr>
        <w:spacing w:after="0" w:line="77" w:lineRule="exact"/>
        <w:rPr>
          <w:sz w:val="20"/>
          <w:szCs w:val="20"/>
          <w:color w:val="auto"/>
        </w:rPr>
      </w:pPr>
    </w:p>
    <w:p>
      <w:pPr>
        <w:ind w:left="1140" w:right="819" w:hanging="251"/>
        <w:spacing w:after="0" w:line="293" w:lineRule="auto"/>
        <w:tabs>
          <w:tab w:leader="none" w:pos="1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69" w:lineRule="exact"/>
        <w:rPr>
          <w:rFonts w:ascii="Times New Roman" w:cs="Times New Roman" w:eastAsia="Times New Roman" w:hAnsi="Times New Roman"/>
          <w:sz w:val="14"/>
          <w:szCs w:val="14"/>
          <w:color w:val="auto"/>
        </w:rPr>
      </w:pPr>
    </w:p>
    <w:p>
      <w:pPr>
        <w:ind w:left="1140" w:right="1179" w:hanging="251"/>
        <w:spacing w:after="0" w:line="293" w:lineRule="auto"/>
        <w:tabs>
          <w:tab w:leader="none" w:pos="1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August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Jim Mattingly</w:t>
            </w: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88" w:lineRule="exact"/>
        <w:rPr>
          <w:sz w:val="20"/>
          <w:szCs w:val="20"/>
          <w:color w:val="auto"/>
        </w:rPr>
      </w:pPr>
    </w:p>
    <w:p>
      <w:pPr>
        <w:jc w:val="both"/>
        <w:ind w:left="640" w:right="67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612775</wp:posOffset>
            </wp:positionV>
            <wp:extent cx="494474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upperLetter"/>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lvl>
    <w:lvl w:ilvl="1">
      <w:lvlJc w:val="left"/>
      <w:lvlText w:val="•"/>
      <w:numFmt w:val="bullet"/>
      <w:start w:val="1"/>
    </w:lvl>
  </w:abstractNum>
  <w:abstractNum w:abstractNumId="14">
    <w:nsid w:val="2D1D5AE9"/>
    <w:multiLevelType w:val="hybridMultilevel"/>
    <w:lvl w:ilvl="0">
      <w:lvlJc w:val="left"/>
      <w:lvlText w:val="(%1)"/>
      <w:numFmt w:val="lowerRoman"/>
      <w:start w:val="2"/>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lvl w:ilvl="1">
      <w:lvlJc w:val="left"/>
      <w:lvlText w:val="o"/>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lvl>
    <w:lvl w:ilvl="1">
      <w:lvlJc w:val="left"/>
      <w:lvlText w:val="•"/>
      <w:numFmt w:val="bullet"/>
      <w:start w:val="1"/>
    </w:lvl>
    <w:lvl w:ilvl="2">
      <w:lvlJc w:val="left"/>
      <w:lvlText w:val="o"/>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04"/>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43" Type="http://schemas.openxmlformats.org/officeDocument/2006/relationships/hyperlink" Target="https://www.sec.gov/Archives/edgar/data/1865782/000119312524019479/d925158dex31.htm" TargetMode="External"/><Relationship Id="rId344" Type="http://schemas.openxmlformats.org/officeDocument/2006/relationships/hyperlink" Target="https://www.sec.gov/Archives/edgar/data/1865782/000119312524019479/d925158dex32.htm" TargetMode="External"/><Relationship Id="rId345" Type="http://schemas.openxmlformats.org/officeDocument/2006/relationships/hyperlink" Target="https://www.sec.gov/Archives/edgar/data/1865782/000119312524019479/d925158dex41.htm" TargetMode="External"/><Relationship Id="rId346" Type="http://schemas.openxmlformats.org/officeDocument/2006/relationships/hyperlink" Target="https://www.sec.gov/Archives/edgar/data/1865782/000119312524019479/d925158dex44.htm" TargetMode="External"/><Relationship Id="rId347" Type="http://schemas.openxmlformats.org/officeDocument/2006/relationships/hyperlink" Target="https://www.sec.gov/Archives/edgar/data/1865782/000119312524019479/d925158dex45.htm" TargetMode="External"/><Relationship Id="rId348" Type="http://schemas.openxmlformats.org/officeDocument/2006/relationships/hyperlink" Target="https://www.sec.gov/Archives/edgar/data/1865782/000119312524005605/d251968dex41.htm" TargetMode="External"/><Relationship Id="rId349" Type="http://schemas.openxmlformats.org/officeDocument/2006/relationships/hyperlink" Target="https://www.sec.gov/Archives/edgar/data/1865782/000095017024067369/bts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2024-08-02T07:57:26Z</dcterms:created>
  <dcterms:modified xsi:type="dcterms:W3CDTF">2024-08-02T07:57:26Z</dcterms:modified>
</cp:coreProperties>
</file>