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BrightSpring Health Services,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001-41938</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82-2956404</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805 N. Whittington Parkway</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Louisville, Kentucky</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502 394-2100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3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BTSG</w:t>
            </w:r>
          </w:p>
        </w:tc>
        <w:tc>
          <w:tcPr>
            <w:tcW w:w="80" w:type="dxa"/>
            <w:vAlign w:val="bottom"/>
          </w:tcPr>
          <w:p>
            <w:pPr>
              <w:spacing w:after="0"/>
              <w:rPr>
                <w:sz w:val="16"/>
                <w:szCs w:val="16"/>
                <w:color w:val="auto"/>
              </w:rPr>
            </w:pPr>
          </w:p>
        </w:tc>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6.75% Tangible Equity Units</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BTSGU</w:t>
            </w:r>
          </w:p>
        </w:tc>
        <w:tc>
          <w:tcPr>
            <w:tcW w:w="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October 30, 2026, BrightSpring Health Services, Inc. issued a press release announcing its financial results for the quarter ended September 30, 2026. A copy of the press release is furnished as Exhibit 99.1 to this Current Report on Form 8-K and incorporated by reference in this Item 2.02.</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or the Exchange Act, except as otherwise expressly stated by specific reference in any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ind w:left="240"/>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BrightSpring Health Services, Inc., dated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-20320</wp:posOffset>
            </wp:positionV>
            <wp:extent cx="3512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2185" cy="8890"/>
                    </a:xfrm>
                    <a:prstGeom prst="rect">
                      <a:avLst/>
                    </a:prstGeom>
                    <a:noFill/>
                  </pic:spPr>
                </pic:pic>
              </a:graphicData>
            </a:graphic>
          </wp:anchor>
        </w:drawing>
      </w:r>
    </w:p>
    <w:p>
      <w:pPr>
        <w:ind w:left="26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1089" w:right="11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BRIGHTSPRING HEALTH SERVICES, INC.</w:t>
            </w:r>
          </w:p>
        </w:tc>
      </w:tr>
      <w:tr>
        <w:trPr>
          <w:trHeight w:val="580"/>
        </w:trPr>
        <w:tc>
          <w:tcPr>
            <w:tcW w:w="3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October 30, 2026</w:t>
            </w:r>
          </w:p>
        </w:tc>
        <w:tc>
          <w:tcPr>
            <w:tcW w:w="20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Jennifer Phipps</w:t>
            </w:r>
          </w:p>
        </w:tc>
      </w:tr>
      <w:tr>
        <w:trPr>
          <w:trHeight w:val="191"/>
        </w:trPr>
        <w:tc>
          <w:tcPr>
            <w:tcW w:w="3920" w:type="dxa"/>
            <w:vAlign w:val="bottom"/>
          </w:tcPr>
          <w:p>
            <w:pPr>
              <w:spacing w:after="0"/>
              <w:rPr>
                <w:sz w:val="16"/>
                <w:szCs w:val="16"/>
                <w:color w:val="auto"/>
              </w:rPr>
            </w:pPr>
          </w:p>
        </w:tc>
        <w:tc>
          <w:tcPr>
            <w:tcW w:w="2000" w:type="dxa"/>
            <w:vAlign w:val="bottom"/>
          </w:tcPr>
          <w:p>
            <w:pPr>
              <w:ind w:left="1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Jennifer Phipps</w:t>
            </w:r>
          </w:p>
        </w:tc>
        <w:tc>
          <w:tcPr>
            <w:tcW w:w="660" w:type="dxa"/>
            <w:vAlign w:val="bottom"/>
          </w:tcPr>
          <w:p>
            <w:pPr>
              <w:spacing w:after="0"/>
              <w:rPr>
                <w:sz w:val="16"/>
                <w:szCs w:val="16"/>
                <w:color w:val="auto"/>
              </w:rPr>
            </w:pPr>
          </w:p>
        </w:tc>
      </w:tr>
      <w:tr>
        <w:trPr>
          <w:trHeight w:val="248"/>
        </w:trPr>
        <w:tc>
          <w:tcPr>
            <w:tcW w:w="3920" w:type="dxa"/>
            <w:vAlign w:val="bottom"/>
          </w:tcPr>
          <w:p>
            <w:pPr>
              <w:spacing w:after="0"/>
              <w:rPr>
                <w:sz w:val="21"/>
                <w:szCs w:val="21"/>
                <w:color w:val="auto"/>
              </w:rPr>
            </w:pPr>
          </w:p>
        </w:tc>
        <w:tc>
          <w:tcPr>
            <w:tcW w:w="20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141"/>
        </w:trPr>
        <w:tc>
          <w:tcPr>
            <w:tcW w:w="39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3" w:name="page4"/>
    <w:bookmarkEnd w:id="3"/>
    <w:p>
      <w:pPr>
        <w:jc w:val="center"/>
        <w:ind w:right="60"/>
        <w:spacing w:after="0" w:line="272" w:lineRule="auto"/>
        <w:rPr>
          <w:sz w:val="20"/>
          <w:szCs w:val="20"/>
          <w:color w:val="auto"/>
        </w:rPr>
      </w:pPr>
      <w:r>
        <w:rPr>
          <w:rFonts w:ascii="Arial" w:cs="Arial" w:eastAsia="Arial" w:hAnsi="Arial"/>
          <w:sz w:val="22"/>
          <w:szCs w:val="22"/>
          <w:b w:val="1"/>
          <w:bCs w:val="1"/>
          <w:color w:val="auto"/>
        </w:rPr>
        <w:t>BrightSpring Health Services, Inc. Reports Third Quarter 2026 Financial Results and Increases Full Year 2026 Guidance</w:t>
      </w:r>
    </w:p>
    <w:p>
      <w:pPr>
        <w:spacing w:after="0" w:line="133" w:lineRule="exact"/>
        <w:rPr>
          <w:sz w:val="20"/>
          <w:szCs w:val="20"/>
          <w:color w:val="auto"/>
        </w:rPr>
      </w:pPr>
    </w:p>
    <w:p>
      <w:pPr>
        <w:ind w:right="180"/>
        <w:spacing w:after="0" w:line="252" w:lineRule="auto"/>
        <w:rPr>
          <w:sz w:val="20"/>
          <w:szCs w:val="20"/>
          <w:color w:val="auto"/>
        </w:rPr>
      </w:pPr>
      <w:r>
        <w:rPr>
          <w:rFonts w:ascii="Arial" w:cs="Arial" w:eastAsia="Arial" w:hAnsi="Arial"/>
          <w:sz w:val="20"/>
          <w:szCs w:val="20"/>
          <w:b w:val="1"/>
          <w:bCs w:val="1"/>
          <w:color w:val="auto"/>
        </w:rPr>
        <w:t xml:space="preserve">LOUISVILLE, Ky., October 30, 2026 </w:t>
      </w:r>
      <w:r>
        <w:rPr>
          <w:rFonts w:ascii="Arial" w:cs="Arial" w:eastAsia="Arial" w:hAnsi="Arial"/>
          <w:sz w:val="20"/>
          <w:szCs w:val="20"/>
          <w:color w:val="auto"/>
        </w:rPr>
        <w:t>— BrightSpring Health Services, Inc. (“BrightSpring”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(NASDAQ: BTSG), a leading provider of home- and community-based health services for complex populations, today announced financial results for the third quarter ended September 30, 2026, and increased full year 2026 Revenue and Adjusted EBITDA</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guidance.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Financial Highlights</w:t>
      </w:r>
    </w:p>
    <w:p>
      <w:pPr>
        <w:spacing w:after="0" w:line="6" w:lineRule="exact"/>
        <w:rPr>
          <w:sz w:val="20"/>
          <w:szCs w:val="20"/>
          <w:color w:val="auto"/>
        </w:rPr>
      </w:pPr>
    </w:p>
    <w:p>
      <w:pPr>
        <w:ind w:right="360"/>
        <w:spacing w:after="0" w:line="239" w:lineRule="auto"/>
        <w:rPr>
          <w:sz w:val="20"/>
          <w:szCs w:val="20"/>
          <w:color w:val="auto"/>
        </w:rPr>
      </w:pPr>
      <w:r>
        <w:rPr>
          <w:rFonts w:ascii="Arial" w:cs="Arial" w:eastAsia="Arial" w:hAnsi="Arial"/>
          <w:sz w:val="20"/>
          <w:szCs w:val="20"/>
          <w:i w:val="1"/>
          <w:iCs w:val="1"/>
          <w:color w:val="auto"/>
        </w:rPr>
        <w:t>(note: On March 30, 2026, BrightSpring completed the divestiture of the Community Living business and, as such, all financial results provided pertain to continuing operations)</w:t>
      </w:r>
    </w:p>
    <w:p>
      <w:pPr>
        <w:spacing w:after="0" w:line="6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revenue of $4,213 million, up 26.4% compared to $3,334 million in the third quarter of 2025</w:t>
      </w:r>
    </w:p>
    <w:p>
      <w:pPr>
        <w:spacing w:after="0" w:line="16" w:lineRule="exact"/>
        <w:rPr>
          <w:rFonts w:ascii="Times New Roman" w:cs="Times New Roman" w:eastAsia="Times New Roman" w:hAnsi="Times New Roman"/>
          <w:sz w:val="20"/>
          <w:szCs w:val="20"/>
          <w:color w:val="auto"/>
        </w:rPr>
      </w:pPr>
    </w:p>
    <w:p>
      <w:pPr>
        <w:ind w:left="660" w:hanging="328"/>
        <w:spacing w:after="0" w:line="238" w:lineRule="auto"/>
        <w:tabs>
          <w:tab w:leader="none" w:pos="6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of $519 million, up 32.3% compared to $392 million in the third quarter of 2025</w:t>
      </w:r>
    </w:p>
    <w:p>
      <w:pPr>
        <w:ind w:left="660" w:right="580" w:hanging="328"/>
        <w:spacing w:after="0" w:line="232" w:lineRule="auto"/>
        <w:tabs>
          <w:tab w:leader="none" w:pos="6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 from continuing operations of $101 million compared to $38 million in the third quarter of 2025</w:t>
      </w:r>
    </w:p>
    <w:p>
      <w:pPr>
        <w:ind w:left="660" w:hanging="328"/>
        <w:spacing w:after="0" w:line="196" w:lineRule="auto"/>
        <w:tabs>
          <w:tab w:leader="none" w:pos="6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$228 million, up 42.0% compared to $160 million in the third quarter of 2025</w:t>
      </w:r>
    </w:p>
    <w:p>
      <w:pPr>
        <w:ind w:left="660" w:hanging="328"/>
        <w:spacing w:after="0"/>
        <w:tabs>
          <w:tab w:leader="none" w:pos="6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Leverage of 1.79x as of September 30, 2026, compared to leverage of 2.15x on June 30, 2026</w:t>
      </w:r>
    </w:p>
    <w:p>
      <w:pPr>
        <w:spacing w:after="0" w:line="197"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color w:val="auto"/>
        </w:rPr>
        <w:t>"Our third quarter results again reflect the commitment of our team to patient care and operational execution across our Pharmacy and Provider businesses," said Jon Rousseau, Chairman, President, and Chief Executive Officer of BrightSpring. "We have a differentiated company, our value proposition for healthcare stakeholders is clear, and our confidence in the future remains high, supported by a broad set of process and growth drivers across a uniquely scaled and high-quality platform. As we progress through 2026, we believe that BrightSpring is well -positioned to make a greater and greater impact and deliver durable growth in 2027 and beyond."</w:t>
      </w:r>
    </w:p>
    <w:p>
      <w:pPr>
        <w:spacing w:after="0" w:line="188" w:lineRule="exact"/>
        <w:rPr>
          <w:sz w:val="20"/>
          <w:szCs w:val="20"/>
          <w:color w:val="auto"/>
        </w:rPr>
      </w:pPr>
    </w:p>
    <w:p>
      <w:pPr>
        <w:ind w:right="80"/>
        <w:spacing w:after="0" w:line="223"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Adjusted EBITDA is a non-GAAP financial measure. Please see “Non-GAAP Financial Information” at the end of this press release for a reconciliation of Adjusted EBITDA to net income from continuing operations, the most directly comparable financial measure prepared in accordance with GAAP.</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Financials</w:t>
      </w:r>
      <w:r>
        <w:rPr>
          <w:rFonts w:ascii="Arial" w:cs="Arial" w:eastAsia="Arial" w:hAnsi="Arial"/>
          <w:sz w:val="26"/>
          <w:szCs w:val="26"/>
          <w:b w:val="1"/>
          <w:bCs w:val="1"/>
          <w:color w:val="auto"/>
          <w:vertAlign w:val="superscript"/>
        </w:rPr>
        <w:t>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8"/>
                <w:szCs w:val="18"/>
                <w:color w:val="auto"/>
              </w:rPr>
            </w:pPr>
          </w:p>
        </w:tc>
        <w:tc>
          <w:tcPr>
            <w:tcW w:w="22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4"/>
          </w:tcPr>
          <w:p>
            <w:pPr>
              <w:jc w:val="center"/>
              <w:ind w:right="310"/>
              <w:spacing w:after="0" w:line="202" w:lineRule="exact"/>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b w:val="1"/>
                <w:bCs w:val="1"/>
                <w:color w:val="auto"/>
                <w:w w:val="97"/>
              </w:rPr>
              <w:t>(Unaudited)</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vMerge w:val="restart"/>
          </w:tcPr>
          <w:p>
            <w:pPr>
              <w:ind w:left="10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2026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5"/>
        </w:trPr>
        <w:tc>
          <w:tcPr>
            <w:tcW w:w="2820" w:type="dxa"/>
            <w:vAlign w:val="bottom"/>
            <w:vMerge w:val="continue"/>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8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Pharmacy Solutions Revenue</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820" w:type="dxa"/>
            <w:vAlign w:val="bottom"/>
            <w:vMerge w:val="continue"/>
            <w:shd w:val="clear" w:color="auto" w:fill="CCEEFF"/>
          </w:tcPr>
          <w:p>
            <w:pPr>
              <w:spacing w:after="0"/>
              <w:rPr>
                <w:sz w:val="11"/>
                <w:szCs w:val="11"/>
                <w:color w:val="auto"/>
              </w:rPr>
            </w:pPr>
          </w:p>
        </w:tc>
        <w:tc>
          <w:tcPr>
            <w:tcW w:w="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3,732</w:t>
            </w: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8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$ 10,311</w:t>
            </w:r>
          </w:p>
        </w:tc>
        <w:tc>
          <w:tcPr>
            <w:tcW w:w="11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8,289</w:t>
            </w:r>
          </w:p>
        </w:tc>
        <w:tc>
          <w:tcPr>
            <w:tcW w:w="8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90"/>
        </w:trPr>
        <w:tc>
          <w:tcPr>
            <w:tcW w:w="2820" w:type="dxa"/>
            <w:vAlign w:val="bottom"/>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820" w:type="dxa"/>
            <w:vAlign w:val="bottom"/>
            <w:vMerge w:val="restart"/>
          </w:tcPr>
          <w:p>
            <w:pPr>
              <w:ind w:left="100"/>
              <w:spacing w:after="0"/>
              <w:rPr>
                <w:sz w:val="20"/>
                <w:szCs w:val="20"/>
                <w:color w:val="auto"/>
              </w:rPr>
            </w:pPr>
            <w:r>
              <w:rPr>
                <w:rFonts w:ascii="Arial" w:cs="Arial" w:eastAsia="Arial" w:hAnsi="Arial"/>
                <w:sz w:val="18"/>
                <w:szCs w:val="18"/>
                <w:color w:val="auto"/>
              </w:rPr>
              <w:t>Provider Services Revenue</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gridSpan w:val="2"/>
          </w:tcPr>
          <w:p>
            <w:pPr>
              <w:jc w:val="right"/>
              <w:ind w:right="10"/>
              <w:spacing w:after="0" w:line="183"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8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vMerge w:val="restart"/>
          </w:tcPr>
          <w:p>
            <w:pPr>
              <w:jc w:val="right"/>
              <w:ind w:right="50"/>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367</w:t>
            </w:r>
          </w:p>
        </w:tc>
        <w:tc>
          <w:tcPr>
            <w:tcW w:w="260" w:type="dxa"/>
            <w:vAlign w:val="bottom"/>
            <w:vMerge w:val="restart"/>
          </w:tcPr>
          <w:p>
            <w:pPr>
              <w:spacing w:after="0"/>
              <w:rPr>
                <w:sz w:val="12"/>
                <w:szCs w:val="12"/>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2"/>
                <w:szCs w:val="12"/>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1,389</w:t>
            </w:r>
          </w:p>
        </w:tc>
        <w:tc>
          <w:tcPr>
            <w:tcW w:w="260" w:type="dxa"/>
            <w:vAlign w:val="bottom"/>
            <w:vMerge w:val="restart"/>
          </w:tcPr>
          <w:p>
            <w:pPr>
              <w:spacing w:after="0"/>
              <w:rPr>
                <w:sz w:val="12"/>
                <w:szCs w:val="12"/>
                <w:color w:val="auto"/>
              </w:rPr>
            </w:pPr>
          </w:p>
        </w:tc>
        <w:tc>
          <w:tcPr>
            <w:tcW w:w="860" w:type="dxa"/>
            <w:vAlign w:val="bottom"/>
            <w:vMerge w:val="restart"/>
          </w:tcPr>
          <w:p>
            <w:pPr>
              <w:jc w:val="right"/>
              <w:ind w:right="110"/>
              <w:spacing w:after="0"/>
              <w:rPr>
                <w:sz w:val="20"/>
                <w:szCs w:val="20"/>
                <w:color w:val="auto"/>
              </w:rPr>
            </w:pPr>
            <w:r>
              <w:rPr>
                <w:rFonts w:ascii="Arial" w:cs="Arial" w:eastAsia="Arial" w:hAnsi="Arial"/>
                <w:sz w:val="18"/>
                <w:szCs w:val="18"/>
                <w:color w:val="auto"/>
              </w:rPr>
              <w:t>1,071</w:t>
            </w:r>
          </w:p>
        </w:tc>
        <w:tc>
          <w:tcPr>
            <w:tcW w:w="260" w:type="dxa"/>
            <w:vAlign w:val="bottom"/>
            <w:vMerge w:val="restart"/>
          </w:tcPr>
          <w:p>
            <w:pPr>
              <w:spacing w:after="0"/>
              <w:rPr>
                <w:sz w:val="12"/>
                <w:szCs w:val="12"/>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77"/>
        </w:trPr>
        <w:tc>
          <w:tcPr>
            <w:tcW w:w="28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820" w:type="dxa"/>
            <w:vAlign w:val="bottom"/>
            <w:vMerge w:val="restart"/>
            <w:shd w:val="clear" w:color="auto" w:fill="CAEDFB"/>
          </w:tcPr>
          <w:p>
            <w:pPr>
              <w:ind w:left="16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AEDFB"/>
          </w:tcPr>
          <w:p>
            <w:pPr>
              <w:spacing w:after="0"/>
              <w:rPr>
                <w:sz w:val="17"/>
                <w:szCs w:val="17"/>
                <w:color w:val="auto"/>
              </w:rPr>
            </w:pPr>
          </w:p>
        </w:tc>
        <w:tc>
          <w:tcPr>
            <w:tcW w:w="720" w:type="dxa"/>
            <w:vAlign w:val="bottom"/>
            <w:shd w:val="clear" w:color="auto" w:fill="CAEDFB"/>
          </w:tcPr>
          <w:p>
            <w:pPr>
              <w:spacing w:after="0"/>
              <w:rPr>
                <w:sz w:val="17"/>
                <w:szCs w:val="17"/>
                <w:color w:val="auto"/>
              </w:rPr>
            </w:pPr>
          </w:p>
        </w:tc>
        <w:tc>
          <w:tcPr>
            <w:tcW w:w="260" w:type="dxa"/>
            <w:vAlign w:val="bottom"/>
            <w:shd w:val="clear" w:color="auto" w:fill="CAEDFB"/>
          </w:tcPr>
          <w:p>
            <w:pPr>
              <w:spacing w:after="0"/>
              <w:rPr>
                <w:sz w:val="17"/>
                <w:szCs w:val="17"/>
                <w:color w:val="auto"/>
              </w:rPr>
            </w:pPr>
          </w:p>
        </w:tc>
        <w:tc>
          <w:tcPr>
            <w:tcW w:w="300" w:type="dxa"/>
            <w:vAlign w:val="bottom"/>
            <w:shd w:val="clear" w:color="auto" w:fill="CAEDFB"/>
          </w:tcPr>
          <w:p>
            <w:pPr>
              <w:spacing w:after="0"/>
              <w:rPr>
                <w:sz w:val="17"/>
                <w:szCs w:val="17"/>
                <w:color w:val="auto"/>
              </w:rPr>
            </w:pPr>
          </w:p>
        </w:tc>
        <w:tc>
          <w:tcPr>
            <w:tcW w:w="560" w:type="dxa"/>
            <w:vAlign w:val="bottom"/>
            <w:shd w:val="clear" w:color="auto" w:fill="CAEDFB"/>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AEDFB"/>
          </w:tcPr>
          <w:p>
            <w:pPr>
              <w:jc w:val="right"/>
              <w:ind w:right="10"/>
              <w:spacing w:after="0" w:line="196" w:lineRule="exact"/>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AEDFB"/>
          </w:tcPr>
          <w:p>
            <w:pPr>
              <w:spacing w:after="0"/>
              <w:rPr>
                <w:sz w:val="17"/>
                <w:szCs w:val="17"/>
                <w:color w:val="auto"/>
              </w:rPr>
            </w:pPr>
          </w:p>
        </w:tc>
        <w:tc>
          <w:tcPr>
            <w:tcW w:w="1060" w:type="dxa"/>
            <w:vAlign w:val="bottom"/>
            <w:shd w:val="clear" w:color="auto" w:fill="CAEDFB"/>
          </w:tcPr>
          <w:p>
            <w:pPr>
              <w:spacing w:after="0"/>
              <w:rPr>
                <w:sz w:val="17"/>
                <w:szCs w:val="17"/>
                <w:color w:val="auto"/>
              </w:rPr>
            </w:pPr>
          </w:p>
        </w:tc>
        <w:tc>
          <w:tcPr>
            <w:tcW w:w="1120" w:type="dxa"/>
            <w:vAlign w:val="bottom"/>
            <w:gridSpan w:val="2"/>
            <w:shd w:val="clear" w:color="auto" w:fill="CAEDFB"/>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AEDFB"/>
          </w:tcPr>
          <w:p>
            <w:pPr>
              <w:spacing w:after="0"/>
              <w:rPr>
                <w:sz w:val="17"/>
                <w:szCs w:val="17"/>
                <w:color w:val="auto"/>
              </w:rPr>
            </w:pPr>
          </w:p>
        </w:tc>
        <w:tc>
          <w:tcPr>
            <w:tcW w:w="580" w:type="dxa"/>
            <w:vAlign w:val="bottom"/>
            <w:shd w:val="clear" w:color="auto" w:fill="CAEDFB"/>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820" w:type="dxa"/>
            <w:vAlign w:val="bottom"/>
            <w:tcBorders>
              <w:bottom w:val="single" w:sz="8" w:color="CAEDFB"/>
            </w:tcBorders>
            <w:vMerge w:val="continue"/>
            <w:shd w:val="clear" w:color="auto" w:fill="CAEDFB"/>
          </w:tcPr>
          <w:p>
            <w:pPr>
              <w:spacing w:after="0"/>
              <w:rPr>
                <w:sz w:val="19"/>
                <w:szCs w:val="19"/>
                <w:color w:val="auto"/>
              </w:rPr>
            </w:pPr>
          </w:p>
        </w:tc>
        <w:tc>
          <w:tcPr>
            <w:tcW w:w="360" w:type="dxa"/>
            <w:vAlign w:val="bottom"/>
            <w:tcBorders>
              <w:bottom w:val="single" w:sz="8" w:color="CAEDFB"/>
            </w:tcBorders>
            <w:shd w:val="clear" w:color="auto" w:fill="CAEDFB"/>
          </w:tcPr>
          <w:p>
            <w:pPr>
              <w:jc w:val="right"/>
              <w:ind w:right="30"/>
              <w:spacing w:after="0" w:line="182"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AEDFB"/>
            </w:tcBorders>
            <w:shd w:val="clear" w:color="auto" w:fill="CAEDFB"/>
          </w:tcPr>
          <w:p>
            <w:pPr>
              <w:jc w:val="right"/>
              <w:ind w:right="50"/>
              <w:spacing w:after="0" w:line="182" w:lineRule="exact"/>
              <w:rPr>
                <w:sz w:val="20"/>
                <w:szCs w:val="20"/>
                <w:color w:val="auto"/>
              </w:rPr>
            </w:pPr>
            <w:r>
              <w:rPr>
                <w:rFonts w:ascii="Arial" w:cs="Arial" w:eastAsia="Arial" w:hAnsi="Arial"/>
                <w:sz w:val="18"/>
                <w:szCs w:val="18"/>
                <w:b w:val="1"/>
                <w:bCs w:val="1"/>
                <w:color w:val="auto"/>
              </w:rPr>
              <w:t>4,213</w:t>
            </w:r>
          </w:p>
        </w:tc>
        <w:tc>
          <w:tcPr>
            <w:tcW w:w="260" w:type="dxa"/>
            <w:vAlign w:val="bottom"/>
            <w:tcBorders>
              <w:bottom w:val="single" w:sz="8" w:color="CAEDFB"/>
            </w:tcBorders>
            <w:shd w:val="clear" w:color="auto" w:fill="CAEDFB"/>
          </w:tcPr>
          <w:p>
            <w:pPr>
              <w:spacing w:after="0"/>
              <w:rPr>
                <w:sz w:val="19"/>
                <w:szCs w:val="19"/>
                <w:color w:val="auto"/>
              </w:rPr>
            </w:pPr>
          </w:p>
        </w:tc>
        <w:tc>
          <w:tcPr>
            <w:tcW w:w="300" w:type="dxa"/>
            <w:vAlign w:val="bottom"/>
            <w:tcBorders>
              <w:bottom w:val="single" w:sz="8" w:color="CAEDFB"/>
            </w:tcBorders>
            <w:shd w:val="clear" w:color="auto" w:fill="CAEDFB"/>
          </w:tcPr>
          <w:p>
            <w:pPr>
              <w:spacing w:after="0"/>
              <w:rPr>
                <w:sz w:val="19"/>
                <w:szCs w:val="19"/>
                <w:color w:val="auto"/>
              </w:rPr>
            </w:pPr>
          </w:p>
        </w:tc>
        <w:tc>
          <w:tcPr>
            <w:tcW w:w="560" w:type="dxa"/>
            <w:vAlign w:val="bottom"/>
            <w:tcBorders>
              <w:bottom w:val="single" w:sz="8" w:color="CAEDFB"/>
            </w:tcBorders>
            <w:shd w:val="clear" w:color="auto" w:fill="CAEDFB"/>
          </w:tcPr>
          <w:p>
            <w:pPr>
              <w:jc w:val="right"/>
              <w:spacing w:after="0" w:line="182" w:lineRule="exact"/>
              <w:rPr>
                <w:sz w:val="20"/>
                <w:szCs w:val="20"/>
                <w:color w:val="auto"/>
              </w:rPr>
            </w:pPr>
            <w:r>
              <w:rPr>
                <w:rFonts w:ascii="Arial" w:cs="Arial" w:eastAsia="Arial" w:hAnsi="Arial"/>
                <w:sz w:val="18"/>
                <w:szCs w:val="18"/>
                <w:b w:val="1"/>
                <w:bCs w:val="1"/>
                <w:color w:val="auto"/>
              </w:rPr>
              <w:t>3,334</w:t>
            </w:r>
          </w:p>
        </w:tc>
        <w:tc>
          <w:tcPr>
            <w:tcW w:w="800" w:type="dxa"/>
            <w:vAlign w:val="bottom"/>
            <w:tcBorders>
              <w:bottom w:val="single" w:sz="8" w:color="CAEDFB"/>
            </w:tcBorders>
            <w:gridSpan w:val="2"/>
            <w:shd w:val="clear" w:color="auto" w:fill="CAEDFB"/>
          </w:tcPr>
          <w:p>
            <w:pPr>
              <w:jc w:val="right"/>
              <w:ind w:right="10"/>
              <w:spacing w:after="0" w:line="182"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AEDFB"/>
            </w:tcBorders>
            <w:shd w:val="clear" w:color="auto" w:fill="CAEDFB"/>
          </w:tcPr>
          <w:p>
            <w:pPr>
              <w:spacing w:after="0"/>
              <w:rPr>
                <w:sz w:val="19"/>
                <w:szCs w:val="19"/>
                <w:color w:val="auto"/>
              </w:rPr>
            </w:pPr>
          </w:p>
        </w:tc>
        <w:tc>
          <w:tcPr>
            <w:tcW w:w="1060" w:type="dxa"/>
            <w:vAlign w:val="bottom"/>
            <w:tcBorders>
              <w:bottom w:val="single" w:sz="8" w:color="CAEDFB"/>
            </w:tcBorders>
            <w:shd w:val="clear" w:color="auto" w:fill="CAEDFB"/>
          </w:tcPr>
          <w:p>
            <w:pPr>
              <w:jc w:val="right"/>
              <w:ind w:right="50"/>
              <w:spacing w:after="0" w:line="182" w:lineRule="exact"/>
              <w:rPr>
                <w:sz w:val="20"/>
                <w:szCs w:val="20"/>
                <w:color w:val="auto"/>
              </w:rPr>
            </w:pPr>
            <w:r>
              <w:rPr>
                <w:rFonts w:ascii="Arial" w:cs="Arial" w:eastAsia="Arial" w:hAnsi="Arial"/>
                <w:sz w:val="18"/>
                <w:szCs w:val="18"/>
                <w:b w:val="1"/>
                <w:bCs w:val="1"/>
                <w:color w:val="auto"/>
              </w:rPr>
              <w:t>$  11,700</w:t>
            </w:r>
          </w:p>
        </w:tc>
        <w:tc>
          <w:tcPr>
            <w:tcW w:w="1120" w:type="dxa"/>
            <w:vAlign w:val="bottom"/>
            <w:tcBorders>
              <w:bottom w:val="single" w:sz="8" w:color="CAEDFB"/>
            </w:tcBorders>
            <w:gridSpan w:val="2"/>
            <w:shd w:val="clear" w:color="auto" w:fill="CAEDFB"/>
          </w:tcPr>
          <w:p>
            <w:pPr>
              <w:jc w:val="right"/>
              <w:ind w:right="10"/>
              <w:spacing w:after="0" w:line="182" w:lineRule="exact"/>
              <w:rPr>
                <w:sz w:val="20"/>
                <w:szCs w:val="20"/>
                <w:color w:val="auto"/>
              </w:rPr>
            </w:pPr>
            <w:r>
              <w:rPr>
                <w:rFonts w:ascii="Arial" w:cs="Arial" w:eastAsia="Arial" w:hAnsi="Arial"/>
                <w:sz w:val="18"/>
                <w:szCs w:val="18"/>
                <w:b w:val="1"/>
                <w:bCs w:val="1"/>
                <w:color w:val="auto"/>
              </w:rPr>
              <w:t>9,360</w:t>
            </w:r>
          </w:p>
        </w:tc>
        <w:tc>
          <w:tcPr>
            <w:tcW w:w="840" w:type="dxa"/>
            <w:vAlign w:val="bottom"/>
            <w:tcBorders>
              <w:bottom w:val="single" w:sz="8" w:color="CAEDFB"/>
            </w:tcBorders>
            <w:gridSpan w:val="2"/>
            <w:shd w:val="clear" w:color="auto" w:fill="CAEDFB"/>
          </w:tcPr>
          <w:p>
            <w:pPr>
              <w:jc w:val="right"/>
              <w:ind w:right="10"/>
              <w:spacing w:after="0" w:line="182" w:lineRule="exact"/>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
        </w:trPr>
        <w:tc>
          <w:tcPr>
            <w:tcW w:w="2820" w:type="dxa"/>
            <w:vAlign w:val="bottom"/>
            <w:tcBorders>
              <w:top w:val="single" w:sz="8" w:color="CAEDFB"/>
            </w:tcBorders>
            <w:shd w:val="clear" w:color="auto" w:fill="CAEDFB"/>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AEDFB"/>
            </w:tcBorders>
            <w:shd w:val="clear" w:color="auto" w:fill="CAEDFB"/>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AEDFB"/>
            </w:tcBorders>
            <w:shd w:val="clear" w:color="auto" w:fill="CAEDFB"/>
          </w:tcPr>
          <w:p>
            <w:pPr>
              <w:spacing w:after="0" w:line="20" w:lineRule="exact"/>
              <w:rPr>
                <w:sz w:val="1"/>
                <w:szCs w:val="1"/>
                <w:color w:val="auto"/>
              </w:rPr>
            </w:pPr>
          </w:p>
        </w:tc>
        <w:tc>
          <w:tcPr>
            <w:tcW w:w="540" w:type="dxa"/>
            <w:vAlign w:val="bottom"/>
            <w:tcBorders>
              <w:top w:val="single" w:sz="8" w:color="CAEDFB"/>
            </w:tcBorders>
            <w:shd w:val="clear" w:color="auto" w:fill="CAEDFB"/>
          </w:tcPr>
          <w:p>
            <w:pPr>
              <w:spacing w:after="0" w:line="20" w:lineRule="exact"/>
              <w:rPr>
                <w:sz w:val="1"/>
                <w:szCs w:val="1"/>
                <w:color w:val="auto"/>
              </w:rPr>
            </w:pPr>
          </w:p>
        </w:tc>
        <w:tc>
          <w:tcPr>
            <w:tcW w:w="240" w:type="dxa"/>
            <w:vAlign w:val="bottom"/>
            <w:tcBorders>
              <w:top w:val="single" w:sz="8" w:color="CAEDFB"/>
            </w:tcBorders>
            <w:shd w:val="clear" w:color="auto" w:fill="CAEDFB"/>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AEDFB"/>
            </w:tcBorders>
            <w:shd w:val="clear" w:color="auto" w:fill="CAEDFB"/>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AEDFB"/>
            </w:tcBorders>
            <w:shd w:val="clear" w:color="auto" w:fill="CAEDFB"/>
          </w:tcPr>
          <w:p>
            <w:pPr>
              <w:spacing w:after="0" w:line="20" w:lineRule="exact"/>
              <w:rPr>
                <w:sz w:val="1"/>
                <w:szCs w:val="1"/>
                <w:color w:val="auto"/>
              </w:rPr>
            </w:pPr>
          </w:p>
        </w:tc>
        <w:tc>
          <w:tcPr>
            <w:tcW w:w="580" w:type="dxa"/>
            <w:vAlign w:val="bottom"/>
            <w:tcBorders>
              <w:top w:val="single" w:sz="8" w:color="CAEDFB"/>
            </w:tcBorders>
            <w:shd w:val="clear" w:color="auto" w:fill="CAED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-1143635</wp:posOffset>
            </wp:positionV>
            <wp:extent cx="18796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960" cy="18859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-25400</wp:posOffset>
            </wp:positionV>
            <wp:extent cx="1625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-8255</wp:posOffset>
            </wp:positionV>
            <wp:extent cx="1625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1625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-8255</wp:posOffset>
            </wp:positionV>
            <wp:extent cx="1625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163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163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163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1631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07" w:right="1419" w:bottom="1440" w:gutter="0" w:footer="0" w:header="0"/>
        </w:sectPr>
      </w:pPr>
    </w:p>
    <w:bookmarkStart w:id="4" w:name="page5"/>
    <w:bookmarkEnd w:id="4"/>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3"/>
          </w:tcPr>
          <w:p>
            <w:pPr>
              <w:ind w:left="16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6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3"/>
          </w:tcPr>
          <w:p>
            <w:pPr>
              <w:ind w:left="360"/>
              <w:spacing w:after="0" w:line="202" w:lineRule="exact"/>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980" w:type="dxa"/>
            <w:vAlign w:val="bottom"/>
            <w:vMerge w:val="restart"/>
          </w:tcPr>
          <w:p>
            <w:pPr>
              <w:ind w:left="100"/>
              <w:spacing w:after="0"/>
              <w:rPr>
                <w:sz w:val="20"/>
                <w:szCs w:val="20"/>
                <w:color w:val="auto"/>
              </w:rPr>
            </w:pPr>
            <w:r>
              <w:rPr>
                <w:rFonts w:ascii="Arial" w:cs="Arial" w:eastAsia="Arial" w:hAnsi="Arial"/>
                <w:sz w:val="18"/>
                <w:szCs w:val="18"/>
                <w:color w:val="auto"/>
              </w:rPr>
              <w:t>($ in millions)</w:t>
            </w:r>
          </w:p>
        </w:tc>
        <w:tc>
          <w:tcPr>
            <w:tcW w:w="9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1140" w:type="dxa"/>
            <w:vAlign w:val="bottom"/>
            <w:gridSpan w:val="2"/>
          </w:tcPr>
          <w:p>
            <w:pPr>
              <w:ind w:left="660"/>
              <w:spacing w:after="0"/>
              <w:rPr>
                <w:sz w:val="20"/>
                <w:szCs w:val="20"/>
                <w:color w:val="auto"/>
              </w:rPr>
            </w:pPr>
            <w:r>
              <w:rPr>
                <w:rFonts w:ascii="Arial" w:cs="Arial" w:eastAsia="Arial" w:hAnsi="Arial"/>
                <w:sz w:val="18"/>
                <w:szCs w:val="18"/>
                <w:b w:val="1"/>
                <w:bCs w:val="1"/>
                <w:color w:val="auto"/>
              </w:rPr>
              <w:t>2025</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114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9"/>
              </w:rPr>
              <w:t>2025</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5"/>
        </w:trPr>
        <w:tc>
          <w:tcPr>
            <w:tcW w:w="19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96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Pharmacy Solutions Segment</w:t>
            </w:r>
          </w:p>
        </w:tc>
        <w:tc>
          <w:tcPr>
            <w:tcW w:w="92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6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6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EBITDA</w:t>
            </w: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141</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551</w:t>
            </w:r>
          </w:p>
        </w:tc>
        <w:tc>
          <w:tcPr>
            <w:tcW w:w="11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9"/>
              </w:rPr>
              <w:t>381</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4"/>
        </w:trPr>
        <w:tc>
          <w:tcPr>
            <w:tcW w:w="296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Provider Services Segment</w:t>
            </w: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79</w:t>
            </w:r>
          </w:p>
        </w:tc>
        <w:tc>
          <w:tcPr>
            <w:tcW w:w="260" w:type="dxa"/>
            <w:vAlign w:val="bottom"/>
            <w:vMerge w:val="restart"/>
          </w:tcPr>
          <w:p>
            <w:pPr>
              <w:spacing w:after="0"/>
              <w:rPr>
                <w:sz w:val="15"/>
                <w:szCs w:val="15"/>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61</w:t>
            </w:r>
          </w:p>
        </w:tc>
        <w:tc>
          <w:tcPr>
            <w:tcW w:w="260" w:type="dxa"/>
            <w:vAlign w:val="bottom"/>
            <w:vMerge w:val="restart"/>
          </w:tcPr>
          <w:p>
            <w:pPr>
              <w:spacing w:after="0"/>
              <w:rPr>
                <w:sz w:val="15"/>
                <w:szCs w:val="15"/>
                <w:color w:val="auto"/>
              </w:rPr>
            </w:pP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5"/>
                <w:szCs w:val="15"/>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220</w:t>
            </w:r>
          </w:p>
        </w:tc>
        <w:tc>
          <w:tcPr>
            <w:tcW w:w="280" w:type="dxa"/>
            <w:vAlign w:val="bottom"/>
            <w:vMerge w:val="restart"/>
          </w:tcPr>
          <w:p>
            <w:pPr>
              <w:spacing w:after="0"/>
              <w:rPr>
                <w:sz w:val="15"/>
                <w:szCs w:val="15"/>
                <w:color w:val="auto"/>
              </w:rPr>
            </w:pPr>
          </w:p>
        </w:tc>
        <w:tc>
          <w:tcPr>
            <w:tcW w:w="860" w:type="dxa"/>
            <w:vAlign w:val="bottom"/>
            <w:vMerge w:val="restart"/>
          </w:tcPr>
          <w:p>
            <w:pPr>
              <w:jc w:val="center"/>
              <w:ind w:left="190"/>
              <w:spacing w:after="0"/>
              <w:rPr>
                <w:sz w:val="20"/>
                <w:szCs w:val="20"/>
                <w:color w:val="auto"/>
              </w:rPr>
            </w:pPr>
            <w:r>
              <w:rPr>
                <w:rFonts w:ascii="Arial" w:cs="Arial" w:eastAsia="Arial" w:hAnsi="Arial"/>
                <w:sz w:val="18"/>
                <w:szCs w:val="18"/>
                <w:color w:val="auto"/>
                <w:w w:val="99"/>
              </w:rPr>
              <w:t>168</w:t>
            </w:r>
          </w:p>
        </w:tc>
        <w:tc>
          <w:tcPr>
            <w:tcW w:w="260" w:type="dxa"/>
            <w:vAlign w:val="bottom"/>
            <w:vMerge w:val="restart"/>
          </w:tcPr>
          <w:p>
            <w:pPr>
              <w:spacing w:after="0"/>
              <w:rPr>
                <w:sz w:val="15"/>
                <w:szCs w:val="15"/>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3"/>
        </w:trPr>
        <w:tc>
          <w:tcPr>
            <w:tcW w:w="1980" w:type="dxa"/>
            <w:vAlign w:val="bottom"/>
          </w:tcPr>
          <w:p>
            <w:pPr>
              <w:ind w:left="100"/>
              <w:spacing w:after="0"/>
              <w:rPr>
                <w:sz w:val="20"/>
                <w:szCs w:val="20"/>
                <w:color w:val="auto"/>
              </w:rPr>
            </w:pPr>
            <w:r>
              <w:rPr>
                <w:rFonts w:ascii="Arial" w:cs="Arial" w:eastAsia="Arial" w:hAnsi="Arial"/>
                <w:sz w:val="18"/>
                <w:szCs w:val="18"/>
                <w:color w:val="auto"/>
              </w:rPr>
              <w:t>EBITDA</w:t>
            </w:r>
          </w:p>
        </w:tc>
        <w:tc>
          <w:tcPr>
            <w:tcW w:w="98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9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Total Segment EBITDA</w:t>
            </w:r>
          </w:p>
        </w:tc>
        <w:tc>
          <w:tcPr>
            <w:tcW w:w="980" w:type="dxa"/>
            <w:vAlign w:val="bottom"/>
            <w:shd w:val="clear" w:color="auto" w:fill="CCEEFF"/>
          </w:tcPr>
          <w:p>
            <w:pPr>
              <w:jc w:val="right"/>
              <w:ind w:right="754"/>
              <w:spacing w:after="0"/>
              <w:rPr>
                <w:sz w:val="20"/>
                <w:szCs w:val="20"/>
                <w:color w:val="auto"/>
              </w:rPr>
            </w:pPr>
            <w:r>
              <w:rPr>
                <w:rFonts w:ascii="Arial" w:cs="Arial" w:eastAsia="Arial" w:hAnsi="Arial"/>
                <w:sz w:val="13"/>
                <w:szCs w:val="13"/>
                <w:color w:val="auto"/>
                <w:w w:val="87"/>
              </w:rPr>
              <w:t>(1)</w:t>
            </w:r>
          </w:p>
        </w:tc>
        <w:tc>
          <w:tcPr>
            <w:tcW w:w="920" w:type="dxa"/>
            <w:vAlign w:val="bottom"/>
            <w:shd w:val="clear" w:color="auto" w:fill="CCEEFF"/>
          </w:tcPr>
          <w:p>
            <w:pPr>
              <w:jc w:val="right"/>
              <w:ind w:right="310"/>
              <w:spacing w:after="0" w:line="177"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60"/>
              <w:spacing w:after="0" w:line="177"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ind w:left="340"/>
              <w:spacing w:after="0" w:line="177"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60"/>
              <w:spacing w:after="0" w:line="177"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80" w:type="dxa"/>
            <w:vAlign w:val="bottom"/>
            <w:vMerge w:val="continue"/>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281</w:t>
            </w:r>
          </w:p>
        </w:tc>
        <w:tc>
          <w:tcPr>
            <w:tcW w:w="1140" w:type="dxa"/>
            <w:vAlign w:val="bottom"/>
            <w:gridSpan w:val="2"/>
            <w:vMerge w:val="restart"/>
            <w:shd w:val="clear" w:color="auto" w:fill="CCEEFF"/>
          </w:tcPr>
          <w:p>
            <w:pPr>
              <w:jc w:val="right"/>
              <w:ind w:right="390"/>
              <w:spacing w:after="0"/>
              <w:rPr>
                <w:sz w:val="20"/>
                <w:szCs w:val="20"/>
                <w:color w:val="auto"/>
              </w:rPr>
            </w:pPr>
            <w:r>
              <w:rPr>
                <w:rFonts w:ascii="Arial" w:cs="Arial" w:eastAsia="Arial" w:hAnsi="Arial"/>
                <w:sz w:val="18"/>
                <w:szCs w:val="18"/>
                <w:color w:val="auto"/>
              </w:rPr>
              <w:t>202</w:t>
            </w:r>
          </w:p>
        </w:tc>
        <w:tc>
          <w:tcPr>
            <w:tcW w:w="9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771</w:t>
            </w:r>
          </w:p>
        </w:tc>
        <w:tc>
          <w:tcPr>
            <w:tcW w:w="1140" w:type="dxa"/>
            <w:vAlign w:val="bottom"/>
            <w:gridSpan w:val="2"/>
            <w:vMerge w:val="restart"/>
            <w:shd w:val="clear" w:color="auto" w:fill="CCEEFF"/>
          </w:tcPr>
          <w:p>
            <w:pPr>
              <w:jc w:val="center"/>
              <w:ind w:left="470"/>
              <w:spacing w:after="0"/>
              <w:rPr>
                <w:sz w:val="20"/>
                <w:szCs w:val="20"/>
                <w:color w:val="auto"/>
              </w:rPr>
            </w:pPr>
            <w:r>
              <w:rPr>
                <w:rFonts w:ascii="Arial" w:cs="Arial" w:eastAsia="Arial" w:hAnsi="Arial"/>
                <w:sz w:val="18"/>
                <w:szCs w:val="18"/>
                <w:color w:val="auto"/>
                <w:w w:val="99"/>
              </w:rPr>
              <w:t>550</w:t>
            </w:r>
          </w:p>
        </w:tc>
        <w:tc>
          <w:tcPr>
            <w:tcW w:w="8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4"/>
        </w:trPr>
        <w:tc>
          <w:tcPr>
            <w:tcW w:w="19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100"/>
              <w:spacing w:after="0"/>
              <w:rPr>
                <w:sz w:val="20"/>
                <w:szCs w:val="20"/>
                <w:color w:val="auto"/>
              </w:rPr>
            </w:pPr>
            <w:r>
              <w:rPr>
                <w:rFonts w:ascii="Arial" w:cs="Arial" w:eastAsia="Arial" w:hAnsi="Arial"/>
                <w:sz w:val="18"/>
                <w:szCs w:val="18"/>
                <w:color w:val="auto"/>
              </w:rPr>
              <w:t>Corporate Costs</w:t>
            </w:r>
          </w:p>
        </w:tc>
        <w:tc>
          <w:tcPr>
            <w:tcW w:w="980" w:type="dxa"/>
            <w:vAlign w:val="bottom"/>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1"/>
                <w:szCs w:val="21"/>
                <w:color w:val="auto"/>
              </w:rPr>
            </w:pPr>
          </w:p>
        </w:tc>
        <w:tc>
          <w:tcPr>
            <w:tcW w:w="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6"/>
        </w:trPr>
        <w:tc>
          <w:tcPr>
            <w:tcW w:w="2960" w:type="dxa"/>
            <w:vAlign w:val="bottom"/>
            <w:gridSpan w:val="2"/>
            <w:shd w:val="clear" w:color="auto" w:fill="CAEDFB"/>
          </w:tcPr>
          <w:p>
            <w:pPr>
              <w:ind w:left="160"/>
              <w:spacing w:after="0" w:line="156" w:lineRule="exact"/>
              <w:rPr>
                <w:sz w:val="20"/>
                <w:szCs w:val="20"/>
                <w:color w:val="auto"/>
              </w:rPr>
            </w:pPr>
            <w:r>
              <w:rPr>
                <w:rFonts w:ascii="Arial" w:cs="Arial" w:eastAsia="Arial" w:hAnsi="Arial"/>
                <w:sz w:val="18"/>
                <w:szCs w:val="18"/>
                <w:b w:val="1"/>
                <w:bCs w:val="1"/>
                <w:color w:val="auto"/>
              </w:rPr>
              <w:t>Total Company Adjusted</w:t>
            </w:r>
          </w:p>
        </w:tc>
        <w:tc>
          <w:tcPr>
            <w:tcW w:w="920" w:type="dxa"/>
            <w:vAlign w:val="bottom"/>
            <w:shd w:val="clear" w:color="auto" w:fill="CAEDFB"/>
          </w:tcPr>
          <w:p>
            <w:pPr>
              <w:spacing w:after="0"/>
              <w:rPr>
                <w:sz w:val="13"/>
                <w:szCs w:val="13"/>
                <w:color w:val="auto"/>
              </w:rPr>
            </w:pPr>
          </w:p>
        </w:tc>
        <w:tc>
          <w:tcPr>
            <w:tcW w:w="1140" w:type="dxa"/>
            <w:vAlign w:val="bottom"/>
            <w:gridSpan w:val="2"/>
            <w:shd w:val="clear" w:color="auto" w:fill="CAEDFB"/>
          </w:tcPr>
          <w:p>
            <w:pPr>
              <w:jc w:val="right"/>
              <w:ind w:right="350"/>
              <w:spacing w:after="0" w:line="156"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AEDFB"/>
          </w:tcPr>
          <w:p>
            <w:pPr>
              <w:spacing w:after="0"/>
              <w:rPr>
                <w:sz w:val="13"/>
                <w:szCs w:val="13"/>
                <w:color w:val="auto"/>
              </w:rPr>
            </w:pPr>
          </w:p>
        </w:tc>
        <w:tc>
          <w:tcPr>
            <w:tcW w:w="700" w:type="dxa"/>
            <w:vAlign w:val="bottom"/>
            <w:shd w:val="clear" w:color="auto" w:fill="CAEDFB"/>
          </w:tcPr>
          <w:p>
            <w:pPr>
              <w:spacing w:after="0"/>
              <w:rPr>
                <w:sz w:val="13"/>
                <w:szCs w:val="13"/>
                <w:color w:val="auto"/>
              </w:rPr>
            </w:pPr>
          </w:p>
        </w:tc>
        <w:tc>
          <w:tcPr>
            <w:tcW w:w="260" w:type="dxa"/>
            <w:vAlign w:val="bottom"/>
            <w:shd w:val="clear" w:color="auto" w:fill="CAEDFB"/>
          </w:tcPr>
          <w:p>
            <w:pPr>
              <w:spacing w:after="0"/>
              <w:rPr>
                <w:sz w:val="13"/>
                <w:szCs w:val="13"/>
                <w:color w:val="auto"/>
              </w:rPr>
            </w:pPr>
          </w:p>
        </w:tc>
        <w:tc>
          <w:tcPr>
            <w:tcW w:w="840" w:type="dxa"/>
            <w:vAlign w:val="bottom"/>
            <w:shd w:val="clear" w:color="auto" w:fill="CAEDFB"/>
          </w:tcPr>
          <w:p>
            <w:pPr>
              <w:ind w:left="340"/>
              <w:spacing w:after="0" w:line="156"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AEDFB"/>
          </w:tcPr>
          <w:p>
            <w:pPr>
              <w:ind w:left="660"/>
              <w:spacing w:after="0" w:line="156"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AEDFB"/>
          </w:tcPr>
          <w:p>
            <w:pPr>
              <w:spacing w:after="0"/>
              <w:rPr>
                <w:sz w:val="13"/>
                <w:szCs w:val="13"/>
                <w:color w:val="auto"/>
              </w:rPr>
            </w:pPr>
          </w:p>
        </w:tc>
        <w:tc>
          <w:tcPr>
            <w:tcW w:w="600" w:type="dxa"/>
            <w:vAlign w:val="bottom"/>
            <w:shd w:val="clear" w:color="auto" w:fill="CAEDFB"/>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1980" w:type="dxa"/>
            <w:vAlign w:val="bottom"/>
            <w:tcBorders>
              <w:bottom w:val="single" w:sz="8" w:color="CAEDFB"/>
            </w:tcBorders>
            <w:shd w:val="clear" w:color="auto" w:fill="CAEDFB"/>
          </w:tcPr>
          <w:p>
            <w:pPr>
              <w:ind w:left="100"/>
              <w:spacing w:after="0" w:line="223" w:lineRule="exact"/>
              <w:rPr>
                <w:sz w:val="20"/>
                <w:szCs w:val="20"/>
                <w:color w:val="auto"/>
              </w:rPr>
            </w:pPr>
            <w:r>
              <w:rPr>
                <w:rFonts w:ascii="Arial" w:cs="Arial" w:eastAsia="Arial" w:hAnsi="Arial"/>
                <w:sz w:val="17"/>
                <w:szCs w:val="17"/>
                <w:b w:val="1"/>
                <w:bCs w:val="1"/>
                <w:color w:val="auto"/>
              </w:rPr>
              <w:t>EBITDA</w:t>
            </w:r>
            <w:r>
              <w:rPr>
                <w:rFonts w:ascii="Arial" w:cs="Arial" w:eastAsia="Arial" w:hAnsi="Arial"/>
                <w:sz w:val="25"/>
                <w:szCs w:val="25"/>
                <w:b w:val="1"/>
                <w:bCs w:val="1"/>
                <w:color w:val="auto"/>
                <w:vertAlign w:val="superscript"/>
              </w:rPr>
              <w:t>(1)</w:t>
            </w:r>
          </w:p>
        </w:tc>
        <w:tc>
          <w:tcPr>
            <w:tcW w:w="980" w:type="dxa"/>
            <w:vAlign w:val="bottom"/>
            <w:tcBorders>
              <w:bottom w:val="single" w:sz="8" w:color="CAEDFB"/>
            </w:tcBorders>
            <w:shd w:val="clear" w:color="auto" w:fill="CAEDFB"/>
          </w:tcPr>
          <w:p>
            <w:pPr>
              <w:spacing w:after="0"/>
              <w:rPr>
                <w:sz w:val="24"/>
                <w:szCs w:val="24"/>
                <w:color w:val="auto"/>
              </w:rPr>
            </w:pPr>
          </w:p>
        </w:tc>
        <w:tc>
          <w:tcPr>
            <w:tcW w:w="920" w:type="dxa"/>
            <w:vAlign w:val="bottom"/>
            <w:tcBorders>
              <w:bottom w:val="single" w:sz="8" w:color="auto"/>
            </w:tcBorders>
            <w:shd w:val="clear" w:color="auto" w:fill="CAEDFB"/>
          </w:tcPr>
          <w:p>
            <w:pPr>
              <w:jc w:val="right"/>
              <w:ind w:right="10"/>
              <w:spacing w:after="0"/>
              <w:rPr>
                <w:sz w:val="20"/>
                <w:szCs w:val="20"/>
                <w:color w:val="auto"/>
              </w:rPr>
            </w:pPr>
            <w:r>
              <w:rPr>
                <w:rFonts w:ascii="Arial" w:cs="Arial" w:eastAsia="Arial" w:hAnsi="Arial"/>
                <w:sz w:val="18"/>
                <w:szCs w:val="18"/>
                <w:b w:val="1"/>
                <w:bCs w:val="1"/>
                <w:color w:val="auto"/>
              </w:rPr>
              <w:t>$   228</w:t>
            </w:r>
          </w:p>
        </w:tc>
        <w:tc>
          <w:tcPr>
            <w:tcW w:w="260" w:type="dxa"/>
            <w:vAlign w:val="bottom"/>
            <w:tcBorders>
              <w:bottom w:val="single" w:sz="8" w:color="CAEDFB"/>
            </w:tcBorders>
            <w:shd w:val="clear" w:color="auto" w:fill="CAEDFB"/>
          </w:tcPr>
          <w:p>
            <w:pPr>
              <w:spacing w:after="0"/>
              <w:rPr>
                <w:sz w:val="24"/>
                <w:szCs w:val="24"/>
                <w:color w:val="auto"/>
              </w:rPr>
            </w:pPr>
          </w:p>
        </w:tc>
        <w:tc>
          <w:tcPr>
            <w:tcW w:w="880" w:type="dxa"/>
            <w:vAlign w:val="bottom"/>
            <w:tcBorders>
              <w:bottom w:val="single" w:sz="8" w:color="auto"/>
            </w:tcBorders>
            <w:shd w:val="clear" w:color="auto" w:fill="CAEDFB"/>
          </w:tcPr>
          <w:p>
            <w:pPr>
              <w:jc w:val="right"/>
              <w:ind w:right="50"/>
              <w:spacing w:after="0"/>
              <w:rPr>
                <w:sz w:val="20"/>
                <w:szCs w:val="20"/>
                <w:color w:val="auto"/>
              </w:rPr>
            </w:pPr>
            <w:r>
              <w:rPr>
                <w:rFonts w:ascii="Arial" w:cs="Arial" w:eastAsia="Arial" w:hAnsi="Arial"/>
                <w:sz w:val="18"/>
                <w:szCs w:val="18"/>
                <w:b w:val="1"/>
                <w:bCs w:val="1"/>
                <w:color w:val="auto"/>
              </w:rPr>
              <w:t>160</w:t>
            </w:r>
          </w:p>
        </w:tc>
        <w:tc>
          <w:tcPr>
            <w:tcW w:w="960" w:type="dxa"/>
            <w:vAlign w:val="bottom"/>
            <w:tcBorders>
              <w:bottom w:val="single" w:sz="8" w:color="CAEDFB"/>
            </w:tcBorders>
            <w:gridSpan w:val="2"/>
            <w:shd w:val="clear" w:color="auto" w:fill="CAEDFB"/>
          </w:tcPr>
          <w:p>
            <w:pPr>
              <w:jc w:val="right"/>
              <w:ind w:right="10"/>
              <w:spacing w:after="0"/>
              <w:rPr>
                <w:sz w:val="20"/>
                <w:szCs w:val="20"/>
                <w:color w:val="auto"/>
              </w:rPr>
            </w:pPr>
            <w:r>
              <w:rPr>
                <w:rFonts w:ascii="Arial" w:cs="Arial" w:eastAsia="Arial" w:hAnsi="Arial"/>
                <w:sz w:val="18"/>
                <w:szCs w:val="18"/>
                <w:b w:val="1"/>
                <w:bCs w:val="1"/>
                <w:color w:val="auto"/>
              </w:rPr>
              <w:t>42%</w:t>
            </w:r>
          </w:p>
        </w:tc>
        <w:tc>
          <w:tcPr>
            <w:tcW w:w="260" w:type="dxa"/>
            <w:vAlign w:val="bottom"/>
            <w:tcBorders>
              <w:bottom w:val="single" w:sz="8" w:color="CAEDFB"/>
            </w:tcBorders>
            <w:shd w:val="clear" w:color="auto" w:fill="CAEDFB"/>
          </w:tcPr>
          <w:p>
            <w:pPr>
              <w:spacing w:after="0"/>
              <w:rPr>
                <w:sz w:val="24"/>
                <w:szCs w:val="24"/>
                <w:color w:val="auto"/>
              </w:rPr>
            </w:pPr>
          </w:p>
        </w:tc>
        <w:tc>
          <w:tcPr>
            <w:tcW w:w="840" w:type="dxa"/>
            <w:vAlign w:val="bottom"/>
            <w:tcBorders>
              <w:bottom w:val="single" w:sz="8" w:color="auto"/>
            </w:tcBorders>
            <w:shd w:val="clear" w:color="auto" w:fill="CAEDFB"/>
          </w:tcPr>
          <w:p>
            <w:pPr>
              <w:jc w:val="right"/>
              <w:ind w:right="10"/>
              <w:spacing w:after="0"/>
              <w:rPr>
                <w:sz w:val="20"/>
                <w:szCs w:val="20"/>
                <w:color w:val="auto"/>
              </w:rPr>
            </w:pPr>
            <w:r>
              <w:rPr>
                <w:rFonts w:ascii="Arial" w:cs="Arial" w:eastAsia="Arial" w:hAnsi="Arial"/>
                <w:sz w:val="18"/>
                <w:szCs w:val="18"/>
                <w:b w:val="1"/>
                <w:bCs w:val="1"/>
                <w:color w:val="auto"/>
              </w:rPr>
              <w:t>623</w:t>
            </w:r>
          </w:p>
        </w:tc>
        <w:tc>
          <w:tcPr>
            <w:tcW w:w="280" w:type="dxa"/>
            <w:vAlign w:val="bottom"/>
            <w:tcBorders>
              <w:bottom w:val="single" w:sz="8" w:color="CAEDFB"/>
            </w:tcBorders>
            <w:shd w:val="clear" w:color="auto" w:fill="CAEDFB"/>
          </w:tcPr>
          <w:p>
            <w:pPr>
              <w:spacing w:after="0"/>
              <w:rPr>
                <w:sz w:val="24"/>
                <w:szCs w:val="24"/>
                <w:color w:val="auto"/>
              </w:rPr>
            </w:pPr>
          </w:p>
        </w:tc>
        <w:tc>
          <w:tcPr>
            <w:tcW w:w="860" w:type="dxa"/>
            <w:vAlign w:val="bottom"/>
            <w:tcBorders>
              <w:bottom w:val="single" w:sz="8" w:color="auto"/>
            </w:tcBorders>
            <w:shd w:val="clear" w:color="auto" w:fill="CAEDFB"/>
          </w:tcPr>
          <w:p>
            <w:pPr>
              <w:jc w:val="center"/>
              <w:ind w:left="190"/>
              <w:spacing w:after="0"/>
              <w:rPr>
                <w:sz w:val="20"/>
                <w:szCs w:val="20"/>
                <w:color w:val="auto"/>
              </w:rPr>
            </w:pPr>
            <w:r>
              <w:rPr>
                <w:rFonts w:ascii="Arial" w:cs="Arial" w:eastAsia="Arial" w:hAnsi="Arial"/>
                <w:sz w:val="18"/>
                <w:szCs w:val="18"/>
                <w:b w:val="1"/>
                <w:bCs w:val="1"/>
                <w:color w:val="auto"/>
                <w:w w:val="99"/>
              </w:rPr>
              <w:t>434</w:t>
            </w:r>
          </w:p>
        </w:tc>
        <w:tc>
          <w:tcPr>
            <w:tcW w:w="860" w:type="dxa"/>
            <w:vAlign w:val="bottom"/>
            <w:tcBorders>
              <w:bottom w:val="single" w:sz="8" w:color="CAEDFB"/>
            </w:tcBorders>
            <w:gridSpan w:val="2"/>
            <w:shd w:val="clear" w:color="auto" w:fill="CAEDFB"/>
          </w:tcPr>
          <w:p>
            <w:pPr>
              <w:jc w:val="right"/>
              <w:ind w:right="1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-1555115</wp:posOffset>
            </wp:positionV>
            <wp:extent cx="18796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7960" cy="18859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-24765</wp:posOffset>
            </wp:positionV>
            <wp:extent cx="1631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1631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1625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1625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1714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171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1631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1631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ectPr>
          <w:pgSz w:w="11900" w:h="16838" w:orient="portrait"/>
          <w:cols w:equalWidth="0" w:num="1">
            <w:col w:w="9080"/>
          </w:cols>
          <w:pgMar w:left="1400" w:top="1440" w:right="141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Pharmacy Solutions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Prescriptions dispensed</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Revenue per script ($)</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Gross Profit per script ($)</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Provider Services</w:t>
      </w:r>
    </w:p>
    <w:p>
      <w:pPr>
        <w:spacing w:after="0" w:line="144" w:lineRule="exact"/>
        <w:rPr>
          <w:sz w:val="20"/>
          <w:szCs w:val="20"/>
          <w:color w:val="auto"/>
        </w:rPr>
      </w:pPr>
    </w:p>
    <w:p>
      <w:pPr>
        <w:ind w:left="360" w:hanging="249"/>
        <w:spacing w:after="0" w:line="237" w:lineRule="auto"/>
        <w:rPr>
          <w:sz w:val="20"/>
          <w:szCs w:val="20"/>
          <w:color w:val="auto"/>
        </w:rPr>
      </w:pPr>
      <w:r>
        <w:rPr>
          <w:rFonts w:ascii="Arial" w:cs="Arial" w:eastAsia="Arial" w:hAnsi="Arial"/>
          <w:sz w:val="18"/>
          <w:szCs w:val="18"/>
          <w:color w:val="auto"/>
        </w:rPr>
        <w:t>Home Health Care average daily census</w:t>
      </w:r>
      <w:r>
        <w:rPr>
          <w:rFonts w:ascii="Arial" w:cs="Arial" w:eastAsia="Arial" w:hAnsi="Arial"/>
          <w:sz w:val="24"/>
          <w:szCs w:val="24"/>
          <w:color w:val="auto"/>
          <w:vertAlign w:val="superscript"/>
        </w:rPr>
        <w:t>(3)</w:t>
      </w:r>
    </w:p>
    <w:p>
      <w:pPr>
        <w:ind w:left="100" w:right="540"/>
        <w:spacing w:after="0" w:line="234" w:lineRule="auto"/>
        <w:rPr>
          <w:sz w:val="20"/>
          <w:szCs w:val="20"/>
          <w:color w:val="auto"/>
        </w:rPr>
      </w:pPr>
      <w:r>
        <w:rPr>
          <w:rFonts w:ascii="Arial" w:cs="Arial" w:eastAsia="Arial" w:hAnsi="Arial"/>
          <w:sz w:val="18"/>
          <w:szCs w:val="18"/>
          <w:color w:val="auto"/>
        </w:rPr>
        <w:t>Rehab Care persons served</w:t>
      </w:r>
      <w:r>
        <w:rPr>
          <w:rFonts w:ascii="Arial" w:cs="Arial" w:eastAsia="Arial" w:hAnsi="Arial"/>
          <w:sz w:val="24"/>
          <w:szCs w:val="24"/>
          <w:color w:val="auto"/>
          <w:vertAlign w:val="superscript"/>
        </w:rPr>
        <w:t>(3)</w:t>
      </w:r>
    </w:p>
    <w:p>
      <w:pPr>
        <w:spacing w:after="0" w:line="2" w:lineRule="exact"/>
        <w:rPr>
          <w:sz w:val="20"/>
          <w:szCs w:val="20"/>
          <w:color w:val="auto"/>
        </w:rPr>
      </w:pPr>
    </w:p>
    <w:p>
      <w:pPr>
        <w:ind w:left="100" w:right="360"/>
        <w:spacing w:after="0" w:line="250" w:lineRule="auto"/>
        <w:rPr>
          <w:sz w:val="20"/>
          <w:szCs w:val="20"/>
          <w:color w:val="auto"/>
        </w:rPr>
      </w:pPr>
      <w:r>
        <w:rPr>
          <w:rFonts w:ascii="Arial" w:cs="Arial" w:eastAsia="Arial" w:hAnsi="Arial"/>
          <w:sz w:val="18"/>
          <w:szCs w:val="18"/>
          <w:color w:val="auto"/>
        </w:rPr>
        <w:t>Personal Care persons 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28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41"/>
        </w:trPr>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(Unaudited)</w:t>
            </w:r>
          </w:p>
        </w:tc>
        <w:tc>
          <w:tcPr>
            <w:tcW w:w="2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217"/>
        </w:trPr>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690"/>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10,949,87</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10,793,21</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32,523,78</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32,522,28</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9"/>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r>
      <w:tr>
        <w:trPr>
          <w:trHeight w:val="220"/>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340.8</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274.8</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r>
      <w:tr>
        <w:trPr>
          <w:trHeight w:val="239"/>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317.03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254.88</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20"/>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34</w:t>
            </w:r>
          </w:p>
        </w:tc>
      </w:tr>
      <w:tr>
        <w:trPr>
          <w:trHeight w:val="239"/>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21.01</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679"/>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55</w:t>
            </w:r>
          </w:p>
        </w:tc>
      </w:tr>
      <w:tr>
        <w:trPr>
          <w:trHeight w:val="239"/>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47,256</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29,980</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46,898</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30,212</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7,574</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6,932</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7,345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6,806</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r>
      <w:tr>
        <w:trPr>
          <w:trHeight w:val="459"/>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16,320</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16,134</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16,253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16,046</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-2050415</wp:posOffset>
            </wp:positionV>
            <wp:extent cx="576072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-1468120</wp:posOffset>
            </wp:positionV>
            <wp:extent cx="576072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-885190</wp:posOffset>
            </wp:positionV>
            <wp:extent cx="5760720"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0720" cy="29146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-302260</wp:posOffset>
            </wp:positionV>
            <wp:extent cx="5760720"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180"/>
            <w:col w:w="6600"/>
          </w:cols>
          <w:pgMar w:left="1400" w:top="1440" w:right="1419" w:bottom="1440" w:gutter="0" w:footer="0" w:header="0"/>
          <w:type w:val="continuous"/>
        </w:sectPr>
      </w:pPr>
    </w:p>
    <w:p>
      <w:pPr>
        <w:spacing w:after="0" w:line="236" w:lineRule="exact"/>
        <w:rPr>
          <w:sz w:val="20"/>
          <w:szCs w:val="20"/>
          <w:color w:val="auto"/>
        </w:rPr>
      </w:pPr>
    </w:p>
    <w:p>
      <w:pPr>
        <w:jc w:val="both"/>
        <w:ind w:right="220"/>
        <w:spacing w:after="0" w:line="226"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color w:val="auto"/>
        </w:rPr>
        <w:t>Adjusted EBITDA and Segment EBITDA are non-GAAP financial measures. Please see “Non-GAAP Financial Information” and the end of this press release for a reconciliation of Adjusted EBITDA and Segment EBITDA to net income from continuing operations, the most directly comparable financial measure prepared in accordance with GAAP.</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2</w:t>
      </w:r>
      <w:r>
        <w:rPr>
          <w:rFonts w:ascii="Arial" w:cs="Arial" w:eastAsia="Arial" w:hAnsi="Arial"/>
          <w:sz w:val="18"/>
          <w:szCs w:val="18"/>
          <w:color w:val="auto"/>
        </w:rPr>
        <w:t>Financial tables may not foot due to rounding.</w:t>
      </w:r>
    </w:p>
    <w:p>
      <w:pPr>
        <w:spacing w:after="0" w:line="143" w:lineRule="exact"/>
        <w:rPr>
          <w:sz w:val="20"/>
          <w:szCs w:val="20"/>
          <w:color w:val="auto"/>
        </w:rPr>
      </w:pPr>
    </w:p>
    <w:p>
      <w:pPr>
        <w:ind w:right="160"/>
        <w:spacing w:after="0" w:line="226" w:lineRule="auto"/>
        <w:rPr>
          <w:sz w:val="20"/>
          <w:szCs w:val="20"/>
          <w:color w:val="auto"/>
        </w:rPr>
      </w:pPr>
      <w:r>
        <w:rPr>
          <w:rFonts w:ascii="Arial" w:cs="Arial" w:eastAsia="Arial" w:hAnsi="Arial"/>
          <w:sz w:val="24"/>
          <w:szCs w:val="24"/>
          <w:color w:val="auto"/>
          <w:vertAlign w:val="superscript"/>
        </w:rPr>
        <w:t>3</w:t>
      </w:r>
      <w:r>
        <w:rPr>
          <w:rFonts w:ascii="Arial" w:cs="Arial" w:eastAsia="Arial" w:hAnsi="Arial"/>
          <w:sz w:val="18"/>
          <w:szCs w:val="18"/>
          <w:color w:val="auto"/>
        </w:rPr>
        <w:t>Effective July 1, 2026, the Company realigned its Rehab in Motion business from the Rehab Care sub-segment to the Home Health Care sub-segment to reflect how the business is managed. Prior period sub-segment information has been recast to conform to the current presentation. The change did not affect consolidated company or segment results. The impact on prior periods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Full Year 2026 Financial Guidance</w:t>
      </w:r>
    </w:p>
    <w:p>
      <w:pPr>
        <w:spacing w:after="0" w:line="204" w:lineRule="exact"/>
        <w:rPr>
          <w:sz w:val="20"/>
          <w:szCs w:val="20"/>
          <w:color w:val="auto"/>
        </w:rPr>
      </w:pPr>
    </w:p>
    <w:p>
      <w:pPr>
        <w:ind w:right="260"/>
        <w:spacing w:after="0" w:line="230" w:lineRule="auto"/>
        <w:rPr>
          <w:sz w:val="20"/>
          <w:szCs w:val="20"/>
          <w:color w:val="auto"/>
        </w:rPr>
      </w:pPr>
      <w:r>
        <w:rPr>
          <w:rFonts w:ascii="Arial" w:cs="Arial" w:eastAsia="Arial" w:hAnsi="Arial"/>
          <w:sz w:val="20"/>
          <w:szCs w:val="20"/>
          <w:color w:val="auto"/>
        </w:rPr>
        <w:t>For the full year 2026, BrightSpring is increasing Revenue and Adjusted EBITDA guidance, which excludes the Community Living business and the effects of any future closed acquisitions. All growth rates are shown as compared to the full year 2025 Revenue and Adjusted EBITDA results, excluding the Community Living business:</w:t>
      </w: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Revenues of $15,900 million to $16,125 million, or 23.2% to 24.9% growth</w:t>
      </w:r>
    </w:p>
    <w:p>
      <w:pPr>
        <w:ind w:left="1300" w:right="240" w:hanging="320"/>
        <w:spacing w:after="0" w:line="224" w:lineRule="auto"/>
        <w:tabs>
          <w:tab w:leader="none" w:pos="130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Pharmacy Segment Revenue of $14,000 million to $14,200 million, or 22.3% to 24.1% growth</w:t>
      </w:r>
    </w:p>
    <w:p>
      <w:pPr>
        <w:spacing w:after="0" w:line="1" w:lineRule="exact"/>
        <w:rPr>
          <w:rFonts w:ascii="Times New Roman" w:cs="Times New Roman" w:eastAsia="Times New Roman" w:hAnsi="Times New Roman"/>
          <w:sz w:val="20"/>
          <w:szCs w:val="20"/>
          <w:color w:val="auto"/>
        </w:rPr>
      </w:pPr>
    </w:p>
    <w:p>
      <w:pPr>
        <w:ind w:left="1300" w:right="620" w:hanging="320"/>
        <w:spacing w:after="0" w:line="232" w:lineRule="auto"/>
        <w:tabs>
          <w:tab w:leader="none" w:pos="130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Provider Segment Revenue of $1,900 million to $1,925 million, or 29.7% to 31.4% growth</w:t>
      </w:r>
    </w:p>
    <w:p>
      <w:pPr>
        <w:ind w:left="660" w:hanging="328"/>
        <w:spacing w:after="0" w:line="184" w:lineRule="auto"/>
        <w:tabs>
          <w:tab w:leader="none" w:pos="6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Total Adjusted EBITDA</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of $850 million to $860 million, or 37.6% to 39.3% growth</w:t>
      </w:r>
    </w:p>
    <w:p>
      <w:pPr>
        <w:ind w:left="660" w:right="600" w:hanging="328"/>
        <w:spacing w:after="0" w:line="239" w:lineRule="auto"/>
        <w:tabs>
          <w:tab w:leader="none" w:pos="6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The Amedisys and LHC branches acquisition is expected to contribute approximately $35 million in Adjusted EBITDA in 2026</w:t>
      </w:r>
    </w:p>
    <w:p>
      <w:pPr>
        <w:spacing w:after="0" w:line="187" w:lineRule="exact"/>
        <w:rPr>
          <w:sz w:val="20"/>
          <w:szCs w:val="20"/>
          <w:color w:val="auto"/>
        </w:rPr>
      </w:pPr>
    </w:p>
    <w:p>
      <w:pPr>
        <w:ind w:right="160"/>
        <w:spacing w:after="0" w:line="229" w:lineRule="auto"/>
        <w:rPr>
          <w:sz w:val="20"/>
          <w:szCs w:val="20"/>
          <w:color w:val="auto"/>
        </w:rPr>
      </w:pPr>
      <w:r>
        <w:rPr>
          <w:rFonts w:ascii="Arial" w:cs="Arial" w:eastAsia="Arial" w:hAnsi="Arial"/>
          <w:sz w:val="24"/>
          <w:szCs w:val="24"/>
          <w:color w:val="auto"/>
          <w:vertAlign w:val="superscript"/>
        </w:rPr>
        <w:t>3</w:t>
      </w:r>
      <w:r>
        <w:rPr>
          <w:rFonts w:ascii="Arial" w:cs="Arial" w:eastAsia="Arial" w:hAnsi="Arial"/>
          <w:sz w:val="18"/>
          <w:szCs w:val="18"/>
          <w:color w:val="auto"/>
        </w:rPr>
        <w:t>A reconciliation of the foregoing guidance for the non-GAAP metric of Adjusted EBITDA to GAAP net income from continuing operations cannot be provided without unreasonable effort because of the inherent difficulty of accurately forecasting the occurrence and financial impact of the various adjusting items necessary for such reconciliation that have not yet occurred, are out of our control, or cannot be reasonably predicted. For the same reasons, the Company is unable to assess the probable significance of the unavailable information, which could have a material impact on its future GAAP financial results.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Details</w:t>
      </w:r>
    </w:p>
    <w:p>
      <w:pPr>
        <w:spacing w:after="0" w:line="218" w:lineRule="exact"/>
        <w:rPr>
          <w:sz w:val="20"/>
          <w:szCs w:val="20"/>
          <w:color w:val="auto"/>
        </w:rPr>
      </w:pPr>
    </w:p>
    <w:p>
      <w:pPr>
        <w:ind w:right="540"/>
        <w:spacing w:after="0" w:line="216" w:lineRule="auto"/>
        <w:rPr>
          <w:sz w:val="20"/>
          <w:szCs w:val="20"/>
          <w:color w:val="auto"/>
        </w:rPr>
      </w:pPr>
      <w:r>
        <w:rPr>
          <w:rFonts w:ascii="Arial" w:cs="Arial" w:eastAsia="Arial" w:hAnsi="Arial"/>
          <w:sz w:val="20"/>
          <w:szCs w:val="20"/>
          <w:color w:val="auto"/>
        </w:rPr>
        <w:t>The Company will host a conference call today, October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at 8:30 a.m. Eastern Time. Investors interested in listening to the conference call are required to register online.</w:t>
      </w:r>
    </w:p>
    <w:p>
      <w:pPr>
        <w:spacing w:after="0" w:line="17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 live and archived webcast of the event will be available on the “Events &amp; Presentations” section of the BrightSpring website at https://ir.brightspringhealth.com/. The Company has posted supplemental information on the third quarter 2026 results that it will reference during the conference call. The supplemental information can be found under the “Events &amp; Presentations” on the Company’s investor relations page.</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BrightSpring Health Services</w:t>
      </w:r>
    </w:p>
    <w:p>
      <w:pPr>
        <w:spacing w:after="0" w:line="204"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BrightSpring Health Services provides complementary home- and community-based health solutions for medically complex populations in need of specialized and/or chronic care. Through the Company’s service lines, including pharmacy, home health care, and rehabilitation, we provide comprehensive and more integrated care and clinical solutions in all 50 states to approximately 500,000 customers, clients and patients daily. BrightSpring has consistently demonstrated strong and industry-leading quality metrics across its services lines, while improving the health and quality of life for high-need individuals and reducing overall healthcare system costs.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may relate to matters which include, but are not limited to, industries, business strategy, goals and expectations concerning our market position, future operations, margins, profitability, capital expenditures, liquidity and capital resources and other financial and operating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12" w:right="1419" w:bottom="1440" w:gutter="0" w:footer="0" w:header="0"/>
        </w:sectPr>
      </w:pPr>
    </w:p>
    <w:bookmarkStart w:id="6" w:name="page7"/>
    <w:bookmarkEnd w:id="6"/>
    <w:p>
      <w:pPr>
        <w:spacing w:after="0" w:line="237" w:lineRule="auto"/>
        <w:rPr>
          <w:sz w:val="20"/>
          <w:szCs w:val="20"/>
          <w:color w:val="auto"/>
        </w:rPr>
      </w:pPr>
      <w:r>
        <w:rPr>
          <w:rFonts w:ascii="Arial" w:cs="Arial" w:eastAsia="Arial" w:hAnsi="Arial"/>
          <w:sz w:val="20"/>
          <w:szCs w:val="20"/>
          <w:color w:val="auto"/>
        </w:rPr>
        <w:t>information. In some cases, we have used words such as “anticipate,” “assume,” “believe,” “continue,” “could,” “estimate,” “expect,” “intend,” “may,” “plan,” “potential,” “predict,” “project,” “future,” “will,” “seek,” “foreseeable,” “target,” “guidance,” the negative version of these words, or similar terms and phrases to identify these forward-looking statements.</w:t>
      </w:r>
    </w:p>
    <w:p>
      <w:pPr>
        <w:spacing w:after="0" w:line="172"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The forward-looking statements are based on management’s current expectations and are not historical facts or guarantees of future performance. The forward-looking statements relate to the future and are therefore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the following:</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our operation in a highly competitive industry;</w:t>
      </w:r>
    </w:p>
    <w:p>
      <w:pPr>
        <w:spacing w:after="0" w:line="17" w:lineRule="exact"/>
        <w:rPr>
          <w:rFonts w:ascii="Times New Roman" w:cs="Times New Roman" w:eastAsia="Times New Roman" w:hAnsi="Times New Roman"/>
          <w:sz w:val="18"/>
          <w:szCs w:val="18"/>
          <w:color w:val="auto"/>
        </w:rPr>
      </w:pPr>
    </w:p>
    <w:p>
      <w:pPr>
        <w:ind w:left="660" w:right="54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our inability to maintain relationships with existing patient referral sources or establish new referral sources;</w:t>
      </w:r>
    </w:p>
    <w:p>
      <w:pPr>
        <w:ind w:left="660" w:right="80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changes to Medicare and Medicaid rates or methods governing Medicare and Medicaid payments for our services;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cost containment initiatives of third-party payors, including post-payment audits;</w:t>
      </w:r>
    </w:p>
    <w:p>
      <w:pPr>
        <w:ind w:left="660" w:right="16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the implementation of alternative payment models and the transition of Medicaid and Medicare beneficiaries to managed care organizations may limit our market share and could adversely affect our revenues;</w:t>
      </w:r>
    </w:p>
    <w:p>
      <w:pPr>
        <w:spacing w:after="0" w:line="1" w:lineRule="exact"/>
        <w:rPr>
          <w:rFonts w:ascii="Times New Roman" w:cs="Times New Roman" w:eastAsia="Times New Roman" w:hAnsi="Times New Roman"/>
          <w:sz w:val="18"/>
          <w:szCs w:val="18"/>
          <w:color w:val="auto"/>
        </w:rPr>
      </w:pPr>
    </w:p>
    <w:p>
      <w:pPr>
        <w:ind w:left="660" w:right="46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changes in the case mix of patients, as well as payor mix and payment methodologies, and decisions and operations of third-party organizations;</w:t>
      </w:r>
    </w:p>
    <w:p>
      <w:pPr>
        <w:ind w:left="660" w:right="42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our reliance on federal and state spending, budget decisions, and continuous governmental operations which may fluctuate under different political conditions;</w:t>
      </w:r>
    </w:p>
    <w:p>
      <w:pPr>
        <w:ind w:left="660" w:right="72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changes in drug utilization and/or pricing, PBM contracts, and Medicare Part D/Medicaid reimbursement, which may negatively impact our profitability;</w:t>
      </w:r>
    </w:p>
    <w:p>
      <w:pPr>
        <w:ind w:left="660" w:right="96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changes in our relationships with pharmaceutical suppliers, including changes in drug availability or pricing;</w:t>
      </w:r>
    </w:p>
    <w:p>
      <w:pPr>
        <w:ind w:left="660" w:right="84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reliance on the continual recruitment and retention of nurses, pharmacists, therapists, caregivers, direct support professionals, and other qualified personnel, including senior management;</w:t>
      </w:r>
    </w:p>
    <w:p>
      <w:pPr>
        <w:spacing w:after="0" w:line="1" w:lineRule="exact"/>
        <w:rPr>
          <w:rFonts w:ascii="Times New Roman" w:cs="Times New Roman" w:eastAsia="Times New Roman" w:hAnsi="Times New Roman"/>
          <w:sz w:val="18"/>
          <w:szCs w:val="18"/>
          <w:color w:val="auto"/>
        </w:rPr>
      </w:pPr>
    </w:p>
    <w:p>
      <w:pPr>
        <w:ind w:left="660" w:right="280" w:hanging="328"/>
        <w:spacing w:after="0" w:line="237" w:lineRule="auto"/>
        <w:tabs>
          <w:tab w:leader="none" w:pos="66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9"/>
          <w:szCs w:val="19"/>
          <w:color w:val="auto"/>
        </w:rPr>
        <w:t>compliance with or changes to federal, state, and local laws and regulations that govern our employment practices, including minimum wage, living wage, and paid time-off requirements;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fluctuation of our results of operations on a quarterly basis;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harm caused by labor relation matters;</w:t>
      </w:r>
    </w:p>
    <w:p>
      <w:pPr>
        <w:ind w:left="660" w:right="4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limitations in our ability to control reimbursement rates received for our services if we are unable to maintain or reduce our costs to provide such services;</w:t>
      </w:r>
    </w:p>
    <w:p>
      <w:pPr>
        <w:ind w:left="660" w:right="6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delays in collection or non-collection of our accounts receivable, particularly during the business integration process;</w:t>
      </w:r>
    </w:p>
    <w:p>
      <w:pPr>
        <w:ind w:left="660" w:right="30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failure to manage our growth effectively, which may inhibit our ability to execute our business plan, maintain high levels of service and satisfaction or adequately address competitive challenges;</w:t>
      </w:r>
    </w:p>
    <w:p>
      <w:pPr>
        <w:spacing w:after="0" w:line="1" w:lineRule="exact"/>
        <w:rPr>
          <w:rFonts w:ascii="Times New Roman" w:cs="Times New Roman" w:eastAsia="Times New Roman" w:hAnsi="Times New Roman"/>
          <w:sz w:val="18"/>
          <w:szCs w:val="18"/>
          <w:color w:val="auto"/>
        </w:rPr>
      </w:pPr>
    </w:p>
    <w:p>
      <w:pPr>
        <w:ind w:left="660" w:hanging="328"/>
        <w:spacing w:after="0" w:line="225"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our ability to identify, successfully complete and manage acquisitions, joint ventures, divestitures and other significant transactions and strategic initiatives;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our ability to continue to provide consistently high quality of care;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14" w:right="1419" w:bottom="1440" w:gutter="0" w:footer="0" w:header="0"/>
        </w:sectPr>
      </w:pPr>
    </w:p>
    <w:bookmarkStart w:id="7" w:name="page8"/>
    <w:bookmarkEnd w:id="7"/>
    <w:p>
      <w:pPr>
        <w:ind w:left="660" w:right="660" w:hanging="328"/>
        <w:spacing w:after="0" w:line="247" w:lineRule="auto"/>
        <w:tabs>
          <w:tab w:leader="none" w:pos="6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9"/>
          <w:szCs w:val="19"/>
          <w:color w:val="auto"/>
        </w:rPr>
        <w:t>maintenance of our corporate reputation or the emergence of adverse publicity, including negative information on social media or changes in public perception of our services;</w:t>
      </w:r>
    </w:p>
    <w:p>
      <w:pPr>
        <w:jc w:val="both"/>
        <w:ind w:left="660" w:right="2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contract continuance, expansion and renewal with our existing customers, including renewals at lower fee levels, customers declining to purchase additional services from us, or reduction in the services received from us pursuant to those contracts;</w:t>
      </w:r>
    </w:p>
    <w:p>
      <w:pPr>
        <w:spacing w:after="0" w:line="1" w:lineRule="exact"/>
        <w:rPr>
          <w:rFonts w:ascii="Times New Roman" w:cs="Times New Roman" w:eastAsia="Times New Roman" w:hAnsi="Times New Roman"/>
          <w:sz w:val="18"/>
          <w:szCs w:val="18"/>
          <w:color w:val="auto"/>
        </w:rPr>
      </w:pPr>
    </w:p>
    <w:p>
      <w:pPr>
        <w:jc w:val="both"/>
        <w:ind w:left="660" w:right="48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effective investment in, implementation of improvements to and proper maintenance of the uninterrupted operation and data integrity of our information technology and other business systems;</w:t>
      </w:r>
    </w:p>
    <w:p>
      <w:pPr>
        <w:spacing w:after="0" w:line="1" w:lineRule="exact"/>
        <w:rPr>
          <w:rFonts w:ascii="Times New Roman" w:cs="Times New Roman" w:eastAsia="Times New Roman" w:hAnsi="Times New Roman"/>
          <w:sz w:val="18"/>
          <w:szCs w:val="18"/>
          <w:color w:val="auto"/>
        </w:rPr>
      </w:pPr>
    </w:p>
    <w:p>
      <w:pPr>
        <w:ind w:left="660" w:right="100" w:hanging="328"/>
        <w:spacing w:after="0" w:line="237" w:lineRule="auto"/>
        <w:tabs>
          <w:tab w:leader="none" w:pos="6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9"/>
          <w:szCs w:val="19"/>
          <w:color w:val="auto"/>
        </w:rPr>
        <w:t>security breaches, loss of data, and other disruptions, which could compromise sensitive business or patient information; cause a loss of confidential patient data, employee data or personal information; or prevent access to critical information and thereby expose us to liability, litigation, and federal and state governmental inquiries and damage our reputation and brand;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risks related to credit card payments and other payment methods;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potential substantial malpractice or other similar claims;</w:t>
      </w:r>
    </w:p>
    <w:p>
      <w:pPr>
        <w:ind w:left="660" w:right="16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various risks related to governmental inquiries, regulatory actions, and whistleblower and other lawsuits, which may not be entirely covered by insurance;</w:t>
      </w:r>
    </w:p>
    <w:p>
      <w:pPr>
        <w:ind w:left="660" w:right="420" w:hanging="328"/>
        <w:spacing w:after="0" w:line="237" w:lineRule="auto"/>
        <w:tabs>
          <w:tab w:leader="none" w:pos="6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9"/>
          <w:szCs w:val="19"/>
          <w:color w:val="auto"/>
        </w:rPr>
        <w:t>our current insurance program, which may expose us to unexpected costs, particularly if we incur losses not covered by our insurance or if claims or losses differ from our estimates;</w:t>
      </w:r>
    </w:p>
    <w:p>
      <w:pPr>
        <w:ind w:left="660" w:right="8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factors outside of our control, including those listed, which have required and could in the future require us to record an asset impairment of goodwill;</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a pandemic, epidemic, or outbreak of an infectious disease;</w:t>
      </w:r>
    </w:p>
    <w:p>
      <w:pPr>
        <w:ind w:left="660" w:right="28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inclement weather, natural disasters, acts of terrorism, riots, civil insurrection or social unrest, looting, protests, strikes, or street demonstrations;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our inability to adequately protect our intellectual property rights;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risks related to our compliance with our regulatory framework;</w:t>
      </w:r>
    </w:p>
    <w:p>
      <w:pPr>
        <w:ind w:left="660" w:right="24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the significant interests of KKR Stockholder may conflict with our stockholders’ interests in the future;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our substantial indebtedness;</w:t>
      </w:r>
    </w:p>
    <w:p>
      <w:pPr>
        <w:ind w:left="660" w:hanging="328"/>
        <w:spacing w:after="0" w:line="225"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significant changes in tax or trade policies, tariffs, or trade relations between the United States and other countries, such as the imposition of unilateral tariffs on imported products, including impacts on imported drug products, which could result in supply chain disruptions and significant increases in costs;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fluctuations in the amount and frequency of repurchases of our common stock.</w:t>
      </w:r>
    </w:p>
    <w:p>
      <w:pPr>
        <w:spacing w:after="0" w:line="227" w:lineRule="auto"/>
        <w:rPr>
          <w:sz w:val="20"/>
          <w:szCs w:val="20"/>
          <w:color w:val="auto"/>
        </w:rPr>
      </w:pPr>
      <w:r>
        <w:rPr>
          <w:rFonts w:ascii="Arial" w:cs="Arial" w:eastAsia="Arial" w:hAnsi="Arial"/>
          <w:sz w:val="20"/>
          <w:szCs w:val="20"/>
          <w:color w:val="auto"/>
        </w:rPr>
        <w:t>The forward-looking statements included in this press release are made only as of the date of this press release, and we undertake no obligation to publicly update or revise any forward-looking statement, whether as a result of new information, future developments, or otherwise, except as required by law. These factors should not be construed as exhaustive, and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w:t>
      </w:r>
    </w:p>
    <w:p>
      <w:pPr>
        <w:spacing w:after="0" w:line="180"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For additional information on these and other factors that could cause BrightSpring’s actual results to differ materially from expected results, please see our filings with the Securities and Exchange Commission (the “SEC”), which are accessible on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14" w:right="14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Non-GAAP Financial Measures</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color w:val="auto"/>
        </w:rPr>
        <w:t>This press release contains “non-GAAP financial measures,” including “EBITDA,” “Segment EBITDA,” “Adjusted EBITDA,” and “Adjusted EPS,” which are financial measures that either exclude or include amounts that are not excluded or included in the most directly comparable measures calculated and presented in accordance with accounting principles generally accepted in the United States, or GAAP.</w:t>
      </w:r>
    </w:p>
    <w:p>
      <w:pPr>
        <w:spacing w:after="0" w:line="16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EBITDA, Segment EBITDA, Adjusted EBITDA, and Adjusted EPS have been presented in this release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also believes that these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Segment EBITDA, Adjusted EBITDA, and Adjusted EPS to supplement GAAP measures of performance in the evaluation of the effectiveness of our business strategies, to make budgeting decisions, to establish and award discretionary annual incentive compensation, and to compare our performance against that of other peer companies using similar measures.</w:t>
      </w:r>
    </w:p>
    <w:p>
      <w:pPr>
        <w:spacing w:after="0" w:line="175"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Management supplements GAAP results with non-GAAP financial measures to provide a more complete understanding of the factors and trends affecting the business than GAAP results alone. EBITDA, Segment EBITDA, Adjusted EBITDA, and Adjusted EPS are non-GAAP measures of our financial performance and should not be considered as an alternative to net income as a measure of financial performance or any other performance measures derived in accordance with GAAP. Additionally, these measures are not intended to be a measure of free cash flow available for management’s discretionary use as they do not consider certain cash requirements such as tax payments, debt service requirements, total capital expenditures, and certain other cash costs that may recur in the future.</w:t>
      </w:r>
    </w:p>
    <w:p>
      <w:pPr>
        <w:spacing w:after="0" w:line="176"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Management defines EBITDA as net income from continuing operations before income tax expense, interest expense, net and depreciation and amortization. Management defines Segment EBITDA as segment operating income before income tax expense, interest expense, net and depreciation and amortization. Management also defines Adjusted EBITDA as EBITDA, further adjusted to exclude non-cash share-based compensation, acquisition, integration and transaction-related costs, and restructuring and divestiture-related and other costs. Management also defines Adjusted EPS as Diluted EPS, further adjusted to exclude non-cash share-based compensation, acquisition, integration and transaction-related costs, restructuring and divestiture-related and other costs, and the income tax impact of the aforementioned adjustments.</w:t>
      </w:r>
    </w:p>
    <w:p>
      <w:pPr>
        <w:spacing w:after="0" w:line="176"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Please see the end of this press release for reconciliations of non-GAAP financial measures to the most directly comparable financial measure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412" w:right="14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BrightSpring Contact: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Investor Relations:</w:t>
      </w:r>
    </w:p>
    <w:p>
      <w:pPr>
        <w:spacing w:after="0" w:line="229" w:lineRule="auto"/>
        <w:rPr>
          <w:sz w:val="20"/>
          <w:szCs w:val="20"/>
          <w:color w:val="auto"/>
        </w:rPr>
      </w:pPr>
      <w:r>
        <w:rPr>
          <w:rFonts w:ascii="Arial" w:cs="Arial" w:eastAsia="Arial" w:hAnsi="Arial"/>
          <w:sz w:val="20"/>
          <w:szCs w:val="20"/>
          <w:i w:val="1"/>
          <w:iCs w:val="1"/>
          <w:color w:val="auto"/>
        </w:rPr>
        <w:t>David Deuchler, CFA</w:t>
      </w:r>
    </w:p>
    <w:p>
      <w:pPr>
        <w:spacing w:after="0" w:line="226" w:lineRule="auto"/>
        <w:rPr>
          <w:sz w:val="20"/>
          <w:szCs w:val="20"/>
          <w:color w:val="auto"/>
        </w:rPr>
      </w:pPr>
      <w:r>
        <w:rPr>
          <w:rFonts w:ascii="Arial" w:cs="Arial" w:eastAsia="Arial" w:hAnsi="Arial"/>
          <w:sz w:val="20"/>
          <w:szCs w:val="20"/>
          <w:i w:val="1"/>
          <w:iCs w:val="1"/>
          <w:color w:val="auto"/>
        </w:rPr>
        <w:t>SVP, Strategic Finance &amp; Investor Relations</w:t>
      </w:r>
    </w:p>
    <w:p>
      <w:pPr>
        <w:spacing w:after="0" w:line="237" w:lineRule="auto"/>
        <w:rPr>
          <w:sz w:val="20"/>
          <w:szCs w:val="20"/>
          <w:color w:val="auto"/>
        </w:rPr>
      </w:pPr>
      <w:r>
        <w:rPr>
          <w:rFonts w:ascii="Arial" w:cs="Arial" w:eastAsia="Arial" w:hAnsi="Arial"/>
          <w:sz w:val="19"/>
          <w:szCs w:val="19"/>
          <w:i w:val="1"/>
          <w:iCs w:val="1"/>
          <w:color w:val="auto"/>
        </w:rPr>
        <w:t>Executive Director, BrightSpring Health Foundation</w:t>
      </w:r>
    </w:p>
    <w:p>
      <w:pPr>
        <w:spacing w:after="0" w:line="225" w:lineRule="auto"/>
        <w:rPr>
          <w:sz w:val="20"/>
          <w:szCs w:val="20"/>
          <w:color w:val="auto"/>
        </w:rPr>
      </w:pPr>
      <w:r>
        <w:rPr>
          <w:rFonts w:ascii="Arial" w:cs="Arial" w:eastAsia="Arial" w:hAnsi="Arial"/>
          <w:sz w:val="20"/>
          <w:szCs w:val="20"/>
          <w:i w:val="1"/>
          <w:iCs w:val="1"/>
          <w:color w:val="auto"/>
        </w:rPr>
        <w:t>IR@brightspringhealth.com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917.209.5605</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Media Contact:</w:t>
      </w:r>
    </w:p>
    <w:p>
      <w:pPr>
        <w:spacing w:after="0" w:line="229" w:lineRule="auto"/>
        <w:rPr>
          <w:sz w:val="20"/>
          <w:szCs w:val="20"/>
          <w:color w:val="auto"/>
        </w:rPr>
      </w:pPr>
      <w:r>
        <w:rPr>
          <w:rFonts w:ascii="Arial" w:cs="Arial" w:eastAsia="Arial" w:hAnsi="Arial"/>
          <w:sz w:val="20"/>
          <w:szCs w:val="20"/>
          <w:i w:val="1"/>
          <w:iCs w:val="1"/>
          <w:color w:val="auto"/>
        </w:rPr>
        <w:t>Leigh White</w:t>
      </w:r>
    </w:p>
    <w:p>
      <w:pPr>
        <w:spacing w:after="0" w:line="226" w:lineRule="auto"/>
        <w:rPr>
          <w:sz w:val="20"/>
          <w:szCs w:val="20"/>
          <w:color w:val="auto"/>
        </w:rPr>
      </w:pPr>
      <w:r>
        <w:rPr>
          <w:rFonts w:ascii="Arial" w:cs="Arial" w:eastAsia="Arial" w:hAnsi="Arial"/>
          <w:sz w:val="20"/>
          <w:szCs w:val="20"/>
          <w:i w:val="1"/>
          <w:iCs w:val="1"/>
          <w:color w:val="auto"/>
        </w:rPr>
        <w:t>Vice President, Communications &amp; PR</w:t>
      </w:r>
    </w:p>
    <w:p>
      <w:pPr>
        <w:spacing w:after="0" w:line="225" w:lineRule="auto"/>
        <w:rPr>
          <w:sz w:val="20"/>
          <w:szCs w:val="20"/>
          <w:color w:val="auto"/>
        </w:rPr>
      </w:pPr>
      <w:r>
        <w:rPr>
          <w:rFonts w:ascii="Arial" w:cs="Arial" w:eastAsia="Arial" w:hAnsi="Arial"/>
          <w:sz w:val="20"/>
          <w:szCs w:val="20"/>
          <w:i w:val="1"/>
          <w:iCs w:val="1"/>
          <w:color w:val="auto"/>
        </w:rPr>
        <w:t>leigh.white@brightspringhealth.com</w:t>
      </w:r>
    </w:p>
    <w:p>
      <w:pPr>
        <w:spacing w:after="0"/>
        <w:rPr>
          <w:sz w:val="20"/>
          <w:szCs w:val="20"/>
          <w:color w:val="auto"/>
        </w:rPr>
      </w:pPr>
      <w:r>
        <w:rPr>
          <w:rFonts w:ascii="Arial" w:cs="Arial" w:eastAsia="Arial" w:hAnsi="Arial"/>
          <w:sz w:val="20"/>
          <w:szCs w:val="20"/>
          <w:i w:val="1"/>
          <w:iCs w:val="1"/>
          <w:color w:val="auto"/>
        </w:rPr>
        <w:t>502.630.7412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463550</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412"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231F20"/>
        </w:rPr>
        <w:t>BrightSpring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September 30, 2026 and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6"/>
        </w:trPr>
        <w:tc>
          <w:tcPr>
            <w:tcW w:w="660" w:type="dxa"/>
            <w:vAlign w:val="bottom"/>
          </w:tcPr>
          <w:p>
            <w:pPr>
              <w:spacing w:after="0"/>
              <w:rPr>
                <w:sz w:val="17"/>
                <w:szCs w:val="17"/>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2"/>
        </w:trPr>
        <w:tc>
          <w:tcPr>
            <w:tcW w:w="66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8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717,840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88,370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 net of allowance for credit losses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1,216,377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989,719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671,590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815,180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159,950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118,592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Current assets held for sale</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882,189</w:t>
            </w: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2,765,757</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2,894,050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74"/>
        </w:trPr>
        <w:tc>
          <w:tcPr>
            <w:tcW w:w="660" w:type="dxa"/>
            <w:vAlign w:val="bottom"/>
          </w:tcPr>
          <w:p>
            <w:pPr>
              <w:spacing w:after="0"/>
              <w:rPr>
                <w:sz w:val="15"/>
                <w:szCs w:val="15"/>
                <w:color w:val="auto"/>
              </w:rPr>
            </w:pPr>
          </w:p>
        </w:tc>
        <w:tc>
          <w:tcPr>
            <w:tcW w:w="636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7"/>
                <w:szCs w:val="17"/>
                <w:color w:val="auto"/>
              </w:rPr>
              <w:t>Property and equipment, net of accumulated depreciation of $419,016 and $404,878 at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74" w:lineRule="exact"/>
              <w:rPr>
                <w:sz w:val="20"/>
                <w:szCs w:val="20"/>
                <w:color w:val="auto"/>
              </w:rPr>
            </w:pPr>
            <w:r>
              <w:rPr>
                <w:rFonts w:ascii="Times New Roman" w:cs="Times New Roman" w:eastAsia="Times New Roman" w:hAnsi="Times New Roman"/>
                <w:sz w:val="17"/>
                <w:szCs w:val="17"/>
                <w:color w:val="auto"/>
              </w:rPr>
              <w:t>213,530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74" w:lineRule="exact"/>
              <w:rPr>
                <w:sz w:val="20"/>
                <w:szCs w:val="20"/>
                <w:color w:val="auto"/>
              </w:rPr>
            </w:pPr>
            <w:r>
              <w:rPr>
                <w:rFonts w:ascii="Times New Roman" w:cs="Times New Roman" w:eastAsia="Times New Roman" w:hAnsi="Times New Roman"/>
                <w:sz w:val="17"/>
                <w:szCs w:val="17"/>
                <w:color w:val="auto"/>
              </w:rPr>
              <w:t>204,689</w:t>
            </w: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r>
      <w:tr>
        <w:trPr>
          <w:trHeight w:val="224"/>
        </w:trPr>
        <w:tc>
          <w:tcPr>
            <w:tcW w:w="660" w:type="dxa"/>
            <w:vAlign w:val="bottom"/>
          </w:tcPr>
          <w:p>
            <w:pPr>
              <w:spacing w:after="0"/>
              <w:rPr>
                <w:sz w:val="19"/>
                <w:szCs w:val="19"/>
                <w:color w:val="auto"/>
              </w:rPr>
            </w:pPr>
          </w:p>
        </w:tc>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September 30, 2026 and December 31, 2025, respectively</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tcPr>
          <w:p>
            <w:pPr>
              <w:spacing w:after="0"/>
              <w:rPr>
                <w:sz w:val="19"/>
                <w:szCs w:val="19"/>
                <w:color w:val="auto"/>
              </w:rPr>
            </w:pPr>
          </w:p>
        </w:tc>
      </w:tr>
      <w:tr>
        <w:trPr>
          <w:trHeight w:val="203"/>
        </w:trPr>
        <w:tc>
          <w:tcPr>
            <w:tcW w:w="66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2,537,128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2,545,673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Intangible assets, net of accumulated amortization</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491,661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557,555</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 net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169,977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171,632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88,568</w:t>
            </w:r>
          </w:p>
        </w:tc>
        <w:tc>
          <w:tcPr>
            <w:tcW w:w="2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39,712</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6,266,621</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6,413,311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636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Redeemable Noncontrolling Interests, and Equity</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66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Trade accounts payable</w:t>
            </w:r>
          </w:p>
        </w:tc>
        <w:tc>
          <w:tcPr>
            <w:tcW w:w="58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1,232,288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1,217,946</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390,967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333,024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Current portion of obligations under operating leases</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46,296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42,936</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 portion of obligations under financing leases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35,277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52,340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 liabilities held for sale</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195,994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1,710,816</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1,849,034</w:t>
            </w: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Obligations under operating leases, net of current portion</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133,569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135,420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Obligations under financing leases, net of current portion</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11,072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14,544</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2,146,779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2,455,204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income taxes, net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10,336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6,178</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Long-term liabilities</w:t>
            </w:r>
          </w:p>
        </w:tc>
        <w:tc>
          <w:tcPr>
            <w:tcW w:w="2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68,234</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66,565</w:t>
            </w:r>
          </w:p>
        </w:tc>
        <w:tc>
          <w:tcPr>
            <w:tcW w:w="100" w:type="dxa"/>
            <w:vAlign w:val="bottom"/>
            <w:tcBorders>
              <w:bottom w:val="single" w:sz="8" w:color="CFF0FC"/>
            </w:tcBorders>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4,080,806</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4,526,945</w:t>
            </w: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81"/>
        </w:trPr>
        <w:tc>
          <w:tcPr>
            <w:tcW w:w="660" w:type="dxa"/>
            <w:vAlign w:val="bottom"/>
          </w:tcPr>
          <w:p>
            <w:pPr>
              <w:spacing w:after="0"/>
              <w:rPr>
                <w:sz w:val="15"/>
                <w:szCs w:val="15"/>
                <w:color w:val="auto"/>
              </w:rPr>
            </w:pPr>
          </w:p>
        </w:tc>
        <w:tc>
          <w:tcPr>
            <w:tcW w:w="6360" w:type="dxa"/>
            <w:vAlign w:val="bottom"/>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Common stock, $0.01 par value, 1,500,000,000 shares authorized, 198,814,320 and</w:t>
            </w:r>
          </w:p>
        </w:tc>
        <w:tc>
          <w:tcPr>
            <w:tcW w:w="580" w:type="dxa"/>
            <w:vAlign w:val="bottom"/>
            <w:gridSpan w:val="2"/>
          </w:tcPr>
          <w:p>
            <w:pPr>
              <w:jc w:val="right"/>
              <w:ind w:right="161"/>
              <w:spacing w:after="0" w:line="181"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1,988</w:t>
            </w:r>
          </w:p>
        </w:tc>
        <w:tc>
          <w:tcPr>
            <w:tcW w:w="3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1,921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660" w:type="dxa"/>
            <w:vAlign w:val="bottom"/>
          </w:tcPr>
          <w:p>
            <w:pPr>
              <w:spacing w:after="0"/>
              <w:rPr>
                <w:sz w:val="17"/>
                <w:szCs w:val="17"/>
                <w:color w:val="auto"/>
              </w:rPr>
            </w:pPr>
          </w:p>
        </w:tc>
        <w:tc>
          <w:tcPr>
            <w:tcW w:w="63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192,124,125 shares issued and outstanding at September 30, 2026 and December 31,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63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2025 respectively</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83"/>
        </w:trPr>
        <w:tc>
          <w:tcPr>
            <w:tcW w:w="660" w:type="dxa"/>
            <w:vAlign w:val="bottom"/>
          </w:tcPr>
          <w:p>
            <w:pPr>
              <w:spacing w:after="0"/>
              <w:rPr>
                <w:sz w:val="15"/>
                <w:szCs w:val="15"/>
                <w:color w:val="auto"/>
              </w:rPr>
            </w:pPr>
          </w:p>
        </w:tc>
        <w:tc>
          <w:tcPr>
            <w:tcW w:w="6360" w:type="dxa"/>
            <w:vAlign w:val="bottom"/>
            <w:shd w:val="clear" w:color="auto" w:fill="CFF0FC"/>
          </w:tcPr>
          <w:p>
            <w:pPr>
              <w:ind w:left="180"/>
              <w:spacing w:after="0" w:line="183" w:lineRule="exact"/>
              <w:rPr>
                <w:sz w:val="20"/>
                <w:szCs w:val="20"/>
                <w:color w:val="auto"/>
              </w:rPr>
            </w:pPr>
            <w:r>
              <w:rPr>
                <w:rFonts w:ascii="Times New Roman" w:cs="Times New Roman" w:eastAsia="Times New Roman" w:hAnsi="Times New Roman"/>
                <w:sz w:val="17"/>
                <w:szCs w:val="17"/>
                <w:color w:val="auto"/>
              </w:rPr>
              <w:t>Preferred stock, $0.01 par value, 250,000,000 authorized, no shares issued and</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00"/>
              <w:spacing w:after="0" w:line="183"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5"/>
                <w:szCs w:val="15"/>
                <w:color w:val="auto"/>
              </w:rPr>
            </w:pPr>
          </w:p>
        </w:tc>
      </w:tr>
      <w:tr>
        <w:trPr>
          <w:trHeight w:val="224"/>
        </w:trPr>
        <w:tc>
          <w:tcPr>
            <w:tcW w:w="660" w:type="dxa"/>
            <w:vAlign w:val="bottom"/>
          </w:tcPr>
          <w:p>
            <w:pPr>
              <w:spacing w:after="0"/>
              <w:rPr>
                <w:sz w:val="19"/>
                <w:szCs w:val="19"/>
                <w:color w:val="auto"/>
              </w:rPr>
            </w:pPr>
          </w:p>
        </w:tc>
        <w:tc>
          <w:tcPr>
            <w:tcW w:w="6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outstanding at September 30, 2026 and December 31, 2025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tcPr>
          <w:p>
            <w:pPr>
              <w:spacing w:after="0"/>
              <w:rPr>
                <w:sz w:val="19"/>
                <w:szCs w:val="19"/>
                <w:color w:val="auto"/>
              </w:rPr>
            </w:pPr>
          </w:p>
        </w:tc>
      </w:tr>
      <w:tr>
        <w:trPr>
          <w:trHeight w:val="203"/>
        </w:trPr>
        <w:tc>
          <w:tcPr>
            <w:tcW w:w="660" w:type="dxa"/>
            <w:vAlign w:val="bottom"/>
          </w:tcPr>
          <w:p>
            <w:pPr>
              <w:spacing w:after="0"/>
              <w:rPr>
                <w:sz w:val="17"/>
                <w:szCs w:val="17"/>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2,021,881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1,954,482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Retained earnings (accumulated deficit)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138,572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(74,647)</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(6,691)</w:t>
            </w: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2,176,540</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1,875,065</w:t>
            </w: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Noncontrolling interest</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2,176,615</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1,875,139</w:t>
            </w: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6360" w:type="dxa"/>
            <w:vAlign w:val="bottom"/>
          </w:tcPr>
          <w:p>
            <w:pPr>
              <w:ind w:left="720"/>
              <w:spacing w:after="0"/>
              <w:rPr>
                <w:sz w:val="20"/>
                <w:szCs w:val="20"/>
                <w:color w:val="auto"/>
              </w:rPr>
            </w:pPr>
            <w:r>
              <w:rPr>
                <w:rFonts w:ascii="Times New Roman" w:cs="Times New Roman" w:eastAsia="Times New Roman" w:hAnsi="Times New Roman"/>
                <w:sz w:val="17"/>
                <w:szCs w:val="17"/>
                <w:b w:val="1"/>
                <w:bCs w:val="1"/>
                <w:color w:val="auto"/>
              </w:rPr>
              <w:t>Total liabilities, redeemable noncontrolling interests, and equity</w:t>
            </w:r>
          </w:p>
        </w:tc>
        <w:tc>
          <w:tcPr>
            <w:tcW w:w="580" w:type="dxa"/>
            <w:vAlign w:val="bottom"/>
            <w:gridSpan w:val="2"/>
          </w:tcPr>
          <w:p>
            <w:pPr>
              <w:jc w:val="right"/>
              <w:ind w:right="16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6,266,621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6,413,311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203"/>
        </w:trPr>
        <w:tc>
          <w:tcPr>
            <w:tcW w:w="66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-5691505</wp:posOffset>
            </wp:positionV>
            <wp:extent cx="59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-5691505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-3445510</wp:posOffset>
            </wp:positionV>
            <wp:extent cx="59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-3445510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5415280</wp:posOffset>
            </wp:positionH>
            <wp:positionV relativeFrom="paragraph">
              <wp:posOffset>-2806700</wp:posOffset>
            </wp:positionV>
            <wp:extent cx="8509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090" cy="17145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-2806700</wp:posOffset>
            </wp:positionV>
            <wp:extent cx="8572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-1224915</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-1224915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-950595</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-950595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BrightSpring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3,732,428</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2,966,966</w:t>
            </w: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10,310,950</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8,289,238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480,806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367,140</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1,389,145</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1,070,695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4,213,234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3,334,106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11,700,095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3,416,415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2,721,314</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9,395,982</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7,605,931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278,270</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220,784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810,596</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518,549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392,008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1,493,517</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358,069</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304,165</w:t>
            </w: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1,081,197</w:t>
            </w:r>
          </w:p>
        </w:tc>
        <w:tc>
          <w:tcPr>
            <w:tcW w:w="1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918,090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160,480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87,843</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412,320</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31,038</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106,532</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129,442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305,788</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44,099</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 net of income taxes</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261,689</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100,299</w:t>
            </w: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333,118</w:t>
            </w: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noncontrolling interests included in</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178"/>
        </w:trPr>
        <w:tc>
          <w:tcPr>
            <w:tcW w:w="5160" w:type="dxa"/>
            <w:vAlign w:val="bottom"/>
            <w:tcBorders>
              <w:top w:val="single" w:sz="8" w:color="CFF0FC"/>
            </w:tcBorders>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Net income attributable to BrightSpring Health Services, Inc. and</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100,138</w:t>
            </w:r>
          </w:p>
        </w:tc>
        <w:tc>
          <w:tcPr>
            <w:tcW w:w="2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55,836</w:t>
            </w:r>
          </w:p>
        </w:tc>
        <w:tc>
          <w:tcPr>
            <w:tcW w:w="1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vMerge w:val="restart"/>
            <w:shd w:val="clear" w:color="auto" w:fill="CFF0FC"/>
          </w:tcPr>
          <w:p>
            <w:pPr>
              <w:spacing w:after="0"/>
              <w:rPr>
                <w:sz w:val="15"/>
                <w:szCs w:val="15"/>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333,195</w:t>
            </w:r>
          </w:p>
        </w:tc>
        <w:tc>
          <w:tcPr>
            <w:tcW w:w="1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113,586</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subsidiaries</w:t>
            </w: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-2451100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5024755</wp:posOffset>
            </wp:positionH>
            <wp:positionV relativeFrom="paragraph">
              <wp:posOffset>-2451100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-2451100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-2451100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-1662430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5024755</wp:posOffset>
            </wp:positionH>
            <wp:positionV relativeFrom="paragraph">
              <wp:posOffset>-1662430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-1662430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-1662430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-273685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5024755</wp:posOffset>
            </wp:positionH>
            <wp:positionV relativeFrom="paragraph">
              <wp:posOffset>-24765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5024755</wp:posOffset>
            </wp:positionH>
            <wp:positionV relativeFrom="paragraph">
              <wp:posOffset>-7620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5024755</wp:posOffset>
            </wp:positionH>
            <wp:positionV relativeFrom="paragraph">
              <wp:posOffset>-273685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-24765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-7620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-273685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-273685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-119380</wp:posOffset>
            </wp:positionV>
            <wp:extent cx="617220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Basic income (loss) per share attributable to common shareholders: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1"/>
                <w:szCs w:val="21"/>
                <w:color w:val="auto"/>
              </w:rPr>
            </w:pPr>
          </w:p>
        </w:tc>
        <w:tc>
          <w:tcPr>
            <w:tcW w:w="5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5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r>
      <w:tr>
        <w:trPr>
          <w:trHeight w:val="198"/>
        </w:trPr>
        <w:tc>
          <w:tcPr>
            <w:tcW w:w="660" w:type="dxa"/>
            <w:vAlign w:val="bottom"/>
          </w:tcPr>
          <w:p>
            <w:pPr>
              <w:spacing w:after="0"/>
              <w:rPr>
                <w:sz w:val="17"/>
                <w:szCs w:val="17"/>
                <w:color w:val="auto"/>
              </w:rPr>
            </w:pPr>
          </w:p>
        </w:tc>
        <w:tc>
          <w:tcPr>
            <w:tcW w:w="5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Diluted income (loss) per share attributable to common</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3"/>
        </w:trPr>
        <w:tc>
          <w:tcPr>
            <w:tcW w:w="660" w:type="dxa"/>
            <w:vAlign w:val="bottom"/>
          </w:tcPr>
          <w:p>
            <w:pPr>
              <w:spacing w:after="0"/>
              <w:rPr>
                <w:sz w:val="21"/>
                <w:szCs w:val="21"/>
                <w:color w:val="auto"/>
              </w:rPr>
            </w:pPr>
          </w:p>
        </w:tc>
        <w:tc>
          <w:tcPr>
            <w:tcW w:w="5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36"/>
        </w:trPr>
        <w:tc>
          <w:tcPr>
            <w:tcW w:w="660" w:type="dxa"/>
            <w:vAlign w:val="bottom"/>
          </w:tcPr>
          <w:p>
            <w:pPr>
              <w:spacing w:after="0"/>
              <w:rPr>
                <w:sz w:val="20"/>
                <w:szCs w:val="20"/>
                <w:color w:val="auto"/>
              </w:rPr>
            </w:pPr>
          </w:p>
        </w:tc>
        <w:tc>
          <w:tcPr>
            <w:tcW w:w="5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r>
      <w:tr>
        <w:trPr>
          <w:trHeight w:val="239"/>
        </w:trPr>
        <w:tc>
          <w:tcPr>
            <w:tcW w:w="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7"/>
        </w:trPr>
        <w:tc>
          <w:tcPr>
            <w:tcW w:w="660" w:type="dxa"/>
            <w:vAlign w:val="bottom"/>
          </w:tcPr>
          <w:p>
            <w:pPr>
              <w:spacing w:after="0"/>
              <w:rPr>
                <w:sz w:val="21"/>
                <w:szCs w:val="21"/>
                <w:color w:val="auto"/>
              </w:rPr>
            </w:pPr>
          </w:p>
        </w:tc>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207,022</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203,487</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205,934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202,067</w:t>
            </w: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220,226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217,982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220,972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218,519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222"/>
        </w:trPr>
        <w:tc>
          <w:tcPr>
            <w:tcW w:w="6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BrightSpring Health Services,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4"/>
                <w:szCs w:val="14"/>
                <w:color w:val="auto"/>
              </w:rPr>
            </w:pPr>
          </w:p>
        </w:tc>
        <w:tc>
          <w:tcPr>
            <w:tcW w:w="2540" w:type="dxa"/>
            <w:vAlign w:val="bottom"/>
            <w:gridSpan w:val="8"/>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66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7"/>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5"/>
        </w:trPr>
        <w:tc>
          <w:tcPr>
            <w:tcW w:w="66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96"/>
        </w:trPr>
        <w:tc>
          <w:tcPr>
            <w:tcW w:w="660" w:type="dxa"/>
            <w:vAlign w:val="bottom"/>
          </w:tcPr>
          <w:p>
            <w:pPr>
              <w:spacing w:after="0"/>
              <w:rPr>
                <w:sz w:val="17"/>
                <w:szCs w:val="17"/>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100,299</w:t>
            </w:r>
          </w:p>
        </w:tc>
        <w:tc>
          <w:tcPr>
            <w:tcW w:w="16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55,241</w:t>
            </w:r>
          </w:p>
        </w:tc>
        <w:tc>
          <w:tcPr>
            <w:tcW w:w="120" w:type="dxa"/>
            <w:vAlign w:val="bottom"/>
          </w:tcPr>
          <w:p>
            <w:pPr>
              <w:spacing w:after="0"/>
              <w:rPr>
                <w:sz w:val="17"/>
                <w:szCs w:val="17"/>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333,118</w:t>
            </w:r>
          </w:p>
        </w:tc>
        <w:tc>
          <w:tcPr>
            <w:tcW w:w="1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111,793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2"/>
        </w:trPr>
        <w:tc>
          <w:tcPr>
            <w:tcW w:w="660" w:type="dxa"/>
            <w:vAlign w:val="bottom"/>
          </w:tcPr>
          <w:p>
            <w:pPr>
              <w:spacing w:after="0"/>
              <w:rPr>
                <w:sz w:val="17"/>
                <w:szCs w:val="17"/>
                <w:color w:val="auto"/>
              </w:rPr>
            </w:pPr>
          </w:p>
        </w:tc>
        <w:tc>
          <w:tcPr>
            <w:tcW w:w="5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124,753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(1,266)</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Payment of contingent consideration in excess of acquisition date fair value</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(4,670)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(6,170)</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55,733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(3,045)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18,266</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(gain) on sale of discontinued operations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(101,845)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(771)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(335)</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operating assets and liabilities, net of acquisitions and dispositions: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(83,372)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(49,933)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(235,949)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(162,689)</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(41,057)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(96,581)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(13,752)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143,408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(2,279)</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Trade accounts payable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42,836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19,235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60,702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47,186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17,212</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(12,104)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(30,978)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(27,734)</w:t>
            </w: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204,322</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107,936</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371,181</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258,610</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(22,090)</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(15,762)</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(72,666)</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(57,819)</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Acquisitions of businesses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(44,132)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(8,308)</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sale of discontinued operations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810,908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(5,068)</w:t>
            </w: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5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(23,192)</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(23,761)</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696,003</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(71,195)</w:t>
            </w: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Long-term debt repayments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(11,809)</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(14,213)</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(332,300)</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(37,933)</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the Revolving Credit Facility,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(63,300)</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(3,378)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Repurchases of shares of common stock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shares issued under share-based compensation plan</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37,256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14,681</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02"/>
        </w:trPr>
        <w:tc>
          <w:tcPr>
            <w:tcW w:w="660" w:type="dxa"/>
            <w:vAlign w:val="bottom"/>
          </w:tcPr>
          <w:p>
            <w:pPr>
              <w:spacing w:after="0"/>
              <w:rPr>
                <w:sz w:val="17"/>
                <w:szCs w:val="17"/>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(5,583)</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Purchase of redeemable noncontrolling interest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(5,100)</w:t>
            </w: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financing lease obligations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(10,133)</w:t>
            </w: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5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(13,671)</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(13,107)</w:t>
            </w: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(437,821)</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(107,368)</w:t>
            </w: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54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167,459</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71,068</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629,363</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80,047</w:t>
            </w:r>
          </w:p>
        </w:tc>
        <w:tc>
          <w:tcPr>
            <w:tcW w:w="100" w:type="dxa"/>
            <w:vAlign w:val="bottom"/>
            <w:tcBorders>
              <w:top w:val="single" w:sz="8" w:color="CFF0FC"/>
            </w:tcBorders>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550,381</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70,232</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88,477</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61,253</w:t>
            </w:r>
          </w:p>
        </w:tc>
        <w:tc>
          <w:tcPr>
            <w:tcW w:w="100" w:type="dxa"/>
            <w:vAlign w:val="bottom"/>
            <w:tcBorders>
              <w:bottom w:val="single" w:sz="8" w:color="CFF0FC"/>
            </w:tcBorders>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717,840</w:t>
            </w:r>
          </w:p>
        </w:tc>
        <w:tc>
          <w:tcPr>
            <w:tcW w:w="16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141,300</w:t>
            </w:r>
          </w:p>
        </w:tc>
        <w:tc>
          <w:tcPr>
            <w:tcW w:w="120" w:type="dxa"/>
            <w:vAlign w:val="bottom"/>
          </w:tcPr>
          <w:p>
            <w:pPr>
              <w:spacing w:after="0"/>
              <w:rPr>
                <w:sz w:val="17"/>
                <w:szCs w:val="17"/>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717,840</w:t>
            </w:r>
          </w:p>
        </w:tc>
        <w:tc>
          <w:tcPr>
            <w:tcW w:w="1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141,300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5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 included in assets held for sale at end of period</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included in continuing operations at end of period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717,840</w:t>
            </w:r>
          </w:p>
        </w:tc>
        <w:tc>
          <w:tcPr>
            <w:tcW w:w="16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140,344</w:t>
            </w:r>
          </w:p>
        </w:tc>
        <w:tc>
          <w:tcPr>
            <w:tcW w:w="120" w:type="dxa"/>
            <w:vAlign w:val="bottom"/>
          </w:tcPr>
          <w:p>
            <w:pPr>
              <w:spacing w:after="0"/>
              <w:rPr>
                <w:sz w:val="17"/>
                <w:szCs w:val="17"/>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717,840</w:t>
            </w:r>
          </w:p>
        </w:tc>
        <w:tc>
          <w:tcPr>
            <w:tcW w:w="1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140,344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202"/>
        </w:trPr>
        <w:tc>
          <w:tcPr>
            <w:tcW w:w="6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-3599815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-3599815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-3599815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-3599815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-2811145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-2811145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-2811145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-2811145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-1508125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-1508125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-1508125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-1508125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-1242060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-1242060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-1242060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-1242060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-950595</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-950595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-950595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-950595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BrightSpring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Reconciliation of Segment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reconciles net income from continuing operations to Segment EBITDA: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6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55"/>
        </w:trPr>
        <w:tc>
          <w:tcPr>
            <w:tcW w:w="6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37"/>
        </w:trPr>
        <w:tc>
          <w:tcPr>
            <w:tcW w:w="66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100,802</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261,689</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55,245</w:t>
            </w:r>
          </w:p>
        </w:tc>
        <w:tc>
          <w:tcPr>
            <w:tcW w:w="100" w:type="dxa"/>
            <w:vAlign w:val="bottom"/>
            <w:shd w:val="clear" w:color="auto" w:fill="CFF0FC"/>
          </w:tcPr>
          <w:p>
            <w:pPr>
              <w:spacing w:after="0"/>
              <w:rPr>
                <w:sz w:val="20"/>
                <w:szCs w:val="20"/>
                <w:color w:val="auto"/>
              </w:rPr>
            </w:pPr>
          </w:p>
        </w:tc>
        <w:tc>
          <w:tcPr>
            <w:tcW w:w="660" w:type="dxa"/>
            <w:vAlign w:val="bottom"/>
          </w:tcPr>
          <w:p>
            <w:pPr>
              <w:spacing w:after="0"/>
              <w:rPr>
                <w:sz w:val="20"/>
                <w:szCs w:val="20"/>
                <w:color w:val="auto"/>
              </w:rPr>
            </w:pPr>
          </w:p>
        </w:tc>
      </w:tr>
      <w:tr>
        <w:trPr>
          <w:trHeight w:val="243"/>
        </w:trPr>
        <w:tc>
          <w:tcPr>
            <w:tcW w:w="66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 not allocation at segment level:</w:t>
            </w: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239,681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239,047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21,522</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2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2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44,099</w:t>
            </w:r>
          </w:p>
        </w:tc>
        <w:tc>
          <w:tcPr>
            <w:tcW w:w="2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EBITDA</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280,932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770,890</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549,610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203"/>
        </w:trPr>
        <w:tc>
          <w:tcPr>
            <w:tcW w:w="6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51" w:right="4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BrightSpring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Reconciliation of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reconciles net income from continuing operations to EBITDA and Adjusted EBITDA: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Pr>
          <w:p>
            <w:pPr>
              <w:spacing w:after="0"/>
              <w:rPr>
                <w:sz w:val="14"/>
                <w:szCs w:val="14"/>
                <w:color w:val="auto"/>
              </w:rPr>
            </w:pPr>
          </w:p>
        </w:tc>
        <w:tc>
          <w:tcPr>
            <w:tcW w:w="204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5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3"/>
                <w:szCs w:val="13"/>
                <w:color w:val="auto"/>
              </w:rPr>
            </w:pPr>
          </w:p>
        </w:tc>
      </w:tr>
      <w:tr>
        <w:trPr>
          <w:trHeight w:val="23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100,802</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261,689</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55,245</w:t>
            </w:r>
          </w:p>
        </w:tc>
        <w:tc>
          <w:tcPr>
            <w:tcW w:w="100" w:type="dxa"/>
            <w:vAlign w:val="bottom"/>
            <w:shd w:val="clear" w:color="auto" w:fill="CFF0FC"/>
          </w:tcPr>
          <w:p>
            <w:pPr>
              <w:spacing w:after="0"/>
              <w:rPr>
                <w:sz w:val="20"/>
                <w:szCs w:val="20"/>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00" w:type="dxa"/>
            <w:vAlign w:val="bottom"/>
          </w:tcPr>
          <w:p>
            <w:pPr>
              <w:spacing w:after="0"/>
              <w:rPr>
                <w:sz w:val="21"/>
                <w:szCs w:val="21"/>
                <w:color w:val="auto"/>
              </w:rPr>
            </w:pPr>
          </w:p>
        </w:tc>
      </w:tr>
      <w:tr>
        <w:trPr>
          <w:trHeight w:val="24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31,038</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106,532</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118,776</w:t>
            </w:r>
          </w:p>
        </w:tc>
        <w:tc>
          <w:tcPr>
            <w:tcW w:w="100" w:type="dxa"/>
            <w:vAlign w:val="bottom"/>
            <w:shd w:val="clear" w:color="auto" w:fill="CFF0FC"/>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38,372</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40,753</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118,889</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123,424</w:t>
            </w:r>
          </w:p>
        </w:tc>
        <w:tc>
          <w:tcPr>
            <w:tcW w:w="100" w:type="dxa"/>
            <w:vAlign w:val="bottom"/>
          </w:tcPr>
          <w:p>
            <w:pPr>
              <w:spacing w:after="0"/>
              <w:rPr>
                <w:sz w:val="21"/>
                <w:szCs w:val="21"/>
                <w:color w:val="auto"/>
              </w:rPr>
            </w:pPr>
          </w:p>
        </w:tc>
      </w:tr>
      <w:tr>
        <w:trPr>
          <w:trHeight w:val="23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198,852</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128,596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531,209</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310,563</w:t>
            </w:r>
          </w:p>
        </w:tc>
        <w:tc>
          <w:tcPr>
            <w:tcW w:w="100" w:type="dxa"/>
            <w:vAlign w:val="bottom"/>
            <w:shd w:val="clear" w:color="auto" w:fill="CFF0FC"/>
          </w:tcPr>
          <w:p>
            <w:pPr>
              <w:spacing w:after="0"/>
              <w:rPr>
                <w:sz w:val="20"/>
                <w:szCs w:val="20"/>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 (1)</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100" w:type="dxa"/>
            <w:vAlign w:val="bottom"/>
          </w:tcPr>
          <w:p>
            <w:pPr>
              <w:spacing w:after="0"/>
              <w:rPr>
                <w:sz w:val="21"/>
                <w:szCs w:val="21"/>
                <w:color w:val="auto"/>
              </w:rPr>
            </w:pPr>
          </w:p>
        </w:tc>
      </w:tr>
      <w:tr>
        <w:trPr>
          <w:trHeight w:val="24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integration, and transaction-related costs (2)</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15,585</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34,811</w:t>
            </w:r>
          </w:p>
        </w:tc>
        <w:tc>
          <w:tcPr>
            <w:tcW w:w="100" w:type="dxa"/>
            <w:vAlign w:val="bottom"/>
            <w:shd w:val="clear" w:color="auto" w:fill="CFF0FC"/>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divestiture-related and other costs (3)</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25,756</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42,493</w:t>
            </w:r>
          </w:p>
        </w:tc>
        <w:tc>
          <w:tcPr>
            <w:tcW w:w="100" w:type="dxa"/>
            <w:vAlign w:val="bottom"/>
          </w:tcPr>
          <w:p>
            <w:pPr>
              <w:spacing w:after="0"/>
              <w:rPr>
                <w:sz w:val="21"/>
                <w:szCs w:val="21"/>
                <w:color w:val="auto"/>
              </w:rPr>
            </w:pPr>
          </w:p>
        </w:tc>
      </w:tr>
      <w:tr>
        <w:trPr>
          <w:trHeight w:val="23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91,816</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123,459</w:t>
            </w:r>
          </w:p>
        </w:tc>
        <w:tc>
          <w:tcPr>
            <w:tcW w:w="100" w:type="dxa"/>
            <w:vAlign w:val="bottom"/>
            <w:shd w:val="clear" w:color="auto" w:fill="CFF0FC"/>
          </w:tcPr>
          <w:p>
            <w:pPr>
              <w:spacing w:after="0"/>
              <w:rPr>
                <w:sz w:val="20"/>
                <w:szCs w:val="20"/>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227,759</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160,443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623,025</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434,022</w:t>
            </w:r>
          </w:p>
        </w:tc>
        <w:tc>
          <w:tcPr>
            <w:tcW w:w="100" w:type="dxa"/>
            <w:vAlign w:val="bottom"/>
          </w:tcPr>
          <w:p>
            <w:pPr>
              <w:spacing w:after="0"/>
              <w:rPr>
                <w:sz w:val="20"/>
                <w:szCs w:val="20"/>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-187960</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-187960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-187960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-187960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left="440" w:hanging="43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to certain members of our management and full-time employees.</w:t>
      </w:r>
    </w:p>
    <w:p>
      <w:pPr>
        <w:spacing w:after="0" w:line="252" w:lineRule="exact"/>
        <w:rPr>
          <w:rFonts w:ascii="Times New Roman" w:cs="Times New Roman" w:eastAsia="Times New Roman" w:hAnsi="Times New Roman"/>
          <w:sz w:val="18"/>
          <w:szCs w:val="18"/>
          <w:color w:val="auto"/>
        </w:rPr>
      </w:pPr>
    </w:p>
    <w:p>
      <w:pPr>
        <w:ind w:left="440" w:right="100" w:hanging="436"/>
        <w:spacing w:after="0" w:line="261"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in connection with planned, completed, or terminated acquisitions, which include investment banking fees, legal diligence and related documentation costs, finance and accounting diligence and documentation; costs associated with the integration of acquisitions, including any facility consolidation, integration travel, or severance; and costs associated with other planned, completed, or terminated non-routine transactions.</w:t>
      </w:r>
    </w:p>
    <w:p>
      <w:pPr>
        <w:spacing w:after="0" w:line="206" w:lineRule="exact"/>
        <w:rPr>
          <w:rFonts w:ascii="Times New Roman" w:cs="Times New Roman" w:eastAsia="Times New Roman" w:hAnsi="Times New Roman"/>
          <w:sz w:val="18"/>
          <w:szCs w:val="18"/>
          <w:color w:val="auto"/>
        </w:rPr>
      </w:pPr>
    </w:p>
    <w:p>
      <w:pPr>
        <w:ind w:left="440" w:right="740" w:hanging="436"/>
        <w:spacing w:after="0" w:line="282"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restructuring-related activities, including closure, and related license impairment, and severance expenses associated with certain enterprise-wide or significant business line cost-savings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890270</wp:posOffset>
            </wp:positionV>
            <wp:extent cx="70377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BrightSpring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Reconciliation of Adjusted EPS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(Unaudited)</w:t>
      </w: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diluted EPS to Adjusted EPS: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4"/>
                <w:szCs w:val="14"/>
                <w:color w:val="auto"/>
              </w:rPr>
            </w:pPr>
          </w:p>
        </w:tc>
        <w:tc>
          <w:tcPr>
            <w:tcW w:w="21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r>
      <w:tr>
        <w:trPr>
          <w:trHeight w:val="23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FF0FC"/>
          </w:tcPr>
          <w:p>
            <w:pPr>
              <w:spacing w:after="0"/>
              <w:rPr>
                <w:sz w:val="20"/>
                <w:szCs w:val="20"/>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 (1)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integration, and transaction-related costs (1)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FF0FC"/>
          </w:tcPr>
          <w:p>
            <w:pPr>
              <w:spacing w:after="0"/>
              <w:rPr>
                <w:sz w:val="21"/>
                <w:szCs w:val="2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divestiture-related and other costs (1)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impact on adjustments (2)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(0.23)</w:t>
            </w:r>
          </w:p>
        </w:tc>
        <w:tc>
          <w:tcPr>
            <w:tcW w:w="3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48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Adjusted EPS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8"/>
        </w:trPr>
        <w:tc>
          <w:tcPr>
            <w:tcW w:w="4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used in calculating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220,226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217,982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220,972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218,519</w:t>
            </w:r>
          </w:p>
        </w:tc>
        <w:tc>
          <w:tcPr>
            <w:tcW w:w="100" w:type="dxa"/>
            <w:vAlign w:val="bottom"/>
          </w:tcPr>
          <w:p>
            <w:pPr>
              <w:spacing w:after="0"/>
              <w:rPr>
                <w:sz w:val="17"/>
                <w:szCs w:val="17"/>
                <w:color w:val="auto"/>
              </w:rPr>
            </w:pPr>
          </w:p>
        </w:tc>
      </w:tr>
      <w:tr>
        <w:trPr>
          <w:trHeight w:val="234"/>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U.S. GAAP net income per share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8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used in calculating</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220,226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217,982</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220,972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218,519</w:t>
            </w:r>
          </w:p>
        </w:tc>
        <w:tc>
          <w:tcPr>
            <w:tcW w:w="100" w:type="dxa"/>
            <w:vAlign w:val="bottom"/>
            <w:shd w:val="clear" w:color="auto" w:fill="CFF0FC"/>
          </w:tcPr>
          <w:p>
            <w:pPr>
              <w:spacing w:after="0"/>
              <w:rPr>
                <w:sz w:val="17"/>
                <w:szCs w:val="17"/>
                <w:color w:val="auto"/>
              </w:rPr>
            </w:pPr>
          </w:p>
        </w:tc>
      </w:tr>
      <w:tr>
        <w:trPr>
          <w:trHeight w:val="234"/>
        </w:trPr>
        <w:tc>
          <w:tcPr>
            <w:tcW w:w="4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diluted Non-GAAP income per share</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-890905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-890905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-890905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-890905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260" w:hanging="256"/>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per share impact of the adjustment reflected within the definition of Adjusted EBITDA.</w:t>
      </w:r>
    </w:p>
    <w:p>
      <w:pPr>
        <w:spacing w:after="0" w:line="252" w:lineRule="exact"/>
        <w:rPr>
          <w:rFonts w:ascii="Times New Roman" w:cs="Times New Roman" w:eastAsia="Times New Roman" w:hAnsi="Times New Roman"/>
          <w:sz w:val="18"/>
          <w:szCs w:val="18"/>
          <w:color w:val="auto"/>
        </w:rPr>
      </w:pPr>
    </w:p>
    <w:p>
      <w:pPr>
        <w:ind w:right="40" w:firstLine="4"/>
        <w:spacing w:after="0" w:line="266"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impact of non-GAAP adjustments is calculated using the estimated tax rate for the respective non-GAAP adjustment. For all periods presented, the income tax impact on adjustments is inclusive of a discrete tax benefit related to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899160</wp:posOffset>
            </wp:positionV>
            <wp:extent cx="70377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2026-10-30T06:08:03Z</dcterms:created>
  <dcterms:modified xsi:type="dcterms:W3CDTF">2026-10-30T06:08:03Z</dcterms:modified>
</cp:coreProperties>
</file>