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405130</wp:posOffset>
            </wp:positionH>
            <wp:positionV relativeFrom="paragraph">
              <wp:posOffset>454025</wp:posOffset>
            </wp:positionV>
            <wp:extent cx="490982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09820" cy="13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53975</wp:posOffset>
            </wp:positionV>
            <wp:extent cx="9817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10-K</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
          <w:szCs w:val="4"/>
          <w:color w:val="auto"/>
        </w:rPr>
        <w: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15240</wp:posOffset>
            </wp:positionV>
            <wp:extent cx="9817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3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10" w:lineRule="exact"/>
        <w:rPr>
          <w:sz w:val="24"/>
          <w:szCs w:val="24"/>
          <w:color w:val="auto"/>
        </w:rPr>
      </w:pPr>
    </w:p>
    <w:p>
      <w:pPr>
        <w:ind w:left="3280" w:right="1759" w:hanging="2632"/>
        <w:spacing w:after="0" w:line="318" w:lineRule="auto"/>
        <w:tabs>
          <w:tab w:leader="none" w:pos="952" w:val="left"/>
        </w:tabs>
        <w:numPr>
          <w:ilvl w:val="0"/>
          <w:numId w:val="1"/>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33" w:lineRule="exact"/>
        <w:rPr>
          <w:sz w:val="24"/>
          <w:szCs w:val="24"/>
          <w:color w:val="auto"/>
        </w:rPr>
      </w:pPr>
    </w:p>
    <w:p>
      <w:pPr>
        <w:ind w:left="960" w:hanging="312"/>
        <w:spacing w:after="0"/>
        <w:tabs>
          <w:tab w:leader="none" w:pos="960" w:val="left"/>
        </w:tabs>
        <w:numPr>
          <w:ilvl w:val="0"/>
          <w:numId w:val="2"/>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TRANSITION REPORT PURSUANT TO SECTION 13 OR 15(d) OF THE SECURITIES EXCHANGE ACT OF 1934</w:t>
      </w:r>
    </w:p>
    <w:p>
      <w:pPr>
        <w:spacing w:after="0" w:line="50" w:lineRule="exact"/>
        <w:rPr>
          <w:sz w:val="24"/>
          <w:szCs w:val="24"/>
          <w:color w:val="auto"/>
        </w:rPr>
      </w:pPr>
    </w:p>
    <w:p>
      <w:pPr>
        <w:ind w:left="2980"/>
        <w:spacing w:after="0"/>
        <w:tabs>
          <w:tab w:leader="none" w:pos="534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p>
    <w:p>
      <w:pPr>
        <w:spacing w:after="0" w:line="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Commission File Number 001-41938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51435</wp:posOffset>
            </wp:positionV>
            <wp:extent cx="9817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BrightSpring Health Services, Inc.</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32385</wp:posOffset>
            </wp:positionV>
            <wp:extent cx="9817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ectPr>
          <w:pgSz w:w="11900" w:h="16838" w:orient="portrait"/>
          <w:cols w:equalWidth="0" w:num="1">
            <w:col w:w="9019"/>
          </w:cols>
          <w:pgMar w:left="1440" w:top="209" w:right="1440" w:bottom="1440" w:gutter="0" w:footer="0" w:header="0"/>
        </w:sectPr>
      </w:pPr>
    </w:p>
    <w:p>
      <w:pPr>
        <w:spacing w:after="0" w:line="99"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17"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p>
      <w:pPr>
        <w:ind w:left="1920"/>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p>
      <w:pPr>
        <w:spacing w:after="0" w:line="4"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4"/>
          <w:szCs w:val="14"/>
          <w:b w:val="1"/>
          <w:bCs w:val="1"/>
          <w:color w:val="auto"/>
        </w:rPr>
        <w:t>805 N. Whittington Parkway</w:t>
      </w:r>
    </w:p>
    <w:p>
      <w:pPr>
        <w:spacing w:after="0" w:line="12"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4"/>
          <w:szCs w:val="14"/>
          <w:b w:val="1"/>
          <w:bCs w:val="1"/>
          <w:color w:val="auto"/>
        </w:rPr>
        <w:t>Louisville, Kentucky</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82-2956404</w:t>
      </w:r>
    </w:p>
    <w:p>
      <w:pPr>
        <w:spacing w:after="0" w:line="2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84"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40222</w:t>
      </w:r>
    </w:p>
    <w:p>
      <w:pPr>
        <w:spacing w:after="0" w:line="24" w:lineRule="exact"/>
        <w:rPr>
          <w:sz w:val="24"/>
          <w:szCs w:val="24"/>
          <w:color w:val="auto"/>
        </w:rPr>
      </w:pPr>
    </w:p>
    <w:p>
      <w:pPr>
        <w:sectPr>
          <w:pgSz w:w="11900" w:h="16838" w:orient="portrait"/>
          <w:cols w:equalWidth="0" w:num="2">
            <w:col w:w="5320" w:space="720"/>
            <w:col w:w="2979"/>
          </w:cols>
          <w:pgMar w:left="1440" w:top="209" w:right="1440" w:bottom="1440" w:gutter="0" w:footer="0" w:header="0"/>
          <w:type w:val="continuous"/>
        </w:sectPr>
      </w:pPr>
    </w:p>
    <w:p>
      <w:pPr>
        <w:ind w:left="1740"/>
        <w:spacing w:after="0"/>
        <w:tabs>
          <w:tab w:leader="none" w:pos="6180" w:val="left"/>
        </w:tabs>
        <w:rPr>
          <w:sz w:val="20"/>
          <w:szCs w:val="20"/>
          <w:color w:val="auto"/>
        </w:rPr>
      </w:pPr>
      <w:r>
        <w:rPr>
          <w:rFonts w:ascii="Times New Roman" w:cs="Times New Roman" w:eastAsia="Times New Roman" w:hAnsi="Times New Roman"/>
          <w:sz w:val="10"/>
          <w:szCs w:val="10"/>
          <w:b w:val="1"/>
          <w:bCs w:val="1"/>
          <w:color w:val="auto"/>
        </w:rPr>
        <w:t>(Address of principal executive offices)</w:t>
      </w:r>
      <w:r>
        <w:rPr>
          <w:sz w:val="20"/>
          <w:szCs w:val="20"/>
          <w:color w:val="auto"/>
        </w:rPr>
        <w:tab/>
      </w:r>
      <w:r>
        <w:rPr>
          <w:rFonts w:ascii="Times New Roman" w:cs="Times New Roman" w:eastAsia="Times New Roman" w:hAnsi="Times New Roman"/>
          <w:sz w:val="9"/>
          <w:szCs w:val="9"/>
          <w:b w:val="1"/>
          <w:bCs w:val="1"/>
          <w:color w:val="auto"/>
        </w:rPr>
        <w:t>(Zip Code)</w:t>
      </w:r>
    </w:p>
    <w:p>
      <w:pPr>
        <w:spacing w:after="0" w:line="15"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(502) 394-2100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49530</wp:posOffset>
            </wp:positionV>
            <wp:extent cx="98171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7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0" w:lineRule="exact"/>
        <w:rPr>
          <w:sz w:val="24"/>
          <w:szCs w:val="24"/>
          <w:color w:val="auto"/>
        </w:rPr>
      </w:pPr>
    </w:p>
    <w:tbl>
      <w:tblPr>
        <w:tblLayout w:type="fixed"/>
        <w:tblInd w:w="1680" w:type="dxa"/>
        <w:tblCellMar>
          <w:top w:w="0" w:type="dxa"/>
          <w:left w:w="0" w:type="dxa"/>
          <w:bottom w:w="0" w:type="dxa"/>
          <w:right w:w="0" w:type="dxa"/>
        </w:tblCellMar>
      </w:tblPr>
      <w:tr>
        <w:trPr>
          <w:trHeight w:val="126"/>
        </w:trPr>
        <w:tc>
          <w:tcPr>
            <w:tcW w:w="15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1760" w:type="dxa"/>
            <w:vAlign w:val="bottom"/>
          </w:tcPr>
          <w:p>
            <w:pPr>
              <w:jc w:val="center"/>
              <w:ind w:left="143"/>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2680" w:type="dxa"/>
            <w:vAlign w:val="bottom"/>
            <w:vMerge w:val="restart"/>
          </w:tcPr>
          <w:p>
            <w:pPr>
              <w:ind w:left="540"/>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37"/>
        </w:trPr>
        <w:tc>
          <w:tcPr>
            <w:tcW w:w="1580" w:type="dxa"/>
            <w:vAlign w:val="bottom"/>
            <w:vMerge w:val="continue"/>
          </w:tcPr>
          <w:p>
            <w:pPr>
              <w:spacing w:after="0"/>
              <w:rPr>
                <w:sz w:val="11"/>
                <w:szCs w:val="11"/>
                <w:color w:val="auto"/>
              </w:rPr>
            </w:pPr>
          </w:p>
        </w:tc>
        <w:tc>
          <w:tcPr>
            <w:tcW w:w="1760" w:type="dxa"/>
            <w:vAlign w:val="bottom"/>
          </w:tcPr>
          <w:p>
            <w:pPr>
              <w:jc w:val="center"/>
              <w:ind w:left="143"/>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2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640" w:type="dxa"/>
        <w:tblCellMar>
          <w:top w:w="0" w:type="dxa"/>
          <w:left w:w="0" w:type="dxa"/>
          <w:bottom w:w="0" w:type="dxa"/>
          <w:right w:w="0" w:type="dxa"/>
        </w:tblCellMar>
      </w:tblPr>
      <w:tr>
        <w:trPr>
          <w:trHeight w:val="105"/>
        </w:trPr>
        <w:tc>
          <w:tcPr>
            <w:tcW w:w="294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color w:val="auto"/>
              </w:rPr>
              <w:t>Common Stock, par value $0.01 per share</w:t>
            </w:r>
          </w:p>
        </w:tc>
        <w:tc>
          <w:tcPr>
            <w:tcW w:w="80" w:type="dxa"/>
            <w:vAlign w:val="bottom"/>
          </w:tcPr>
          <w:p>
            <w:pPr>
              <w:spacing w:after="0"/>
              <w:rPr>
                <w:sz w:val="9"/>
                <w:szCs w:val="9"/>
                <w:color w:val="auto"/>
              </w:rPr>
            </w:pPr>
          </w:p>
        </w:tc>
        <w:tc>
          <w:tcPr>
            <w:tcW w:w="116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color w:val="auto"/>
              </w:rPr>
              <w:t>BTSG</w:t>
            </w:r>
          </w:p>
        </w:tc>
        <w:tc>
          <w:tcPr>
            <w:tcW w:w="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980" w:type="dxa"/>
            <w:vAlign w:val="bottom"/>
            <w:tcBorders>
              <w:top w:val="single" w:sz="8" w:color="auto"/>
            </w:tcBorders>
          </w:tcPr>
          <w:p>
            <w:pPr>
              <w:ind w:left="460"/>
              <w:spacing w:after="0" w:line="105" w:lineRule="exact"/>
              <w:rPr>
                <w:sz w:val="20"/>
                <w:szCs w:val="20"/>
                <w:color w:val="auto"/>
              </w:rPr>
            </w:pPr>
            <w:r>
              <w:rPr>
                <w:rFonts w:ascii="Times New Roman" w:cs="Times New Roman" w:eastAsia="Times New Roman" w:hAnsi="Times New Roman"/>
                <w:sz w:val="12"/>
                <w:szCs w:val="12"/>
                <w:color w:val="auto"/>
              </w:rPr>
              <w:t>The Nasdaq Stock Market LLC</w:t>
            </w:r>
          </w:p>
        </w:tc>
      </w:tr>
      <w:tr>
        <w:trPr>
          <w:trHeight w:val="158"/>
        </w:trPr>
        <w:tc>
          <w:tcPr>
            <w:tcW w:w="29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6.75% Tangible Equity Units</w:t>
            </w:r>
          </w:p>
        </w:tc>
        <w:tc>
          <w:tcPr>
            <w:tcW w:w="80" w:type="dxa"/>
            <w:vAlign w:val="bottom"/>
          </w:tcPr>
          <w:p>
            <w:pPr>
              <w:spacing w:after="0"/>
              <w:rPr>
                <w:sz w:val="13"/>
                <w:szCs w:val="13"/>
                <w:color w:val="auto"/>
              </w:rPr>
            </w:pPr>
          </w:p>
        </w:tc>
        <w:tc>
          <w:tcPr>
            <w:tcW w:w="1740" w:type="dxa"/>
            <w:vAlign w:val="bottom"/>
            <w:gridSpan w:val="3"/>
          </w:tcPr>
          <w:p>
            <w:pPr>
              <w:jc w:val="center"/>
              <w:ind w:right="580"/>
              <w:spacing w:after="0"/>
              <w:rPr>
                <w:sz w:val="20"/>
                <w:szCs w:val="20"/>
                <w:color w:val="auto"/>
              </w:rPr>
            </w:pPr>
            <w:r>
              <w:rPr>
                <w:rFonts w:ascii="Times New Roman" w:cs="Times New Roman" w:eastAsia="Times New Roman" w:hAnsi="Times New Roman"/>
                <w:sz w:val="12"/>
                <w:szCs w:val="12"/>
                <w:color w:val="auto"/>
              </w:rPr>
              <w:t>BTSGU</w:t>
            </w:r>
          </w:p>
        </w:tc>
        <w:tc>
          <w:tcPr>
            <w:tcW w:w="29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The Nasdaq Stock Market LLC</w:t>
            </w:r>
          </w:p>
        </w:tc>
      </w:tr>
      <w:tr>
        <w:trPr>
          <w:trHeight w:val="132"/>
        </w:trPr>
        <w:tc>
          <w:tcPr>
            <w:tcW w:w="2940" w:type="dxa"/>
            <w:vAlign w:val="bottom"/>
          </w:tcPr>
          <w:p>
            <w:pPr>
              <w:spacing w:after="0"/>
              <w:rPr>
                <w:sz w:val="20"/>
                <w:szCs w:val="20"/>
                <w:color w:val="auto"/>
              </w:rPr>
            </w:pPr>
            <w:r>
              <w:rPr>
                <w:rFonts w:ascii="Times New Roman" w:cs="Times New Roman" w:eastAsia="Times New Roman" w:hAnsi="Times New Roman"/>
                <w:sz w:val="9"/>
                <w:szCs w:val="9"/>
                <w:color w:val="auto"/>
              </w:rPr>
              <w:t xml:space="preserve">Securities registered pursuant to Section 12(g) of the Act: </w:t>
            </w:r>
            <w:r>
              <w:rPr>
                <w:rFonts w:ascii="Times New Roman" w:cs="Times New Roman" w:eastAsia="Times New Roman" w:hAnsi="Times New Roman"/>
                <w:sz w:val="9"/>
                <w:szCs w:val="9"/>
                <w:b w:val="1"/>
                <w:bCs w:val="1"/>
                <w:color w:val="auto"/>
              </w:rPr>
              <w:t>None</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980" w:type="dxa"/>
            <w:vAlign w:val="bottom"/>
          </w:tcPr>
          <w:p>
            <w:pPr>
              <w:spacing w:after="0"/>
              <w:rPr>
                <w:sz w:val="11"/>
                <w:szCs w:val="11"/>
                <w:color w:val="auto"/>
              </w:rPr>
            </w:pPr>
          </w:p>
        </w:tc>
      </w:tr>
      <w:tr>
        <w:trPr>
          <w:trHeight w:val="150"/>
        </w:trPr>
        <w:tc>
          <w:tcPr>
            <w:tcW w:w="4760" w:type="dxa"/>
            <w:vAlign w:val="bottom"/>
            <w:gridSpan w:val="5"/>
          </w:tcPr>
          <w:p>
            <w:pPr>
              <w:spacing w:after="0" w:line="104" w:lineRule="exact"/>
              <w:rPr>
                <w:sz w:val="20"/>
                <w:szCs w:val="20"/>
                <w:color w:val="auto"/>
              </w:rPr>
            </w:pPr>
            <w:r>
              <w:rPr>
                <w:rFonts w:ascii="Times New Roman" w:cs="Times New Roman" w:eastAsia="Times New Roman" w:hAnsi="Times New Roman"/>
                <w:sz w:val="9"/>
                <w:szCs w:val="9"/>
                <w:color w:val="auto"/>
              </w:rPr>
              <w:t xml:space="preserve">Indicate by check mark if the Registrant is a well-known seasoned issuer, as defined in Rule 405 of the Securities Act. YES </w:t>
            </w:r>
            <w:r>
              <w:rPr>
                <w:rFonts w:ascii="MS PGothic" w:cs="MS PGothic" w:eastAsia="MS PGothic" w:hAnsi="MS PGothic"/>
                <w:sz w:val="9"/>
                <w:szCs w:val="9"/>
                <w:color w:val="auto"/>
              </w:rPr>
              <w:t>☒</w:t>
            </w:r>
          </w:p>
        </w:tc>
        <w:tc>
          <w:tcPr>
            <w:tcW w:w="2980" w:type="dxa"/>
            <w:vAlign w:val="bottom"/>
          </w:tcPr>
          <w:p>
            <w:pPr>
              <w:ind w:left="60"/>
              <w:spacing w:after="0" w:line="104" w:lineRule="exact"/>
              <w:rPr>
                <w:sz w:val="20"/>
                <w:szCs w:val="20"/>
                <w:color w:val="auto"/>
              </w:rPr>
            </w:pPr>
            <w:r>
              <w:rPr>
                <w:rFonts w:ascii="Times New Roman" w:cs="Times New Roman" w:eastAsia="Times New Roman" w:hAnsi="Times New Roman"/>
                <w:sz w:val="9"/>
                <w:szCs w:val="9"/>
                <w:color w:val="auto"/>
              </w:rPr>
              <w:t xml:space="preserve">NO </w:t>
            </w:r>
            <w:r>
              <w:rPr>
                <w:rFonts w:ascii="MS PGothic" w:cs="MS PGothic" w:eastAsia="MS PGothic" w:hAnsi="MS PGothic"/>
                <w:sz w:val="9"/>
                <w:szCs w:val="9"/>
                <w:color w:val="auto"/>
              </w:rPr>
              <w:t>☐</w:t>
            </w:r>
          </w:p>
        </w:tc>
      </w:tr>
    </w:tbl>
    <w:p>
      <w:pPr>
        <w:ind w:left="640"/>
        <w:spacing w:after="0" w:line="104" w:lineRule="exact"/>
        <w:tabs>
          <w:tab w:leader="none" w:pos="5240" w:val="left"/>
        </w:tabs>
        <w:rPr>
          <w:sz w:val="20"/>
          <w:szCs w:val="20"/>
          <w:color w:val="auto"/>
        </w:rPr>
      </w:pPr>
      <w:r>
        <w:rPr>
          <w:rFonts w:ascii="Times New Roman" w:cs="Times New Roman" w:eastAsia="Times New Roman" w:hAnsi="Times New Roman"/>
          <w:sz w:val="9"/>
          <w:szCs w:val="9"/>
          <w:color w:val="auto"/>
        </w:rPr>
        <w:t xml:space="preserve">Indicate by check mark if the Registrant is not required to file reports pursuant to Section 13 or 15(d) of the Act. YES </w:t>
      </w:r>
      <w:r>
        <w:rPr>
          <w:rFonts w:ascii="MS PGothic" w:cs="MS PGothic" w:eastAsia="MS PGothic" w:hAnsi="MS PGothic"/>
          <w:sz w:val="9"/>
          <w:szCs w:val="9"/>
          <w:color w:val="auto"/>
        </w:rPr>
        <w:t>☐</w:t>
      </w:r>
      <w:r>
        <w:rPr>
          <w:sz w:val="20"/>
          <w:szCs w:val="20"/>
          <w:color w:val="auto"/>
        </w:rPr>
        <w:tab/>
      </w:r>
      <w:r>
        <w:rPr>
          <w:rFonts w:ascii="Times New Roman" w:cs="Times New Roman" w:eastAsia="Times New Roman" w:hAnsi="Times New Roman"/>
          <w:sz w:val="8"/>
          <w:szCs w:val="8"/>
          <w:color w:val="auto"/>
        </w:rPr>
        <w:t xml:space="preserve">NO </w:t>
      </w:r>
      <w:r>
        <w:rPr>
          <w:rFonts w:ascii="MS PGothic" w:cs="MS PGothic" w:eastAsia="MS PGothic" w:hAnsi="MS PGothic"/>
          <w:sz w:val="8"/>
          <w:szCs w:val="8"/>
          <w:color w:val="auto"/>
        </w:rPr>
        <w:t>☒</w:t>
      </w:r>
    </w:p>
    <w:p>
      <w:pPr>
        <w:spacing w:after="0" w:line="34" w:lineRule="exact"/>
        <w:rPr>
          <w:sz w:val="24"/>
          <w:szCs w:val="24"/>
          <w:color w:val="auto"/>
        </w:rPr>
      </w:pPr>
    </w:p>
    <w:p>
      <w:pPr>
        <w:ind w:left="640" w:right="739"/>
        <w:spacing w:after="0" w:line="120" w:lineRule="exact"/>
        <w:rPr>
          <w:sz w:val="20"/>
          <w:szCs w:val="20"/>
          <w:color w:val="auto"/>
        </w:rPr>
      </w:pPr>
      <w:r>
        <w:rPr>
          <w:rFonts w:ascii="Times New Roman" w:cs="Times New Roman" w:eastAsia="Times New Roman" w:hAnsi="Times New Roman"/>
          <w:sz w:val="9"/>
          <w:szCs w:val="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9"/>
          <w:szCs w:val="9"/>
          <w:color w:val="auto"/>
        </w:rPr>
        <w:t>☒</w:t>
      </w:r>
      <w:r>
        <w:rPr>
          <w:rFonts w:ascii="Times New Roman" w:cs="Times New Roman" w:eastAsia="Times New Roman" w:hAnsi="Times New Roman"/>
          <w:sz w:val="9"/>
          <w:szCs w:val="9"/>
          <w:color w:val="auto"/>
        </w:rPr>
        <w:t xml:space="preserve"> NO </w:t>
      </w:r>
      <w:r>
        <w:rPr>
          <w:rFonts w:ascii="MS PGothic" w:cs="MS PGothic" w:eastAsia="MS PGothic" w:hAnsi="MS PGothic"/>
          <w:sz w:val="9"/>
          <w:szCs w:val="9"/>
          <w:color w:val="auto"/>
        </w:rPr>
        <w:t>☐</w:t>
      </w:r>
    </w:p>
    <w:p>
      <w:pPr>
        <w:spacing w:after="0" w:line="9" w:lineRule="exact"/>
        <w:rPr>
          <w:sz w:val="24"/>
          <w:szCs w:val="24"/>
          <w:color w:val="auto"/>
        </w:rPr>
      </w:pPr>
    </w:p>
    <w:p>
      <w:pPr>
        <w:ind w:left="640" w:right="739"/>
        <w:spacing w:after="0" w:line="120" w:lineRule="exact"/>
        <w:rPr>
          <w:sz w:val="20"/>
          <w:szCs w:val="20"/>
          <w:color w:val="auto"/>
        </w:rPr>
      </w:pPr>
      <w:r>
        <w:rPr>
          <w:rFonts w:ascii="Times New Roman" w:cs="Times New Roman" w:eastAsia="Times New Roman" w:hAnsi="Times New Roman"/>
          <w:sz w:val="9"/>
          <w:szCs w:val="9"/>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9"/>
          <w:szCs w:val="9"/>
          <w:color w:val="auto"/>
        </w:rPr>
        <w:t>☒</w:t>
      </w:r>
      <w:r>
        <w:rPr>
          <w:rFonts w:ascii="Times New Roman" w:cs="Times New Roman" w:eastAsia="Times New Roman" w:hAnsi="Times New Roman"/>
          <w:sz w:val="9"/>
          <w:szCs w:val="9"/>
          <w:color w:val="auto"/>
        </w:rPr>
        <w:t xml:space="preserve"> NO </w:t>
      </w:r>
      <w:r>
        <w:rPr>
          <w:rFonts w:ascii="MS PGothic" w:cs="MS PGothic" w:eastAsia="MS PGothic" w:hAnsi="MS PGothic"/>
          <w:sz w:val="9"/>
          <w:szCs w:val="9"/>
          <w:color w:val="auto"/>
        </w:rPr>
        <w:t>☐</w:t>
      </w:r>
    </w:p>
    <w:p>
      <w:pPr>
        <w:ind w:left="640" w:right="679"/>
        <w:spacing w:after="0" w:line="270" w:lineRule="auto"/>
        <w:rPr>
          <w:sz w:val="20"/>
          <w:szCs w:val="20"/>
          <w:color w:val="auto"/>
        </w:rPr>
      </w:pPr>
      <w:r>
        <w:rPr>
          <w:rFonts w:ascii="Times New Roman" w:cs="Times New Roman" w:eastAsia="Times New Roman" w:hAnsi="Times New Roman"/>
          <w:sz w:val="9"/>
          <w:szCs w:val="9"/>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640" w:type="dxa"/>
        <w:tblCellMar>
          <w:top w:w="0" w:type="dxa"/>
          <w:left w:w="0" w:type="dxa"/>
          <w:bottom w:w="0" w:type="dxa"/>
          <w:right w:w="0" w:type="dxa"/>
        </w:tblCellMar>
      </w:tblPr>
      <w:tr>
        <w:trPr>
          <w:trHeight w:val="150"/>
        </w:trPr>
        <w:tc>
          <w:tcPr>
            <w:tcW w:w="1320" w:type="dxa"/>
            <w:vAlign w:val="bottom"/>
          </w:tcPr>
          <w:p>
            <w:pPr>
              <w:spacing w:after="0"/>
              <w:rPr>
                <w:sz w:val="20"/>
                <w:szCs w:val="20"/>
                <w:color w:val="auto"/>
              </w:rPr>
            </w:pPr>
            <w:r>
              <w:rPr>
                <w:rFonts w:ascii="Times New Roman" w:cs="Times New Roman" w:eastAsia="Times New Roman" w:hAnsi="Times New Roman"/>
                <w:sz w:val="10"/>
                <w:szCs w:val="10"/>
                <w:color w:val="auto"/>
              </w:rPr>
              <w:t>Large accelerated filer</w:t>
            </w:r>
          </w:p>
        </w:tc>
        <w:tc>
          <w:tcPr>
            <w:tcW w:w="2480" w:type="dxa"/>
            <w:vAlign w:val="bottom"/>
          </w:tcPr>
          <w:p>
            <w:pPr>
              <w:ind w:left="240"/>
              <w:spacing w:after="0" w:line="101" w:lineRule="exact"/>
              <w:rPr>
                <w:sz w:val="20"/>
                <w:szCs w:val="20"/>
                <w:color w:val="auto"/>
              </w:rPr>
            </w:pPr>
            <w:r>
              <w:rPr>
                <w:rFonts w:ascii="MS PGothic" w:cs="MS PGothic" w:eastAsia="MS PGothic" w:hAnsi="MS PGothic"/>
                <w:sz w:val="10"/>
                <w:szCs w:val="10"/>
                <w:color w:val="auto"/>
              </w:rPr>
              <w:t>☒</w:t>
            </w:r>
          </w:p>
        </w:tc>
        <w:tc>
          <w:tcPr>
            <w:tcW w:w="3500" w:type="dxa"/>
            <w:vAlign w:val="bottom"/>
          </w:tcPr>
          <w:p>
            <w:pPr>
              <w:ind w:left="2140"/>
              <w:spacing w:after="0"/>
              <w:rPr>
                <w:sz w:val="20"/>
                <w:szCs w:val="20"/>
                <w:color w:val="auto"/>
              </w:rPr>
            </w:pPr>
            <w:r>
              <w:rPr>
                <w:rFonts w:ascii="Times New Roman" w:cs="Times New Roman" w:eastAsia="Times New Roman" w:hAnsi="Times New Roman"/>
                <w:sz w:val="10"/>
                <w:szCs w:val="10"/>
                <w:color w:val="auto"/>
              </w:rPr>
              <w:t>Accelerated filer</w:t>
            </w:r>
          </w:p>
        </w:tc>
        <w:tc>
          <w:tcPr>
            <w:tcW w:w="360" w:type="dxa"/>
            <w:vAlign w:val="bottom"/>
          </w:tcPr>
          <w:p>
            <w:pPr>
              <w:ind w:left="2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50"/>
        </w:trPr>
        <w:tc>
          <w:tcPr>
            <w:tcW w:w="1320" w:type="dxa"/>
            <w:vAlign w:val="bottom"/>
          </w:tcPr>
          <w:p>
            <w:pPr>
              <w:spacing w:after="0"/>
              <w:rPr>
                <w:sz w:val="20"/>
                <w:szCs w:val="20"/>
                <w:color w:val="auto"/>
              </w:rPr>
            </w:pPr>
            <w:r>
              <w:rPr>
                <w:rFonts w:ascii="Times New Roman" w:cs="Times New Roman" w:eastAsia="Times New Roman" w:hAnsi="Times New Roman"/>
                <w:sz w:val="10"/>
                <w:szCs w:val="10"/>
                <w:color w:val="auto"/>
              </w:rPr>
              <w:t>Non-accelerated filer</w:t>
            </w:r>
          </w:p>
        </w:tc>
        <w:tc>
          <w:tcPr>
            <w:tcW w:w="2480" w:type="dxa"/>
            <w:vAlign w:val="bottom"/>
          </w:tcPr>
          <w:p>
            <w:pPr>
              <w:ind w:left="240"/>
              <w:spacing w:after="0" w:line="101" w:lineRule="exact"/>
              <w:rPr>
                <w:sz w:val="20"/>
                <w:szCs w:val="20"/>
                <w:color w:val="auto"/>
              </w:rPr>
            </w:pPr>
            <w:r>
              <w:rPr>
                <w:rFonts w:ascii="MS PGothic" w:cs="MS PGothic" w:eastAsia="MS PGothic" w:hAnsi="MS PGothic"/>
                <w:sz w:val="10"/>
                <w:szCs w:val="10"/>
                <w:color w:val="auto"/>
              </w:rPr>
              <w:t>☐</w:t>
            </w:r>
          </w:p>
        </w:tc>
        <w:tc>
          <w:tcPr>
            <w:tcW w:w="3500" w:type="dxa"/>
            <w:vAlign w:val="bottom"/>
          </w:tcPr>
          <w:p>
            <w:pPr>
              <w:ind w:left="2140"/>
              <w:spacing w:after="0"/>
              <w:rPr>
                <w:sz w:val="20"/>
                <w:szCs w:val="20"/>
                <w:color w:val="auto"/>
              </w:rPr>
            </w:pPr>
            <w:r>
              <w:rPr>
                <w:rFonts w:ascii="Times New Roman" w:cs="Times New Roman" w:eastAsia="Times New Roman" w:hAnsi="Times New Roman"/>
                <w:sz w:val="10"/>
                <w:szCs w:val="10"/>
                <w:color w:val="auto"/>
              </w:rPr>
              <w:t>Smaller reporting company</w:t>
            </w:r>
          </w:p>
        </w:tc>
        <w:tc>
          <w:tcPr>
            <w:tcW w:w="360" w:type="dxa"/>
            <w:vAlign w:val="bottom"/>
          </w:tcPr>
          <w:p>
            <w:pPr>
              <w:ind w:left="2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55"/>
        </w:trPr>
        <w:tc>
          <w:tcPr>
            <w:tcW w:w="1320" w:type="dxa"/>
            <w:vAlign w:val="bottom"/>
          </w:tcPr>
          <w:p>
            <w:pPr>
              <w:spacing w:after="0"/>
              <w:rPr>
                <w:sz w:val="20"/>
                <w:szCs w:val="20"/>
                <w:color w:val="auto"/>
              </w:rPr>
            </w:pPr>
            <w:r>
              <w:rPr>
                <w:rFonts w:ascii="Times New Roman" w:cs="Times New Roman" w:eastAsia="Times New Roman" w:hAnsi="Times New Roman"/>
                <w:sz w:val="10"/>
                <w:szCs w:val="10"/>
                <w:color w:val="auto"/>
              </w:rPr>
              <w:t>Emerging growth company</w:t>
            </w:r>
          </w:p>
        </w:tc>
        <w:tc>
          <w:tcPr>
            <w:tcW w:w="2480" w:type="dxa"/>
            <w:vAlign w:val="bottom"/>
          </w:tcPr>
          <w:p>
            <w:pPr>
              <w:ind w:left="240"/>
              <w:spacing w:after="0" w:line="101" w:lineRule="exact"/>
              <w:rPr>
                <w:sz w:val="20"/>
                <w:szCs w:val="20"/>
                <w:color w:val="auto"/>
              </w:rPr>
            </w:pPr>
            <w:r>
              <w:rPr>
                <w:rFonts w:ascii="MS PGothic" w:cs="MS PGothic" w:eastAsia="MS PGothic" w:hAnsi="MS PGothic"/>
                <w:sz w:val="10"/>
                <w:szCs w:val="10"/>
                <w:color w:val="auto"/>
              </w:rPr>
              <w:t>☐</w:t>
            </w:r>
          </w:p>
        </w:tc>
        <w:tc>
          <w:tcPr>
            <w:tcW w:w="3500" w:type="dxa"/>
            <w:vAlign w:val="bottom"/>
          </w:tcPr>
          <w:p>
            <w:pPr>
              <w:spacing w:after="0"/>
              <w:rPr>
                <w:sz w:val="13"/>
                <w:szCs w:val="13"/>
                <w:color w:val="auto"/>
              </w:rPr>
            </w:pPr>
          </w:p>
        </w:tc>
        <w:tc>
          <w:tcPr>
            <w:tcW w:w="360" w:type="dxa"/>
            <w:vAlign w:val="bottom"/>
          </w:tcPr>
          <w:p>
            <w:pPr>
              <w:spacing w:after="0"/>
              <w:rPr>
                <w:sz w:val="13"/>
                <w:szCs w:val="13"/>
                <w:color w:val="auto"/>
              </w:rPr>
            </w:pPr>
          </w:p>
        </w:tc>
      </w:tr>
    </w:tbl>
    <w:p>
      <w:pPr>
        <w:spacing w:after="0" w:line="7" w:lineRule="exact"/>
        <w:rPr>
          <w:sz w:val="24"/>
          <w:szCs w:val="24"/>
          <w:color w:val="auto"/>
        </w:rPr>
      </w:pPr>
    </w:p>
    <w:p>
      <w:pPr>
        <w:ind w:left="640" w:right="759"/>
        <w:spacing w:after="0" w:line="113" w:lineRule="exact"/>
        <w:rPr>
          <w:sz w:val="20"/>
          <w:szCs w:val="20"/>
          <w:color w:val="auto"/>
        </w:rPr>
      </w:pPr>
      <w:r>
        <w:rPr>
          <w:rFonts w:ascii="Times New Roman" w:cs="Times New Roman" w:eastAsia="Times New Roman" w:hAnsi="Times New Roman"/>
          <w:sz w:val="9"/>
          <w:szCs w:val="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9"/>
          <w:szCs w:val="9"/>
          <w:color w:val="auto"/>
        </w:rPr>
        <w:t>☐</w:t>
      </w:r>
    </w:p>
    <w:p>
      <w:pPr>
        <w:spacing w:after="0" w:line="1" w:lineRule="exact"/>
        <w:rPr>
          <w:sz w:val="24"/>
          <w:szCs w:val="24"/>
          <w:color w:val="auto"/>
        </w:rPr>
      </w:pPr>
    </w:p>
    <w:p>
      <w:pPr>
        <w:ind w:left="640" w:right="779"/>
        <w:spacing w:after="0" w:line="121" w:lineRule="exact"/>
        <w:rPr>
          <w:sz w:val="20"/>
          <w:szCs w:val="20"/>
          <w:color w:val="auto"/>
        </w:rPr>
      </w:pPr>
      <w:r>
        <w:rPr>
          <w:rFonts w:ascii="Times New Roman" w:cs="Times New Roman" w:eastAsia="Times New Roman" w:hAnsi="Times New Roman"/>
          <w:sz w:val="9"/>
          <w:szCs w:val="9"/>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0"/>
          <w:szCs w:val="10"/>
          <w:color w:val="auto"/>
        </w:rPr>
        <w:t>☒</w:t>
      </w:r>
    </w:p>
    <w:p>
      <w:pPr>
        <w:spacing w:after="0" w:line="7" w:lineRule="exact"/>
        <w:rPr>
          <w:sz w:val="24"/>
          <w:szCs w:val="24"/>
          <w:color w:val="auto"/>
        </w:rPr>
      </w:pPr>
    </w:p>
    <w:p>
      <w:pPr>
        <w:ind w:left="640" w:right="779"/>
        <w:spacing w:after="0" w:line="120" w:lineRule="exact"/>
        <w:rPr>
          <w:sz w:val="20"/>
          <w:szCs w:val="20"/>
          <w:color w:val="auto"/>
        </w:rPr>
      </w:pPr>
      <w:r>
        <w:rPr>
          <w:rFonts w:ascii="Times New Roman" w:cs="Times New Roman" w:eastAsia="Times New Roman" w:hAnsi="Times New Roman"/>
          <w:sz w:val="9"/>
          <w:szCs w:val="9"/>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9"/>
          <w:szCs w:val="9"/>
          <w:color w:val="auto"/>
        </w:rPr>
        <w:t>☐</w:t>
      </w:r>
    </w:p>
    <w:p>
      <w:pPr>
        <w:ind w:left="640" w:right="719"/>
        <w:spacing w:after="0" w:line="118" w:lineRule="exact"/>
        <w:rPr>
          <w:sz w:val="20"/>
          <w:szCs w:val="20"/>
          <w:color w:val="auto"/>
        </w:rPr>
      </w:pPr>
      <w:r>
        <w:rPr>
          <w:rFonts w:ascii="Times New Roman" w:cs="Times New Roman" w:eastAsia="Times New Roman" w:hAnsi="Times New Roman"/>
          <w:sz w:val="9"/>
          <w:szCs w:val="9"/>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9"/>
          <w:szCs w:val="9"/>
          <w:color w:val="auto"/>
        </w:rPr>
        <w:t>☐</w:t>
      </w:r>
    </w:p>
    <w:p>
      <w:pPr>
        <w:spacing w:after="0" w:line="1" w:lineRule="exact"/>
        <w:rPr>
          <w:sz w:val="24"/>
          <w:szCs w:val="24"/>
          <w:color w:val="auto"/>
        </w:rPr>
      </w:pPr>
    </w:p>
    <w:p>
      <w:pPr>
        <w:ind w:left="640"/>
        <w:spacing w:after="0" w:line="104" w:lineRule="exact"/>
        <w:tabs>
          <w:tab w:leader="none" w:pos="5320" w:val="left"/>
        </w:tabs>
        <w:rPr>
          <w:sz w:val="20"/>
          <w:szCs w:val="20"/>
          <w:color w:val="auto"/>
        </w:rPr>
      </w:pPr>
      <w:r>
        <w:rPr>
          <w:rFonts w:ascii="Times New Roman" w:cs="Times New Roman" w:eastAsia="Times New Roman" w:hAnsi="Times New Roman"/>
          <w:sz w:val="9"/>
          <w:szCs w:val="9"/>
          <w:color w:val="auto"/>
        </w:rPr>
        <w:t xml:space="preserve">Indicate by check mark whether the Registrant is a shell company (as defined in Rule 12b-2 of the Exchange Act). YES </w:t>
      </w:r>
      <w:r>
        <w:rPr>
          <w:rFonts w:ascii="MS PGothic" w:cs="MS PGothic" w:eastAsia="MS PGothic" w:hAnsi="MS PGothic"/>
          <w:sz w:val="9"/>
          <w:szCs w:val="9"/>
          <w:color w:val="auto"/>
        </w:rPr>
        <w:t>☐</w:t>
      </w:r>
      <w:r>
        <w:rPr>
          <w:sz w:val="20"/>
          <w:szCs w:val="20"/>
          <w:color w:val="auto"/>
        </w:rPr>
        <w:tab/>
      </w:r>
      <w:r>
        <w:rPr>
          <w:rFonts w:ascii="Times New Roman" w:cs="Times New Roman" w:eastAsia="Times New Roman" w:hAnsi="Times New Roman"/>
          <w:sz w:val="8"/>
          <w:szCs w:val="8"/>
          <w:color w:val="auto"/>
        </w:rPr>
        <w:t xml:space="preserve">NO </w:t>
      </w:r>
      <w:r>
        <w:rPr>
          <w:rFonts w:ascii="MS PGothic" w:cs="MS PGothic" w:eastAsia="MS PGothic" w:hAnsi="MS PGothic"/>
          <w:sz w:val="8"/>
          <w:szCs w:val="8"/>
          <w:color w:val="auto"/>
        </w:rPr>
        <w:t>☒</w:t>
      </w:r>
    </w:p>
    <w:p>
      <w:pPr>
        <w:spacing w:after="0" w:line="23" w:lineRule="exact"/>
        <w:rPr>
          <w:sz w:val="24"/>
          <w:szCs w:val="24"/>
          <w:color w:val="auto"/>
        </w:rPr>
      </w:pPr>
    </w:p>
    <w:p>
      <w:pPr>
        <w:ind w:left="640" w:right="739"/>
        <w:spacing w:after="0" w:line="257" w:lineRule="auto"/>
        <w:rPr>
          <w:sz w:val="20"/>
          <w:szCs w:val="20"/>
          <w:color w:val="auto"/>
        </w:rPr>
      </w:pPr>
      <w:r>
        <w:rPr>
          <w:rFonts w:ascii="Times New Roman" w:cs="Times New Roman" w:eastAsia="Times New Roman" w:hAnsi="Times New Roman"/>
          <w:sz w:val="9"/>
          <w:szCs w:val="9"/>
          <w:color w:val="auto"/>
        </w:rPr>
        <w:t>The aggregate market value of the common equity held by non-affiliates of the Registrant (assuming for these purposes, but without conceding, that all executive officers, directors and holders of more than 10% of Registrant's common stock are affiliates for the purpose of this calculation) as of June 30, 2025, the last business day of the registrant’s most recently completed second fiscal quarter, was approximately $2,349 million (based on the closing sale price of the Registrant’s common stock on that date as reported on the Nasdaq Stock Market).</w:t>
      </w:r>
    </w:p>
    <w:p>
      <w:pPr>
        <w:spacing w:after="0" w:line="12"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9"/>
          <w:szCs w:val="9"/>
          <w:color w:val="auto"/>
        </w:rPr>
        <w:t>The number of shares of Registrant’s Common Stock outstanding as of February 24, 2026 was 193,536,850.</w:t>
      </w:r>
    </w:p>
    <w:p>
      <w:pPr>
        <w:spacing w:after="0" w:line="2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9"/>
          <w:szCs w:val="9"/>
          <w:color w:val="auto"/>
        </w:rPr>
        <w:t>DOCUMENTS INCORPORATED BY REFERENCE</w:t>
      </w:r>
    </w:p>
    <w:p>
      <w:pPr>
        <w:spacing w:after="0" w:line="36" w:lineRule="exact"/>
        <w:rPr>
          <w:sz w:val="24"/>
          <w:szCs w:val="24"/>
          <w:color w:val="auto"/>
        </w:rPr>
      </w:pPr>
    </w:p>
    <w:p>
      <w:pPr>
        <w:ind w:left="640" w:right="919"/>
        <w:spacing w:after="0" w:line="289" w:lineRule="auto"/>
        <w:rPr>
          <w:sz w:val="20"/>
          <w:szCs w:val="20"/>
          <w:color w:val="auto"/>
        </w:rPr>
      </w:pPr>
      <w:r>
        <w:rPr>
          <w:rFonts w:ascii="Times New Roman" w:cs="Times New Roman" w:eastAsia="Times New Roman" w:hAnsi="Times New Roman"/>
          <w:sz w:val="9"/>
          <w:szCs w:val="9"/>
          <w:color w:val="auto"/>
        </w:rPr>
        <w:t>Portions of the Registrant’s Definitive Proxy Statement to be filed within 120 days of December 31, 2025 with the Securities and Exchange Commission in connection with its 2026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wp:posOffset>
            </wp:positionH>
            <wp:positionV relativeFrom="paragraph">
              <wp:posOffset>610870</wp:posOffset>
            </wp:positionV>
            <wp:extent cx="56038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9525</wp:posOffset>
            </wp:positionV>
            <wp:extent cx="4909820"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09820" cy="13335"/>
                    </a:xfrm>
                    <a:prstGeom prst="rect">
                      <a:avLst/>
                    </a:prstGeom>
                    <a:noFill/>
                  </pic:spPr>
                </pic:pic>
              </a:graphicData>
            </a:graphic>
          </wp:anchor>
        </w:drawing>
      </w:r>
    </w:p>
    <w:p>
      <w:pPr>
        <w:sectPr>
          <w:pgSz w:w="11900" w:h="16838" w:orient="portrait"/>
          <w:cols w:equalWidth="0" w:num="1">
            <w:col w:w="9019"/>
          </w:cols>
          <w:pgMar w:left="1440" w:top="209" w:right="1440" w:bottom="1440" w:gutter="0" w:footer="0" w:header="0"/>
          <w:type w:val="continuous"/>
        </w:sectPr>
      </w:pPr>
    </w:p>
    <w:bookmarkStart w:id="1" w:name="page2"/>
    <w:bookmarkEnd w:id="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640" w:type="dxa"/>
        <w:tblCellMar>
          <w:top w:w="0" w:type="dxa"/>
          <w:left w:w="0" w:type="dxa"/>
          <w:bottom w:w="0" w:type="dxa"/>
          <w:right w:w="0" w:type="dxa"/>
        </w:tblCellMar>
      </w:tblPr>
      <w:tr>
        <w:trPr>
          <w:trHeight w:val="188"/>
        </w:trPr>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60" w:type="dxa"/>
            <w:vAlign w:val="bottom"/>
            <w:gridSpan w:val="11"/>
          </w:tcPr>
          <w:p>
            <w:pPr>
              <w:ind w:left="1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48"/>
        </w:trPr>
        <w:tc>
          <w:tcPr>
            <w:tcW w:w="8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Item 1.</w:t>
            </w:r>
          </w:p>
        </w:tc>
        <w:tc>
          <w:tcPr>
            <w:tcW w:w="6320" w:type="dxa"/>
            <w:vAlign w:val="bottom"/>
            <w:gridSpan w:val="22"/>
          </w:tcPr>
          <w:p>
            <w:pPr>
              <w:spacing w:after="0" w:line="155" w:lineRule="exact"/>
              <w:rPr>
                <w:sz w:val="20"/>
                <w:szCs w:val="20"/>
                <w:color w:val="auto"/>
              </w:rPr>
            </w:pPr>
            <w:r>
              <w:rPr>
                <w:rFonts w:ascii="Times New Roman" w:cs="Times New Roman" w:eastAsia="Times New Roman" w:hAnsi="Times New Roman"/>
                <w:sz w:val="14"/>
                <w:szCs w:val="14"/>
                <w:color w:val="0000FF"/>
              </w:rPr>
              <w:t>Business</w:t>
            </w:r>
          </w:p>
        </w:tc>
        <w:tc>
          <w:tcPr>
            <w:tcW w:w="540" w:type="dxa"/>
            <w:vAlign w:val="bottom"/>
          </w:tcPr>
          <w:p>
            <w:pPr>
              <w:jc w:val="right"/>
              <w:ind w:right="29"/>
              <w:spacing w:after="0" w:line="155"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Item 1A.</w:t>
            </w:r>
          </w:p>
        </w:tc>
        <w:tc>
          <w:tcPr>
            <w:tcW w:w="632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Risk Factors</w:t>
            </w:r>
          </w:p>
        </w:tc>
        <w:tc>
          <w:tcPr>
            <w:tcW w:w="540" w:type="dxa"/>
            <w:vAlign w:val="bottom"/>
          </w:tcPr>
          <w:p>
            <w:pPr>
              <w:jc w:val="right"/>
              <w:ind w:right="29"/>
              <w:spacing w:after="0" w:line="152"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Item 1B.</w:t>
            </w:r>
          </w:p>
        </w:tc>
        <w:tc>
          <w:tcPr>
            <w:tcW w:w="632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Unresolved Staff Comments</w:t>
            </w:r>
          </w:p>
        </w:tc>
        <w:tc>
          <w:tcPr>
            <w:tcW w:w="540" w:type="dxa"/>
            <w:vAlign w:val="bottom"/>
          </w:tcPr>
          <w:p>
            <w:pPr>
              <w:jc w:val="right"/>
              <w:ind w:right="29"/>
              <w:spacing w:after="0" w:line="152" w:lineRule="exact"/>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Item 1C.</w:t>
            </w:r>
          </w:p>
        </w:tc>
        <w:tc>
          <w:tcPr>
            <w:tcW w:w="632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Cybersecurity</w:t>
            </w:r>
          </w:p>
        </w:tc>
        <w:tc>
          <w:tcPr>
            <w:tcW w:w="540" w:type="dxa"/>
            <w:vAlign w:val="bottom"/>
          </w:tcPr>
          <w:p>
            <w:pPr>
              <w:jc w:val="right"/>
              <w:ind w:right="29"/>
              <w:spacing w:after="0" w:line="152" w:lineRule="exact"/>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Item 2.</w:t>
            </w:r>
          </w:p>
        </w:tc>
        <w:tc>
          <w:tcPr>
            <w:tcW w:w="632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Properties</w:t>
            </w:r>
          </w:p>
        </w:tc>
        <w:tc>
          <w:tcPr>
            <w:tcW w:w="540" w:type="dxa"/>
            <w:vAlign w:val="bottom"/>
          </w:tcPr>
          <w:p>
            <w:pPr>
              <w:jc w:val="right"/>
              <w:ind w:right="29"/>
              <w:spacing w:after="0" w:line="152"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Item 3.</w:t>
            </w:r>
          </w:p>
        </w:tc>
        <w:tc>
          <w:tcPr>
            <w:tcW w:w="632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Legal Proceedings</w:t>
            </w:r>
          </w:p>
        </w:tc>
        <w:tc>
          <w:tcPr>
            <w:tcW w:w="540" w:type="dxa"/>
            <w:vAlign w:val="bottom"/>
          </w:tcPr>
          <w:p>
            <w:pPr>
              <w:jc w:val="right"/>
              <w:ind w:right="29"/>
              <w:spacing w:after="0" w:line="152"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Item 4.</w:t>
            </w:r>
          </w:p>
        </w:tc>
        <w:tc>
          <w:tcPr>
            <w:tcW w:w="632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Mine Safety Disclosures</w:t>
            </w:r>
          </w:p>
        </w:tc>
        <w:tc>
          <w:tcPr>
            <w:tcW w:w="540" w:type="dxa"/>
            <w:vAlign w:val="bottom"/>
          </w:tcPr>
          <w:p>
            <w:pPr>
              <w:jc w:val="right"/>
              <w:ind w:right="29"/>
              <w:spacing w:after="0" w:line="152"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341"/>
        </w:trPr>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5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Item 5.</w:t>
            </w:r>
          </w:p>
        </w:tc>
        <w:tc>
          <w:tcPr>
            <w:tcW w:w="6320" w:type="dxa"/>
            <w:vAlign w:val="bottom"/>
            <w:gridSpan w:val="22"/>
          </w:tcPr>
          <w:p>
            <w:pPr>
              <w:spacing w:after="0" w:line="155" w:lineRule="exact"/>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80" w:type="dxa"/>
            <w:vAlign w:val="bottom"/>
          </w:tcPr>
          <w:p>
            <w:pPr>
              <w:spacing w:after="0"/>
              <w:rPr>
                <w:sz w:val="13"/>
                <w:szCs w:val="13"/>
                <w:color w:val="auto"/>
              </w:rPr>
            </w:pPr>
          </w:p>
        </w:tc>
        <w:tc>
          <w:tcPr>
            <w:tcW w:w="632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Securities</w:t>
            </w:r>
          </w:p>
        </w:tc>
        <w:tc>
          <w:tcPr>
            <w:tcW w:w="540" w:type="dxa"/>
            <w:vAlign w:val="bottom"/>
          </w:tcPr>
          <w:p>
            <w:pPr>
              <w:jc w:val="right"/>
              <w:ind w:right="29"/>
              <w:spacing w:after="0" w:line="152" w:lineRule="exact"/>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Item 6.</w:t>
            </w:r>
          </w:p>
        </w:tc>
        <w:tc>
          <w:tcPr>
            <w:tcW w:w="632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[Reserved]</w:t>
            </w:r>
          </w:p>
        </w:tc>
        <w:tc>
          <w:tcPr>
            <w:tcW w:w="540" w:type="dxa"/>
            <w:vAlign w:val="bottom"/>
          </w:tcPr>
          <w:p>
            <w:pPr>
              <w:jc w:val="right"/>
              <w:ind w:right="29"/>
              <w:spacing w:after="0" w:line="152" w:lineRule="exact"/>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EE"/>
            </w:tcBorders>
            <w:gridSpan w:val="3"/>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Item 7.</w:t>
            </w:r>
          </w:p>
        </w:tc>
        <w:tc>
          <w:tcPr>
            <w:tcW w:w="632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540" w:type="dxa"/>
            <w:vAlign w:val="bottom"/>
          </w:tcPr>
          <w:p>
            <w:pPr>
              <w:jc w:val="right"/>
              <w:ind w:right="29"/>
              <w:spacing w:after="0" w:line="152" w:lineRule="exact"/>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Item 7A.</w:t>
            </w:r>
          </w:p>
        </w:tc>
        <w:tc>
          <w:tcPr>
            <w:tcW w:w="632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540" w:type="dxa"/>
            <w:vAlign w:val="bottom"/>
          </w:tcPr>
          <w:p>
            <w:pPr>
              <w:jc w:val="right"/>
              <w:ind w:right="29"/>
              <w:spacing w:after="0" w:line="152" w:lineRule="exact"/>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Item 8.</w:t>
            </w:r>
          </w:p>
        </w:tc>
        <w:tc>
          <w:tcPr>
            <w:tcW w:w="632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540" w:type="dxa"/>
            <w:vAlign w:val="bottom"/>
          </w:tcPr>
          <w:p>
            <w:pPr>
              <w:jc w:val="right"/>
              <w:ind w:right="29"/>
              <w:spacing w:after="0" w:line="152" w:lineRule="exact"/>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Item 9.</w:t>
            </w:r>
          </w:p>
        </w:tc>
        <w:tc>
          <w:tcPr>
            <w:tcW w:w="632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540" w:type="dxa"/>
            <w:vAlign w:val="bottom"/>
          </w:tcPr>
          <w:p>
            <w:pPr>
              <w:jc w:val="right"/>
              <w:ind w:right="29"/>
              <w:spacing w:after="0" w:line="152" w:lineRule="exact"/>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Item 9A.</w:t>
            </w:r>
          </w:p>
        </w:tc>
        <w:tc>
          <w:tcPr>
            <w:tcW w:w="632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Controls and Procedures</w:t>
            </w:r>
          </w:p>
        </w:tc>
        <w:tc>
          <w:tcPr>
            <w:tcW w:w="540" w:type="dxa"/>
            <w:vAlign w:val="bottom"/>
          </w:tcPr>
          <w:p>
            <w:pPr>
              <w:jc w:val="right"/>
              <w:ind w:right="29"/>
              <w:spacing w:after="0" w:line="152" w:lineRule="exact"/>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Item 9B.</w:t>
            </w:r>
          </w:p>
        </w:tc>
        <w:tc>
          <w:tcPr>
            <w:tcW w:w="632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Other Information</w:t>
            </w:r>
          </w:p>
        </w:tc>
        <w:tc>
          <w:tcPr>
            <w:tcW w:w="540" w:type="dxa"/>
            <w:vAlign w:val="bottom"/>
          </w:tcPr>
          <w:p>
            <w:pPr>
              <w:jc w:val="right"/>
              <w:ind w:right="29"/>
              <w:spacing w:after="0" w:line="152" w:lineRule="exact"/>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EE"/>
            </w:tcBorders>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Item 9C.</w:t>
            </w:r>
          </w:p>
        </w:tc>
        <w:tc>
          <w:tcPr>
            <w:tcW w:w="632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540" w:type="dxa"/>
            <w:vAlign w:val="bottom"/>
          </w:tcPr>
          <w:p>
            <w:pPr>
              <w:jc w:val="right"/>
              <w:ind w:right="29"/>
              <w:spacing w:after="0" w:line="152" w:lineRule="exact"/>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341"/>
        </w:trPr>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5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Item 10.</w:t>
            </w:r>
          </w:p>
        </w:tc>
        <w:tc>
          <w:tcPr>
            <w:tcW w:w="6320" w:type="dxa"/>
            <w:vAlign w:val="bottom"/>
            <w:gridSpan w:val="22"/>
          </w:tcPr>
          <w:p>
            <w:pPr>
              <w:spacing w:after="0" w:line="155" w:lineRule="exact"/>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540" w:type="dxa"/>
            <w:vAlign w:val="bottom"/>
          </w:tcPr>
          <w:p>
            <w:pPr>
              <w:jc w:val="right"/>
              <w:ind w:right="29"/>
              <w:spacing w:after="0" w:line="155" w:lineRule="exact"/>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FF"/>
            </w:tcBorders>
            <w:gridSpan w:val="7"/>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Item 11.</w:t>
            </w:r>
          </w:p>
        </w:tc>
        <w:tc>
          <w:tcPr>
            <w:tcW w:w="632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Executive Compensation</w:t>
            </w:r>
          </w:p>
        </w:tc>
        <w:tc>
          <w:tcPr>
            <w:tcW w:w="540" w:type="dxa"/>
            <w:vAlign w:val="bottom"/>
          </w:tcPr>
          <w:p>
            <w:pPr>
              <w:jc w:val="right"/>
              <w:ind w:right="29"/>
              <w:spacing w:after="0" w:line="152" w:lineRule="exact"/>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FF"/>
            </w:tcBorders>
            <w:gridSpan w:val="7"/>
            <w:shd w:val="clear" w:color="auto" w:fill="0000FF"/>
          </w:tcPr>
          <w:p>
            <w:pPr>
              <w:spacing w:after="0" w:line="20" w:lineRule="exact"/>
              <w:rPr>
                <w:sz w:val="1"/>
                <w:szCs w:val="1"/>
                <w:color w:val="auto"/>
              </w:rPr>
            </w:pPr>
          </w:p>
        </w:tc>
        <w:tc>
          <w:tcPr>
            <w:tcW w:w="220" w:type="dxa"/>
            <w:vAlign w:val="bottom"/>
            <w:tcBorders>
              <w:right w:val="single" w:sz="8" w:color="0000EE"/>
            </w:tcBorders>
            <w:gridSpan w:val="2"/>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Item 12.</w:t>
            </w:r>
          </w:p>
        </w:tc>
        <w:tc>
          <w:tcPr>
            <w:tcW w:w="632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540" w:type="dxa"/>
            <w:vAlign w:val="bottom"/>
          </w:tcPr>
          <w:p>
            <w:pPr>
              <w:jc w:val="right"/>
              <w:ind w:right="29"/>
              <w:spacing w:after="0" w:line="152" w:lineRule="exact"/>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FF"/>
            </w:tcBorders>
            <w:gridSpan w:val="7"/>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Item 13.</w:t>
            </w:r>
          </w:p>
        </w:tc>
        <w:tc>
          <w:tcPr>
            <w:tcW w:w="632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540" w:type="dxa"/>
            <w:vAlign w:val="bottom"/>
          </w:tcPr>
          <w:p>
            <w:pPr>
              <w:jc w:val="right"/>
              <w:ind w:right="29"/>
              <w:spacing w:after="0" w:line="152" w:lineRule="exact"/>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FF"/>
            </w:tcBorders>
            <w:gridSpan w:val="7"/>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Item 14.</w:t>
            </w:r>
          </w:p>
        </w:tc>
        <w:tc>
          <w:tcPr>
            <w:tcW w:w="632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Principal Accountant Fees and Services</w:t>
            </w:r>
          </w:p>
        </w:tc>
        <w:tc>
          <w:tcPr>
            <w:tcW w:w="540" w:type="dxa"/>
            <w:vAlign w:val="bottom"/>
          </w:tcPr>
          <w:p>
            <w:pPr>
              <w:jc w:val="right"/>
              <w:ind w:right="29"/>
              <w:spacing w:after="0" w:line="152" w:lineRule="exact"/>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341"/>
        </w:trPr>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5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Item 15.</w:t>
            </w:r>
          </w:p>
        </w:tc>
        <w:tc>
          <w:tcPr>
            <w:tcW w:w="6320" w:type="dxa"/>
            <w:vAlign w:val="bottom"/>
            <w:gridSpan w:val="22"/>
          </w:tcPr>
          <w:p>
            <w:pPr>
              <w:spacing w:after="0" w:line="155" w:lineRule="exact"/>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540" w:type="dxa"/>
            <w:vAlign w:val="bottom"/>
          </w:tcPr>
          <w:p>
            <w:pPr>
              <w:jc w:val="right"/>
              <w:ind w:right="29"/>
              <w:spacing w:after="0" w:line="155" w:lineRule="exact"/>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FF"/>
            </w:tcBorders>
            <w:gridSpan w:val="7"/>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3840" w:type="dxa"/>
            <w:vAlign w:val="bottom"/>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Item 16.</w:t>
            </w:r>
          </w:p>
        </w:tc>
        <w:tc>
          <w:tcPr>
            <w:tcW w:w="6320" w:type="dxa"/>
            <w:vAlign w:val="bottom"/>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Form 10-K Summary</w:t>
            </w:r>
          </w:p>
        </w:tc>
        <w:tc>
          <w:tcPr>
            <w:tcW w:w="540" w:type="dxa"/>
            <w:vAlign w:val="bottom"/>
          </w:tcPr>
          <w:p>
            <w:pPr>
              <w:jc w:val="right"/>
              <w:ind w:right="29"/>
              <w:spacing w:after="0" w:line="152" w:lineRule="exact"/>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 w:name="page3"/>
    <w:bookmarkEnd w:id="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GLOSSARY</w:t>
      </w:r>
    </w:p>
    <w:p>
      <w:pPr>
        <w:spacing w:after="0" w:line="176" w:lineRule="exact"/>
        <w:rPr>
          <w:sz w:val="20"/>
          <w:szCs w:val="20"/>
          <w:color w:val="auto"/>
        </w:rPr>
      </w:pPr>
    </w:p>
    <w:p>
      <w:pPr>
        <w:ind w:left="640" w:right="659" w:firstLine="516"/>
        <w:spacing w:after="0" w:line="263" w:lineRule="auto"/>
        <w:rPr>
          <w:sz w:val="20"/>
          <w:szCs w:val="20"/>
          <w:color w:val="auto"/>
        </w:rPr>
      </w:pPr>
      <w:r>
        <w:rPr>
          <w:rFonts w:ascii="Times New Roman" w:cs="Times New Roman" w:eastAsia="Times New Roman" w:hAnsi="Times New Roman"/>
          <w:sz w:val="14"/>
          <w:szCs w:val="14"/>
          <w:color w:val="auto"/>
        </w:rPr>
        <w:t>As used in this Annual Report on Form 10-K (this “Form 10-K”), the terms identified below have the meanings specified below unless otherwise noted or the context indicates otherwise. BrightSpring Health Services, Inc. conducts its operations through its subsidiaries, including its indirect subsidiaries, BrightSpring Health Holdings Corp. and its wholly-owned subsidiary, ResCare, Inc., and PharMerica Corporation, or PharMerica. As used in this Annual Report on Form 10-K, unless otherwise stated or the context requires otherwise, the terms “BrightSpring,” the “Company,” “we,” “us,” and “our” refer to BrightSpring Health Services, Inc. and its consolidated subsidiaries.</w:t>
      </w:r>
    </w:p>
    <w:p>
      <w:pPr>
        <w:spacing w:after="0" w:line="230" w:lineRule="exact"/>
        <w:rPr>
          <w:sz w:val="20"/>
          <w:szCs w:val="20"/>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“ABA” means applied behavioral analysis, a type of therapy that focuses on improving specific behaviors;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“ABI/TBI” means acquired/traumatic brain injury;</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“ACO” means accountable care organization;</w:t>
      </w:r>
    </w:p>
    <w:p>
      <w:pPr>
        <w:spacing w:after="0" w:line="96" w:lineRule="exact"/>
        <w:rPr>
          <w:rFonts w:ascii="Times New Roman" w:cs="Times New Roman" w:eastAsia="Times New Roman" w:hAnsi="Times New Roman"/>
          <w:sz w:val="14"/>
          <w:szCs w:val="14"/>
          <w:color w:val="auto"/>
        </w:rPr>
      </w:pPr>
    </w:p>
    <w:p>
      <w:pPr>
        <w:ind w:left="1340" w:right="739" w:hanging="352"/>
        <w:spacing w:after="0" w:line="292"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“Behavioral” patients and populations mean individuals with intellectual and developmental disabilities including mental illness;</w:t>
      </w:r>
    </w:p>
    <w:p>
      <w:pPr>
        <w:spacing w:after="0" w:line="37" w:lineRule="exact"/>
        <w:rPr>
          <w:rFonts w:ascii="Times New Roman" w:cs="Times New Roman" w:eastAsia="Times New Roman" w:hAnsi="Times New Roman"/>
          <w:sz w:val="14"/>
          <w:szCs w:val="14"/>
          <w:color w:val="auto"/>
        </w:rPr>
      </w:pPr>
    </w:p>
    <w:p>
      <w:pPr>
        <w:ind w:left="1340" w:right="1199" w:hanging="352"/>
        <w:spacing w:after="0" w:line="292"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“BrightSpring,” “BrightSpring Health Services,” “Company,” “we,” “us,” and “our” refer to BrightSpring Health Services, Inc. and its consolidated subsidiaries;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 novo” means new branch, agency, facility, clinic, and pharmacy locations;</w:t>
      </w:r>
    </w:p>
    <w:p>
      <w:pPr>
        <w:spacing w:after="0" w:line="96" w:lineRule="exact"/>
        <w:rPr>
          <w:rFonts w:ascii="Times New Roman" w:cs="Times New Roman" w:eastAsia="Times New Roman" w:hAnsi="Times New Roman"/>
          <w:sz w:val="14"/>
          <w:szCs w:val="14"/>
          <w:color w:val="auto"/>
        </w:rPr>
      </w:pPr>
    </w:p>
    <w:p>
      <w:pPr>
        <w:ind w:left="1340" w:right="899" w:hanging="352"/>
        <w:spacing w:after="0" w:line="292"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Lien Facilities” mean, collectively, the First Lien Term Loan Facility, the Revolving Credit Facility, and the LC Facility;</w:t>
      </w:r>
    </w:p>
    <w:p>
      <w:pPr>
        <w:spacing w:after="0" w:line="37" w:lineRule="exact"/>
        <w:rPr>
          <w:rFonts w:ascii="Times New Roman" w:cs="Times New Roman" w:eastAsia="Times New Roman" w:hAnsi="Times New Roman"/>
          <w:sz w:val="14"/>
          <w:szCs w:val="14"/>
          <w:color w:val="auto"/>
        </w:rPr>
      </w:pPr>
    </w:p>
    <w:p>
      <w:pPr>
        <w:ind w:left="1340" w:right="679" w:hanging="352"/>
        <w:spacing w:after="0" w:line="268"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Lien Term Loan Facility” means, collectively, the Initial Term Loans, the Tranche B-2 Term Loans, the Tranche B-3 Term Loans, the Tranche B-4 Term Loans, and the Tranche B-5 Term Loans, which are collectively described under “Management’s Discussion and Analysis of Financial Condition and Results of Operations—Liquidity and Capital Resources—Debt”;</w:t>
      </w:r>
    </w:p>
    <w:p>
      <w:pPr>
        <w:spacing w:after="0" w:line="54" w:lineRule="exact"/>
        <w:rPr>
          <w:rFonts w:ascii="Times New Roman" w:cs="Times New Roman" w:eastAsia="Times New Roman" w:hAnsi="Times New Roman"/>
          <w:sz w:val="14"/>
          <w:szCs w:val="14"/>
          <w:color w:val="auto"/>
        </w:rPr>
      </w:pPr>
    </w:p>
    <w:p>
      <w:pPr>
        <w:ind w:left="1340" w:right="699" w:hanging="352"/>
        <w:spacing w:after="0" w:line="262"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“HCI” means Hospice Care Index, which captures care processes occurring throughout the hospice stay. The HCI is a single measure comprising ten indicators calculated from Medicare claims data. Each indicator equally affects the single HCI score, reflecting the equal importance of each aspect of care delivered from admission to discharge. The HCI score does not have a traditional numerator or denominator. Instead, a hospice, assuming 20 or more discharges in the two pooled years of data, is awarded a point for meeting each criterion for each of the ten claims-based indicators. The sum of the points earned from meeting the criterion of each individual indicator results in the hospice’s HCI score. HCI scores can range from 0 to a perfect 10;</w:t>
      </w:r>
    </w:p>
    <w:p>
      <w:pPr>
        <w:spacing w:after="0" w:line="58"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“I/DD” means an intellectual/developmental or cognitive disability;</w:t>
      </w:r>
    </w:p>
    <w:p>
      <w:pPr>
        <w:spacing w:after="0" w:line="96" w:lineRule="exact"/>
        <w:rPr>
          <w:rFonts w:ascii="Times New Roman" w:cs="Times New Roman" w:eastAsia="Times New Roman" w:hAnsi="Times New Roman"/>
          <w:sz w:val="14"/>
          <w:szCs w:val="14"/>
          <w:color w:val="auto"/>
        </w:rPr>
      </w:pPr>
    </w:p>
    <w:p>
      <w:pPr>
        <w:ind w:left="1340" w:right="839" w:hanging="352"/>
        <w:spacing w:after="0" w:line="274"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when (i) describing independent provider of home and community-based health services means non-hospital providers that are not associated with a payor and (ii) describing independent platform of pharmacy services or independent specialty pharmacy means non-retail pharmacies that are not associated with a payor;</w:t>
      </w:r>
    </w:p>
    <w:p>
      <w:pPr>
        <w:spacing w:after="0" w:line="50" w:lineRule="exact"/>
        <w:rPr>
          <w:rFonts w:ascii="Times New Roman" w:cs="Times New Roman" w:eastAsia="Times New Roman" w:hAnsi="Times New Roman"/>
          <w:sz w:val="14"/>
          <w:szCs w:val="14"/>
          <w:color w:val="auto"/>
        </w:rPr>
      </w:pPr>
    </w:p>
    <w:p>
      <w:pPr>
        <w:ind w:left="1340" w:right="899" w:hanging="352"/>
        <w:spacing w:after="0" w:line="292"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“KKR Stockholder” means KKR Phoenix Aggregator L.P., an investment entity owned by investment funds and other entities affiliated with Kohlberg Kravis Roberts &amp; Co. L.P.;</w:t>
      </w:r>
    </w:p>
    <w:p>
      <w:pPr>
        <w:spacing w:after="0" w:line="37" w:lineRule="exact"/>
        <w:rPr>
          <w:rFonts w:ascii="Times New Roman" w:cs="Times New Roman" w:eastAsia="Times New Roman" w:hAnsi="Times New Roman"/>
          <w:sz w:val="14"/>
          <w:szCs w:val="14"/>
          <w:color w:val="auto"/>
        </w:rPr>
      </w:pPr>
    </w:p>
    <w:p>
      <w:pPr>
        <w:ind w:left="1340" w:right="719" w:hanging="352"/>
        <w:spacing w:after="0" w:line="292"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“LC Facility” means our letter of credit facility, as described under “Management’s Discussion and Analysis of Financial Condition and Results of Operations—Liquidity and Capital Resources—Debt”;</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“MCO” means managed care organization;</w:t>
      </w:r>
    </w:p>
    <w:p>
      <w:pPr>
        <w:spacing w:after="0" w:line="96" w:lineRule="exact"/>
        <w:rPr>
          <w:rFonts w:ascii="Times New Roman" w:cs="Times New Roman" w:eastAsia="Times New Roman" w:hAnsi="Times New Roman"/>
          <w:sz w:val="14"/>
          <w:szCs w:val="14"/>
          <w:color w:val="auto"/>
        </w:rPr>
      </w:pPr>
    </w:p>
    <w:p>
      <w:pPr>
        <w:ind w:left="1340" w:right="719" w:hanging="352"/>
        <w:spacing w:after="0" w:line="268"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“MPR” means Medication Possession Ratio, which is the most commonly used measure of adherence. MPR is calculated as the ratio of the number of days a patient is stocked for their medication to the number of days a patient should be stocked for their medication. We often use MPR to measure pharmacy performance. A performance measure over 80% is considered compliant under our contracts with a payor;</w:t>
      </w:r>
    </w:p>
    <w:p>
      <w:pPr>
        <w:spacing w:after="0" w:line="54" w:lineRule="exact"/>
        <w:rPr>
          <w:rFonts w:ascii="Times New Roman" w:cs="Times New Roman" w:eastAsia="Times New Roman" w:hAnsi="Times New Roman"/>
          <w:sz w:val="14"/>
          <w:szCs w:val="14"/>
          <w:color w:val="auto"/>
        </w:rPr>
      </w:pPr>
    </w:p>
    <w:p>
      <w:pPr>
        <w:ind w:left="1340" w:right="1159" w:hanging="352"/>
        <w:spacing w:after="0" w:line="292"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“neuro” patients and populations mean individuals who have acquired a traumatic brain injury, spinal cord injury, pediatric autism, or other neurological condition;</w:t>
      </w:r>
    </w:p>
    <w:p>
      <w:pPr>
        <w:spacing w:after="0" w:line="37" w:lineRule="exact"/>
        <w:rPr>
          <w:rFonts w:ascii="Times New Roman" w:cs="Times New Roman" w:eastAsia="Times New Roman" w:hAnsi="Times New Roman"/>
          <w:sz w:val="14"/>
          <w:szCs w:val="14"/>
          <w:color w:val="auto"/>
        </w:rPr>
      </w:pPr>
    </w:p>
    <w:p>
      <w:pPr>
        <w:ind w:left="1340" w:right="639" w:hanging="352"/>
        <w:spacing w:after="0" w:line="268"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“NPS” represents Net Promoter Score, which is a metric used to gauge patient satisfaction based on how likely a patient or physician would be to recommend a company to a friend or colleague. The question is measured on a scale of 0 (not at all likely) to 10 (extremely likely). A designation of “Promoter” is assigned to respondents who provide a score of 9 or 10, a designation of “Passive” is assigned to respondents who provide a score of 7 or 8, and a designation of “Detractor” is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 w:name="page4"/>
    <w:bookmarkEnd w:id="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340" w:right="699"/>
        <w:spacing w:after="0" w:line="261" w:lineRule="auto"/>
        <w:rPr>
          <w:sz w:val="20"/>
          <w:szCs w:val="20"/>
          <w:color w:val="auto"/>
        </w:rPr>
      </w:pPr>
      <w:r>
        <w:rPr>
          <w:rFonts w:ascii="Times New Roman" w:cs="Times New Roman" w:eastAsia="Times New Roman" w:hAnsi="Times New Roman"/>
          <w:sz w:val="14"/>
          <w:szCs w:val="14"/>
          <w:color w:val="auto"/>
        </w:rPr>
        <w:t>assigned to respondents who provide a score of 0 to 6. NPS is calculated by subtracting the percentage of Detractors from Promoters. NPS ranges from -100 to +100, and scores that are closer to +100 indicate that there are more Promoters overall, and a score of +100 indicates that there are no Detractors or Passives. We utilize a third party consulting service, MMIT, to conduct our own NPS surveys of patients served by us and referring physicians in our network. MMIT, as well as other industry standards such as Qualtrics, have indicated that a score above 50 is “excellent” and a score above 80 is “world class.” Throughout this Annual Report, we reference multiple NPS, as the underlying surveys are conducted by us or by third parties, including payers, across different constituents, both patients and referring physicians, as well as across various time periods, generally conducted quarterly;</w:t>
      </w:r>
    </w:p>
    <w:p>
      <w:pPr>
        <w:spacing w:after="0" w:line="60" w:lineRule="exact"/>
        <w:rPr>
          <w:sz w:val="20"/>
          <w:szCs w:val="20"/>
          <w:color w:val="auto"/>
        </w:rPr>
      </w:pPr>
    </w:p>
    <w:p>
      <w:pPr>
        <w:ind w:left="1340" w:right="699" w:hanging="352"/>
        <w:spacing w:after="0" w:line="268"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 rating of care” reflects the overall assessment of eight quality measures: communication with family, getting timely help, treating the patient with respect, emotional and spiritual support, help for pain and symptoms, training family to care for patient, rating of hospice care, and willingness to recommend to others, as reported by the Agency for Healthcare Research and Quality;</w:t>
      </w:r>
    </w:p>
    <w:p>
      <w:pPr>
        <w:spacing w:after="0" w:line="54" w:lineRule="exact"/>
        <w:rPr>
          <w:rFonts w:ascii="Times New Roman" w:cs="Times New Roman" w:eastAsia="Times New Roman" w:hAnsi="Times New Roman"/>
          <w:sz w:val="14"/>
          <w:szCs w:val="14"/>
          <w:color w:val="auto"/>
        </w:rPr>
      </w:pPr>
    </w:p>
    <w:p>
      <w:pPr>
        <w:ind w:left="1340" w:right="659" w:hanging="352"/>
        <w:spacing w:after="0" w:line="263"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satisfaction” is calculated (i) for purposes of Company’s outpatient rehab services, by the percentage of patients who are satisfied or very satisfied with the progress they have made with the therapy treatment while on our services, as reported in our outpatient therapy satisfaction survey from April 1, 2023 to June 30, 2023; and (ii) for purposes of infusion scores, by averaging the results of seven quality measures, supplies, staff general communication, staff courtesy, staff helpfulness, staff instruction effectiveness, overall satisfaction, and willingness to recommend, as reported in our home infusion satisfaction survey from April 1, 2023 to June 30, 2023;</w:t>
      </w:r>
    </w:p>
    <w:p>
      <w:pPr>
        <w:spacing w:after="0" w:line="58" w:lineRule="exact"/>
        <w:rPr>
          <w:rFonts w:ascii="Times New Roman" w:cs="Times New Roman" w:eastAsia="Times New Roman" w:hAnsi="Times New Roman"/>
          <w:sz w:val="14"/>
          <w:szCs w:val="14"/>
          <w:color w:val="auto"/>
        </w:rPr>
      </w:pPr>
    </w:p>
    <w:p>
      <w:pPr>
        <w:ind w:left="1340" w:right="89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“Revolving Credit Facility” means our senior secured revolving credit facility, as described under “Management’s Discussion and Analysis of Financial Condition and Results of Operations—Liquidity and Capital Resources—Debt”;</w:t>
      </w:r>
    </w:p>
    <w:p>
      <w:pPr>
        <w:spacing w:after="0" w:line="37" w:lineRule="exact"/>
        <w:rPr>
          <w:rFonts w:ascii="Times New Roman" w:cs="Times New Roman" w:eastAsia="Times New Roman" w:hAnsi="Times New Roman"/>
          <w:sz w:val="14"/>
          <w:szCs w:val="14"/>
          <w:color w:val="auto"/>
        </w:rPr>
      </w:pPr>
    </w:p>
    <w:p>
      <w:pPr>
        <w:ind w:left="1340" w:right="89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“Second Lien Facility” means our senior secured second lien term loan facility, as described under “Management’s Discussion and Analysis of Financial Condition and Results of Operations—Liquidity and Capital Resources—Debt”;</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patients and populations mean individuals who are aged 65 and older;</w:t>
      </w:r>
    </w:p>
    <w:p>
      <w:pPr>
        <w:spacing w:after="0" w:line="96" w:lineRule="exact"/>
        <w:rPr>
          <w:rFonts w:ascii="Times New Roman" w:cs="Times New Roman" w:eastAsia="Times New Roman" w:hAnsi="Times New Roman"/>
          <w:sz w:val="14"/>
          <w:szCs w:val="14"/>
          <w:color w:val="auto"/>
        </w:rPr>
      </w:pPr>
    </w:p>
    <w:p>
      <w:pPr>
        <w:ind w:left="1340" w:right="97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“Specialty” patients and populations mean individuals who have unique, specialized and most often chronic/life-long health conditions and needs;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“Walgreen Stockholder” means Walgreen Co., an affiliate of Walgreens Boots Alliance, Inc.</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 w:name="page5"/>
    <w:bookmarkEnd w:id="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85" w:lineRule="exact"/>
        <w:rPr>
          <w:sz w:val="20"/>
          <w:szCs w:val="20"/>
          <w:color w:val="auto"/>
        </w:rPr>
      </w:pPr>
    </w:p>
    <w:p>
      <w:pPr>
        <w:ind w:left="640" w:right="679" w:firstLine="516"/>
        <w:spacing w:after="0" w:line="260" w:lineRule="auto"/>
        <w:rPr>
          <w:sz w:val="20"/>
          <w:szCs w:val="20"/>
          <w:color w:val="auto"/>
        </w:rPr>
      </w:pPr>
      <w:r>
        <w:rPr>
          <w:rFonts w:ascii="Times New Roman" w:cs="Times New Roman" w:eastAsia="Times New Roman" w:hAnsi="Times New Roman"/>
          <w:sz w:val="14"/>
          <w:szCs w:val="14"/>
          <w:color w:val="auto"/>
        </w:rPr>
        <w:t>This Annual Report on Form 10-K includes forward-looking statements that reflect our current views with respect to, among other things, our operations, and financial performance. Forward-looking statements include all statements that are not historical facts. These forward-looking statements are included throughout this Annual Report on Form 10-K, including in the sections entitled “Summary,” “Risk Factors,” “Management’s Discussion and Analysis of Financial Condition and Results of Operations” and “Business” and relate to matters such as our industries,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Annual Report on Form 10-K.</w:t>
      </w:r>
    </w:p>
    <w:p>
      <w:pPr>
        <w:spacing w:after="0" w:line="63" w:lineRule="exact"/>
        <w:rPr>
          <w:sz w:val="20"/>
          <w:szCs w:val="20"/>
          <w:color w:val="auto"/>
        </w:rPr>
      </w:pPr>
    </w:p>
    <w:p>
      <w:pPr>
        <w:ind w:left="640" w:right="679" w:firstLine="516"/>
        <w:spacing w:after="0" w:line="262" w:lineRule="auto"/>
        <w:rPr>
          <w:sz w:val="20"/>
          <w:szCs w:val="20"/>
          <w:color w:val="auto"/>
        </w:rPr>
      </w:pPr>
      <w:r>
        <w:rPr>
          <w:rFonts w:ascii="Times New Roman" w:cs="Times New Roman" w:eastAsia="Times New Roman" w:hAnsi="Times New Roman"/>
          <w:sz w:val="14"/>
          <w:szCs w:val="14"/>
          <w:color w:val="auto"/>
        </w:rPr>
        <w:t>The forward-looking statements contained in this Annual Report on Form 10-K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w:t>
      </w:r>
    </w:p>
    <w:p>
      <w:pPr>
        <w:spacing w:after="0" w:line="234" w:lineRule="exact"/>
        <w:rPr>
          <w:sz w:val="20"/>
          <w:szCs w:val="20"/>
          <w:color w:val="auto"/>
        </w:rPr>
      </w:pPr>
    </w:p>
    <w:p>
      <w:pPr>
        <w:ind w:left="640" w:right="659" w:firstLine="516"/>
        <w:spacing w:after="0" w:line="261" w:lineRule="auto"/>
        <w:rPr>
          <w:sz w:val="20"/>
          <w:szCs w:val="20"/>
          <w:color w:val="auto"/>
        </w:rPr>
      </w:pPr>
      <w:r>
        <w:rPr>
          <w:rFonts w:ascii="Times New Roman" w:cs="Times New Roman" w:eastAsia="Times New Roman" w:hAnsi="Times New Roman"/>
          <w:sz w:val="14"/>
          <w:szCs w:val="14"/>
          <w:color w:val="auto"/>
        </w:rPr>
        <w:t>Any forward-looking statements made by us in this Annual Report on Form 10-K speaks only as of the date of this Annual Report on Form 10-K and are expressly qualified in their entirety by the cautionary statements included in this Annual Report on Form 10-K. Factors or events that could cause our actual results to differ may emerge from time to time, and it is not possible for us to predict all of them. We may not actually achieve the plans, intentions, or expectations disclosed in our forward- looking statements and you should not place undue reliance on our forward-looking statements. Our forward- looking statements do not reflect the potential impact of any future acquisitions, mergers, dispositions, joint ventures, investments, or other strategic transactions we may make. We undertake no obligation to publicly update or revise any forward-looking statement, whether as a result of new information, future developments or otherwise, except as may be required by any applicable securities laws.</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SUMMARY RISK FACTORS</w:t>
      </w:r>
    </w:p>
    <w:p>
      <w:pPr>
        <w:spacing w:after="0" w:line="185" w:lineRule="exact"/>
        <w:rPr>
          <w:sz w:val="20"/>
          <w:szCs w:val="20"/>
          <w:color w:val="auto"/>
        </w:rPr>
      </w:pPr>
    </w:p>
    <w:p>
      <w:pPr>
        <w:jc w:val="both"/>
        <w:ind w:left="640" w:right="799" w:firstLine="516"/>
        <w:spacing w:after="0" w:line="274" w:lineRule="auto"/>
        <w:rPr>
          <w:sz w:val="20"/>
          <w:szCs w:val="20"/>
          <w:color w:val="auto"/>
        </w:rPr>
      </w:pPr>
      <w:r>
        <w:rPr>
          <w:rFonts w:ascii="Times New Roman" w:cs="Times New Roman" w:eastAsia="Times New Roman" w:hAnsi="Times New Roman"/>
          <w:sz w:val="14"/>
          <w:szCs w:val="14"/>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spacing w:after="0" w:line="50" w:lineRule="exact"/>
        <w:rPr>
          <w:sz w:val="20"/>
          <w:szCs w:val="20"/>
          <w:color w:val="auto"/>
        </w:rPr>
      </w:pPr>
    </w:p>
    <w:p>
      <w:pPr>
        <w:ind w:left="1340" w:hanging="352"/>
        <w:spacing w:after="0"/>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a highly competitive industry;</w:t>
      </w:r>
    </w:p>
    <w:p>
      <w:pPr>
        <w:spacing w:after="0" w:line="96" w:lineRule="exact"/>
        <w:rPr>
          <w:rFonts w:ascii="Times New Roman" w:cs="Times New Roman" w:eastAsia="Times New Roman" w:hAnsi="Times New Roman"/>
          <w:sz w:val="14"/>
          <w:szCs w:val="14"/>
          <w:color w:val="auto"/>
        </w:rPr>
      </w:pPr>
    </w:p>
    <w:p>
      <w:pPr>
        <w:ind w:left="1340" w:right="1039" w:hanging="352"/>
        <w:spacing w:after="0" w:line="292"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maintain relationships with existing patient referral sources or establish new referral sources, our business, financial condition and results of operations could be materially adversely affected;</w:t>
      </w:r>
    </w:p>
    <w:p>
      <w:pPr>
        <w:spacing w:after="0" w:line="37" w:lineRule="exact"/>
        <w:rPr>
          <w:rFonts w:ascii="Times New Roman" w:cs="Times New Roman" w:eastAsia="Times New Roman" w:hAnsi="Times New Roman"/>
          <w:sz w:val="14"/>
          <w:szCs w:val="14"/>
          <w:color w:val="auto"/>
        </w:rPr>
      </w:pPr>
    </w:p>
    <w:p>
      <w:pPr>
        <w:ind w:left="1340" w:right="819" w:hanging="352"/>
        <w:spacing w:after="0" w:line="292"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Medicare and Medicaid rates or methods governing Medicare and Medicaid payments for our services could materially adversely affect our business;</w:t>
      </w:r>
    </w:p>
    <w:p>
      <w:pPr>
        <w:spacing w:after="0" w:line="37" w:lineRule="exact"/>
        <w:rPr>
          <w:rFonts w:ascii="Times New Roman" w:cs="Times New Roman" w:eastAsia="Times New Roman" w:hAnsi="Times New Roman"/>
          <w:sz w:val="14"/>
          <w:szCs w:val="14"/>
          <w:color w:val="auto"/>
        </w:rPr>
      </w:pPr>
    </w:p>
    <w:p>
      <w:pPr>
        <w:ind w:left="1340" w:right="899" w:hanging="352"/>
        <w:spacing w:after="0" w:line="292"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containment initiatives of third-party payors, including post-payment audits, could adversely impact our business, financial condition, and results of operations;</w:t>
      </w:r>
    </w:p>
    <w:p>
      <w:pPr>
        <w:spacing w:after="0" w:line="37" w:lineRule="exact"/>
        <w:rPr>
          <w:rFonts w:ascii="Times New Roman" w:cs="Times New Roman" w:eastAsia="Times New Roman" w:hAnsi="Times New Roman"/>
          <w:sz w:val="14"/>
          <w:szCs w:val="14"/>
          <w:color w:val="auto"/>
        </w:rPr>
      </w:pPr>
    </w:p>
    <w:p>
      <w:pPr>
        <w:ind w:left="1340" w:right="759" w:hanging="352"/>
        <w:spacing w:after="0" w:line="292"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alternative payment models and the transition of Medicaid and Medicare beneficiaries to managed care organizations may limit our market share and could adversely affect our revenues;</w:t>
      </w:r>
    </w:p>
    <w:p>
      <w:pPr>
        <w:spacing w:after="0" w:line="37" w:lineRule="exact"/>
        <w:rPr>
          <w:rFonts w:ascii="Times New Roman" w:cs="Times New Roman" w:eastAsia="Times New Roman" w:hAnsi="Times New Roman"/>
          <w:sz w:val="14"/>
          <w:szCs w:val="14"/>
          <w:color w:val="auto"/>
        </w:rPr>
      </w:pPr>
    </w:p>
    <w:p>
      <w:pPr>
        <w:ind w:left="1340" w:right="919" w:hanging="352"/>
        <w:spacing w:after="0" w:line="274"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case mix of patients, as well as payor mix and payment methodologies, and decisions and operations of third-party organizations may have a material adverse effect on our business, financial condition, and results of operations;</w:t>
      </w:r>
    </w:p>
    <w:p>
      <w:pPr>
        <w:spacing w:after="0" w:line="50" w:lineRule="exact"/>
        <w:rPr>
          <w:rFonts w:ascii="Times New Roman" w:cs="Times New Roman" w:eastAsia="Times New Roman" w:hAnsi="Times New Roman"/>
          <w:sz w:val="14"/>
          <w:szCs w:val="14"/>
          <w:color w:val="auto"/>
        </w:rPr>
      </w:pPr>
    </w:p>
    <w:p>
      <w:pPr>
        <w:ind w:left="1340" w:right="919" w:hanging="352"/>
        <w:spacing w:after="0" w:line="292"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reliant on federal and state spending, budget decisions, and continuous governmental operations which may fluctuate under different political conditions;</w:t>
      </w:r>
    </w:p>
    <w:p>
      <w:pPr>
        <w:spacing w:after="0" w:line="37" w:lineRule="exact"/>
        <w:rPr>
          <w:rFonts w:ascii="Times New Roman" w:cs="Times New Roman" w:eastAsia="Times New Roman" w:hAnsi="Times New Roman"/>
          <w:sz w:val="14"/>
          <w:szCs w:val="14"/>
          <w:color w:val="auto"/>
        </w:rPr>
      </w:pPr>
    </w:p>
    <w:p>
      <w:pPr>
        <w:ind w:left="1340" w:right="739" w:hanging="352"/>
        <w:spacing w:after="0" w:line="292"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drug utilization and/or pricing, PBM contracts, and Medicare Part D/Medicaid reimbursement may negatively impact our profitability;</w:t>
      </w:r>
    </w:p>
    <w:p>
      <w:pPr>
        <w:spacing w:after="0" w:line="37" w:lineRule="exact"/>
        <w:rPr>
          <w:rFonts w:ascii="Times New Roman" w:cs="Times New Roman" w:eastAsia="Times New Roman" w:hAnsi="Times New Roman"/>
          <w:sz w:val="14"/>
          <w:szCs w:val="14"/>
          <w:color w:val="auto"/>
        </w:rPr>
      </w:pPr>
    </w:p>
    <w:p>
      <w:pPr>
        <w:ind w:left="1340" w:right="1099" w:hanging="352"/>
        <w:spacing w:after="0" w:line="292"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relationships with pharmaceutical suppliers, including changes in drug availability or pricing, could adversely affect our business and financial results;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340" w:right="719" w:hanging="352"/>
        <w:spacing w:after="0" w:line="292" w:lineRule="auto"/>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relies on the continual recruitment and retention of nurses, pharmacists, therapists, caregivers, direct support professionals, and other qualified personnel, including senior management;</w:t>
      </w:r>
    </w:p>
    <w:p>
      <w:pPr>
        <w:spacing w:after="0" w:line="37" w:lineRule="exact"/>
        <w:rPr>
          <w:rFonts w:ascii="Times New Roman" w:cs="Times New Roman" w:eastAsia="Times New Roman" w:hAnsi="Times New Roman"/>
          <w:sz w:val="14"/>
          <w:szCs w:val="14"/>
          <w:color w:val="auto"/>
        </w:rPr>
      </w:pPr>
    </w:p>
    <w:p>
      <w:pPr>
        <w:jc w:val="both"/>
        <w:ind w:left="1340" w:right="719" w:hanging="352"/>
        <w:spacing w:after="0" w:line="274" w:lineRule="auto"/>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federal, state, and local laws and regulations that govern our employment practices, including minimum wage, living wage, and paid time-off requirements; failure to comply with these laws and regulations, or changes to these laws and regulations that increase our employment-related expenses, could adversely impact our operations;</w:t>
      </w:r>
    </w:p>
    <w:p>
      <w:pPr>
        <w:spacing w:after="0" w:line="50"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results of operations fluctuate on a quarterly basis;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may be harmed by labor relation matters;</w:t>
      </w:r>
    </w:p>
    <w:p>
      <w:pPr>
        <w:spacing w:after="0" w:line="96" w:lineRule="exact"/>
        <w:rPr>
          <w:rFonts w:ascii="Times New Roman" w:cs="Times New Roman" w:eastAsia="Times New Roman" w:hAnsi="Times New Roman"/>
          <w:sz w:val="14"/>
          <w:szCs w:val="14"/>
          <w:color w:val="auto"/>
        </w:rPr>
      </w:pPr>
    </w:p>
    <w:p>
      <w:pPr>
        <w:ind w:left="1340" w:right="1059" w:hanging="352"/>
        <w:spacing w:after="0" w:line="292" w:lineRule="auto"/>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we are limited in our ability to control reimbursement rates received for our services, our business could be materially adversely affected if we are not able to maintain or reduce our costs to provide such services;</w:t>
      </w:r>
    </w:p>
    <w:p>
      <w:pPr>
        <w:spacing w:after="0" w:line="37" w:lineRule="exact"/>
        <w:rPr>
          <w:rFonts w:ascii="Times New Roman" w:cs="Times New Roman" w:eastAsia="Times New Roman" w:hAnsi="Times New Roman"/>
          <w:sz w:val="14"/>
          <w:szCs w:val="14"/>
          <w:color w:val="auto"/>
        </w:rPr>
      </w:pPr>
    </w:p>
    <w:p>
      <w:pPr>
        <w:ind w:left="1340" w:right="979" w:hanging="352"/>
        <w:spacing w:after="0" w:line="292" w:lineRule="auto"/>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collection or non-collection of our accounts receivable, particularly during the business integration process, could adversely affect our business, financial condition, and results of operations;</w:t>
      </w:r>
    </w:p>
    <w:p>
      <w:pPr>
        <w:spacing w:after="0" w:line="37" w:lineRule="exact"/>
        <w:rPr>
          <w:rFonts w:ascii="Times New Roman" w:cs="Times New Roman" w:eastAsia="Times New Roman" w:hAnsi="Times New Roman"/>
          <w:sz w:val="14"/>
          <w:szCs w:val="14"/>
          <w:color w:val="auto"/>
        </w:rPr>
      </w:pPr>
    </w:p>
    <w:p>
      <w:pPr>
        <w:ind w:left="1340" w:right="1079" w:hanging="352"/>
        <w:spacing w:after="0" w:line="292" w:lineRule="auto"/>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manage our growth effectively, we may be unable to execute our business plan, maintain high levels of service and satisfaction, or adequately address competitive challenges;</w:t>
      </w:r>
    </w:p>
    <w:p>
      <w:pPr>
        <w:spacing w:after="0" w:line="37" w:lineRule="exact"/>
        <w:rPr>
          <w:rFonts w:ascii="Times New Roman" w:cs="Times New Roman" w:eastAsia="Times New Roman" w:hAnsi="Times New Roman"/>
          <w:sz w:val="14"/>
          <w:szCs w:val="14"/>
          <w:color w:val="auto"/>
        </w:rPr>
      </w:pPr>
    </w:p>
    <w:p>
      <w:pPr>
        <w:ind w:left="1340" w:right="1119" w:hanging="352"/>
        <w:spacing w:after="0" w:line="292" w:lineRule="auto"/>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growth strategy is partially dependent upon our ability to identify and successfully complete acquisitions, joint ventures, and other strategic initiatives;</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by us to manage or integrate acquisitions, divestitures, and other significant transactions successfully may have a material adverse effect on our business, financial condition, and results of operations;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provide consistently high quality of care, our business will be adversely impacted;</w:t>
      </w:r>
    </w:p>
    <w:p>
      <w:pPr>
        <w:spacing w:after="0" w:line="96" w:lineRule="exact"/>
        <w:rPr>
          <w:rFonts w:ascii="Times New Roman" w:cs="Times New Roman" w:eastAsia="Times New Roman" w:hAnsi="Times New Roman"/>
          <w:sz w:val="14"/>
          <w:szCs w:val="14"/>
          <w:color w:val="auto"/>
        </w:rPr>
      </w:pPr>
    </w:p>
    <w:p>
      <w:pPr>
        <w:ind w:left="1340" w:right="979" w:hanging="352"/>
        <w:spacing w:after="0" w:line="292" w:lineRule="auto"/>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maintain our corporate reputation, or there is adverse publicity, including negative information on social media, or changes in public perception of our services, our business may suffer;</w:t>
      </w:r>
    </w:p>
    <w:p>
      <w:pPr>
        <w:spacing w:after="0" w:line="37" w:lineRule="exact"/>
        <w:rPr>
          <w:rFonts w:ascii="Times New Roman" w:cs="Times New Roman" w:eastAsia="Times New Roman" w:hAnsi="Times New Roman"/>
          <w:sz w:val="14"/>
          <w:szCs w:val="14"/>
          <w:color w:val="auto"/>
        </w:rPr>
      </w:pPr>
    </w:p>
    <w:p>
      <w:pPr>
        <w:ind w:left="1340" w:right="839" w:hanging="352"/>
        <w:spacing w:after="0" w:line="274" w:lineRule="auto"/>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existing customers do not continue with or renew their contracts with us, renew at lower fee levels, decline to purchase additional services from us or reduce the services received from us pursuant to those contracts, it could have a material adverse effect on our business, financial condition, and results of operations;</w:t>
      </w:r>
    </w:p>
    <w:p>
      <w:pPr>
        <w:spacing w:after="0" w:line="50" w:lineRule="exact"/>
        <w:rPr>
          <w:rFonts w:ascii="Times New Roman" w:cs="Times New Roman" w:eastAsia="Times New Roman" w:hAnsi="Times New Roman"/>
          <w:sz w:val="14"/>
          <w:szCs w:val="14"/>
          <w:color w:val="auto"/>
        </w:rPr>
      </w:pPr>
    </w:p>
    <w:p>
      <w:pPr>
        <w:ind w:left="1340" w:right="1099" w:hanging="352"/>
        <w:spacing w:after="0" w:line="292" w:lineRule="auto"/>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depends on our ability to effectively invest in, implement improvements to, and properly maintain the uninterrupted operation and data integrity of our information technology and other business systems;</w:t>
      </w:r>
    </w:p>
    <w:p>
      <w:pPr>
        <w:spacing w:after="0" w:line="37" w:lineRule="exact"/>
        <w:rPr>
          <w:rFonts w:ascii="Times New Roman" w:cs="Times New Roman" w:eastAsia="Times New Roman" w:hAnsi="Times New Roman"/>
          <w:sz w:val="14"/>
          <w:szCs w:val="14"/>
          <w:color w:val="auto"/>
        </w:rPr>
      </w:pPr>
    </w:p>
    <w:p>
      <w:pPr>
        <w:ind w:left="1340" w:right="679" w:hanging="352"/>
        <w:spacing w:after="0" w:line="274" w:lineRule="auto"/>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breaches, loss of data, and other disruptions could compromise sensitive business or patient information, cause a loss of confidential patient data, employee data, personal information, or prevent access to critical information and expose us to liability, litigation, and federal and state governmental inquiries and damage our reputation and brand;</w:t>
      </w:r>
    </w:p>
    <w:p>
      <w:pPr>
        <w:spacing w:after="0" w:line="50"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risks related to credit card payments and other payment methods;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subject to substantial malpractice or other similar claims;</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exposed to various risks related to governmental inquiries, regulatory actions, and whistleblower and other lawsuits that could adversely affect our operating results. Our insurance may not cover all claims against us;</w:t>
      </w:r>
    </w:p>
    <w:p>
      <w:pPr>
        <w:spacing w:after="0" w:line="37" w:lineRule="exact"/>
        <w:rPr>
          <w:rFonts w:ascii="Times New Roman" w:cs="Times New Roman" w:eastAsia="Times New Roman" w:hAnsi="Times New Roman"/>
          <w:sz w:val="14"/>
          <w:szCs w:val="14"/>
          <w:color w:val="auto"/>
        </w:rPr>
      </w:pPr>
    </w:p>
    <w:p>
      <w:pPr>
        <w:jc w:val="both"/>
        <w:ind w:left="1340" w:right="699" w:hanging="352"/>
        <w:spacing w:after="0" w:line="274" w:lineRule="auto"/>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current insurance program may expose us to unexpected costs and negatively affect our business, financial condition, and results of operations, particularly if we incur losses not covered by our insurance or if claims or losses differ from our estimates;</w:t>
      </w:r>
    </w:p>
    <w:p>
      <w:pPr>
        <w:spacing w:after="0" w:line="50" w:lineRule="exact"/>
        <w:rPr>
          <w:rFonts w:ascii="Times New Roman" w:cs="Times New Roman" w:eastAsia="Times New Roman" w:hAnsi="Times New Roman"/>
          <w:sz w:val="14"/>
          <w:szCs w:val="14"/>
          <w:color w:val="auto"/>
        </w:rPr>
      </w:pPr>
    </w:p>
    <w:p>
      <w:pPr>
        <w:ind w:left="1340" w:right="859" w:hanging="352"/>
        <w:spacing w:after="0" w:line="292" w:lineRule="auto"/>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factors outside of our control, including those listed, have required, and could in the future require us to record an asset impairment of goodwill;</w:t>
      </w:r>
    </w:p>
    <w:p>
      <w:pPr>
        <w:spacing w:after="0" w:line="37" w:lineRule="exact"/>
        <w:rPr>
          <w:rFonts w:ascii="Times New Roman" w:cs="Times New Roman" w:eastAsia="Times New Roman" w:hAnsi="Times New Roman"/>
          <w:sz w:val="14"/>
          <w:szCs w:val="14"/>
          <w:color w:val="auto"/>
        </w:rPr>
      </w:pPr>
    </w:p>
    <w:p>
      <w:pPr>
        <w:ind w:left="1340" w:right="779" w:hanging="352"/>
        <w:spacing w:after="0" w:line="292" w:lineRule="auto"/>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pandemic, epidemic, or outbreak of an infectious disease have had, and may continue to have, an adverse effect on our business;</w:t>
      </w:r>
    </w:p>
    <w:p>
      <w:pPr>
        <w:spacing w:after="0" w:line="37" w:lineRule="exact"/>
        <w:rPr>
          <w:rFonts w:ascii="Times New Roman" w:cs="Times New Roman" w:eastAsia="Times New Roman" w:hAnsi="Times New Roman"/>
          <w:sz w:val="14"/>
          <w:szCs w:val="14"/>
          <w:color w:val="auto"/>
        </w:rPr>
      </w:pPr>
    </w:p>
    <w:p>
      <w:pPr>
        <w:ind w:left="1340" w:right="699" w:hanging="352"/>
        <w:spacing w:after="0" w:line="292" w:lineRule="auto"/>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inclement weather, natural disasters, acts of terrorism, riots, civil insurrection or social unrest, looting, protests, strikes, or street demonstrations may impact our ability to provide services;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adequately protect our intellectual property rights, which could harm our business;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relating to our compliance with our regulatory framework;</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KKR Stockholder owns a significant portion of our stock, and its interests may conflict with yours in the future;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substantial indebtedness of approximately $2.6 billion as of December 31, 2025;</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 w:name="page7"/>
    <w:bookmarkEnd w:id="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340" w:right="659" w:hanging="352"/>
        <w:spacing w:after="0" w:line="274" w:lineRule="auto"/>
        <w:tabs>
          <w:tab w:leader="none" w:pos="1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changes in tax or trade policies, tariffs, or trade relations between the United States and other countries, such as the imposition of unilateral tariffs on imported products, including impacts on imported drug products, could result in supply chain disruptions and significantly increase our costs; and</w:t>
      </w:r>
    </w:p>
    <w:p>
      <w:pPr>
        <w:spacing w:after="0" w:line="50"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frequency of our stock repurchases may fluctuate.</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MARKET AND INDUSTRY DATA</w:t>
      </w:r>
    </w:p>
    <w:p>
      <w:pPr>
        <w:spacing w:after="0" w:line="185" w:lineRule="exact"/>
        <w:rPr>
          <w:sz w:val="20"/>
          <w:szCs w:val="20"/>
          <w:color w:val="auto"/>
        </w:rPr>
      </w:pPr>
    </w:p>
    <w:p>
      <w:pPr>
        <w:ind w:left="640" w:right="659" w:firstLine="516"/>
        <w:spacing w:after="0" w:line="258" w:lineRule="auto"/>
        <w:rPr>
          <w:sz w:val="20"/>
          <w:szCs w:val="20"/>
          <w:color w:val="auto"/>
        </w:rPr>
      </w:pPr>
      <w:r>
        <w:rPr>
          <w:rFonts w:ascii="Times New Roman" w:cs="Times New Roman" w:eastAsia="Times New Roman" w:hAnsi="Times New Roman"/>
          <w:sz w:val="14"/>
          <w:szCs w:val="14"/>
          <w:color w:val="auto"/>
        </w:rPr>
        <w:t>This Annual Report on Form 10-K contains estimates, projections and other information concerning our industry and our business, including data regarding the estimated size of the market, projected growth rates and perceptions and preferences of customers, that we have prepared based on industry publications, reports and other independent sources, each of which is either publicly available without charge or available on a subscription fee basis. None of such information was prepared specifically for us in connection with this filing. Some data also is based on our good faith estimates, which are derived from management’s knowledge of the industry and from independent sources. These third-party publications and surveys generally state that the information included therein has been obtained from sources believed to be reliable, but that the publications and surveys can give no assurance as to the accuracy or completeness of such information. Market and industry data is subject to variations and cannot be verified due to limits on the availability and reliability of data inputs, the voluntary nature of the data gathering process and other limitations and uncertainties inherent in any statistical survey. Although we are responsible for all of the disclosures contained in this Annual Report on Form 10-K and we believe the industry and market data included in this Annual Report on Form 10-K is reliable, we have not independently verified any of the data from third-party sources nor have we ascertained the underlying economic assumptions on which such data is based. Similarly, we believe our internal research is reliable, even though such research has not been verified by any independent sources. The industry and market data included in this Annual Report on Form 10-K involve a number of assumptions and limitations, and you are cautioned not to give undue weight to such information.</w:t>
      </w:r>
    </w:p>
    <w:p>
      <w:pPr>
        <w:spacing w:after="0" w:line="67" w:lineRule="exact"/>
        <w:rPr>
          <w:sz w:val="20"/>
          <w:szCs w:val="20"/>
          <w:color w:val="auto"/>
        </w:rPr>
      </w:pPr>
    </w:p>
    <w:p>
      <w:pPr>
        <w:ind w:left="640" w:right="699" w:firstLine="516"/>
        <w:spacing w:after="0" w:line="268" w:lineRule="auto"/>
        <w:rPr>
          <w:sz w:val="20"/>
          <w:szCs w:val="20"/>
          <w:color w:val="auto"/>
        </w:rPr>
      </w:pPr>
      <w:r>
        <w:rPr>
          <w:rFonts w:ascii="Times New Roman" w:cs="Times New Roman" w:eastAsia="Times New Roman" w:hAnsi="Times New Roman"/>
          <w:sz w:val="14"/>
          <w:szCs w:val="14"/>
          <w:color w:val="auto"/>
        </w:rPr>
        <w:t>Unless otherwise expressly stated, we obtained industry, business, market and other data from the reports, publications and other materials and sources listed below.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Who We Are</w:t>
      </w:r>
    </w:p>
    <w:p>
      <w:pPr>
        <w:spacing w:after="0" w:line="99"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We are a leading home and community-based healthcare services platform, focused on delivering complementary pharmacy and provider services to complex patients. We have a differentiated approach to care delivery, with an integrated and scaled model that addresses critical services that the highest-need and highest-cost patients require. With a focus on Senior and Specialty patients, which includes Behavioral populations, our platform provides pharmacy and provider services (both clinical and supportive care in nature) in lower-cost home and community settings largely to Medicare, Medicaid, and commercially-insured populations. We are an essential part of our nation’s health delivery network as a front-line provider of high-quality and cost-effective care to a large and growing number of people, who increasingly require a combination of specialized solutions to enable holistic health care management. Our presence spans all 50 states, we serve over 465,000 patients daily through our approximately 10,500 clinical providers and pharmacists, and our services make a profound impact in the lives and communities of the people we serve.</w:t>
      </w:r>
    </w:p>
    <w:p>
      <w:pPr>
        <w:spacing w:after="0" w:line="63"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Our model focuses on delivering high-touch and coordinated services to medically complex clients and patients, which is a large, growing, and underserved population in the U.S. healthcare system. These high-need and high-cost Senior and Specialty patients comprise a market of over $2.0 trillion across our business. The chronic conditions and long-term health needs of these patients not only represent an outsized share of health care spend today, according to RAND Health Care, but we believe that they are expected to also drive a disproportionate share of future expenditures. Americans with five or more chronic conditions make up over 12% of the population and account for 41% of total health care spending, on average spending 14 times more on health services than those without chronic conditions. These patients most often require both pharmacy and provider services to achieve the best outcomes, but must often navigate disjointed and separately-administered health services. This can result in uncoordinated care delivery with adverse medical consequences, as compared to receiving timely, proximal, and complete care support in the home and community that improves health and reduces cost.</w:t>
      </w:r>
    </w:p>
    <w:p>
      <w:pPr>
        <w:spacing w:after="0" w:line="60"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We have built a significant presence and capability in delivering complementary and high-touch daily healthcare services and programs to complex patients in their homes and in communities in order to address their multiple health needs and requirements more completely. In pharmacy, we leverage our national infrastructure to provide daily medication therapy management to various customer and patient types wherever they reside in the community, including home and in-clinic infusion patients, oncology and other specialty patients in their homes, residents of independent and senior living communities, people receiving hospice care, and neuro clients’ and patients’ homes, residents of skilled nursing and rehabilitation facilities, hospital patients, and the homes of Seniors who are on a significant number of medications. Within provider services, we address the clinical and supportive care needs of Senior and Specialty populations, including neuro patients, primarily in their homes, as well as some clinic and community settings. Our clinical services consist of home health and hospice and rehab therapy, and our supportive care services address activities of daily living and social determinants of health as well. We also provide home-based primary care for patients in senior living communities, long-term care, and individual homes to directly manage and optimize patient outcomes and to enable value-based care. By providing these complementary and necessary services for complex patients, our care model is designed to address multiple patient needs and better integrate health services delivery to improve quality and patient experiences, while reducing overall costs.</w:t>
      </w:r>
    </w:p>
    <w:p>
      <w:pPr>
        <w:spacing w:after="0" w:line="61" w:lineRule="exact"/>
        <w:rPr>
          <w:sz w:val="20"/>
          <w:szCs w:val="20"/>
          <w:color w:val="auto"/>
        </w:rPr>
      </w:pPr>
    </w:p>
    <w:p>
      <w:pPr>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We believe that our Company addresses important needs today and is also well-positioned for the long-term, as it is underpinned by capabilities and characteristics that suggest continued differentiation and growth:</w:t>
      </w:r>
    </w:p>
    <w:p>
      <w:pPr>
        <w:spacing w:after="0" w:line="36" w:lineRule="exact"/>
        <w:rPr>
          <w:sz w:val="20"/>
          <w:szCs w:val="20"/>
          <w:color w:val="auto"/>
        </w:rPr>
      </w:pPr>
    </w:p>
    <w:p>
      <w:pPr>
        <w:ind w:left="1340" w:right="719" w:hanging="352"/>
        <w:spacing w:after="0" w:line="261" w:lineRule="auto"/>
        <w:tabs>
          <w:tab w:leader="none" w:pos="1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Complementary pharmacy and provider services that address multiple patient needs – </w:t>
      </w:r>
      <w:r>
        <w:rPr>
          <w:rFonts w:ascii="Times New Roman" w:cs="Times New Roman" w:eastAsia="Times New Roman" w:hAnsi="Times New Roman"/>
          <w:sz w:val="14"/>
          <w:szCs w:val="14"/>
          <w:color w:val="auto"/>
        </w:rPr>
        <w:t>We have a healthcare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platform that can combine pharmacy and provider care in order to address the spectrum of interrelated and chronic needs that Senior and Specialty patients possess. Through our comprehensive care capabilities, we are able to develop longitudinal relationships and views of our patients, which enables us to more closely manage daily medication requirements and adherence, provide primary care and other skilled nursing and therapy clinical services, and address social determinants of health and daily care needs. Moreover, we believe that this integrated model and capability set will increasingly be a more effective approach for providing high-need and high-cost Senior and Specialty populations the pharmacy and care services solutions they require.</w:t>
      </w:r>
    </w:p>
    <w:p>
      <w:pPr>
        <w:spacing w:after="0" w:line="59" w:lineRule="exact"/>
        <w:rPr>
          <w:rFonts w:ascii="Times New Roman" w:cs="Times New Roman" w:eastAsia="Times New Roman" w:hAnsi="Times New Roman"/>
          <w:sz w:val="14"/>
          <w:szCs w:val="14"/>
          <w:color w:val="auto"/>
        </w:rPr>
      </w:pPr>
    </w:p>
    <w:p>
      <w:pPr>
        <w:ind w:left="1340" w:right="659" w:hanging="352"/>
        <w:spacing w:after="0" w:line="262" w:lineRule="auto"/>
        <w:tabs>
          <w:tab w:leader="none" w:pos="1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Effectively serving complex patients in the home and community setting </w:t>
      </w:r>
      <w:r>
        <w:rPr>
          <w:rFonts w:ascii="Times New Roman" w:cs="Times New Roman" w:eastAsia="Times New Roman" w:hAnsi="Times New Roman"/>
          <w:sz w:val="14"/>
          <w:szCs w:val="14"/>
          <w:color w:val="auto"/>
        </w:rPr>
        <w:t>– With over 40 years of experience caring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“must-serve” client and patient populations, we deliver care in preferred and lower-cost settings with strong quality results. Our services reduce cost by providing care for many of these individuals in non-institutional home and community settings and reducing hospitalizations. For example, across our pharmacies, we achieve 99.99% order accuracy and</w:t>
      </w:r>
    </w:p>
    <w:p>
      <w:pPr>
        <w:ind w:left="1340" w:right="659"/>
        <w:spacing w:after="0" w:line="26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99.34% order completeness, “excellent” and “world class” NPS, and a reduction in hospitalizations with CCRx, while also driving savings through medication adherence and therapeutic interchanges. We achieve 100% patient satisfaction in our outpatient rehab services, an 87% overall rating of care in hospice, and, as reported by the Agency for Healthcare</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 w:name="page9"/>
    <w:bookmarkEnd w:id="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340" w:right="759"/>
        <w:spacing w:after="0" w:line="274" w:lineRule="auto"/>
        <w:rPr>
          <w:sz w:val="20"/>
          <w:szCs w:val="20"/>
          <w:color w:val="auto"/>
        </w:rPr>
      </w:pPr>
      <w:r>
        <w:rPr>
          <w:rFonts w:ascii="Times New Roman" w:cs="Times New Roman" w:eastAsia="Times New Roman" w:hAnsi="Times New Roman"/>
          <w:sz w:val="14"/>
          <w:szCs w:val="14"/>
          <w:color w:val="auto"/>
        </w:rPr>
        <w:t>Research and Quality, hospitalizations that are 35% lower than the national average in our home-based primary care. We believe that we are positioned to identify potential medical problems and avoid adverse events due to our highly proximate position to patients.</w:t>
      </w:r>
    </w:p>
    <w:p>
      <w:pPr>
        <w:spacing w:after="0" w:line="48" w:lineRule="exact"/>
        <w:rPr>
          <w:sz w:val="20"/>
          <w:szCs w:val="20"/>
          <w:color w:val="auto"/>
        </w:rPr>
      </w:pPr>
    </w:p>
    <w:p>
      <w:pPr>
        <w:ind w:left="1340" w:right="659" w:hanging="352"/>
        <w:spacing w:after="0" w:line="259" w:lineRule="auto"/>
        <w:tabs>
          <w:tab w:leader="none" w:pos="1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Market-leading scale with a focus on operational excellence and coordinated front-line care – </w:t>
      </w:r>
      <w:r>
        <w:rPr>
          <w:rFonts w:ascii="Times New Roman" w:cs="Times New Roman" w:eastAsia="Times New Roman" w:hAnsi="Times New Roman"/>
          <w:sz w:val="14"/>
          <w:szCs w:val="14"/>
          <w:color w:val="auto"/>
        </w:rPr>
        <w:t>We manage one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nation’s largest independent platforms of both pharmacy and provider services offered on a daily basis in home and community settings – to address the multiple needs of medically complex Senior and Specialty patients. Our leading scale across all 50 states has important benefits. Our scale provides complementary diversification and risk mitigation in payor sources, end markets, and geographies, while also creating exposure and access to a broader set of market growth opportunities. Further, we leverage economies of scale and best practices across the company, including in purchasing and all supplier contracting, quality, technology, human resources, and advocacy and payor relations. Scale from our pharmacy and provider businesses allow us to effectively deliver and coordinate integrated solutions to and across patient types and care settings, which we believe will be more important in the ongoing development of value-based care solutions. Ultimately, our track record of building market density, expanding core services to additional customer and patient types, and replicating this model across new geographies underpins both our historical results as well as our growth strategies.</w:t>
      </w:r>
    </w:p>
    <w:p>
      <w:pPr>
        <w:spacing w:after="0" w:line="239" w:lineRule="exact"/>
        <w:rPr>
          <w:sz w:val="20"/>
          <w:szCs w:val="20"/>
          <w:color w:val="auto"/>
        </w:rPr>
      </w:pPr>
    </w:p>
    <w:p>
      <w:pPr>
        <w:ind w:left="640" w:right="739" w:firstLine="351"/>
        <w:spacing w:after="0" w:line="259" w:lineRule="auto"/>
        <w:rPr>
          <w:sz w:val="20"/>
          <w:szCs w:val="20"/>
          <w:color w:val="auto"/>
        </w:rPr>
      </w:pPr>
      <w:r>
        <w:rPr>
          <w:rFonts w:ascii="Times New Roman" w:cs="Times New Roman" w:eastAsia="Times New Roman" w:hAnsi="Times New Roman"/>
          <w:sz w:val="14"/>
          <w:szCs w:val="14"/>
          <w:color w:val="auto"/>
        </w:rPr>
        <w:t>We are one of the largest independent providers of home and community-based health services in the United States, offering skilled, complementary, integrated, and impactful health care solutions. Almost all of the clients and patients that we serve have chronic conditions and the vast majority of them receive their services on a recurring basis over long periods of time. In our pharmacy business, patients have an average of nine prescriptions at a given time and are supported by our local pharmacy model that delivers daily services, often within an hour or two, from over 175 pharmacies, infusion centers, and specialty oncology locations across all 50 states. We have specifically focused on and built a fast, local, and “white-glove” delivery model that is supported by expert clinical teams in the field, which fulfilled over 43 million prescriptions in 2025 across customer and patient settings and types. Patients who receive our provider services average six chronic conditions per patient, and we delivered approximately 21 million hours of quality and compassionate care in 2025 to home health, hospice, rehab, and home care patients and clients. Combined, our daily pharmacy and provider services are delivered from and to approximately 7,700 office, clinic, and customer locations across the country, with over 465,000 patients serviced at any one time, including approximately 330,000 patients served in their homes at any one time.</w:t>
      </w:r>
    </w:p>
    <w:p>
      <w:pPr>
        <w:spacing w:after="0" w:line="200" w:lineRule="exact"/>
        <w:rPr>
          <w:sz w:val="20"/>
          <w:szCs w:val="20"/>
          <w:color w:val="auto"/>
        </w:rPr>
      </w:pP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Our Platform</w:t>
      </w:r>
    </w:p>
    <w:p>
      <w:pPr>
        <w:spacing w:after="0" w:line="99" w:lineRule="exact"/>
        <w:rPr>
          <w:sz w:val="20"/>
          <w:szCs w:val="20"/>
          <w:color w:val="auto"/>
        </w:rPr>
      </w:pPr>
    </w:p>
    <w:p>
      <w:pPr>
        <w:ind w:left="640" w:right="739" w:firstLine="351"/>
        <w:spacing w:after="0" w:line="262" w:lineRule="auto"/>
        <w:rPr>
          <w:sz w:val="20"/>
          <w:szCs w:val="20"/>
          <w:color w:val="auto"/>
        </w:rPr>
      </w:pPr>
      <w:r>
        <w:rPr>
          <w:rFonts w:ascii="Times New Roman" w:cs="Times New Roman" w:eastAsia="Times New Roman" w:hAnsi="Times New Roman"/>
          <w:sz w:val="14"/>
          <w:szCs w:val="14"/>
          <w:color w:val="auto"/>
        </w:rPr>
        <w:t>We believe our high-quality and complementary health services offerings address significant and important patient and stakeholder needs. In the home and community settings where we operate, patients with chronic conditions often require daily care, closely-managed medication regimens, and specialized clinical treatment, and our service model is defined by core pharmacy and provider services augmented by integrated care capabilities that are intended to maximize outcomes and minimize potential disruptions. The Company’s quality outcomes achieved for Senior and Specialty patients and industry stakeholders are also mostly delivered in patient-preferred and lower-cost settings. We believe our breadth of service capabilities and proven outcomes position us as a provider of choice for patients, families, referral sources, customers, and payors.</w:t>
      </w:r>
    </w:p>
    <w:p>
      <w:pPr>
        <w:spacing w:after="0" w:line="59"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Furthermore, scale is important in the industries and service areas that we participate in, for numerous reasons, including realizing economies of scale, for example in purchasing, technology, and related to fixed expenses, leveraging best practices and quality and operational oversight of the service lines, in payor contracting, being able to invest in attractive growth areas, and driving value through revenue, quality, and operational and cost synergies post acquisitions. Our service capabilities extend across all 50 states in the United States, with co-location of our pharmacy and provider services in 40 states. We deliver a higher proportion of services in select regions with favorable demographics and regulatory environments, with approximately 53% of our revenue in 10 states for the year ended December 31, 2025. Our services are organized and managed through two reportable segments: Pharmacy Solutions and Provider Services.</w:t>
      </w:r>
    </w:p>
    <w:p>
      <w:pPr>
        <w:spacing w:after="0" w:line="60"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The Company’s scale, complementary service offerings, and geographic footprint also enable integrated and value-based care opportunities. Many of our patients today receive both pharmacy and provider services from the Company, thus simplifying their experience and supporting positive outcomes. Our integrated care and value-based care model is based on three important service enablers and three primary strategies. For enablers, we view (i) home-based primary care capabilities, (ii) a customized transitional care management program, and (iii) a clinical care coordination hub as essential to drive optimized quality and reduced cost outcomes. The Company has spent the last several years building out these three integrated and value-based care capabilities. In turn, these enablers are required to execute three key integrated and value-based care strategies, including (i) the coordination of clinically integrated care for patients receiving multiple Company services across settings and over time, (ii) providing multiple integrated (or bundled) services to senior living communities, behavioral providers, skilled nursing and rehabilitation facility providers, hospitals, and payors who all require our comprehensive offerings, and (iii) the execution of value-based care contracts, whether internal through</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 w:name="page10"/>
    <w:bookmarkEnd w:id="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659"/>
        <w:spacing w:after="0" w:line="292" w:lineRule="auto"/>
        <w:rPr>
          <w:sz w:val="20"/>
          <w:szCs w:val="20"/>
          <w:color w:val="auto"/>
        </w:rPr>
      </w:pPr>
      <w:r>
        <w:rPr>
          <w:rFonts w:ascii="Times New Roman" w:cs="Times New Roman" w:eastAsia="Times New Roman" w:hAnsi="Times New Roman"/>
          <w:sz w:val="14"/>
          <w:szCs w:val="14"/>
          <w:color w:val="auto"/>
        </w:rPr>
        <w:t>the Company’s own ACO shared savings arrangements and managed care plans or whether external through third-party government or managed care entities.</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Pharmacy Solutions</w:t>
      </w:r>
    </w:p>
    <w:p>
      <w:pPr>
        <w:spacing w:after="0" w:line="101"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We opportunistically provide pharmacy services when and where demanded and as required to customers and patients in their homes and communities, often in coordination with our provider services. The Company filled over 43 million prescriptions in 2025 from over 175 pharmacies across all 50 states, with services delivered to approximately 6,600 customer locations, approximately 73,000 individual or group homes, and over 410,000 patients, all through over 4,500 unique customer and payor contracts. Our leading pharmacy support across customer and patient settings is achieved through a focus on medication availability and reliability, cost containment, customer staff and patient support programs, clinical and regulatory education and support, and leading customer service. Infusion and Specialty Pharmacy prescriptions and Home and Community Pharmacy prescriptions have grown at more than 27% and 3%, respectively, from December 2024 to December 2025. We have a unique opportunity to increasingly provide more pharmacy services in the future to provider patients and patients transitioning across settings of care. Almost every one of the Company’s patients who receive provider services from us have a significant medication support need given their polypharmacy profile, which we have the opportunity to further address.</w:t>
      </w:r>
    </w:p>
    <w:p>
      <w:pPr>
        <w:spacing w:after="0" w:line="65" w:lineRule="exact"/>
        <w:rPr>
          <w:sz w:val="20"/>
          <w:szCs w:val="20"/>
          <w:color w:val="auto"/>
        </w:rPr>
      </w:pPr>
    </w:p>
    <w:p>
      <w:pPr>
        <w:ind w:left="640" w:right="719" w:firstLine="351"/>
        <w:spacing w:after="0" w:line="261" w:lineRule="auto"/>
        <w:rPr>
          <w:sz w:val="20"/>
          <w:szCs w:val="20"/>
          <w:color w:val="auto"/>
        </w:rPr>
      </w:pPr>
      <w:r>
        <w:rPr>
          <w:rFonts w:ascii="Times New Roman" w:cs="Times New Roman" w:eastAsia="Times New Roman" w:hAnsi="Times New Roman"/>
          <w:sz w:val="14"/>
          <w:szCs w:val="14"/>
          <w:color w:val="auto"/>
        </w:rPr>
        <w:t>Pharmacy services are a universal need and ongoing connection point across medically complex populations. Our pharmacy services delivered into homes and community settings for complex patients are extremely different as compared to retail pharmacy, with more challenging customer and patient needs and service requirements. The average Senior fills approximately 52 medication prescriptions per year, while our average pharmacy patient is usually prescribed approximately nine medications at a given time, or at least two times more than the average Senior. As a result, medication appropriateness, accuracy, and adherence are critical points of emphasis for promoting the overall long-term health and well-being of patients. Non-adherence causes approximately 40% of chronic disease treatment failures and 125,000 deaths per year in the United States. Further, non-adherence costs $100 billion annually, according to the JAMDA study. We deliver on our goals with 99.99% order accuracy and 99.34% order completeness.</w:t>
      </w:r>
    </w:p>
    <w:p>
      <w:pPr>
        <w:spacing w:after="0" w:line="60"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There are numerous success factors that we believe are important for long-term sustainability in the pharmacy industry. First, large scale, which our pharmacy platform has and is characterized by, is of critical importance. We are able to leverage our large pharmacy scale in purchasing and all supplier contracting, in operating and fixed expenses, in payor contracting, in technology and systems, in sales and marketing and with brand reputation, in being able to address customer and growth opportunities in more markets, in driving synergies post acquisitions, and in leveraging best practices, for example, in operational, quality, and compliance oversight and human resources and people management. Second, the Company has historically targeted and served home and community pharmacy customers, patients, and channels as different from a retail strategy. We believe that these service settings and channels are more challenging to serve and present the opportunity for greater customization of offerings, differentiation, and value-add to customers. Third, and related to the customer types and channels that we serve in pharmacy, we most often provide our services through a local pharmacy and delivery model. Many of our customers require same day pharmacy service or in-person administration, and this geographical requirement can only be met through local, physical pharmacies. Fourth, many of our customers and patients have different and more significant clinical, educational, and reimbursement needs as compared to the general population’s retail medication profile, which must be addressed through particular expertise and high-touch customer and patient support vehicles and resources. Fifth, and also due to the different setting profile, heightened needs, and medication therapy profile of our patient base, there is an increased importance on service levels and quality measures in our specific pharmacy service types. Companies that outperform on service and quality in our pharmacy customer and patient channels have the opportunity to differentiate themselves in the market and with payors.</w:t>
      </w:r>
    </w:p>
    <w:p>
      <w:pPr>
        <w:spacing w:after="0" w:line="3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Infusion and Specialty Pharmacy</w:t>
      </w:r>
    </w:p>
    <w:p>
      <w:pPr>
        <w:spacing w:after="0" w:line="99"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We provide infused, injectable, and oral medication services in the home and clinic focused on pharmaceutical therapies that require expert administration and high-touch clinical services to patients by our pharmacists, registered nursing staff, and patient support teams. Infusion therapy services are a specialty form of pharmaceuticals that involve the intravenous administration of higher-cost, specially-handled medications that treat a wide range of acute and chronic health conditions, including, for example, infections, auto-immune illnesses, multiple sclerosis, hemophilia, and nutritional deficiencies. Oral and injectable medication therapies for complex disease management treat oncology, neurology, dermatology, cardiology, immunology, inflammatory, rare and orphan, and other conditions. Within oncology, as one of the leading independent specialty pharmacies in the United States, our services encompass clinical coordination, patient education, protocol compliance, patient assistance with insurance access and outside funding, and timely delivery of medication. Our certified oncology pharmacists are available 24/7 to provide support for patients and caregivers while working in close coordination with their physicians.</w:t>
      </w:r>
    </w:p>
    <w:p>
      <w:pPr>
        <w:spacing w:after="0" w:line="60" w:lineRule="exact"/>
        <w:rPr>
          <w:sz w:val="20"/>
          <w:szCs w:val="20"/>
          <w:color w:val="auto"/>
        </w:rPr>
      </w:pPr>
    </w:p>
    <w:p>
      <w:pPr>
        <w:jc w:val="both"/>
        <w:ind w:left="640" w:right="919" w:firstLine="351"/>
        <w:spacing w:after="0" w:line="292" w:lineRule="auto"/>
        <w:rPr>
          <w:sz w:val="20"/>
          <w:szCs w:val="20"/>
          <w:color w:val="auto"/>
        </w:rPr>
      </w:pPr>
      <w:r>
        <w:rPr>
          <w:rFonts w:ascii="Times New Roman" w:cs="Times New Roman" w:eastAsia="Times New Roman" w:hAnsi="Times New Roman"/>
          <w:sz w:val="14"/>
          <w:szCs w:val="14"/>
          <w:color w:val="auto"/>
        </w:rPr>
        <w:t>Our customer service and quality metrics are in-line with, or better than, our peers, such as time-to-first-fill (4.1 day average turnaround time, which is significantly lower than the industry average of 8.5 day average turnaround time), overall MPR (92.4%,</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 w:name="page11"/>
    <w:bookmarkEnd w:id="1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659"/>
        <w:spacing w:after="0" w:line="260" w:lineRule="auto"/>
        <w:rPr>
          <w:sz w:val="20"/>
          <w:szCs w:val="20"/>
          <w:color w:val="auto"/>
        </w:rPr>
      </w:pPr>
      <w:r>
        <w:rPr>
          <w:rFonts w:ascii="Times New Roman" w:cs="Times New Roman" w:eastAsia="Times New Roman" w:hAnsi="Times New Roman"/>
          <w:sz w:val="14"/>
          <w:szCs w:val="14"/>
          <w:color w:val="auto"/>
        </w:rPr>
        <w:t>which is significantly higher than the generally accepted 80% threshold for compliance, which is also the threshold set forth in the Company’s Blue Cross Blue Shield guarantee), and infusion patient satisfaction scores (94.3%, which is in-line with the 95.6% national average). We offer value-add services including technology integrations and real-time analytics for both suppliers and payors. As a result of our unique capabilities in serving pharmaceutical manufacturers and biotech companies, we have exclusive or preferred relationships in specialty oncology drugs, as manufacturers select our pharmacy – exclusively or as part of a group of a few other pharmacies – to distribute and support their therapies in the market. We currently have 149 limited distribution oncology drugs in the market with an additional 18 still to launch. There are 4 exclusive and 16 ultra-narrow drugs with limited pharmacy access. Further, there are meaningful new opportunities, such as $90 billion expected by 2032 in pharmaceutical industry revenue from oncology drugs not yet launched, drugs that will become generic over the next five years, and over 415 drug therapies in Phase III in the Infusion and Specialty Pharmacy pipeline.</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Home and Community Pharmacy</w:t>
      </w:r>
    </w:p>
    <w:p>
      <w:pPr>
        <w:spacing w:after="0" w:line="99"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Our home and community-based pharmacy solutions ensure that medications are accessible and clinically supported for patients outside of retail pharmacies. The Company’s footprint of pharmacies covers all 50 states with a localized model that features “white-glove” and customized programs and allows for faster response times and a better customer and patient experience. We service customer locations typically multiple times a day and 24/7 as needed, within a radius of approximately 100 miles of a pharmacy location. Our services focus on achieving leading medication availability, cost containment, and clinical and regulatory education and support for our customers, and they are designed to provide a consistent, best in-class experience for customers accompanied by local concierge support. Centralized intake and order entry drives consistency across operations and markets. Our pharmacy services are all customized to specific settings and patients among the Senior and Specialty populations served, for example whether a patient receiving our medications is in a senior living community, a behavioral group home, or a hospice patient in their own home.</w:t>
      </w:r>
    </w:p>
    <w:p>
      <w:pPr>
        <w:spacing w:after="0" w:line="63"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In addition to our very strong service delivery metrics, our pharmacy services and proprietary programs reduce drug costs to customers and patients, for example with a 99.95% generic efficiency rate (the percent of drugs dispensed as generic, when both brand and generic versions of a drug are available) and saving customers an average of $88 per therapeutic interchange. Our customers, supported by several thousand pharmacists, pharmacist consultants, and nurses, perform better than the national average, with our patients consistently outperforming non-patients on overall CMS quality measures. Moreover, we believe we have certain comparative strengths in this large and fragmented pharmacy market due to our large pharmacy scale – and associated drug purchasing capabilities and distribution reach–and robustness of proprietary and customized customer and patient support programs.</w:t>
      </w:r>
    </w:p>
    <w:p>
      <w:pPr>
        <w:spacing w:after="0" w:line="59" w:lineRule="exact"/>
        <w:rPr>
          <w:sz w:val="20"/>
          <w:szCs w:val="20"/>
          <w:color w:val="auto"/>
        </w:rPr>
      </w:pPr>
    </w:p>
    <w:p>
      <w:pPr>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In 2021, we launched CCRx, which is a longitudinal medication therapy and risk management program for home health patients, attempting to solve one of the biggest challenges and opportunities in healthcare, which is the ongoing management of complex patients in their homes to reduce adverse health events and hospitalizations. CCRx includes patient and home assessments, initial and ongoing medication review and reconciliation, user-friendly adherence packaging, direct patient engagement, and education by pharmacists and clinicians. The program was built for patients discharged from skilled nursing and rehabilitation facilities or hospitals, and/or patients going onto home health. Studies have shown that all-cause hospitalizations are higher in patients with poor medication adherence and that medication management associated issues are a leading cause of emergency room visits and hospitalizations. CCRx has been shown to reduce hospitalizations, and, as such, is a key enabler in managing patients in value-based care constructs. For example, the JAMDA study found that home health recipients who are enrolled in CCRx experience a 73.1% lower hospitalization rate than home health recipients who are not enrolled in CCRx.</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Provider Services</w:t>
      </w:r>
    </w:p>
    <w:p>
      <w:pPr>
        <w:spacing w:after="0" w:line="101"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We deliver a variety of impactful and valuable provider services to high-need, chronic, and complex patients in home and community settings. Following the Community Living divestiture, these services consist of clinical and supportive care to approximately 16,000 Senior and Specialty populations today, with both census for Home Health Care services specifically, and rehab hours served, having grown approximately 9% and 12% from December 2024 to December 2025, respectively. While the clinical services that we provide have demonstrated attractive volume growth over the past several years, supportive care services have also demonstrated stability and growth due to the valuable nature of these services that address activities of daily living and social determinants of health. Many of our provider patients also receive their pharmacy services through the Company, which helps to optimize their pharmacy and medication care and needs, simplify their experience, and improve their satisfaction. Our patient personal care satisfaction score for provider services patients was 4.59 out of 5.0, per an internal survey. We believe there is greater opportunity to provide integrated services to all of our patients in the future, as almost every one of the Company’s patients who receive provider services from us have a significant medication support need given their polypharmacy profile, and, vice versa, many of the patients we serve in pharmacy have multiple provider service needs, including, for example, home-based primary care, home health, and rehab. To this end, the Company has endeavored to build out home-based primary care over the last several years to coordinate patient services.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 w:name="page12"/>
    <w:bookmarkEnd w:id="1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719" w:firstLine="351"/>
        <w:spacing w:after="0" w:line="259" w:lineRule="auto"/>
        <w:rPr>
          <w:sz w:val="20"/>
          <w:szCs w:val="20"/>
          <w:color w:val="auto"/>
        </w:rPr>
      </w:pPr>
      <w:r>
        <w:rPr>
          <w:rFonts w:ascii="Times New Roman" w:cs="Times New Roman" w:eastAsia="Times New Roman" w:hAnsi="Times New Roman"/>
          <w:sz w:val="14"/>
          <w:szCs w:val="14"/>
          <w:color w:val="auto"/>
        </w:rPr>
        <w:t>There are numerous success factors that we believe are important for long-term sustainability in our provider services markets. First, we are able to leverage our investments in human resources and people management initiatives and best practices across the enterprise, including in recruiting scale and centralization, onboarding and training, and career paths. Second, quality and patient satisfaction are critical, and we are able to provide increased quality and compliance and operational oversight across all locations through additional regional and enterprise resources and functions. Third, we drive strong sales and marketing best practices across geographies to drive strong referral and volume growth rates. Fourth, we are able to drive economies of scale in supplier and payor contracting, in technology and systems, and in government affairs and advocacy. Fifth, the ability to address market opportunities and geographic coverage through de novo locations and tuck-in acquisitions that benefit from synergies adds value, which we have demonstrated. Moreover, provider services scale is perhaps the most important determinant of sustainability for a provider services business, as it enables a company to be able to execute on the aforementioned success factors. Complementary scale in the pharmacy business is additive to provider services quality and growth, as our pharmacy business’ presence and footprint across geographies provide for a base of integrated care patient opportunities.</w:t>
      </w:r>
    </w:p>
    <w:p>
      <w:pPr>
        <w:spacing w:after="0" w:line="63" w:lineRule="exact"/>
        <w:rPr>
          <w:sz w:val="20"/>
          <w:szCs w:val="20"/>
          <w:color w:val="auto"/>
        </w:rPr>
      </w:pPr>
    </w:p>
    <w:p>
      <w:pPr>
        <w:ind w:left="640" w:right="699" w:firstLine="516"/>
        <w:spacing w:after="0" w:line="259" w:lineRule="auto"/>
        <w:rPr>
          <w:sz w:val="20"/>
          <w:szCs w:val="20"/>
          <w:color w:val="auto"/>
        </w:rPr>
      </w:pPr>
      <w:r>
        <w:rPr>
          <w:rFonts w:ascii="Times New Roman" w:cs="Times New Roman" w:eastAsia="Times New Roman" w:hAnsi="Times New Roman"/>
          <w:sz w:val="14"/>
          <w:szCs w:val="14"/>
          <w:color w:val="auto"/>
        </w:rPr>
        <w:t>On January 17, 2025, we entered into a purchase agreement with National Mentor Holding, Inc. to divest the Company's community living services, home and community based waiver programs, and intermediate care facilities (the “Community Living business”), for $835 million, subject to typical adjustments for working capital and other customary items. The Company expects the divestiture to close in the first fiscal quarter of 2026, subject to customary closing conditions. This transaction provides for continuity of important intellectual and developmental disability services while the Company focuses on a concentrated group of customers, patients and stakeholders in the future. We believe the Company’s streamlined service offerings will result in increased strategic focus, operational efficiencies, a refined payor mix, and greater clinical integration and business synergy across the Provider Services segment. The divestiture will also augment the Company’s expected Revenue and Adjusted EBITDA growth rates and maximize exposure to target growth markets that require the Company's needed and valuable solutions, such as home health, rehab, primary care, and hospice. The Company has determined the divestiture of the Community Living business represents a strategic shift that will have a major effect on its business and therefore met the criteria for classifications as discontinued operations. The results of operations of Community Living are excluded from continuing operations in the Company's results of operations for the years ended December 31, 2025 and 2024.</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Home Health Care</w:t>
      </w:r>
    </w:p>
    <w:p>
      <w:pPr>
        <w:spacing w:after="0" w:line="99" w:lineRule="exact"/>
        <w:rPr>
          <w:sz w:val="20"/>
          <w:szCs w:val="20"/>
          <w:color w:val="auto"/>
        </w:rPr>
      </w:pPr>
    </w:p>
    <w:p>
      <w:pPr>
        <w:ind w:left="640" w:right="679" w:firstLine="351"/>
        <w:spacing w:after="0" w:line="258" w:lineRule="auto"/>
        <w:rPr>
          <w:sz w:val="20"/>
          <w:szCs w:val="20"/>
          <w:color w:val="auto"/>
        </w:rPr>
      </w:pPr>
      <w:r>
        <w:rPr>
          <w:rFonts w:ascii="Times New Roman" w:cs="Times New Roman" w:eastAsia="Times New Roman" w:hAnsi="Times New Roman"/>
          <w:sz w:val="14"/>
          <w:szCs w:val="14"/>
          <w:color w:val="auto"/>
        </w:rPr>
        <w:t>We provide patient-centric, highly skilled, and compassionate clinical care to Seniors and others in their homes. For Seniors and other patients recovering from surgery or illness or living with chronic diseases, we provide clinical home health care in the home. These services help patients avoid unnecessary hospitalizations, speed up recovery time, and allow people to stay and feel secure in their own homes, which they prefer. Over $40 billion in annual U.S. health care spending is attributed to hospital readmissions, and home health care can reduce 365-day post-discharge costs by more than $6,000 per patient, each per the American Journal of Medicine. We also provide physical, emotional, and spiritual comfort and support primarily for Senior patients with terminal illnesses and their families through our hospice services. Our services have also been shown to help manage end-of-life healthcare spending. Like patients receiving home health care, our interdisciplinary hospice teams tailor individualized plans for patients and their families based on a comprehensive understanding of their needs. Our hospice patients require important daily pharmacy support, which we deliver through our pharmacy services. We have a 9.4 HCI score, calculated using data from CMS provider reports for each of our providers, and we believe that our nurse-to-patient visit frequency and staffing ratio is well above industry averages, as demonstrated by the fact that across our hospice services, our average total visits per patient is 16.9 visits per month as compared to the national average of 15.6 visits per month. Additionally, on average, nursing visits per patient per month was 8.0 as compared to the national average of 7.2 visits per patient per month, which monthly average was based on a MedPac report in 2025. Additionally, for Seniors and others who require supportive care and activities of daily living support that address social determinants of health, including dietary and nutrition management and cognitive and social engagement, among others, we offer these daily or weekly services. We estimate that the average cost per day of supportive home care services is 90% less than hospital care, and as Medicare spends an average of three times more on older adults with functional limitations, we also believe that supportive care services will continue to become a focus for payors to help improve outcomes and delay or prevent unnecessary facility placement.</w:t>
      </w:r>
    </w:p>
    <w:p>
      <w:pPr>
        <w:spacing w:after="0" w:line="63"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We are continuing to build out specialized and different primary care capabilities through our home-based primary care medical home model and platform, which we view as central to the future of optimizing patient management, including patient experiences, outcomes, and cost. Many adverse health and/or medication events can be prevented through better understanding patients’ health and risk factors by managing and treating them in the environment where they reside with primary care. In doing so, home-based primary care is more patient-centered and incorporates patients’ specific objectives and goals. Home-based primary care pro-actively addresses gaps in care and triages health events in-place, when possible, thus mitigating avoidable emergency room visits and hospitalizations. Home-based primary care coordinates care and resources for patients in pulling together previously disparate information and contact points into one place for more coordinated and informed patient care. Our primary care clinicians, including physicians we directly employ in certain states, optimize clinical and care decisions as they see and manage both Seniors and Behavioral (including I/DD) patients in senior living communities, in individual homes and in group homes, in skilled nursing and rehabilitation facilities, as well</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 w:name="page13"/>
    <w:bookmarkEnd w:id="1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679"/>
        <w:spacing w:after="0" w:line="261" w:lineRule="auto"/>
        <w:rPr>
          <w:sz w:val="20"/>
          <w:szCs w:val="20"/>
          <w:color w:val="auto"/>
        </w:rPr>
      </w:pPr>
      <w:r>
        <w:rPr>
          <w:rFonts w:ascii="Times New Roman" w:cs="Times New Roman" w:eastAsia="Times New Roman" w:hAnsi="Times New Roman"/>
          <w:sz w:val="14"/>
          <w:szCs w:val="14"/>
          <w:color w:val="auto"/>
        </w:rPr>
        <w:t>as through transitional care visits after patients leave hospitals or skilled nursing facilities. By engaging with patients more frequently and where they live, the Company’s home-based primary care can mitigate health issues before they escalate further and conduct many applicable treatments and procedures in a home or community setting. Our home-based primary care has delivered leading quality outcomes, including a hospital readmission rate 35% less than the national average and with acute, chronic, and complex patients served still able to spend 360 days per year at home, significantly more than the Healthy Days at Home study of 6.6 million Medicare beneficiaries found, which reported that beneficiaries with three or more chronic conditions spent, on average, 333.7 days at home. For I/DD patients, we have seen reductions in hospitalizations and readmissions of 44% and 84%, respectively, since beginning home-based primary care services.</w:t>
      </w:r>
    </w:p>
    <w:p>
      <w:pPr>
        <w:spacing w:after="0" w:line="60"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In addition to many of our provider patients also receiving their pharmacy services from the Company, our patients often receive multiple in-home provider services from the Company to improve outcomes, including home-based primary care and home health or hospice and transitions from home health to hospice. In 2021, the Company implemented CCRx, which provides patients with a more coordinated experience and reduces risks through primary care expertise in the home soon after patient discharge and through optimized medication therapy management in an individual’s home. Within the last three years, the Company has built a Clinical (Nursing) Hub to be the contact and coordination point for patients, families, and their pharmacy and provider services. As more of our patients utilize the multiple needed services that they require and we provide, we pro-actively monitor patients and deploy triage tools through our Clinical (Nursing) Hub to address risks and optimize quality outcomes in real-time, particularly for higher risk patients. Within the Clinical (Nursing) Hub, we centralize on-call and tele-triage, perform high-risk patient monitoring and intervention, conduct “Aftercare” patient calls, and manage care coordination opportunities across the enterprise. We see significant potential for additional integrated care opportunities by leveraging our Home-Based Primary Care, CCRx, and Clinical (Nursing) Hub capabilities to support senior living communities, payors, our hospital partners and their patient discharges, and our skilled nursing and rehabilitation facility customers who alone discharge approximately 400,000 patients a year back into the community and their homes.</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Rehab Care</w:t>
      </w:r>
    </w:p>
    <w:p>
      <w:pPr>
        <w:spacing w:after="0" w:line="99" w:lineRule="exact"/>
        <w:rPr>
          <w:sz w:val="20"/>
          <w:szCs w:val="20"/>
          <w:color w:val="auto"/>
        </w:rPr>
      </w:pPr>
    </w:p>
    <w:p>
      <w:pPr>
        <w:ind w:left="640" w:right="839" w:firstLine="351"/>
        <w:spacing w:after="0" w:line="268" w:lineRule="auto"/>
        <w:rPr>
          <w:sz w:val="20"/>
          <w:szCs w:val="20"/>
          <w:color w:val="auto"/>
        </w:rPr>
      </w:pPr>
      <w:r>
        <w:rPr>
          <w:rFonts w:ascii="Times New Roman" w:cs="Times New Roman" w:eastAsia="Times New Roman" w:hAnsi="Times New Roman"/>
          <w:sz w:val="14"/>
          <w:szCs w:val="14"/>
          <w:color w:val="auto"/>
        </w:rPr>
        <w:t>Our Rehab Care services provide highly-skilled patient-centric clinical care to Senior and Specialty clients and patients living with age-related acute or chronic conditions, or recovering from a catastrophic neuro event (ABI/TBI or stroke) requiring intensive therapy. These services support individuals of all ages who need various forms of expert clinical care and therapy, including ABA therapies.</w:t>
      </w:r>
    </w:p>
    <w:p>
      <w:pPr>
        <w:spacing w:after="0" w:line="54" w:lineRule="exact"/>
        <w:rPr>
          <w:sz w:val="20"/>
          <w:szCs w:val="20"/>
          <w:color w:val="auto"/>
        </w:rPr>
      </w:pPr>
    </w:p>
    <w:p>
      <w:pPr>
        <w:ind w:left="640" w:right="739" w:firstLine="351"/>
        <w:spacing w:after="0" w:line="267" w:lineRule="auto"/>
        <w:rPr>
          <w:sz w:val="20"/>
          <w:szCs w:val="20"/>
          <w:color w:val="auto"/>
        </w:rPr>
      </w:pPr>
      <w:r>
        <w:rPr>
          <w:rFonts w:ascii="Times New Roman" w:cs="Times New Roman" w:eastAsia="Times New Roman" w:hAnsi="Times New Roman"/>
          <w:sz w:val="14"/>
          <w:szCs w:val="14"/>
          <w:color w:val="auto"/>
        </w:rPr>
        <w:t>We provide specialized, highly-skilled, and custom-designed rehabilitation services, including physical, speech and occupational therapy and ABA, for clients and patients of all ages with a range of injuries and conditions, including brain and spinal cord injuries, stroke, pediatric neuro conditions, and autism. Our programs are principally administered in individuals’ homes and are predominantly based on individual support and clinical care plans designed to encourage greater independence and manage medical conditions.</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Personal Care</w:t>
      </w:r>
    </w:p>
    <w:p>
      <w:pPr>
        <w:spacing w:after="0" w:line="99" w:lineRule="exact"/>
        <w:rPr>
          <w:sz w:val="20"/>
          <w:szCs w:val="20"/>
          <w:color w:val="auto"/>
        </w:rPr>
      </w:pPr>
    </w:p>
    <w:p>
      <w:pPr>
        <w:ind w:left="640" w:right="779" w:firstLine="322"/>
        <w:spacing w:after="0" w:line="268" w:lineRule="auto"/>
        <w:rPr>
          <w:sz w:val="20"/>
          <w:szCs w:val="20"/>
          <w:color w:val="auto"/>
        </w:rPr>
      </w:pPr>
      <w:r>
        <w:rPr>
          <w:rFonts w:ascii="Times New Roman" w:cs="Times New Roman" w:eastAsia="Times New Roman" w:hAnsi="Times New Roman"/>
          <w:sz w:val="14"/>
          <w:szCs w:val="14"/>
          <w:color w:val="auto"/>
        </w:rPr>
        <w:t>Our Personal Care services provide home care support that assist with activities of daily living. These services allow Seniors who require long-term care and assistance with activities of daily living to maintain their independence at home with their families. These supportive care activities address social determinants of health, including dietary and nutrition management and cognitive and social engagement, among others, and we offer these daily or weekly services.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Our Team and Culture</w:t>
      </w:r>
    </w:p>
    <w:p>
      <w:pPr>
        <w:spacing w:after="0" w:line="99"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believe an engaged, connected, and mission-driven team of employees across the Company is an essential component of our platform and growth strategy. Our dedicated clinicians, caregivers, field, corporate and other administrative support employees, managers, and leaders are the critical elements that have enabled us to build a differentiated healthcare platform of scale with strong quality outcomes and historical financial performance. We have a combination of long-standing employees at all levels who have worked together for years and talented newer employees that help to contribute best practices and innovation – all bringing a wealth of experience in healthcare.</w:t>
      </w:r>
    </w:p>
    <w:p>
      <w:pPr>
        <w:spacing w:after="0" w:line="58" w:lineRule="exact"/>
        <w:rPr>
          <w:sz w:val="20"/>
          <w:szCs w:val="20"/>
          <w:color w:val="auto"/>
        </w:rPr>
      </w:pPr>
    </w:p>
    <w:p>
      <w:pPr>
        <w:ind w:left="640" w:right="759" w:firstLine="351"/>
        <w:spacing w:after="0" w:line="263" w:lineRule="auto"/>
        <w:rPr>
          <w:sz w:val="20"/>
          <w:szCs w:val="20"/>
          <w:color w:val="auto"/>
        </w:rPr>
      </w:pPr>
      <w:r>
        <w:rPr>
          <w:rFonts w:ascii="Times New Roman" w:cs="Times New Roman" w:eastAsia="Times New Roman" w:hAnsi="Times New Roman"/>
          <w:sz w:val="14"/>
          <w:szCs w:val="14"/>
          <w:color w:val="auto"/>
        </w:rPr>
        <w:t>Our leadership team has driven a clearly defined vision and mission through the organization. It has fostered and developed a focus on quality, operational excellence, and growth across our enterprise, underpinned by strong people, efficient processes, and robust technology and data systems and applications. The Company has consistently innovated its service models to drive results and augment our positioning as a valuable partner to industry stakeholders. Our culture is at the heart of all we do, enabling execution of our strategies. Our commitment and passion for making a difference and helping people guides the way our care and services are delivered, one patient at a time.</w:t>
      </w:r>
    </w:p>
    <w:p>
      <w:pPr>
        <w:spacing w:after="0" w:line="58" w:lineRule="exact"/>
        <w:rPr>
          <w:sz w:val="20"/>
          <w:szCs w:val="20"/>
          <w:color w:val="auto"/>
        </w:rPr>
      </w:pPr>
    </w:p>
    <w:p>
      <w:pPr>
        <w:ind w:left="640" w:right="819" w:firstLine="351"/>
        <w:spacing w:after="0" w:line="292" w:lineRule="auto"/>
        <w:rPr>
          <w:sz w:val="20"/>
          <w:szCs w:val="20"/>
          <w:color w:val="auto"/>
        </w:rPr>
      </w:pPr>
      <w:r>
        <w:rPr>
          <w:rFonts w:ascii="Times New Roman" w:cs="Times New Roman" w:eastAsia="Times New Roman" w:hAnsi="Times New Roman"/>
          <w:sz w:val="14"/>
          <w:szCs w:val="14"/>
          <w:color w:val="auto"/>
        </w:rPr>
        <w:t>As a leading mission-driven and quality-focused health services organization, our employees are fundamental to our ability to maximize our impact in serving clients, patients, families, customers, referral sources and partners, and all healthcare stakeholders.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 w:name="page14"/>
    <w:bookmarkEnd w:id="1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819"/>
        <w:spacing w:after="0" w:line="292" w:lineRule="auto"/>
        <w:rPr>
          <w:sz w:val="20"/>
          <w:szCs w:val="20"/>
          <w:color w:val="auto"/>
        </w:rPr>
      </w:pPr>
      <w:r>
        <w:rPr>
          <w:rFonts w:ascii="Times New Roman" w:cs="Times New Roman" w:eastAsia="Times New Roman" w:hAnsi="Times New Roman"/>
          <w:sz w:val="14"/>
          <w:szCs w:val="14"/>
          <w:color w:val="auto"/>
        </w:rPr>
        <w:t>Focusing on the interests and development of our employees is a top priority, and our ability to attract and retain compassionate and skilled caregivers and pharmacy professionals, as well as talented functional and managerial staff, is fundamental to our future.</w:t>
      </w:r>
    </w:p>
    <w:p>
      <w:pPr>
        <w:spacing w:after="0" w:line="38" w:lineRule="exact"/>
        <w:rPr>
          <w:sz w:val="20"/>
          <w:szCs w:val="20"/>
          <w:color w:val="auto"/>
        </w:rPr>
      </w:pPr>
    </w:p>
    <w:p>
      <w:pPr>
        <w:ind w:left="640" w:right="779" w:firstLine="351"/>
        <w:spacing w:after="0" w:line="292" w:lineRule="auto"/>
        <w:rPr>
          <w:sz w:val="20"/>
          <w:szCs w:val="20"/>
          <w:color w:val="auto"/>
        </w:rPr>
      </w:pPr>
      <w:r>
        <w:rPr>
          <w:rFonts w:ascii="Times New Roman" w:cs="Times New Roman" w:eastAsia="Times New Roman" w:hAnsi="Times New Roman"/>
          <w:sz w:val="14"/>
          <w:szCs w:val="14"/>
          <w:color w:val="auto"/>
        </w:rPr>
        <w:t>Our LEGACY focus guides every member of our team to act as professionally and responsibly as possible with an attention to the following core behaviors:</w:t>
      </w:r>
    </w:p>
    <w:p>
      <w:pPr>
        <w:spacing w:after="0" w:line="36" w:lineRule="exact"/>
        <w:rPr>
          <w:sz w:val="20"/>
          <w:szCs w:val="20"/>
          <w:color w:val="auto"/>
        </w:rPr>
      </w:pPr>
    </w:p>
    <w:p>
      <w:pPr>
        <w:ind w:left="1340" w:hanging="352"/>
        <w:spacing w:after="0"/>
        <w:tabs>
          <w:tab w:leader="none" w:pos="1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L</w:t>
      </w:r>
      <w:r>
        <w:rPr>
          <w:rFonts w:ascii="Times New Roman" w:cs="Times New Roman" w:eastAsia="Times New Roman" w:hAnsi="Times New Roman"/>
          <w:sz w:val="14"/>
          <w:szCs w:val="14"/>
          <w:b w:val="1"/>
          <w:bCs w:val="1"/>
          <w:color w:val="auto"/>
        </w:rPr>
        <w:t xml:space="preserve">eadership: </w:t>
      </w:r>
      <w:r>
        <w:rPr>
          <w:rFonts w:ascii="Times New Roman" w:cs="Times New Roman" w:eastAsia="Times New Roman" w:hAnsi="Times New Roman"/>
          <w:sz w:val="14"/>
          <w:szCs w:val="14"/>
          <w:color w:val="auto"/>
        </w:rPr>
        <w:t>Everyone is a leader. Establish purpose and coach to make others better.</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E</w:t>
      </w:r>
      <w:r>
        <w:rPr>
          <w:rFonts w:ascii="Times New Roman" w:cs="Times New Roman" w:eastAsia="Times New Roman" w:hAnsi="Times New Roman"/>
          <w:sz w:val="14"/>
          <w:szCs w:val="14"/>
          <w:b w:val="1"/>
          <w:bCs w:val="1"/>
          <w:color w:val="auto"/>
        </w:rPr>
        <w:t xml:space="preserve">nvironment: </w:t>
      </w:r>
      <w:r>
        <w:rPr>
          <w:rFonts w:ascii="Times New Roman" w:cs="Times New Roman" w:eastAsia="Times New Roman" w:hAnsi="Times New Roman"/>
          <w:sz w:val="14"/>
          <w:szCs w:val="14"/>
          <w:color w:val="auto"/>
        </w:rPr>
        <w:t>Work together among a trusting team, and reward good performance.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G</w:t>
      </w:r>
      <w:r>
        <w:rPr>
          <w:rFonts w:ascii="Times New Roman" w:cs="Times New Roman" w:eastAsia="Times New Roman" w:hAnsi="Times New Roman"/>
          <w:sz w:val="14"/>
          <w:szCs w:val="14"/>
          <w:b w:val="1"/>
          <w:bCs w:val="1"/>
          <w:color w:val="auto"/>
        </w:rPr>
        <w:t xml:space="preserve">et Going: </w:t>
      </w:r>
      <w:r>
        <w:rPr>
          <w:rFonts w:ascii="Times New Roman" w:cs="Times New Roman" w:eastAsia="Times New Roman" w:hAnsi="Times New Roman"/>
          <w:sz w:val="14"/>
          <w:szCs w:val="14"/>
          <w:color w:val="auto"/>
        </w:rPr>
        <w:t>Think. Plan. Act. Take action to set and hit our goals.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At</w:t>
      </w:r>
      <w:r>
        <w:rPr>
          <w:rFonts w:ascii="Times New Roman" w:cs="Times New Roman" w:eastAsia="Times New Roman" w:hAnsi="Times New Roman"/>
          <w:sz w:val="14"/>
          <w:szCs w:val="14"/>
          <w:b w:val="1"/>
          <w:bCs w:val="1"/>
          <w:color w:val="auto"/>
        </w:rPr>
        <w:t xml:space="preserve">titude: </w:t>
      </w:r>
      <w:r>
        <w:rPr>
          <w:rFonts w:ascii="Times New Roman" w:cs="Times New Roman" w:eastAsia="Times New Roman" w:hAnsi="Times New Roman"/>
          <w:sz w:val="14"/>
          <w:szCs w:val="14"/>
          <w:color w:val="auto"/>
        </w:rPr>
        <w:t>Take a positive, can-do approach, because that is contagious.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C</w:t>
      </w:r>
      <w:r>
        <w:rPr>
          <w:rFonts w:ascii="Times New Roman" w:cs="Times New Roman" w:eastAsia="Times New Roman" w:hAnsi="Times New Roman"/>
          <w:sz w:val="14"/>
          <w:szCs w:val="14"/>
          <w:b w:val="1"/>
          <w:bCs w:val="1"/>
          <w:color w:val="auto"/>
        </w:rPr>
        <w:t xml:space="preserve">ommunication: </w:t>
      </w:r>
      <w:r>
        <w:rPr>
          <w:rFonts w:ascii="Times New Roman" w:cs="Times New Roman" w:eastAsia="Times New Roman" w:hAnsi="Times New Roman"/>
          <w:sz w:val="14"/>
          <w:szCs w:val="14"/>
          <w:color w:val="auto"/>
        </w:rPr>
        <w:t>Connect, coordinate, and collaborate, so that everyone is in the know.</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Y</w:t>
      </w:r>
      <w:r>
        <w:rPr>
          <w:rFonts w:ascii="Times New Roman" w:cs="Times New Roman" w:eastAsia="Times New Roman" w:hAnsi="Times New Roman"/>
          <w:sz w:val="14"/>
          <w:szCs w:val="14"/>
          <w:b w:val="1"/>
          <w:bCs w:val="1"/>
          <w:color w:val="auto"/>
        </w:rPr>
        <w:t xml:space="preserve">ou: </w:t>
      </w:r>
      <w:r>
        <w:rPr>
          <w:rFonts w:ascii="Times New Roman" w:cs="Times New Roman" w:eastAsia="Times New Roman" w:hAnsi="Times New Roman"/>
          <w:sz w:val="14"/>
          <w:szCs w:val="14"/>
          <w:color w:val="auto"/>
        </w:rPr>
        <w:t>Be an example. Stop and reflect. Set high standards, and note progress and wins.</w:t>
      </w:r>
    </w:p>
    <w:p>
      <w:pPr>
        <w:spacing w:after="0" w:line="99" w:lineRule="exact"/>
        <w:rPr>
          <w:sz w:val="20"/>
          <w:szCs w:val="20"/>
          <w:color w:val="auto"/>
        </w:rPr>
      </w:pPr>
    </w:p>
    <w:p>
      <w:pPr>
        <w:jc w:val="both"/>
        <w:ind w:left="640" w:right="739" w:firstLine="351"/>
        <w:spacing w:after="0" w:line="265" w:lineRule="auto"/>
        <w:rPr>
          <w:sz w:val="20"/>
          <w:szCs w:val="20"/>
          <w:color w:val="auto"/>
        </w:rPr>
      </w:pPr>
      <w:r>
        <w:rPr>
          <w:rFonts w:ascii="Times New Roman" w:cs="Times New Roman" w:eastAsia="Times New Roman" w:hAnsi="Times New Roman"/>
          <w:sz w:val="14"/>
          <w:szCs w:val="14"/>
          <w:color w:val="auto"/>
        </w:rPr>
        <w:t>These LEGACY standards show up in all areas of operations, including strategic planning, budgeting, quality and compliance, operations, sales and marketing, technology, management review systems, performance reviews, compensation, and promotions. We believe our culture supports our ability to operate at the highest levels to maximize our collective impact in fulfilling our mission and delivering critically needed care to our clients and patients in a high-quality way. If we do this, we believe that sound and responsible financial results will follow, which enable further investment in people, technology and continuous improvement efforts.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Operational Excellence</w:t>
      </w:r>
    </w:p>
    <w:p>
      <w:pPr>
        <w:spacing w:after="0" w:line="99"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Operational excellence is a focus of our Company. It is a key aspect of our performance, and we believe it will be a driver of our continued growth. Our senior leadership’s attention to how we operate and manage our services and enterprise support functions is reflected in continuous improvement efforts in both volume and cost efficiency related areas for improved results. In field operations, processes and teams are empowered with clear strategies and goals and managed from the local level up through regions, with key enterprise functions such as finance and accounting, revenue cycle, information technology, quality, compliance, human resources, legal, payroll, accounts payable, communications, sales and marketing, and government relations working to support front-line and field employees and managers to be as knowledgeable and impactful as possible. In addition to large finance and human resources organizations, dedicated PMO, IMO, and Procurement teams have been in place for the last nine years and serve as control functions, as they evaluate opportunities, drive continuous improvement projects, and support the execution of critical initiatives across all business and enterprise functions in the Company.</w:t>
      </w:r>
    </w:p>
    <w:p>
      <w:pPr>
        <w:spacing w:after="0" w:line="60"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Working collaboratively, these teams have a broad mandate and are empowered from the CEO office to support further growth and realize savings through new strategies to drive volume, people and culture enhancements, process improvements and operational efficiencies, synergy capture from acquisitions, and improved purchasing that leverages our scale. The implementation of our PMO-led continuous improvement program over the past nine years at the enterprise level has resulted in approximately $84.7 million of annual savings in 2025 (in addition to annual efficiencies and savings work throughout field operations) from improved processes and working smarter, and these efficiencies have been used to reinvest in employees (both existing employees through wages and benefits and new employees to support key strategies, innovation and infrastructure needs to further scale), quality, technology, and growth initiatives. Our cost initiatives have included various projects such as formulary product focus which then can lead to pricing improvements, delivery route optimization, and vehicle and mileage optimization among many other initiatives focused on reducing waste and improving costs in our network.</w:t>
      </w:r>
    </w:p>
    <w:p>
      <w:pPr>
        <w:spacing w:after="0" w:line="60"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have continued to make investments to improve the overall efficiency and workflow of our business and position ourselves for continued future growth. For example, investments in technology and information systems to support our businesses in recent years have included new and improved EMR and ERP systems across different pharmacy and provider services for continued usability improvements, quality objectives, sales and marketing strategies, enabling mobile and electronic visit verification, implementation of daily pay and other employee support applications, and enhancements to financial, revenue cycle, recruiting and training systems. Our cloud-based data lake (storage) and business intelligence (analytics) capabilities are now a single digital platform and set up to feed real-time quality, operational, and financial metrics tracking across the Company. We continue to explore and invest in automated technologies that are bringing additional efficiency and effectiveness in our processes.</w:t>
      </w:r>
    </w:p>
    <w:p>
      <w:pPr>
        <w:spacing w:after="0" w:line="60"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In 2020, we also completed the implementation of a financial systems transformation, including the implementation of Oracle Fusion and a new budgeting and forecasting system. Continued enhancements in revenue cycle systems and processes have included a new accounts receivable collections system to prioritize accounts and team activity and drive DSOs, implementation of our “One Touch” billing and collections program in pharmacy (to comparatively outperform for customers in a complicated industry billing environment using dedicated billing specialists assigned to facilities to proactively lower costs and optimize customer experiences), lockbox capability, and online bill pay. Employee and vendor initiatives have included payroll and accounts payable systems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4" w:name="page15"/>
    <w:bookmarkEnd w:id="1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759"/>
        <w:spacing w:after="0" w:line="261" w:lineRule="auto"/>
        <w:rPr>
          <w:sz w:val="20"/>
          <w:szCs w:val="20"/>
          <w:color w:val="auto"/>
        </w:rPr>
      </w:pPr>
      <w:r>
        <w:rPr>
          <w:rFonts w:ascii="Times New Roman" w:cs="Times New Roman" w:eastAsia="Times New Roman" w:hAnsi="Times New Roman"/>
          <w:sz w:val="14"/>
          <w:szCs w:val="14"/>
          <w:color w:val="auto"/>
        </w:rPr>
        <w:t>enhancements and conversions to automate field and people processes, a new enterprise recruiting, hiring and onboarding system, enhanced training systems and programs, introduction of an employee App, or OutReach, that also includes capability for employees to receive daily pay, and a new enterprise travel system to implement policy controls and bulk purchasing for better rates. In turn, we have continued to refine and leverage our scale with IT infrastructure consolidations and efficiencies and ongoing IT security investments in support of enterprise systems and data. Moreover, the Company is on a course to digitize as much information as possible and to automate all relevant processes and tasks possible, and we continue to identify opportunities to take advantage of robotic process automation, a discipline we introduced into the Company that has resulted in the automation of many rote, manual processes, saving time and freeing up employees for higher value-add activities.</w:t>
      </w:r>
    </w:p>
    <w:p>
      <w:pPr>
        <w:spacing w:after="0" w:line="60" w:lineRule="exact"/>
        <w:rPr>
          <w:sz w:val="20"/>
          <w:szCs w:val="20"/>
          <w:color w:val="auto"/>
        </w:rPr>
      </w:pPr>
    </w:p>
    <w:p>
      <w:pPr>
        <w:ind w:left="640" w:right="719" w:firstLine="351"/>
        <w:spacing w:after="0" w:line="260" w:lineRule="auto"/>
        <w:rPr>
          <w:sz w:val="20"/>
          <w:szCs w:val="20"/>
          <w:color w:val="auto"/>
        </w:rPr>
      </w:pPr>
      <w:r>
        <w:rPr>
          <w:rFonts w:ascii="Times New Roman" w:cs="Times New Roman" w:eastAsia="Times New Roman" w:hAnsi="Times New Roman"/>
          <w:sz w:val="14"/>
          <w:szCs w:val="14"/>
          <w:color w:val="auto"/>
        </w:rPr>
        <w:t>Quality and compliance are central to our strategies and mission. We have demonstrated leading and excellent service and customer/patient/family satisfaction scores across the organization, as referenced in prior and other sections of this Annual Report on Form 10-K. We continue to invest in quality and compliance resources with 208 enterprise oversight quality and compliance team members, who conduct approximately 350 additional, deep, and next-level audits annually, in addition to ongoing audits at the field operations level. This team also completes monthly record reviews of patient charts, leveraging electronic health records. We have over 550 pharmacies, branches/agencies, and service locations operated by agencies accredited by the leading national and third-party accreditation bodies, including ACHC, CHAP, Joint Commission, CARF, NABP, URAC, and BHCOE. The strength of our quality outcomes has also been validated in over thirty peer-reviewed scientific publications and presentations, and our work has been cited by other authors 122 times.</w:t>
      </w:r>
    </w:p>
    <w:p>
      <w:pPr>
        <w:spacing w:after="0" w:line="63"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Our continued build-out of Home-Based Primary Care, transitional care management programs, including CCRx, and Clinical (Nursing) Hub services should further optimize quality outcomes and help to reduce unnecessary ER visits and hospitalizations across all provider service lines, as they will increase transitional care and primary care visits in the homes of high-risk patients, centralize on-call and tele-triage, perform high-risk patient monitoring and intervention (utilizing telehealth), monitor home health and hospice utilization algorithms and bridging, conduct “Aftercare” patient calls, manage care coordination opportunities, and support CCRx with patient monitoring, touch points, and care services coordination as needed. These continued investments in innovation and quality resources should add capabilities to support evolved models of quality and payment initiatives with payors in value-based arrangements in the future.</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Our Competition</w:t>
      </w:r>
    </w:p>
    <w:p>
      <w:pPr>
        <w:spacing w:after="0" w:line="99" w:lineRule="exact"/>
        <w:rPr>
          <w:sz w:val="20"/>
          <w:szCs w:val="20"/>
          <w:color w:val="auto"/>
        </w:rPr>
      </w:pPr>
    </w:p>
    <w:p>
      <w:pPr>
        <w:ind w:left="640" w:right="679" w:firstLine="351"/>
        <w:spacing w:after="0" w:line="258" w:lineRule="auto"/>
        <w:rPr>
          <w:sz w:val="20"/>
          <w:szCs w:val="20"/>
          <w:color w:val="auto"/>
        </w:rPr>
      </w:pPr>
      <w:r>
        <w:rPr>
          <w:rFonts w:ascii="Times New Roman" w:cs="Times New Roman" w:eastAsia="Times New Roman" w:hAnsi="Times New Roman"/>
          <w:sz w:val="14"/>
          <w:szCs w:val="14"/>
          <w:color w:val="auto"/>
        </w:rPr>
        <w:t>The U.S. healthcare industry in which we operate is highly competitive. We compete with a broad and diverse set of businesses spanning both pharmacy and provider services. We operate in a highly competitive industry as well. Within our markets, we compete with businesses spanning both pharmacy and provider services markets. In our Pharmacy Solutions segment, we compete with local, regional, and national pharmacies. While no other company singularly competes with us across all of our pharmacy customers and patients, on a nationwide basis we compete with several companies depending on the patient type and related service offering. In our infusion and specialty pharmacy services, we compete in the large and fragmented home infusion and specialty pharmacy markets including Option Care Health, Inc., Coram CVS/specialty infusion services (a division of CVS Health), Accredo Health Group, Inc. (a unit of Cigna), Optum Specialty Pharmacy (a subsidiary of OptumRx, which is a unit of the UnitedHealth Group), and various regional and local providers. In our home and community pharmacy services, owners of senior living and skilled nursing and rehabilitation facilities may also provide pharmacy (and provider) services, and on a nationwide basis we compete with Omnicare, Inc., a division of CVS Health, and several others. In our Pharmacy Solutions segment, our continued success depends on our ability to attract and retain pharmacists and other pharmacy professionals. Competition for qualified pharmacists and other pharmacy professionals is robust. The inability to attract, retain, or motivate sufficient numbers of qualified pharmacy professionals could adversely affect our business. Although we have been able to meet our staffing requirements for pharmacists and other pharmacy professionals in the past, our inability to do so in the future would have a material adverse impact on us. In our Provider Services segment, we also compete for physicians, nurse practitioners, physician assistants, nurses, therapists, and other medical and non-medical personnel that we directly employ to provide healthcare services for our patients and to provide licensed medical services. We face significant competition in attracting and retaining these qualified providers.</w:t>
      </w:r>
    </w:p>
    <w:p>
      <w:pPr>
        <w:spacing w:after="0" w:line="64"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Our principal competitors in both of our segments vary considerably in type, identity, and size by market. Our business could be adversely affected if we are not able to continue to penetrate existing markets, successfully expand into new markets, maintain or establish new relationships with health plans and providers, recruit qualified employees, or if we experience significant customer attrition to our competitors. See “Risk Factors—Risks Related to Our Business.”</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Sales and Marketing</w:t>
      </w:r>
    </w:p>
    <w:p>
      <w:pPr>
        <w:spacing w:after="0" w:line="101" w:lineRule="exact"/>
        <w:rPr>
          <w:sz w:val="20"/>
          <w:szCs w:val="20"/>
          <w:color w:val="auto"/>
        </w:rPr>
      </w:pPr>
    </w:p>
    <w:p>
      <w:pPr>
        <w:ind w:left="640" w:right="739" w:firstLine="351"/>
        <w:spacing w:after="0" w:line="268" w:lineRule="auto"/>
        <w:rPr>
          <w:sz w:val="20"/>
          <w:szCs w:val="20"/>
          <w:color w:val="auto"/>
        </w:rPr>
      </w:pPr>
      <w:r>
        <w:rPr>
          <w:rFonts w:ascii="Times New Roman" w:cs="Times New Roman" w:eastAsia="Times New Roman" w:hAnsi="Times New Roman"/>
          <w:sz w:val="14"/>
          <w:szCs w:val="14"/>
          <w:color w:val="auto"/>
        </w:rPr>
        <w:t>In our Pharmacy Solutions segment, potential referral sources and customers include physicians and specialists (prescribers), hospitals, senior living providers, behavioral (I/DD and other) providers, hospice providers, skilled nursing and rehabilitation providers, pharmaceutical manufacturers, and other health providers. We receive substantially all of our Provider Services clients and patients through third-party referrals, including from healthcare providers, such as physicians, hospitals, skilled nursing and</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5" w:name="page16"/>
    <w:bookmarkEnd w:id="1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759"/>
        <w:spacing w:after="0" w:line="292" w:lineRule="auto"/>
        <w:rPr>
          <w:sz w:val="20"/>
          <w:szCs w:val="20"/>
          <w:color w:val="auto"/>
        </w:rPr>
      </w:pPr>
      <w:r>
        <w:rPr>
          <w:rFonts w:ascii="Times New Roman" w:cs="Times New Roman" w:eastAsia="Times New Roman" w:hAnsi="Times New Roman"/>
          <w:sz w:val="14"/>
          <w:szCs w:val="14"/>
          <w:color w:val="auto"/>
        </w:rPr>
        <w:t>rehabilitation facilities, assisted living facilities, state, county and city departments on aging, rehabilitation, mental health, behavioral health, and social services, MCOs, and other healthcare and social services providers, discharge planners, and case managers.</w:t>
      </w:r>
    </w:p>
    <w:p>
      <w:pPr>
        <w:spacing w:after="0" w:line="38"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All of our referral sources are generally made aware of the Company’s available in-home, clinic-based, or community-based pharmacy and provider services through our team of clinical/account liaisons, patient care coordinators, clinicians, and operators, as well as through traditional and digital marketing initiatives and inside inbound/outbounds call center teams. These individuals focus on initiating, building, and maintaining professional and trusting relationships underpinned by value-add and up-to-date education about client/patient conditions and needs, regulatory guidelines and client/patient eligibility, the benefit of relevant and authorized services, and our specific approach to care and outcomes. We also provide ongoing market development through education and outreach to the industries and in the communities we serve in order to inform referral sources and healthcare participants about federal, state and locally sponsored care options, the needs of different patient types, the benefits of our services, and to communicate our role in providing quality home and community-based health services. Our development teams work closely with referral source prescribers and providers to discuss their specific needs and our capabilities, including proprietary programs, clinical support, and performance measures.</w:t>
      </w:r>
    </w:p>
    <w:p>
      <w:pPr>
        <w:spacing w:after="0" w:line="232" w:lineRule="exact"/>
        <w:rPr>
          <w:sz w:val="20"/>
          <w:szCs w:val="20"/>
          <w:color w:val="auto"/>
        </w:rPr>
      </w:pPr>
    </w:p>
    <w:p>
      <w:pPr>
        <w:ind w:left="640" w:right="699" w:firstLine="351"/>
        <w:spacing w:after="0" w:line="259" w:lineRule="auto"/>
        <w:rPr>
          <w:sz w:val="20"/>
          <w:szCs w:val="20"/>
          <w:color w:val="auto"/>
        </w:rPr>
      </w:pPr>
      <w:r>
        <w:rPr>
          <w:rFonts w:ascii="Times New Roman" w:cs="Times New Roman" w:eastAsia="Times New Roman" w:hAnsi="Times New Roman"/>
          <w:sz w:val="14"/>
          <w:szCs w:val="14"/>
          <w:color w:val="auto"/>
        </w:rPr>
        <w:t>We have continued to invest in the leadership and personnel of our development teams across the organization by growing the number of team resources and broadening their geographic coverage, rolling out new and updated training curriculum and programs, and optimizing the use of time through targeting analytics. We have a specialized team of trade professionals that work with pharmaceutical manufacturers to understand their needs and pipeline of limited distribution drugs and construct programs to optimize the distribution, support, and usage of their products. We augment these teams through marketing resources that provide optimized educational content and tools and develop and manage market-specific education events and digital content and lead generation. We utilize customer relationship management, or CRM, technology tools to plan, track, and manage initiatives, activities, and results across teams. We have built an inside team to outreach and educate our target industries and who works in close coordination with the development and marketing teams. Our centralized communications team catalogues and publishes important ongoing news and events, as well as client/patient testimonials, and quality results and white papers, which have been published in many peer-reviewed journals. We also have a dedicated function in the organization that educates and advocates with policymakers at a higher level in partnership with industry associations and advocates, as champions for our clients/patients and employees.</w:t>
      </w:r>
    </w:p>
    <w:p>
      <w:pPr>
        <w:spacing w:after="0" w:line="63" w:lineRule="exact"/>
        <w:rPr>
          <w:sz w:val="20"/>
          <w:szCs w:val="20"/>
          <w:color w:val="auto"/>
        </w:rPr>
      </w:pPr>
    </w:p>
    <w:p>
      <w:pPr>
        <w:ind w:left="640" w:right="919" w:firstLine="351"/>
        <w:spacing w:after="0" w:line="263" w:lineRule="auto"/>
        <w:rPr>
          <w:sz w:val="20"/>
          <w:szCs w:val="20"/>
          <w:color w:val="auto"/>
        </w:rPr>
      </w:pPr>
      <w:r>
        <w:rPr>
          <w:rFonts w:ascii="Times New Roman" w:cs="Times New Roman" w:eastAsia="Times New Roman" w:hAnsi="Times New Roman"/>
          <w:sz w:val="14"/>
          <w:szCs w:val="14"/>
          <w:color w:val="auto"/>
        </w:rPr>
        <w:t>Over the past several years we have increasingly worked with key healthcare system stakeholders, such as health systems (hospitals) and payors, to develop new, direct, and value-add relationships that focus on patient experiences and quality, including ACOs and MCOs that contract with CMS and the states for the servicing of federal and state Medicare and Medicaid programs, respectively. We expect to work more directly with payors and at-risk providers in the future to mutually construct “win-win” programs and payment constructs that are based on quality and overall outcomes and driven by the Company’s blend of service offerings and innovative care management programs that we continue to build.</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Our Payors</w:t>
      </w:r>
    </w:p>
    <w:p>
      <w:pPr>
        <w:spacing w:after="0" w:line="99"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We are reimbursed for substantially all of our services by federal, state, and local government programs, such as Medicare, including Medicare Part D, and Medicaid state programs, MCOs and other state agencies. In addition, we are reimbursed by commercial insurance, PBMs, and private pay consumers. Our pharmacy services are also reimbursed directly by some skilled nursing and rehabilitation facilities, hospice providers, hospitals, and other provider customers. Depending on the type of service, coverage for services may be predicated on a case manager, physician or nurse determination that the care is necessary or on the development of a plan for care in the home.</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Medicare</w:t>
      </w:r>
    </w:p>
    <w:p>
      <w:pPr>
        <w:spacing w:after="0" w:line="101"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Medicare is a federal program that provides medical services to persons aged 65 or older and other qualified persons with disabilities or end-stage renal disease. Medicare Parts A (hospital insurance) and B (medical insurance) provide prescription drug coverage in certain circumstances, while the Part D prescription drug benefit covers many outpatient prescription drugs. For example, Medicare Part A may cover drugs for individuals in skilled nursing facilities that receive Medicare-covered skilled nursing care. Medicare Part B covers some outpatient prescription drugs and biologics provided through our pharmacy services in certain circumstances, such as injectable products administered incident to a physician service. Under the Managed Medicare program (also known as Medicare Part C, or Medicare Advantage), the federal government contracts with private health insurers to provide members with Medicare Part A, Part B and Part D benefits. All of our operations must comply with the extensive conditions of participation in the Medicare program in order to continue receiving Medicare reimbursement.</w:t>
      </w:r>
    </w:p>
    <w:p>
      <w:pPr>
        <w:spacing w:after="0" w:line="63"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For our patients and clients that receive certain home health benefits, effective January 1, 2020, CMS transitioned to 30-day periods of care within each 60-day certification of patient eligibility period and implemented the Patient-Driven Groupings Model, or PDGM, as the payment model for services provided to Medicare patients with dates of service on or after January 1, 2020. The PDGM replaced the case-mix system, which used the number of visits to determine payment, and classified patients based on clinical characteristics. The intent of the PDGM is to shift toward a value-based payment system and remove the incentive to overprovide</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6" w:name="page17"/>
    <w:bookmarkEnd w:id="1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719"/>
        <w:spacing w:after="0" w:line="265" w:lineRule="auto"/>
        <w:rPr>
          <w:sz w:val="20"/>
          <w:szCs w:val="20"/>
          <w:color w:val="auto"/>
        </w:rPr>
      </w:pPr>
      <w:r>
        <w:rPr>
          <w:rFonts w:ascii="Times New Roman" w:cs="Times New Roman" w:eastAsia="Times New Roman" w:hAnsi="Times New Roman"/>
          <w:sz w:val="14"/>
          <w:szCs w:val="14"/>
          <w:color w:val="auto"/>
        </w:rPr>
        <w:t>care. CMS updates the Home Health Prospective Payment System, or HH PPS, payment rates each calendar year. For calendar year 2025, HH PPS rates increased by 2.7%, which reflects a 3.2% market basket update, reduced by a multifactor productivity adjustment of 0.5% as well as permanent adjustments through authority CMS retains to achieve budget neutrality of the new PDGM system through calendar year 2026. Home health providers that do not comply with quality data reporting requirements are subject to a 2 percentage point reduction to their market basket update.</w:t>
      </w:r>
    </w:p>
    <w:p>
      <w:pPr>
        <w:spacing w:after="0" w:line="56" w:lineRule="exact"/>
        <w:rPr>
          <w:sz w:val="20"/>
          <w:szCs w:val="20"/>
          <w:color w:val="auto"/>
        </w:rPr>
      </w:pPr>
    </w:p>
    <w:p>
      <w:pPr>
        <w:ind w:left="640" w:right="679" w:firstLine="351"/>
        <w:spacing w:after="0" w:line="258" w:lineRule="auto"/>
        <w:rPr>
          <w:sz w:val="20"/>
          <w:szCs w:val="20"/>
          <w:color w:val="auto"/>
        </w:rPr>
      </w:pPr>
      <w:r>
        <w:rPr>
          <w:rFonts w:ascii="Times New Roman" w:cs="Times New Roman" w:eastAsia="Times New Roman" w:hAnsi="Times New Roman"/>
          <w:sz w:val="14"/>
          <w:szCs w:val="14"/>
          <w:color w:val="auto"/>
        </w:rPr>
        <w:t>Our Medicare beneficiaries who have a terminal illness and a life expectancy of six months or less may elect to receive hospice benefits in lieu of standard Medicare coverage for treatment. Hospice services are paid by Medicare as a daily rate for each day a patient is enrolled in the hospice benefit. Hospice payment rates increased by 2.6% for federal fiscal year 2026, which reflects a 3.3% market basket update with a 0.7% productivity reduction. CMS requires various providers, including hospice providers, to submit quality reporting data each year. Hospices that do not satisfy quality reporting requirements are subject to a 2 percentage point reduction to the market basket percentage update. Additionally, hospice companies are subject to two specific Medicare payment caps each hospice cap year (November 1 - October 31): the inpatient cap and the aggregate cap. The inpatient cap limits the number of inpatient care days (general inpatient and inpatient respite) for Medicare patients to no more than 20% of the total days of hospice care furnished to Medicare patients during the cap year. If a hospice exceeds the number of allowable inpatient care days, the hospice must refund any amounts received for inpatient care that exceed the total of: (i) the product of the total reimbursement paid to the hospice for inpatient care multiplied by the ratio of the maximum number of allowable inpatient days to the actual number of inpatient care days furnished by the hospice to Medicare patients; and (ii) the product of the number of actual inpatient days in excess of the limitation multiplied by the routine home care rate. The aggregate cap, which is calculated each federal fiscal year, limits the amount of Medicare reimbursement a hospice may receive based on an annual per-beneficiary cap amount and the number of Medicare patients served. If a hospice’s Medicare payments exceed its aggregate cap, it must repay Medicare for the excess amount. In federal fiscal years 2025 and 2026, the aggregate caps are $34,465.34 and $35,361.44, respectively.</w:t>
      </w:r>
    </w:p>
    <w:p>
      <w:pPr>
        <w:spacing w:after="0" w:line="66" w:lineRule="exact"/>
        <w:rPr>
          <w:sz w:val="20"/>
          <w:szCs w:val="20"/>
          <w:color w:val="auto"/>
        </w:rPr>
      </w:pPr>
    </w:p>
    <w:p>
      <w:pPr>
        <w:ind w:left="640" w:right="759" w:firstLine="351"/>
        <w:spacing w:after="0" w:line="261" w:lineRule="auto"/>
        <w:rPr>
          <w:sz w:val="20"/>
          <w:szCs w:val="20"/>
          <w:color w:val="auto"/>
        </w:rPr>
      </w:pPr>
      <w:r>
        <w:rPr>
          <w:rFonts w:ascii="Times New Roman" w:cs="Times New Roman" w:eastAsia="Times New Roman" w:hAnsi="Times New Roman"/>
          <w:sz w:val="14"/>
          <w:szCs w:val="14"/>
          <w:color w:val="auto"/>
        </w:rPr>
        <w:t>Our pharmacy services for eligible Medicare patients are reimbursed through the Medicare Part D program, which makes prescription drug coverage available to eligible Medicare beneficiaries. For our Medicare-eligible patients receiving pharmacy services, we primarily contract with PBMs, who contract with plan sponsors to administer and provide Medicare Part D prescription drug coverage. The Medicare Part D program regulates various aspects of the provision of Medicare drug coverage, including enrollment, formularies, pharmacy networks, marketing, and claims processing. CMS has imposed restrictions and consent requirements for automatic prescription delivery programs, and further limited the circumstances under which Medicare Part D plans may recoup payments to pharmacies for claims that are subsequently determined not payable under Medicare Part D. CMS sanctions for non-compliance may include suspension of enrollment and even termination from the program.</w:t>
      </w:r>
    </w:p>
    <w:p>
      <w:pPr>
        <w:spacing w:after="0" w:line="60"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The Medicare Part D program has undergone significant legislative and regulatory changes since its inception, which have had varying impacts on utilization and margin rates. Medicare Part D continues to attract a high degree of legislative and regulatory scrutiny, and applicable government rules and regulations continue to evolve. Accordingly, it is possible that regulatory oversight and legislative and regulatory developments, including changes to Medicare Part D program requirements and reductions in funding, could materially affect our Medicare Part D business, results of operations, or profitability.</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Medicaid Programs</w:t>
      </w:r>
    </w:p>
    <w:p>
      <w:pPr>
        <w:spacing w:after="0" w:line="101"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Medicaid is a state-administered program that provides certain medical, pharmacy and social services to qualified low-income individuals and is jointly funded by the federal government and individual states. Reimbursement rates and methods vary by state and service type but are typically based on an hourly or unit-of-service basis. Rates are subject to adjustment based on statutory and regulatory changes, administrative rulings, government funding limitations and interpretations of policy by individual state agencies. Within guidelines established by federal statutes and regulations, and subject to federal oversight, each state establishes its own eligibility standards, determines the type, amount, duration and scope of services, sets the rate of payment for services and administers its own program. States typically cover Medicaid beneficiaries for intermittent home health services as well as continuous services for children and young adults with complicated medical conditions and home and community-based services for seniors and people with disabilities. Pharmacy coverage is an optional benefit under federal Medicaid laws and regulations, but states typically provide coverage for outpatient prescription drugs for eligible individuals under state Medicaid programs and may also pay pharmacies directly for the drugs and supplies of eligible Medicaid members.</w:t>
      </w:r>
    </w:p>
    <w:p>
      <w:pPr>
        <w:spacing w:after="0" w:line="65"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Some states are moving the administration of their Medicaid personal care programs to MCOs. This transition is due to an overall desire to better manage the costs of the Medicaid long-term care programs. In addition, hospice and home health services are also reimbursed by MCOs in some states. Reimbursement from the MCOs for personal care services is generally on an hourly, fee-for-service basis with rates consistent with or as a percentage of the individual state funded rates. The Company has been increasing its source of reimbursement and revenue from incentive and quality-based contracts with payors and through ACO arrangements and partnerships. In addition to personal care services, we derive reimbursement for our pharmacy services from Medicaid for those Medicaid-eligible and paid patients. Medicaid prescription drug coverage and reimbursement varies by state and is based on the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7" w:name="page18"/>
    <w:bookmarkEnd w:id="1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640" w:right="819"/>
        <w:spacing w:after="0" w:line="274" w:lineRule="auto"/>
        <w:rPr>
          <w:sz w:val="20"/>
          <w:szCs w:val="20"/>
          <w:color w:val="auto"/>
        </w:rPr>
      </w:pPr>
      <w:r>
        <w:rPr>
          <w:rFonts w:ascii="Times New Roman" w:cs="Times New Roman" w:eastAsia="Times New Roman" w:hAnsi="Times New Roman"/>
          <w:sz w:val="14"/>
          <w:szCs w:val="14"/>
          <w:color w:val="auto"/>
        </w:rPr>
        <w:t>ingredient cost of the drug, which may depend on factors such as a drug’s acquisition cost and average sale price, and a professional dispensing fee, which may vary based on the type of medication (e.g., brand, generic, specialty, compounded medication) and other factors, such as annual prescription volume.</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Pharmacy Benefit Managers</w:t>
      </w:r>
    </w:p>
    <w:p>
      <w:pPr>
        <w:spacing w:after="0" w:line="101"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We have a large number of contracts with PBMs including Caremark, Optum, ESI, and Humana. PBMs are third-party administrators of prescription drug programs for commercial health plans, self-insured employer plans, Medicare Part D prescription drug plans, the Federal Employees Health Benefits Program, and state government employee plans. PBMs typically administer multiple prescription drug plans that provide for varying reimbursement rates. We contract directly with PBMs and other healthcare providers to provide our pharmacy services and derive a portion of our sales from prescription drug sales reimbursed through the prescription drug plans administered by PBMs. Our PBM contracts range from annual to multi-year contracts and expire at various times. If our contracts with one or more of these PBMs are terminated, restricted or subject to material adverse changes, such changes may have a material impact on the reimbursement we receive from the PBMs. PBM fees assessed to pharmacies by PBMs, which may be difficult to predict, may also adversely affect our profitability. There is also increased regulatory and legislative activity and scrutiny of PBMs and prescription drug costs at the federal and state levels that could lead to additional regulatory oversight, adverse legislative or regulatory developments or adverse impacts on our business, financial position, and results of operations.</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Other</w:t>
      </w:r>
    </w:p>
    <w:p>
      <w:pPr>
        <w:spacing w:after="0" w:line="101"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Healthcare provider pharmacy customers such as hospitals, skilled nursing and rehabilitation facilities, Behavioral (including I/DD) providers, hospice providers, and other healthcare services providers are direct payors for certain of our pharmacy services provided, and we have a large and diversified number of these contracts in place, which are either annual or multi-year and typically either fee-for-service or per diem in nature. Other sources of funding are available to support home and community-based healthcare services in different states and localities. In addition, many states appropriate general funds or special use funds through targeted taxes or lotteries to finance personal care services for senior citizens and individuals with disabilities. Depending on the state, these funds may be used to supplement existing Medicaid programs or for distinct programs that serve non-Medicaid eligible consumers. Any termination or material changes to these contracts or changes to the allocation of state funds or programs could affect our business, financial position, and results of operations.</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Commercial Insurance</w:t>
      </w:r>
    </w:p>
    <w:p>
      <w:pPr>
        <w:spacing w:after="0" w:line="101"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For patients receiving pharmacy services that are under commercial insurance coverage, we contract with many different commercial insurance plans and through PBMs for payment for their members’ pharmacy services. For certain provider services, most long-term care insurance policies contain benefits for in-home services. Policies are generally subject to dollar limitations on the amount of daily, weekly or monthly coverage provided. Any termination or material changes to such contracts could have a material impact on the reimbursement that we receive and our financial position and results of operations.</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Private Pay</w:t>
      </w:r>
    </w:p>
    <w:p>
      <w:pPr>
        <w:spacing w:after="0" w:line="101" w:lineRule="exact"/>
        <w:rPr>
          <w:sz w:val="20"/>
          <w:szCs w:val="20"/>
          <w:color w:val="auto"/>
        </w:rPr>
      </w:pPr>
    </w:p>
    <w:p>
      <w:pPr>
        <w:ind w:left="640" w:right="759" w:firstLine="351"/>
        <w:spacing w:after="0" w:line="274" w:lineRule="auto"/>
        <w:rPr>
          <w:sz w:val="20"/>
          <w:szCs w:val="20"/>
          <w:color w:val="auto"/>
        </w:rPr>
      </w:pPr>
      <w:r>
        <w:rPr>
          <w:rFonts w:ascii="Times New Roman" w:cs="Times New Roman" w:eastAsia="Times New Roman" w:hAnsi="Times New Roman"/>
          <w:sz w:val="14"/>
          <w:szCs w:val="14"/>
          <w:color w:val="auto"/>
        </w:rPr>
        <w:t>Our private pay services are provided on an hourly or type of services basis. Our rates are competitive with those of other local providers. We bill our private pay consumers for services rendered weekly, bi-monthly or monthly. Other private payors include workers’ compensation programs/insurance, preferred provider organizations, and employers.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Supply</w:t>
      </w:r>
    </w:p>
    <w:p>
      <w:pPr>
        <w:spacing w:after="0" w:line="99" w:lineRule="exact"/>
        <w:rPr>
          <w:sz w:val="20"/>
          <w:szCs w:val="20"/>
          <w:color w:val="auto"/>
        </w:rPr>
      </w:pPr>
    </w:p>
    <w:p>
      <w:pPr>
        <w:ind w:left="640" w:right="839" w:firstLine="351"/>
        <w:spacing w:after="0" w:line="265" w:lineRule="auto"/>
        <w:rPr>
          <w:sz w:val="20"/>
          <w:szCs w:val="20"/>
          <w:color w:val="auto"/>
        </w:rPr>
      </w:pPr>
      <w:r>
        <w:rPr>
          <w:rFonts w:ascii="Times New Roman" w:cs="Times New Roman" w:eastAsia="Times New Roman" w:hAnsi="Times New Roman"/>
          <w:sz w:val="14"/>
          <w:szCs w:val="14"/>
          <w:color w:val="auto"/>
        </w:rPr>
        <w:t>In our Pharmacy Solutions segment, we have purchased some of the generic and brand pharmaceuticals that we dispense through wholesaler and GPO agreements. In certain situations, we also purchase branded and generic pharmaceuticals directly from drug manufacturers. We have a sizable and experienced centralized procurement team that oversees inventory management and coordinates all purchasing across suppliers and vendors across the organization to leverage our scale and ensure optimal and cost-effective products.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99" w:lineRule="exact"/>
        <w:rPr>
          <w:sz w:val="20"/>
          <w:szCs w:val="20"/>
          <w:color w:val="auto"/>
        </w:rPr>
      </w:pPr>
    </w:p>
    <w:p>
      <w:pPr>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We rely on a combination of intellectual property laws, internal procedures, and contractual provisions to protect our intellectual property and proprietary rights. We believe our trademarks are valuable assets, including various trademarks and service marks registered with the U.S. Patent and Trademark Office.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8" w:name="page19"/>
    <w:bookmarkEnd w:id="1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Information Technology</w:t>
      </w:r>
    </w:p>
    <w:p>
      <w:pPr>
        <w:spacing w:after="0" w:line="99" w:lineRule="exact"/>
        <w:rPr>
          <w:sz w:val="20"/>
          <w:szCs w:val="20"/>
          <w:color w:val="auto"/>
        </w:rPr>
      </w:pPr>
    </w:p>
    <w:p>
      <w:pPr>
        <w:ind w:left="640" w:right="719" w:firstLine="351"/>
        <w:spacing w:after="0" w:line="260" w:lineRule="auto"/>
        <w:rPr>
          <w:sz w:val="20"/>
          <w:szCs w:val="20"/>
          <w:color w:val="auto"/>
        </w:rPr>
      </w:pPr>
      <w:r>
        <w:rPr>
          <w:rFonts w:ascii="Times New Roman" w:cs="Times New Roman" w:eastAsia="Times New Roman" w:hAnsi="Times New Roman"/>
          <w:sz w:val="14"/>
          <w:szCs w:val="14"/>
          <w:color w:val="auto"/>
        </w:rPr>
        <w:t>Our information technology systems are essential to our day-to-day operations as well as to our long-term growth strategies. Technology is integrated across all business functions throughout the organization, including in coding, eMARs/EHRs, clinical operations, pharmacy operations, billing and collections, compliance, human resources, payroll, accounts payable, purchasing, sales and marketing, management business reviews, and financial reporting and accounting functions. The focus of information technology for the Company is to provide for efficient workstreams and to strive to deliver real-time, accurate data and effective and secure solutions that enable our employees to perform their daily responsibilities of delivering services and care as best possible, while also determining new and innovative ways to improve both employee and patient experiences. We view information technology as a critical enabler of future results for the Company that must help support consistent, efficient processes and quality in a scaled organization with a large number of offices, customers, and patient service locations.</w:t>
      </w:r>
    </w:p>
    <w:p>
      <w:pPr>
        <w:spacing w:after="0" w:line="63"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Our technology capabilities are delivered through a combination of services that utilize third-party software-as-a-service, or SaaS, cloud-based solutions, provider hosted colocation, and on-premises systems. The ability to leverage these different delivery methods allows our Company to customize solutions that meet customers’ needs, support growth, leverage decision systems, and take advantage of evolving technology trends. Paramount in the delivery of all information technology services throughout the organization is a focus on data security and technology-based security solutions that protect the Company’s data with responsible stewardship and efforts to safeguard of data. We have continued to invest greater amounts into technology resources and systems that we believe are required, drive continuous improvement, and reflect leading infrastructure and applications standards in our industries, including investments in automation, digitization, standardization, and modernization initiatives.</w:t>
      </w:r>
    </w:p>
    <w:p>
      <w:pPr>
        <w:spacing w:after="0" w:line="60"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We will continue to drive new and innovative approaches to supporting our employees, clients, patients, customers, referral sources, payors, and all stakeholders through integrated technology solutions that help to optimize workflows, data/analytics sharing, and quality and cost outcomes. Over the past several years, we have deployed upgraded and new systems across clinical and compliance (e.g., eMARs/EHRs), pharmacy ERP, revenue cycle, finance, business intelligence, or BI, payroll, human resources, training, sales and marketing platforms, and employee connectivity applications. We are continuing to advance the integration of different systems across the enterprise, and by establishing an electronic lifecycle that supports a continuum of care for a patient. We are focused on continued improvements in the experience and quality of patient care, for example, in addressing healthcare industry challenges related to the navigation of multiple discharge/admissions processes, missing information from previous stages/sites of care, and connecting all patient care services. We believe we can provide a better patient and family experience during an individual’s progression of care through more coordinated care enabled by user-friendly technology.</w:t>
      </w:r>
    </w:p>
    <w:p>
      <w:pPr>
        <w:spacing w:after="0" w:line="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For more information regarding risks related to our information technology, see “Risk Factors—Risks Related to Our Business.”</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Employees and Human Capital Resources</w:t>
      </w:r>
    </w:p>
    <w:p>
      <w:pPr>
        <w:spacing w:after="0" w:line="99" w:lineRule="exact"/>
        <w:rPr>
          <w:sz w:val="20"/>
          <w:szCs w:val="20"/>
          <w:color w:val="auto"/>
        </w:rPr>
      </w:pPr>
    </w:p>
    <w:p>
      <w:pPr>
        <w:ind w:left="640" w:right="799" w:firstLine="351"/>
        <w:spacing w:after="0" w:line="260" w:lineRule="auto"/>
        <w:rPr>
          <w:sz w:val="20"/>
          <w:szCs w:val="20"/>
          <w:color w:val="auto"/>
        </w:rPr>
      </w:pPr>
      <w:r>
        <w:rPr>
          <w:rFonts w:ascii="Times New Roman" w:cs="Times New Roman" w:eastAsia="Times New Roman" w:hAnsi="Times New Roman"/>
          <w:sz w:val="14"/>
          <w:szCs w:val="14"/>
          <w:color w:val="auto"/>
        </w:rPr>
        <w:t>As a leading mission-driven and quality-focused health services organization, our valued employees are fundamental to our ability to maximize the Company’s impact in serving clients, patients, families, customers, referrals sources and partners, and all healthcare stakeholders. Focusing on the interests and development of our employees is a top priority, and our ability to attract and retain compassionate and skilled caregivers and pharmacy professionals, as well as talented functional and managerial staff, is fundamental to our future. We believe the team we have built across the Company, including managers and our dedicated clinicians, caregivers, employees, managers, and leaders, are the critical elements that have enabled us to build an industry leading and differentiated healthcare platform. We have approximately 500 human resources professionals in the Company supporting our businesses and enterprise functions, in groups and teams spanning recruiting, learning, training, organizational development, compensation and benefits, leadership development, M&amp;A integration, employee relations, HR compliance, HR information technology, and generalist HR activities and business partners.</w:t>
      </w:r>
    </w:p>
    <w:p>
      <w:pPr>
        <w:spacing w:after="0" w:line="60"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A key strategy of the Company is effectively recruiting, attracting, onboarding, and retaining well-qualified and motivated employees. We use a comprehensive mix of initiatives and tactics to accomplish this, including traditional recruiting resources, traditional media, community events, open houses, job fairs, mailings, digital media candidate lead generation, targeted outreach, and partnerships with job boards, colleges, and non-profits. We continue to focus on the hiring, onboarding, and training process to make it as streamlined and meaningful as possible, while also evaluating and implementing the most up-to-date technology assisted solutions, including those driven by AI. Our LEGACY culture and core behaviors focus on fostering good environments for our employees, healthy communication through real time feedback and collaboration, and positive attitudes and actions that are routinely recognized and rewarded by peers and leaders. As a result, our retention rates across our Company have continued to improve year-over-year. For example, we have had approximately 70% retention of clinical positions in home health care, hospice care, and rehab care from December 31, 2024 to December 31, 2025.</w:t>
      </w:r>
    </w:p>
    <w:p>
      <w:pPr>
        <w:spacing w:after="0" w:line="60" w:lineRule="exact"/>
        <w:rPr>
          <w:sz w:val="20"/>
          <w:szCs w:val="20"/>
          <w:color w:val="auto"/>
        </w:rPr>
      </w:pPr>
    </w:p>
    <w:p>
      <w:pPr>
        <w:ind w:left="640" w:right="739" w:firstLine="351"/>
        <w:spacing w:after="0" w:line="274" w:lineRule="auto"/>
        <w:rPr>
          <w:sz w:val="20"/>
          <w:szCs w:val="20"/>
          <w:color w:val="auto"/>
        </w:rPr>
      </w:pPr>
      <w:r>
        <w:rPr>
          <w:rFonts w:ascii="Times New Roman" w:cs="Times New Roman" w:eastAsia="Times New Roman" w:hAnsi="Times New Roman"/>
          <w:sz w:val="14"/>
          <w:szCs w:val="14"/>
          <w:color w:val="auto"/>
        </w:rPr>
        <w:t>Recognizing the importance of our employee base, we have consistently increased investments in compensation and benefits in support of our multi-faceted efforts to attract and retain people, as demonstrated by our compensation up over 50% in the last four years, and we offer innovative technology solutions to our employees that allow them the option to access their pay daily. We are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9" w:name="page20"/>
    <w:bookmarkEnd w:id="1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699"/>
        <w:spacing w:after="0" w:line="265" w:lineRule="auto"/>
        <w:rPr>
          <w:sz w:val="20"/>
          <w:szCs w:val="20"/>
          <w:color w:val="auto"/>
        </w:rPr>
      </w:pPr>
      <w:r>
        <w:rPr>
          <w:rFonts w:ascii="Times New Roman" w:cs="Times New Roman" w:eastAsia="Times New Roman" w:hAnsi="Times New Roman"/>
          <w:sz w:val="14"/>
          <w:szCs w:val="14"/>
          <w:color w:val="auto"/>
        </w:rPr>
        <w:t>continuing to broaden existing relationships that we have with nursing and other professional schools and build out more internal career pathways and talent pipeline programs (e.g., internships, high potential, and international programs) to each of our service lines to grow the pool of available, qualified candidates for rewarding professions and create higher-paying jobs for people through career paths. These career paths are designed to address many different roles in the Company, providing new skills, on-the-job training for employees to elevate their position and with opportunities for enhanced tuition programs to support our employees.</w:t>
      </w:r>
    </w:p>
    <w:p>
      <w:pPr>
        <w:spacing w:after="0" w:line="56"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As of December 31, 2025, we had over 23,500 full-time equivalent employees at the Company. Approximately 3,500 full-time equivalent employees are represented by labor unions. We maintain strong working relationships with these organizations, and we have numerous collective bargaining agreements in place, which are renegotiated from time to time. See “Risk Factors—Risks Related to Our Business—Our business may be harmed by labor relation matters.”</w:t>
      </w:r>
    </w:p>
    <w:p>
      <w:pPr>
        <w:spacing w:after="0" w:line="54" w:lineRule="exact"/>
        <w:rPr>
          <w:sz w:val="20"/>
          <w:szCs w:val="20"/>
          <w:color w:val="auto"/>
        </w:rPr>
      </w:pPr>
    </w:p>
    <w:p>
      <w:pPr>
        <w:ind w:left="640" w:right="779" w:firstLine="351"/>
        <w:spacing w:after="0" w:line="268" w:lineRule="auto"/>
        <w:rPr>
          <w:sz w:val="20"/>
          <w:szCs w:val="20"/>
          <w:color w:val="auto"/>
        </w:rPr>
      </w:pPr>
      <w:r>
        <w:rPr>
          <w:rFonts w:ascii="Times New Roman" w:cs="Times New Roman" w:eastAsia="Times New Roman" w:hAnsi="Times New Roman"/>
          <w:sz w:val="14"/>
          <w:szCs w:val="14"/>
          <w:color w:val="auto"/>
        </w:rPr>
        <w:t>Overall, we believe that we have a strong employee relations culture and an inclusive work environment with policies and procedures to maintain safe working conditions for all of our employees. Our Company has received numerous human resources and many people-related awards from external companies over the years, and we remain committed to executing on our vision to be the leading provider of health services in the United States and doing so through an engaged and stable workforce.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Regulation</w:t>
      </w:r>
    </w:p>
    <w:p>
      <w:pPr>
        <w:spacing w:after="0" w:line="99"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Our operations are subject to extensive federal, state, and local governmental laws and regulations. These laws and regulations require us to meet various standards relating to, among other things, arrangement and provision of covered healthcare services to our patients and customers, operation and management of provider and pharmacy solutions, dispensing of pharmaceuticals, the manner in which we provide and bill for services and collect reimbursement from governmental programs and private payors, arrangements with physicians and other licensed healthcare professionals, manufacturers and referral sources, facility licensure, personnel qualifications, and maintenance of proper records and quality assurance programs. If any of our operations are found to violate applicable laws or regulations, we could suffer severe consequences that would have a material adverse effect on our business, financial condition, results of operations, cash flows, reputation, and stock price, including:</w:t>
      </w:r>
    </w:p>
    <w:p>
      <w:pPr>
        <w:spacing w:after="0" w:line="60" w:lineRule="exact"/>
        <w:rPr>
          <w:sz w:val="20"/>
          <w:szCs w:val="20"/>
          <w:color w:val="auto"/>
        </w:rPr>
      </w:pPr>
    </w:p>
    <w:p>
      <w:pPr>
        <w:ind w:left="1340" w:hanging="352"/>
        <w:spacing w:after="0"/>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suspension, termination or exclusion of our participation in government payor programs;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our licenses required to operate provider and pharmacy solutions in the states in which we operate;</w:t>
      </w:r>
    </w:p>
    <w:p>
      <w:pPr>
        <w:spacing w:after="0" w:line="96" w:lineRule="exact"/>
        <w:rPr>
          <w:rFonts w:ascii="Times New Roman" w:cs="Times New Roman" w:eastAsia="Times New Roman" w:hAnsi="Times New Roman"/>
          <w:sz w:val="14"/>
          <w:szCs w:val="14"/>
          <w:color w:val="auto"/>
        </w:rPr>
      </w:pPr>
    </w:p>
    <w:p>
      <w:pPr>
        <w:ind w:left="1340" w:right="739" w:hanging="352"/>
        <w:spacing w:after="0" w:line="268" w:lineRule="auto"/>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criminal or civil liability, fines, damages or monetary penalties relating to healthcare fraud and abuse, including the Stark Law, the Anti-Kickback Statute, the Civil Monetary Penalties Statute, the False Claims Act and/or state analogs to these federal enforcement authorities, or violations of other regulatory requirements, including state corporate practice of medicine and fee splitting laws;</w:t>
      </w:r>
    </w:p>
    <w:p>
      <w:pPr>
        <w:spacing w:after="0" w:line="54" w:lineRule="exact"/>
        <w:rPr>
          <w:rFonts w:ascii="Times New Roman" w:cs="Times New Roman" w:eastAsia="Times New Roman" w:hAnsi="Times New Roman"/>
          <w:sz w:val="14"/>
          <w:szCs w:val="14"/>
          <w:color w:val="auto"/>
        </w:rPr>
      </w:pPr>
    </w:p>
    <w:p>
      <w:pPr>
        <w:ind w:left="1340" w:right="779" w:hanging="352"/>
        <w:spacing w:after="0" w:line="292" w:lineRule="auto"/>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mandated changes to our practices or procedures that significantly increase selling, general, and administrative expenses or decrease our revenue;</w:t>
      </w:r>
    </w:p>
    <w:p>
      <w:pPr>
        <w:spacing w:after="0" w:line="37" w:lineRule="exact"/>
        <w:rPr>
          <w:rFonts w:ascii="Times New Roman" w:cs="Times New Roman" w:eastAsia="Times New Roman" w:hAnsi="Times New Roman"/>
          <w:sz w:val="14"/>
          <w:szCs w:val="14"/>
          <w:color w:val="auto"/>
        </w:rPr>
      </w:pPr>
    </w:p>
    <w:p>
      <w:pPr>
        <w:ind w:left="1340" w:right="779" w:hanging="352"/>
        <w:spacing w:after="0" w:line="274" w:lineRule="auto"/>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imposition of and compliance with corporate integrity agreements or other agreements that could subject us to ongoing audits, corrective actions, and reporting requirements as well as increased scrutiny of our business practices which could lead to potential fines, among other things;</w:t>
      </w:r>
    </w:p>
    <w:p>
      <w:pPr>
        <w:spacing w:after="0" w:line="50" w:lineRule="exact"/>
        <w:rPr>
          <w:rFonts w:ascii="Times New Roman" w:cs="Times New Roman" w:eastAsia="Times New Roman" w:hAnsi="Times New Roman"/>
          <w:sz w:val="14"/>
          <w:szCs w:val="14"/>
          <w:color w:val="auto"/>
        </w:rPr>
      </w:pPr>
    </w:p>
    <w:p>
      <w:pPr>
        <w:ind w:left="1340" w:right="1079" w:hanging="352"/>
        <w:spacing w:after="0" w:line="292" w:lineRule="auto"/>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or restructuring of various relationships and/or contracts related to our business, including joint venture arrangements, contracts with government payors, and real estate leases;</w:t>
      </w:r>
    </w:p>
    <w:p>
      <w:pPr>
        <w:spacing w:after="0" w:line="37" w:lineRule="exact"/>
        <w:rPr>
          <w:rFonts w:ascii="Times New Roman" w:cs="Times New Roman" w:eastAsia="Times New Roman" w:hAnsi="Times New Roman"/>
          <w:sz w:val="14"/>
          <w:szCs w:val="14"/>
          <w:color w:val="auto"/>
        </w:rPr>
      </w:pPr>
    </w:p>
    <w:p>
      <w:pPr>
        <w:ind w:left="1340" w:right="1039" w:hanging="352"/>
        <w:spacing w:after="0" w:line="292" w:lineRule="auto"/>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and reinterpretation of rules and laws by a regulatory agency, legislature or court, such as state corporate practice of medicine laws, that could affect the structure and management of our business;</w:t>
      </w:r>
    </w:p>
    <w:p>
      <w:pPr>
        <w:spacing w:after="0" w:line="37" w:lineRule="exact"/>
        <w:rPr>
          <w:rFonts w:ascii="Times New Roman" w:cs="Times New Roman" w:eastAsia="Times New Roman" w:hAnsi="Times New Roman"/>
          <w:sz w:val="14"/>
          <w:szCs w:val="14"/>
          <w:color w:val="auto"/>
        </w:rPr>
      </w:pPr>
    </w:p>
    <w:p>
      <w:pPr>
        <w:ind w:left="1340" w:right="919" w:hanging="352"/>
        <w:spacing w:after="0" w:line="292" w:lineRule="auto"/>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adjustments to government payment models including, but not limited to, Medicare Parts A, B, C, and D and Medicaid;</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admissions bans, admissions holds, application denial periods, or reductions in census; and</w:t>
      </w:r>
    </w:p>
    <w:p>
      <w:pPr>
        <w:spacing w:after="0" w:line="96" w:lineRule="exact"/>
        <w:rPr>
          <w:rFonts w:ascii="Times New Roman" w:cs="Times New Roman" w:eastAsia="Times New Roman" w:hAnsi="Times New Roman"/>
          <w:sz w:val="14"/>
          <w:szCs w:val="14"/>
          <w:color w:val="auto"/>
        </w:rPr>
      </w:pPr>
    </w:p>
    <w:p>
      <w:pPr>
        <w:ind w:left="1340" w:right="779" w:hanging="352"/>
        <w:spacing w:after="0" w:line="274" w:lineRule="auto"/>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harm to our reputation, which could negatively impact our business relationships, the terms of government payor contracts, our ability to attract and retain patients, customers and referral sources, our ability to obtain financing, and our access to new business opportunities, among other things.</w:t>
      </w:r>
    </w:p>
    <w:p>
      <w:pPr>
        <w:spacing w:after="0" w:line="50" w:lineRule="exact"/>
        <w:rPr>
          <w:sz w:val="20"/>
          <w:szCs w:val="20"/>
          <w:color w:val="auto"/>
        </w:rPr>
      </w:pPr>
    </w:p>
    <w:p>
      <w:pPr>
        <w:ind w:left="640" w:right="779" w:firstLine="351"/>
        <w:spacing w:after="0" w:line="265" w:lineRule="auto"/>
        <w:rPr>
          <w:sz w:val="20"/>
          <w:szCs w:val="20"/>
          <w:color w:val="auto"/>
        </w:rPr>
      </w:pPr>
      <w:r>
        <w:rPr>
          <w:rFonts w:ascii="Times New Roman" w:cs="Times New Roman" w:eastAsia="Times New Roman" w:hAnsi="Times New Roman"/>
          <w:sz w:val="14"/>
          <w:szCs w:val="14"/>
          <w:color w:val="auto"/>
        </w:rPr>
        <w:t>We expect that our industries will continue to be subject to substantial regulation, the scope and effect of which are difficult to predict. Our activities could be subject to investigations, audits, and inquiries by various government and regulatory agencies with whom we contract at any time in the future, including as a result of self-disclosures or self-reported non-compliance. In the past, government and regulatory agencies have taken measures against us and our facilities as a result of non-compliance with applicable laws and regulations. See “Risk Factors—Risks Related to Our Regulatory Framework.”</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0" w:name="page21"/>
    <w:bookmarkEnd w:id="2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Anti-Kickback Statute</w:t>
      </w:r>
    </w:p>
    <w:p>
      <w:pPr>
        <w:spacing w:after="0" w:line="101" w:lineRule="exact"/>
        <w:rPr>
          <w:sz w:val="20"/>
          <w:szCs w:val="20"/>
          <w:color w:val="auto"/>
        </w:rPr>
      </w:pPr>
    </w:p>
    <w:p>
      <w:pPr>
        <w:ind w:left="640" w:right="759" w:firstLine="351"/>
        <w:spacing w:after="0" w:line="265" w:lineRule="auto"/>
        <w:rPr>
          <w:sz w:val="20"/>
          <w:szCs w:val="20"/>
          <w:color w:val="auto"/>
        </w:rPr>
      </w:pPr>
      <w:r>
        <w:rPr>
          <w:rFonts w:ascii="Times New Roman" w:cs="Times New Roman" w:eastAsia="Times New Roman" w:hAnsi="Times New Roman"/>
          <w:sz w:val="14"/>
          <w:szCs w:val="14"/>
          <w:color w:val="auto"/>
        </w:rPr>
        <w:t>The Anti-Kickback Statute prohibits, among other things, knowingly and willfully offering, paying, soliciting or receiving remuneration, directly or indirectly, in cash or kind, to induce or reward either the referral of an individual for, or the purchase, order or recommendation of, any good or service, for which payment may be made under federal and state healthcare programs such as Medicare and Medicaid. A person does not need to have actual knowledge of the Anti-Kickback Statute or have the specific intent to violate it.</w:t>
      </w:r>
    </w:p>
    <w:p>
      <w:pPr>
        <w:spacing w:after="0" w:line="56"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Federal criminal penalties for the violation of the Anti-Kickback Statute include imprisonment, fines, and exclusion of the provider from future participation in federal healthcare programs, including Medicare and Medicaid. Violations of the Anti-Kickback Statute are punishable by imprisonment for up to ten years, criminal fines of up to $100,000 per kickback or both. Larger fines can be imposed upon corporations under the provisions of the U.S. Sentencing Guidelines and the Alternate Fines Statute. Individuals and entities convicted of violating the Anti-Kickback Statute are subject to mandatory exclusion from participation in Medicare, Medicaid, and other federal healthcare programs for a minimum of five years in the case of criminal conviction. Civil penalties for violation of the Anti-Kickback Statute include up to $127,973 in monetary penalties per violation, repayments of up to three times the amount of the remuneration between the parties and potential exclusion from participation in Medicare and Medicaid. Court decisions have held that the statute may be violated even if only one purpose of remuneration is to induce referrals.</w:t>
      </w:r>
    </w:p>
    <w:p>
      <w:pPr>
        <w:spacing w:after="0" w:line="63" w:lineRule="exact"/>
        <w:rPr>
          <w:sz w:val="20"/>
          <w:szCs w:val="20"/>
          <w:color w:val="auto"/>
        </w:rPr>
      </w:pPr>
    </w:p>
    <w:p>
      <w:pPr>
        <w:ind w:left="640" w:right="819" w:firstLine="351"/>
        <w:spacing w:after="0" w:line="260" w:lineRule="auto"/>
        <w:rPr>
          <w:sz w:val="20"/>
          <w:szCs w:val="20"/>
          <w:color w:val="auto"/>
        </w:rPr>
      </w:pPr>
      <w:r>
        <w:rPr>
          <w:rFonts w:ascii="Times New Roman" w:cs="Times New Roman" w:eastAsia="Times New Roman" w:hAnsi="Times New Roman"/>
          <w:sz w:val="14"/>
          <w:szCs w:val="14"/>
          <w:color w:val="auto"/>
        </w:rPr>
        <w:t>The Anti-Kickback Statute includes statutory exceptions and regulatory safe harbors that protect certain arrangements. These exceptions and safe harbors are voluntary. Business transactions and arrangements that are structured to comply fully with an applicable safe harbor do not violate the Anti-Kickback Statute. However, transactions and arrangements that do not satisfy all elements of a relevant safe harbor do not necessarily violate the law. When an arrangement does not satisfy a safe harbor, the arrangement must be evaluated on a case-by-case basis in light of the parties’ intent and the arrangement’s potential for abuse. Arrangements that do not satisfy a safe harbor may be subject to greater scrutiny by enforcement agencies. For example, we have a dedicated recruiting team whose job functions include recruiting licensed professionals to provide quality care to our patients. From time to time, this team may award sign-on, retention, and other discretionary bonuses to attract, reward, or retain talent. We believe such bonuses and employment agreements are consistent with a safe harbor provision designed to protect payments made to employees, but a governmental or regulatory authority or private party may take a contrary position.</w:t>
      </w:r>
    </w:p>
    <w:p>
      <w:pPr>
        <w:spacing w:after="0" w:line="60" w:lineRule="exact"/>
        <w:rPr>
          <w:sz w:val="20"/>
          <w:szCs w:val="20"/>
          <w:color w:val="auto"/>
        </w:rPr>
      </w:pPr>
    </w:p>
    <w:p>
      <w:pPr>
        <w:ind w:left="640" w:right="799" w:firstLine="351"/>
        <w:spacing w:after="0" w:line="268" w:lineRule="auto"/>
        <w:rPr>
          <w:sz w:val="20"/>
          <w:szCs w:val="20"/>
          <w:color w:val="auto"/>
        </w:rPr>
      </w:pPr>
      <w:r>
        <w:rPr>
          <w:rFonts w:ascii="Times New Roman" w:cs="Times New Roman" w:eastAsia="Times New Roman" w:hAnsi="Times New Roman"/>
          <w:sz w:val="14"/>
          <w:szCs w:val="14"/>
          <w:color w:val="auto"/>
        </w:rPr>
        <w:t>CMS and the HHS OIG published final regulations in 2020 that addressed concerns regarding compensation arrangements between parties that participate in alternative payment models and novel financial arrangements that potentially implicated the Anti-Kickback Statute and the Stark Law. These regulations modified existing Anti-Kickback Statute safe harbors and created new safe harbors and exceptions that may impact our business, results of operations, and financial condition.</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Stark Law</w:t>
      </w:r>
    </w:p>
    <w:p>
      <w:pPr>
        <w:spacing w:after="0" w:line="101" w:lineRule="exact"/>
        <w:rPr>
          <w:sz w:val="20"/>
          <w:szCs w:val="20"/>
          <w:color w:val="auto"/>
        </w:rPr>
      </w:pPr>
    </w:p>
    <w:p>
      <w:pPr>
        <w:jc w:val="both"/>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The Stark Law generally prohibits a physician who has (or whose immediate family member has) a financial relationship with a provider from making referrals to that entity for “designated health services” if payment for the services may be made under Medicare or Medicaid. If such a financial relationship exists, referrals are prohibited unless a statutory or regulatory exception is available.</w:t>
      </w:r>
    </w:p>
    <w:p>
      <w:pPr>
        <w:spacing w:after="0" w:line="2" w:lineRule="exact"/>
        <w:rPr>
          <w:sz w:val="20"/>
          <w:szCs w:val="20"/>
          <w:color w:val="auto"/>
        </w:rPr>
      </w:pPr>
    </w:p>
    <w:p>
      <w:pPr>
        <w:ind w:left="640" w:right="679"/>
        <w:spacing w:after="0" w:line="257" w:lineRule="auto"/>
        <w:rPr>
          <w:sz w:val="20"/>
          <w:szCs w:val="20"/>
          <w:color w:val="auto"/>
        </w:rPr>
      </w:pPr>
      <w:r>
        <w:rPr>
          <w:rFonts w:ascii="Times New Roman" w:cs="Times New Roman" w:eastAsia="Times New Roman" w:hAnsi="Times New Roman"/>
          <w:sz w:val="14"/>
          <w:szCs w:val="14"/>
          <w:color w:val="auto"/>
        </w:rPr>
        <w:t>“Designated health services” include clinical laboratory services, inpatient and outpatient hospital services, physical and occupational therapy services, outpatient speech-language pathology services, certain radiology services, radiation therapy services and supplies, durable medical equipment and supplies, parenteral and enteral nutrients equipment and supplies, prosthetics, orthotics and prosthetic devices and supplies, home health services, and outpatient prescription drugs. The types of financial arrangements between a physician and an entity providing designated health services that trigger the self-referral prohibitions of the Stark Law are broad and include direct and indirect ownership and investment interests and compensation arrangements. The Stark Law prohibits any entity providing designated health services that has received a prohibited referral from presenting, or causing to be presented, a claim or billing for the services arising out of the prohibited referral. Similarly, the Stark Law prohibits an entity from “furnishing” a designated health service to another entity in which it has a financial relationship when that entity bills for the service. The prohibition applies regardless of the reasons for the financial relationship and the referral. Unlike the Anti-Kickback Statute, the Stark Law is a strict liability statute where unlawful intent need not be demonstrated.</w:t>
      </w:r>
    </w:p>
    <w:p>
      <w:pPr>
        <w:spacing w:after="0" w:line="66"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If the Stark Law is implicated, the financial relationship must fully satisfy a Stark Law exception. If an exception is not satisfied, then the parties to the arrangement could be subject to sanctions. Sanctions for violation of the Stark Law include denial of payment for claims for services provided in violation of the prohibition, refunds of amounts collected in violation of the prohibition, a civil penalty of up to $29,899 for each service arising out of the prohibited referral, a civil penalty of up to $199,338 against parties that enter into a scheme to circumvent the Stark Law prohibition, civil assessment of up to three times the amount claimed and potential exclusion from the federal healthcare programs, including Medicare and Medicaid. Amounts collected on claims related to prohibited referrals must be reported and refunded generally within 60 days after the date on which the overpayment was identified. Furthermore, Stark Law violations and failure to return overpayments in a timely manner can form the basis for liability under the False Claims Act, as discussed below. If CMS or other regulatory or enforcement authorities determine that claims have been submitted for referrals by us that violate the Stark Law, we would be subject to the penalties described above.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1" w:name="page22"/>
    <w:bookmarkEnd w:id="2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759" w:firstLine="351"/>
        <w:spacing w:after="0" w:line="265" w:lineRule="auto"/>
        <w:rPr>
          <w:sz w:val="20"/>
          <w:szCs w:val="20"/>
          <w:color w:val="auto"/>
        </w:rPr>
      </w:pPr>
      <w:r>
        <w:rPr>
          <w:rFonts w:ascii="Times New Roman" w:cs="Times New Roman" w:eastAsia="Times New Roman" w:hAnsi="Times New Roman"/>
          <w:sz w:val="14"/>
          <w:szCs w:val="14"/>
          <w:color w:val="auto"/>
        </w:rPr>
        <w:t>CMS and the HHS OIG published final regulations that established exceptions to the Stark Law for certain value-based compensation arrangements between or among physicians, providers, and suppliers. The regulations also created a new exception for arrangements under which a physician receives limited remuneration for items or services actually provided by the physician, established a new exception for donations of cybersecurity technology and related services, and amended an exception for electronic health records items and services. These regulations may impact our business, results of operations and financial condition.</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Fraud and Abuse under State Law</w:t>
      </w:r>
    </w:p>
    <w:p>
      <w:pPr>
        <w:spacing w:after="0" w:line="101"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Some states have laws prohibiting physicians from having financial interests in or with healthcare facilities to which they refer patients. States also have laws similar to or stricter than the Anti-Kickback Statute that may affect our ability to enter into financial relationships with certain entities or individuals. Some state anti-kickback laws also include civil and criminal penalties. Some of these laws include exemptions that may be applicable to our physician relationships or for financial interests limited to shares of publicly traded stock. Some, however, may include no explicit exemption for certain types of agreements and/or relationships entered into with physicians. If these laws are interpreted to apply to physicians who hold equity interests in our pharmacies and/or centers or to physicians who hold our publicly traded stock, and for which no applicable exception exists, we may be required to terminate or restructure our relationships with these physicians and could be subject to criminal, civil, and administrative sanctions, refund requirements, and exclusions from government healthcare programs, including Medicare and Medicaid, which could have a material adverse effect on our business, results of operations, financial condition, cash flows, reputation, and stock price.</w:t>
      </w:r>
    </w:p>
    <w:p>
      <w:pPr>
        <w:spacing w:after="0" w:line="60" w:lineRule="exact"/>
        <w:rPr>
          <w:sz w:val="20"/>
          <w:szCs w:val="20"/>
          <w:color w:val="auto"/>
        </w:rPr>
      </w:pPr>
    </w:p>
    <w:p>
      <w:pPr>
        <w:ind w:left="640" w:right="799" w:firstLine="351"/>
        <w:spacing w:after="0" w:line="274" w:lineRule="auto"/>
        <w:rPr>
          <w:sz w:val="20"/>
          <w:szCs w:val="20"/>
          <w:color w:val="auto"/>
        </w:rPr>
      </w:pPr>
      <w:r>
        <w:rPr>
          <w:rFonts w:ascii="Times New Roman" w:cs="Times New Roman" w:eastAsia="Times New Roman" w:hAnsi="Times New Roman"/>
          <w:sz w:val="14"/>
          <w:szCs w:val="14"/>
          <w:color w:val="auto"/>
        </w:rPr>
        <w:t>Similarly, states have beneficiary inducement prohibitions and consumer protection laws that may be triggered by the offering of inducements, incentives, and other forms of remuneration to patients and prospective patients. Violations range from civil to criminal and could have a material adverse effect on our business, results of operations, and financial condition.</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False Claims Act</w:t>
      </w:r>
    </w:p>
    <w:p>
      <w:pPr>
        <w:spacing w:after="0" w:line="101" w:lineRule="exact"/>
        <w:rPr>
          <w:sz w:val="20"/>
          <w:szCs w:val="20"/>
          <w:color w:val="auto"/>
        </w:rPr>
      </w:pPr>
    </w:p>
    <w:p>
      <w:pPr>
        <w:jc w:val="both"/>
        <w:ind w:left="640" w:right="779" w:firstLine="351"/>
        <w:spacing w:after="0" w:line="274" w:lineRule="auto"/>
        <w:rPr>
          <w:sz w:val="20"/>
          <w:szCs w:val="20"/>
          <w:color w:val="auto"/>
        </w:rPr>
      </w:pPr>
      <w:r>
        <w:rPr>
          <w:rFonts w:ascii="Times New Roman" w:cs="Times New Roman" w:eastAsia="Times New Roman" w:hAnsi="Times New Roman"/>
          <w:sz w:val="14"/>
          <w:szCs w:val="14"/>
          <w:color w:val="auto"/>
        </w:rPr>
        <w:t>The False Claims Act is a means of policing false bills or false requests for payment in the healthcare delivery system. Among other things, the False Claims Act authorizes the imposition of up to three times the government’s damages and significant per claim civil penalties on any “person” (including an individual, organization, or company) who, among other acts:</w:t>
      </w:r>
    </w:p>
    <w:p>
      <w:pPr>
        <w:spacing w:after="0" w:line="50" w:lineRule="exact"/>
        <w:rPr>
          <w:sz w:val="20"/>
          <w:szCs w:val="20"/>
          <w:color w:val="auto"/>
        </w:rPr>
      </w:pPr>
    </w:p>
    <w:p>
      <w:pPr>
        <w:ind w:left="1340" w:right="1159" w:hanging="352"/>
        <w:spacing w:after="0" w:line="292" w:lineRule="auto"/>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knowingly presents or causes to be presented to the federal government a false or fraudulent claim for payment or approval;</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knowingly makes, uses, or causes to be made or used a false record or statement material to a false or fraudulent claim;</w:t>
      </w:r>
    </w:p>
    <w:p>
      <w:pPr>
        <w:spacing w:after="0" w:line="96" w:lineRule="exact"/>
        <w:rPr>
          <w:rFonts w:ascii="Times New Roman" w:cs="Times New Roman" w:eastAsia="Times New Roman" w:hAnsi="Times New Roman"/>
          <w:sz w:val="14"/>
          <w:szCs w:val="14"/>
          <w:color w:val="auto"/>
        </w:rPr>
      </w:pPr>
    </w:p>
    <w:p>
      <w:pPr>
        <w:ind w:left="1340" w:right="679" w:hanging="352"/>
        <w:spacing w:after="0" w:line="274" w:lineRule="auto"/>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knowingly makes, uses, or causes to be made or used a false record, report or statement material to an obligation to pay the government, or knowingly conceals, or knowingly and improperly avoids or decreases an obligation to pay or transmit money or property to the federal government; or</w:t>
      </w:r>
    </w:p>
    <w:p>
      <w:pPr>
        <w:spacing w:after="0" w:line="50"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conspires to commit the above acts.</w:t>
      </w:r>
    </w:p>
    <w:p>
      <w:pPr>
        <w:spacing w:after="0" w:line="94" w:lineRule="exact"/>
        <w:rPr>
          <w:rFonts w:ascii="Times New Roman" w:cs="Times New Roman" w:eastAsia="Times New Roman" w:hAnsi="Times New Roman"/>
          <w:sz w:val="14"/>
          <w:szCs w:val="14"/>
          <w:color w:val="auto"/>
        </w:rPr>
      </w:pPr>
    </w:p>
    <w:p>
      <w:pPr>
        <w:ind w:left="1340" w:right="739" w:hanging="352"/>
        <w:spacing w:after="0" w:line="269" w:lineRule="auto"/>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Under the False Claims Act, private parties can also bring </w:t>
      </w:r>
      <w:r>
        <w:rPr>
          <w:rFonts w:ascii="Times New Roman" w:cs="Times New Roman" w:eastAsia="Times New Roman" w:hAnsi="Times New Roman"/>
          <w:sz w:val="14"/>
          <w:szCs w:val="14"/>
          <w:i w:val="1"/>
          <w:iCs w:val="1"/>
          <w:color w:val="auto"/>
        </w:rPr>
        <w:t>qui tam</w:t>
      </w:r>
      <w:r>
        <w:rPr>
          <w:rFonts w:ascii="Times New Roman" w:cs="Times New Roman" w:eastAsia="Times New Roman" w:hAnsi="Times New Roman"/>
          <w:sz w:val="14"/>
          <w:szCs w:val="14"/>
          <w:color w:val="auto"/>
        </w:rPr>
        <w:t>, or “whistleblower,” suits against healthcare facilities that submit false claims for payments to, or improperly retain overpayments from, governmental payors. In addition, the government may assert that a claim including items or services resulting from a violation of the Anti-Kickback Statute or Stark Law constitutes a false or fraudulent claim for purposes of the False Claims Act.</w:t>
      </w:r>
    </w:p>
    <w:p>
      <w:pPr>
        <w:spacing w:after="0" w:line="53"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The federal government has used the False Claims Act to prosecute a wide variety of alleged false claims and fraud allegedly perpetrated against Medicare and state healthcare programs, including but not limited to coding errors, billing for services not rendered, the submission of false cost or other reports, billing for services at a higher payment rate than appropriate, billing under a comprehensive code as well as under one or more component codes included in the comprehensive code, billing for care that is not considered medically necessary and false reporting of risk-adjusted diagnostic codes. The ACA provides that claims for payment that are tainted by a violation of the Anti-Kickback Statute (which could include, for example, illegal incentives or remuneration in exchange for enrollment or referrals) are false for purposes of the False Claims Act. In addition, amendments to the False Claims Act and Social Security Act impose severe penalties for the knowing and improper retention of overpayments from government payors. Under these provisions, within 60 days of identifying and quantifying an overpayment, a healthcare provider is required to notify CMS or the Medicare Administrative Contractor of the overpayment and the reason for it and return the overpayment. An overpayment impermissibly retained could subject us to liability under the False Claims Act, exclusion from government healthcare programs and penalties under the Civil Monetary Penalties Statute. As a result of these provisions, our procedures for identifying and processing overpayments may be subject to greater scrutiny.</w:t>
      </w:r>
    </w:p>
    <w:p>
      <w:pPr>
        <w:spacing w:after="0" w:line="61" w:lineRule="exact"/>
        <w:rPr>
          <w:sz w:val="20"/>
          <w:szCs w:val="20"/>
          <w:color w:val="auto"/>
        </w:rPr>
      </w:pPr>
    </w:p>
    <w:p>
      <w:pPr>
        <w:jc w:val="both"/>
        <w:ind w:left="640" w:right="739" w:firstLine="351"/>
        <w:spacing w:after="0" w:line="274" w:lineRule="auto"/>
        <w:rPr>
          <w:sz w:val="20"/>
          <w:szCs w:val="20"/>
          <w:color w:val="auto"/>
        </w:rPr>
      </w:pPr>
      <w:r>
        <w:rPr>
          <w:rFonts w:ascii="Times New Roman" w:cs="Times New Roman" w:eastAsia="Times New Roman" w:hAnsi="Times New Roman"/>
          <w:sz w:val="14"/>
          <w:szCs w:val="14"/>
          <w:color w:val="auto"/>
        </w:rPr>
        <w:t>The penalties for a violation of the False Claims Act range from $5,500 to $11,000 (periodically adjusted for inflation) for each false claim, plus up to three times the amount of damages caused by each false claim, which can be as much as the amounts received directly or indirectly from the government for each such false claim. The Department of Justice has adjusted the per claim penalty</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2" w:name="page23"/>
    <w:bookmarkEnd w:id="2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679"/>
        <w:spacing w:after="0" w:line="263" w:lineRule="auto"/>
        <w:rPr>
          <w:sz w:val="20"/>
          <w:szCs w:val="20"/>
          <w:color w:val="auto"/>
        </w:rPr>
      </w:pPr>
      <w:r>
        <w:rPr>
          <w:rFonts w:ascii="Times New Roman" w:cs="Times New Roman" w:eastAsia="Times New Roman" w:hAnsi="Times New Roman"/>
          <w:sz w:val="14"/>
          <w:szCs w:val="14"/>
          <w:color w:val="auto"/>
        </w:rPr>
        <w:t>range from $14,308 to $28,619 for penalties assessed after July 3, 2025, so long as the underlying conduct occurred after November 2, 2015. Healthcare providers often resolve allegations without admissions of liability for significant amounts to avoid the uncertainty of treble damages that may be awarded in litigation proceedings. Such settlements often contain additional compliance and reporting requirements as part of a consent decree, settlement agreement, or corporate integrity agreement. Given the significant size of actual and potential settlements for violations under the False Claims Act, it is expected that the government will continue to devote substantial resources to investigating healthcare providers’ compliance with healthcare reimbursement rules and fraud and abuse laws.</w:t>
      </w:r>
    </w:p>
    <w:p>
      <w:pPr>
        <w:spacing w:after="0" w:line="58" w:lineRule="exact"/>
        <w:rPr>
          <w:sz w:val="20"/>
          <w:szCs w:val="20"/>
          <w:color w:val="auto"/>
        </w:rPr>
      </w:pPr>
    </w:p>
    <w:p>
      <w:pPr>
        <w:ind w:left="640" w:right="899" w:firstLine="351"/>
        <w:spacing w:after="0" w:line="263" w:lineRule="auto"/>
        <w:rPr>
          <w:sz w:val="20"/>
          <w:szCs w:val="20"/>
          <w:color w:val="auto"/>
        </w:rPr>
      </w:pPr>
      <w:r>
        <w:rPr>
          <w:rFonts w:ascii="Times New Roman" w:cs="Times New Roman" w:eastAsia="Times New Roman" w:hAnsi="Times New Roman"/>
          <w:sz w:val="14"/>
          <w:szCs w:val="14"/>
          <w:color w:val="auto"/>
        </w:rPr>
        <w:t>In addition to civil enforcement under the False Claims Act, the federal government can use several criminal statutes to prosecute persons who are alleged to have submitted false or fraudulent claims for payment to the federal government. A determination that activities resulted in the submission of false claims could result in monetary liability, prison sentences, and/or exclusion from participation in any healthcare program funded in whole or in part by the U.S. government, including Medicare, Medicaid, TRICARE, and state healthcare programs. Any allegations or findings that we have violated the False Claims Act could have a material adverse impact on our reputation, business, results of operations, and financial condition.</w:t>
      </w:r>
    </w:p>
    <w:p>
      <w:pPr>
        <w:spacing w:after="0" w:line="58" w:lineRule="exact"/>
        <w:rPr>
          <w:sz w:val="20"/>
          <w:szCs w:val="20"/>
          <w:color w:val="auto"/>
        </w:rPr>
      </w:pPr>
    </w:p>
    <w:p>
      <w:pPr>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In addition to the False Claims Act, the various states in which we operate have adopted their own analogs of the False Claims Act. States are becoming increasingly active in using their false claims laws to police the same activities listed above, particularly with regard to capitated government-sponsored healthcare programs, such as Medicaid fee-for-service and Managed Medicaid programs.</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Civil Monetary Penalties Statute</w:t>
      </w:r>
    </w:p>
    <w:p>
      <w:pPr>
        <w:spacing w:after="0" w:line="101" w:lineRule="exact"/>
        <w:rPr>
          <w:sz w:val="20"/>
          <w:szCs w:val="20"/>
          <w:color w:val="auto"/>
        </w:rPr>
      </w:pPr>
    </w:p>
    <w:p>
      <w:pPr>
        <w:ind w:left="640" w:right="719" w:firstLine="351"/>
        <w:spacing w:after="0" w:line="292" w:lineRule="auto"/>
        <w:rPr>
          <w:sz w:val="20"/>
          <w:szCs w:val="20"/>
          <w:color w:val="auto"/>
        </w:rPr>
      </w:pPr>
      <w:r>
        <w:rPr>
          <w:rFonts w:ascii="Times New Roman" w:cs="Times New Roman" w:eastAsia="Times New Roman" w:hAnsi="Times New Roman"/>
          <w:sz w:val="14"/>
          <w:szCs w:val="14"/>
          <w:color w:val="auto"/>
        </w:rPr>
        <w:t>The Civil Monetary Penalties Statute, 42 U.S.C. § 1320a-7a, authorizes the imposition of civil monetary penalties, assessments, and exclusion against an individual or entity based on a variety of prohibited conduct, including, but not limited to:</w:t>
      </w:r>
    </w:p>
    <w:p>
      <w:pPr>
        <w:spacing w:after="0" w:line="38" w:lineRule="exact"/>
        <w:rPr>
          <w:sz w:val="20"/>
          <w:szCs w:val="20"/>
          <w:color w:val="auto"/>
        </w:rPr>
      </w:pPr>
    </w:p>
    <w:p>
      <w:pPr>
        <w:ind w:left="1340" w:right="759" w:hanging="352"/>
        <w:spacing w:after="0" w:line="265" w:lineRule="auto"/>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presenting, or causing to be presented, claims, reports or records relating to payment by Medicare, Medicaid or other government payors that the individual or entity knows or should know are for an item or service that was not provided as claimed, is false or fraudulent or was presented for a physician’s service by a person who knows or should know that the individual providing the service is not a licensed physician, obtained licensure through misrepresentation or represented certification in a medical specialty without in fact possessing such certification;</w:t>
      </w:r>
    </w:p>
    <w:p>
      <w:pPr>
        <w:spacing w:after="0" w:line="56" w:lineRule="exact"/>
        <w:rPr>
          <w:rFonts w:ascii="Times New Roman" w:cs="Times New Roman" w:eastAsia="Times New Roman" w:hAnsi="Times New Roman"/>
          <w:sz w:val="14"/>
          <w:szCs w:val="14"/>
          <w:color w:val="auto"/>
        </w:rPr>
      </w:pPr>
    </w:p>
    <w:p>
      <w:pPr>
        <w:ind w:left="1340" w:right="859" w:hanging="352"/>
        <w:spacing w:after="0" w:line="292" w:lineRule="auto"/>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offering remuneration to a federal healthcare program beneficiary that the individual or entity knows or should know is likely to influence the beneficiary to order or receive healthcare items or services from a particular provider;</w:t>
      </w:r>
    </w:p>
    <w:p>
      <w:pPr>
        <w:spacing w:after="0" w:line="37" w:lineRule="exact"/>
        <w:rPr>
          <w:rFonts w:ascii="Times New Roman" w:cs="Times New Roman" w:eastAsia="Times New Roman" w:hAnsi="Times New Roman"/>
          <w:sz w:val="14"/>
          <w:szCs w:val="14"/>
          <w:color w:val="auto"/>
        </w:rPr>
      </w:pPr>
    </w:p>
    <w:p>
      <w:pPr>
        <w:ind w:left="1340" w:right="1219" w:hanging="352"/>
        <w:spacing w:after="0" w:line="292" w:lineRule="auto"/>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arranging contracts with or making payments to an entity or individual excluded from participation in the federal healthcare programs or included on CMS’s preclusion list;</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violating the Anti-Kickback Statute;</w:t>
      </w:r>
    </w:p>
    <w:p>
      <w:pPr>
        <w:spacing w:after="0" w:line="96" w:lineRule="exact"/>
        <w:rPr>
          <w:rFonts w:ascii="Times New Roman" w:cs="Times New Roman" w:eastAsia="Times New Roman" w:hAnsi="Times New Roman"/>
          <w:sz w:val="14"/>
          <w:szCs w:val="14"/>
          <w:color w:val="auto"/>
        </w:rPr>
      </w:pPr>
    </w:p>
    <w:p>
      <w:pPr>
        <w:ind w:left="1340" w:right="1159" w:hanging="352"/>
        <w:spacing w:after="0" w:line="292" w:lineRule="auto"/>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using, or causing to be made or used a false record or statement material to a false or fraudulent claim for payment for items and services furnished under a federal healthcare program;</w:t>
      </w:r>
    </w:p>
    <w:p>
      <w:pPr>
        <w:spacing w:after="0" w:line="37" w:lineRule="exact"/>
        <w:rPr>
          <w:rFonts w:ascii="Times New Roman" w:cs="Times New Roman" w:eastAsia="Times New Roman" w:hAnsi="Times New Roman"/>
          <w:sz w:val="14"/>
          <w:szCs w:val="14"/>
          <w:color w:val="auto"/>
        </w:rPr>
      </w:pPr>
    </w:p>
    <w:p>
      <w:pPr>
        <w:ind w:left="1340" w:right="1099" w:hanging="352"/>
        <w:spacing w:after="0" w:line="274" w:lineRule="auto"/>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using, or causing to be made any false statement, omission, or misrepresentation of a material fact in any application, bid, or contract to participate or enroll as a provider of services or a supplier under a federal healthcare program; and</w:t>
      </w:r>
    </w:p>
    <w:p>
      <w:pPr>
        <w:spacing w:after="0" w:line="50"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failing to report and return an overpayment owed to the federal government.</w:t>
      </w:r>
    </w:p>
    <w:p>
      <w:pPr>
        <w:spacing w:after="0" w:line="97"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We could be exposed to a wide range of allegations to which the Civil Monetary Penalties Statute would apply. Substantial civil monetary penalties may be imposed under the Civil Monetary Penalties Statute and may vary depending on the underlying violation. In addition, an assessment of not more than three times the total amount claimed for each item or service may also apply and a violator may be subject to exclusion from federal and state healthcare programs.</w:t>
      </w:r>
    </w:p>
    <w:p>
      <w:pPr>
        <w:spacing w:after="0" w:line="54"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We perform checks on our providers and certain affiliates and vendors using government databases to confirm that these individuals have not been excluded from federal programs. However, should an individual become excluded and we fail to detect it, a federal agency could require us to refund amounts attributable to all claims or services performed or sufficiently linked to an excluded individual. Thus, we cannot foreclose the possibility that we will face allegations subject to the Civil Monetary Penalties Statute with the potential for a material adverse impact on our business, results of operations, and financial condition.</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Corporate Practice of Medicine and Fee-Splitting Laws</w:t>
      </w:r>
    </w:p>
    <w:p>
      <w:pPr>
        <w:spacing w:after="0" w:line="101" w:lineRule="exact"/>
        <w:rPr>
          <w:sz w:val="20"/>
          <w:szCs w:val="20"/>
          <w:color w:val="auto"/>
        </w:rPr>
      </w:pPr>
    </w:p>
    <w:p>
      <w:pPr>
        <w:ind w:left="640" w:right="719" w:firstLine="351"/>
        <w:spacing w:after="0" w:line="265" w:lineRule="auto"/>
        <w:rPr>
          <w:sz w:val="20"/>
          <w:szCs w:val="20"/>
          <w:color w:val="auto"/>
        </w:rPr>
      </w:pPr>
      <w:r>
        <w:rPr>
          <w:rFonts w:ascii="Times New Roman" w:cs="Times New Roman" w:eastAsia="Times New Roman" w:hAnsi="Times New Roman"/>
          <w:sz w:val="14"/>
          <w:szCs w:val="14"/>
          <w:color w:val="auto"/>
        </w:rPr>
        <w:t>Some of the states in which we currently operate have laws that prohibit business entities, such as us, from practicing medicine, employing physicians to practice medicine, exercising control over medical decisions by physicians or engaging in certain arrangements, such as fee-splitting, with physicians (such activities are generally referred to as the corporate practice of medicine). These prohibitions on the corporate practice of medicine are intended to prevent unlicensed persons from interfering with the practice of medicine by licensed physicians or interfering with the independent professional judgment of physicians as it pertains to treatment</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3" w:name="page24"/>
    <w:bookmarkEnd w:id="2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739"/>
        <w:spacing w:after="0" w:line="259" w:lineRule="auto"/>
        <w:rPr>
          <w:sz w:val="20"/>
          <w:szCs w:val="20"/>
          <w:color w:val="auto"/>
        </w:rPr>
      </w:pPr>
      <w:r>
        <w:rPr>
          <w:rFonts w:ascii="Times New Roman" w:cs="Times New Roman" w:eastAsia="Times New Roman" w:hAnsi="Times New Roman"/>
          <w:sz w:val="14"/>
          <w:szCs w:val="14"/>
          <w:color w:val="auto"/>
        </w:rPr>
        <w:t>and related clinical matters. Some states have similar doctrines with respect to other professional licensure categories, including behavioral health services. Fee-splitting, which describes the practice of professionals splitting their professional fees with a non-professional or other unlicensed person or an entity owned by an unlicensed person, is also prohibited in some jurisdictions. In some states, these prohibitions are expressly stated in a statute or regulation, while in other states the prohibitions are a matter of judicial or regulatory interpretation. Some of the relevant laws, regulations and agency guidance in states with corporate practice of medicine restrictions have been subject to limited judicial and regulatory interpretations, which are often sparse and not fully developed, complicating compliance efforts. While we endeavor to comply with state corporate practice of medicine laws and frequently engage outside counsel to conduct state analyses in each state in which we operate, the laws and regulations in these areas are complex, changing, and often subject to varying interpretations. For example, in states where the corporate practice of medicine is prohibited, we endeavor to comply with applicable state laws by entering into certain contractual relationships, such as management services agreements, whereby licensed medical practices employ licensed professionals to provide licensed services to our patients and residents.</w:t>
      </w:r>
    </w:p>
    <w:p>
      <w:pPr>
        <w:spacing w:after="0" w:line="63" w:lineRule="exact"/>
        <w:rPr>
          <w:sz w:val="20"/>
          <w:szCs w:val="20"/>
          <w:color w:val="auto"/>
        </w:rPr>
      </w:pPr>
    </w:p>
    <w:p>
      <w:pPr>
        <w:ind w:left="640" w:right="719" w:firstLine="351"/>
        <w:spacing w:after="0" w:line="265" w:lineRule="auto"/>
        <w:rPr>
          <w:sz w:val="20"/>
          <w:szCs w:val="20"/>
          <w:color w:val="auto"/>
        </w:rPr>
      </w:pPr>
      <w:r>
        <w:rPr>
          <w:rFonts w:ascii="Times New Roman" w:cs="Times New Roman" w:eastAsia="Times New Roman" w:hAnsi="Times New Roman"/>
          <w:sz w:val="14"/>
          <w:szCs w:val="14"/>
          <w:color w:val="auto"/>
        </w:rPr>
        <w:t>The enforcement of these laws varies significantly from state to state, and state courts and regulatory authorities have broad discretion to enforce such laws. Penalties for violations of the corporate practice of medicine also vary by state and may result in physicians and licensed professionals being subject to disciplinary action, as well as to forfeiture of revenues from payors for services rendered. For business entities, such as us, violations may also bring both civil and, in more extreme cases, criminal liability for engaging in medical practice without a license.</w:t>
      </w:r>
    </w:p>
    <w:p>
      <w:pPr>
        <w:spacing w:after="0" w:line="56" w:lineRule="exact"/>
        <w:rPr>
          <w:sz w:val="20"/>
          <w:szCs w:val="20"/>
          <w:color w:val="auto"/>
        </w:rPr>
      </w:pPr>
    </w:p>
    <w:p>
      <w:pPr>
        <w:ind w:left="640" w:right="719" w:firstLine="351"/>
        <w:spacing w:after="0" w:line="261" w:lineRule="auto"/>
        <w:rPr>
          <w:sz w:val="20"/>
          <w:szCs w:val="20"/>
          <w:color w:val="auto"/>
        </w:rPr>
      </w:pPr>
      <w:r>
        <w:rPr>
          <w:rFonts w:ascii="Times New Roman" w:cs="Times New Roman" w:eastAsia="Times New Roman" w:hAnsi="Times New Roman"/>
          <w:sz w:val="14"/>
          <w:szCs w:val="14"/>
          <w:color w:val="auto"/>
        </w:rPr>
        <w:t>State laws or regulations prohibiting the corporate practice of medicine may contemplate the employment of physicians and other licensed professionals by certain types of entities, but may not provide a specific exemption for the services we provide. Regulatory authorities and other parties may assert that our employment of licensed professionals in some states means that we are engaged in the prohibited corporate practice of medicine or that how such professionals are paid implicates fee-splitting prohibitions. If this were to occur, we could be subject to civil and/or criminal penalties, our agreements with physicians could be found legally invalid and unenforceable (in whole or in part) or we could be required to restructure our arrangements with licensed professionals, in each case in one or more of the jurisdictions in which we operate. Any of these outcomes may have a material adverse effect on our business, results of operations, financial condition, and reputation.</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Licensing Laws and State Directives</w:t>
      </w:r>
    </w:p>
    <w:p>
      <w:pPr>
        <w:spacing w:after="0" w:line="101" w:lineRule="exact"/>
        <w:rPr>
          <w:sz w:val="20"/>
          <w:szCs w:val="20"/>
          <w:color w:val="auto"/>
        </w:rPr>
      </w:pPr>
    </w:p>
    <w:p>
      <w:pPr>
        <w:ind w:left="640" w:right="759" w:firstLine="351"/>
        <w:spacing w:after="0" w:line="260" w:lineRule="auto"/>
        <w:rPr>
          <w:sz w:val="20"/>
          <w:szCs w:val="20"/>
          <w:color w:val="auto"/>
        </w:rPr>
      </w:pPr>
      <w:r>
        <w:rPr>
          <w:rFonts w:ascii="Times New Roman" w:cs="Times New Roman" w:eastAsia="Times New Roman" w:hAnsi="Times New Roman"/>
          <w:sz w:val="14"/>
          <w:szCs w:val="14"/>
          <w:color w:val="auto"/>
        </w:rPr>
        <w:t>Our facilities, healthcare professionals, and pharmacy and provider solutions are subject to various federal, state, and local licensure and certification requirements in connection with our provision of healthcare and other services. Certain states in which we operate have certificate of need or similar programs regulating the establishment or expansion of healthcare facilities, including our pharmacy and provider solutions. The initial and continued licensure of our facilities and certification to participate in government healthcare programs depends upon many factors including various state licensure regulations relating to quality of care, environment of care, equipment, services, staff training, personnel, and the existence of adequate policies, procedures, and controls. Federal, state, and local agencies survey our facilities on a regular basis to determine whether the facilities are in compliance with regulatory operating and health standards and conditions for participating in government healthcare programs. In addition, physicians and other clinicians also must be licensed or certified, as applicable, in the states in which they are providing services.</w:t>
      </w:r>
    </w:p>
    <w:p>
      <w:pPr>
        <w:spacing w:after="0" w:line="63" w:lineRule="exact"/>
        <w:rPr>
          <w:sz w:val="20"/>
          <w:szCs w:val="20"/>
          <w:color w:val="auto"/>
        </w:rPr>
      </w:pPr>
    </w:p>
    <w:p>
      <w:pPr>
        <w:ind w:left="640" w:right="759" w:firstLine="351"/>
        <w:spacing w:after="0" w:line="263" w:lineRule="auto"/>
        <w:rPr>
          <w:sz w:val="20"/>
          <w:szCs w:val="20"/>
          <w:color w:val="auto"/>
        </w:rPr>
      </w:pPr>
      <w:r>
        <w:rPr>
          <w:rFonts w:ascii="Times New Roman" w:cs="Times New Roman" w:eastAsia="Times New Roman" w:hAnsi="Times New Roman"/>
          <w:sz w:val="14"/>
          <w:szCs w:val="14"/>
          <w:color w:val="auto"/>
        </w:rPr>
        <w:t>Our healthcare facilities are also subject to federal, state, and commercial payor audits to validate the accuracy of claims submitted to government healthcare programs and commercial payors. If these audits identify overpayments, we could be required to make substantial repayments, subject to various appeal rights. Several of our facilities have undergone claims audits related to their receipt of payments during the last several years. Liability from audits could potentially exceed established reserves, and any excess could potentially be substantial. Further, Medicare and Medicaid regulations, as well as commercial payor contracts, also provide for withholding or suspending payments in certain circumstances, which could adversely affect our cash flow.</w:t>
      </w:r>
    </w:p>
    <w:p>
      <w:pPr>
        <w:spacing w:after="0" w:line="58"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Any failure by us or our service providers to comply with federal, state, and local licensing and certification laws, regulations, and standards could result in a variety of consequences, including cessation of our services, loss of our contracts, prior payments by government payors being subject to recoupment, requirements to make significant changes to our operations, civil or criminal penalties, admissions bans, admissions holds, application denial periods, reductions in census, loss or revocation of licenses, loss of accreditation, administrative or other orders, adverse regulatory actions, settlements or other requirements to take corrective actions, harm to our reputation, or requirements to transfer our service users, to provide reports or other documentation, to demonstrate compliance with licensure or other requirements or to undergo revisit surveys or inspections. See “Risk Factors—Risks Related to Our Business—If we are unable to provide consistently high quality of care, our business will be adversely impacted.”</w:t>
      </w:r>
    </w:p>
    <w:p>
      <w:pPr>
        <w:spacing w:after="0" w:line="60" w:lineRule="exact"/>
        <w:rPr>
          <w:sz w:val="20"/>
          <w:szCs w:val="20"/>
          <w:color w:val="auto"/>
        </w:rPr>
      </w:pPr>
    </w:p>
    <w:p>
      <w:pPr>
        <w:ind w:left="640" w:right="979" w:firstLine="351"/>
        <w:spacing w:after="0" w:line="274" w:lineRule="auto"/>
        <w:rPr>
          <w:sz w:val="20"/>
          <w:szCs w:val="20"/>
          <w:color w:val="auto"/>
        </w:rPr>
      </w:pPr>
      <w:r>
        <w:rPr>
          <w:rFonts w:ascii="Times New Roman" w:cs="Times New Roman" w:eastAsia="Times New Roman" w:hAnsi="Times New Roman"/>
          <w:sz w:val="14"/>
          <w:szCs w:val="14"/>
          <w:color w:val="auto"/>
        </w:rPr>
        <w:t>Our operators, along with our compliance, quality, legal, and government affairs support teams, routinely interact with regulatory agencies and their representatives. In relation to such interactions, our quality and compliance rules require immediate reporting to regulatory bodies when we learn of a reportable event that may put the health and safety of our patients at risk.</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4" w:name="page25"/>
    <w:bookmarkEnd w:id="2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739" w:firstLine="351"/>
        <w:spacing w:after="0" w:line="263" w:lineRule="auto"/>
        <w:rPr>
          <w:sz w:val="20"/>
          <w:szCs w:val="20"/>
          <w:color w:val="auto"/>
        </w:rPr>
      </w:pPr>
      <w:r>
        <w:rPr>
          <w:rFonts w:ascii="Times New Roman" w:cs="Times New Roman" w:eastAsia="Times New Roman" w:hAnsi="Times New Roman"/>
          <w:sz w:val="14"/>
          <w:szCs w:val="14"/>
          <w:color w:val="auto"/>
        </w:rPr>
        <w:t>Further, failure to obtain CON approval of certain activities can result in our inability to complete an acquisition, expansion or replacement, the imposition of civil penalties, the inability to receive Medicare or Medicaid reimbursement, or the revocation of a facility’s license, any of which could harm our business. We routinely take the steps we believe are necessary to retain or obtain all requisite licensure and operating authorities. While we endeavor to comply with federal, state, and local licensing and certification laws, regulations, and standards as we interpret them, the laws and regulations in these areas are complex, changing and often subject to varying interpretations.</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Data Privacy and Security</w:t>
      </w:r>
    </w:p>
    <w:p>
      <w:pPr>
        <w:spacing w:after="0" w:line="101"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Numerous state, federal, and foreign laws, including consumer protection laws and regulations, govern the processing, access to, confidentiality, and security of personal information, including health-related information. For example, HIPAA requires us to provide certain rights to individuals with respect to their health information. HIPAA extensively regulates the use and disclosure of PHI and requires covered entities, which include healthcare providers and their business associates, to implement and maintain administrative, physical, and technical safeguards to protect the security of such information. Additional security requirements apply to electronic PHI. HIPAA also provides individuals with substantive rights with respect to their health information.</w:t>
      </w:r>
    </w:p>
    <w:p>
      <w:pPr>
        <w:spacing w:after="0" w:line="58" w:lineRule="exact"/>
        <w:rPr>
          <w:sz w:val="20"/>
          <w:szCs w:val="20"/>
          <w:color w:val="auto"/>
        </w:rPr>
      </w:pPr>
    </w:p>
    <w:p>
      <w:pPr>
        <w:ind w:left="640" w:right="759" w:firstLine="351"/>
        <w:spacing w:after="0" w:line="263" w:lineRule="auto"/>
        <w:rPr>
          <w:sz w:val="20"/>
          <w:szCs w:val="20"/>
          <w:color w:val="auto"/>
        </w:rPr>
      </w:pPr>
      <w:r>
        <w:rPr>
          <w:rFonts w:ascii="Times New Roman" w:cs="Times New Roman" w:eastAsia="Times New Roman" w:hAnsi="Times New Roman"/>
          <w:sz w:val="14"/>
          <w:szCs w:val="14"/>
          <w:color w:val="auto"/>
        </w:rPr>
        <w:t>HIPAA also requires us to enter into written agreements with certain contractors, known as business associates, to whom we disclose PHI. Covered entities may be subject to penalties for, among other activities, failing to enter into a business associate agreement where required by law or as a result of a business associate violating HIPAA, if the business associate is found to be an agent of the covered entity and acting within the scope of the agency. Business associates are also directly subject to liability under HIPAA. In instances where we act as a business associate to a covered entity, there is the potential for additional liability beyond our status as a covered entity. HIPAA violations may result in triggered settlement payments or civil monetary penalties.</w:t>
      </w:r>
    </w:p>
    <w:p>
      <w:pPr>
        <w:spacing w:after="0" w:line="58"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Covered entities must notify affected individuals of breaches of unsecured PHI without unreasonable delay but no later than 60 days after discovery of the breach by a covered entity or its agents. Reporting must also be made to the HHS Office for Civil Rights and, for breaches of unsecured PHI involving more than 500 residents of a state or jurisdiction, to the media. All impermissible uses or disclosures of unsecured PHI are presumed to be breaches unless an exception to the definition of breach applies or the covered entity or business associate establishes that there is a low probability the PHI has been compromised. Various state laws and regulations may also require us to notify affected individuals in the event of a data breach involving personal information without regard to the probability of the information being compromised.</w:t>
      </w:r>
    </w:p>
    <w:p>
      <w:pPr>
        <w:spacing w:after="0" w:line="59" w:lineRule="exact"/>
        <w:rPr>
          <w:sz w:val="20"/>
          <w:szCs w:val="20"/>
          <w:color w:val="auto"/>
        </w:rPr>
      </w:pPr>
    </w:p>
    <w:p>
      <w:pPr>
        <w:ind w:left="640" w:right="799" w:firstLine="351"/>
        <w:spacing w:after="0" w:line="262" w:lineRule="auto"/>
        <w:rPr>
          <w:sz w:val="20"/>
          <w:szCs w:val="20"/>
          <w:color w:val="auto"/>
        </w:rPr>
      </w:pPr>
      <w:r>
        <w:rPr>
          <w:rFonts w:ascii="Times New Roman" w:cs="Times New Roman" w:eastAsia="Times New Roman" w:hAnsi="Times New Roman"/>
          <w:sz w:val="14"/>
          <w:szCs w:val="14"/>
          <w:color w:val="auto"/>
        </w:rPr>
        <w:t>Violations of HIPAA by providers like us, including, but not limited to, failing to implement appropriate administrative, physical and technical safeguards, have resulted in enforcement actions and in some cases significant civil or criminal penalties. Further, state attorneys general may bring civil actions seeking either injunction or damages in response to violations of the HIPAA privacy and security regulations that threaten the privacy of state residents. There can be no assurance that we will not be the subject of an investigation (arising out of a reportable breach incident, audit or otherwise) alleging non-compliance with HIPAA in our maintenance of PHI. States attorneys general may also negotiate settlements for related cases and on behalf of their respective residents.</w:t>
      </w:r>
    </w:p>
    <w:p>
      <w:pPr>
        <w:spacing w:after="0" w:line="59" w:lineRule="exact"/>
        <w:rPr>
          <w:sz w:val="20"/>
          <w:szCs w:val="20"/>
          <w:color w:val="auto"/>
        </w:rPr>
      </w:pPr>
    </w:p>
    <w:p>
      <w:pPr>
        <w:ind w:left="640" w:right="719" w:firstLine="351"/>
        <w:spacing w:after="0" w:line="260" w:lineRule="auto"/>
        <w:rPr>
          <w:sz w:val="20"/>
          <w:szCs w:val="20"/>
          <w:color w:val="auto"/>
        </w:rPr>
      </w:pPr>
      <w:r>
        <w:rPr>
          <w:rFonts w:ascii="Times New Roman" w:cs="Times New Roman" w:eastAsia="Times New Roman" w:hAnsi="Times New Roman"/>
          <w:sz w:val="14"/>
          <w:szCs w:val="14"/>
          <w:color w:val="auto"/>
        </w:rPr>
        <w:t>HHS proposed revisions to HIPAA regulations in December 2020 that, if finalized as proposed, would modify existing provisions regarding individuals’ rights to access health information, increase information sharing between healthcare organizations, including through direct sharing of electronic health records, and restrict certain fees that we may charge for medical record retrieval services. If certain of these proposed amendments are finalized as proposed, we will be required to establish and implement new policies and procedures to ensure compliance with such amendments. Additionally, HHS proposed revisions to HIPAA regulations in April 2023 that, if adopted as proposed, would modify privacy protections for reproductive health information, limit uses and disclosures of PHI for certain purposes, and establish new attestation requirements to protect sensitive PHI. If certain of these proposed amendments are adopted as proposed, we will be required to establish and implement new policies and procedures to ensure compliance with such amendments.</w:t>
      </w:r>
    </w:p>
    <w:p>
      <w:pPr>
        <w:spacing w:after="0" w:line="63" w:lineRule="exact"/>
        <w:rPr>
          <w:sz w:val="20"/>
          <w:szCs w:val="20"/>
          <w:color w:val="auto"/>
        </w:rPr>
      </w:pPr>
    </w:p>
    <w:p>
      <w:pPr>
        <w:jc w:val="both"/>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Any creation, use, or deployment of artificial intelligence, or AI, may also subject us to additional risks under HIPAA and other health privacy laws and regulations. To the extent we use PHI to train AI, we are required to follow laws, regulations, and contractual requirements on uses and disclosures of PHI, which may require us to obtain patient authorizations, or to de-identify PHI. In addition, the FTC has announced that they are taking a closer look at how AI is developed and used, including evaluating claims by companies regarding AI that could be false or misleading to take appropriate steps to reduce biases.</w:t>
      </w:r>
    </w:p>
    <w:p>
      <w:pPr>
        <w:spacing w:after="0" w:line="56"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In addition to HIPAA, numerous state, federal, and foreign laws and regulations govern the processing of PHI and personal information, some of which are more stringent than HIPAA and many of which differ from each other in significant ways and may not have the same effect, thus complicating compliance efforts.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For example, on July 15, 2020, the</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5" w:name="page26"/>
    <w:bookmarkEnd w:id="2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699"/>
        <w:spacing w:after="0" w:line="261" w:lineRule="auto"/>
        <w:rPr>
          <w:sz w:val="20"/>
          <w:szCs w:val="20"/>
          <w:color w:val="auto"/>
        </w:rPr>
      </w:pPr>
      <w:r>
        <w:rPr>
          <w:rFonts w:ascii="Times New Roman" w:cs="Times New Roman" w:eastAsia="Times New Roman" w:hAnsi="Times New Roman"/>
          <w:sz w:val="14"/>
          <w:szCs w:val="14"/>
          <w:color w:val="auto"/>
        </w:rPr>
        <w:t>Substance Abuse and Mental Health Services Administration, or SAMHSA, issued a final rule on the protection of substance use disorder, or SUD, treatment records under 42 C.F.R. Part 2, or the Part 2 Rule. The Part 2 final rule aims to reduce delays and burdens in care coordination by more closely aligning Part 2 with the HIPAA privacy rule, while maintaining certain privacy protections specific to Part 2. This final rule became effective August 14, 2020. Under the CARES Act, Congress also made significant modifications to the authorizing statute for the Part 2 regulations and required greater alignment of the Part 2 laws with HIPAA. The law directs the Secretary of HHS to revise the Part 2 regulations such that the amendments would apply to uses and disclosures of SUD records on or after the date that is 12 months after the date of enactment of the CARES Act, which was enacted on March 27, 2020. On December 2, 2022, HHS issued a notice of proposed rulemaking on the Part 2 regulations.</w:t>
      </w:r>
    </w:p>
    <w:p>
      <w:pPr>
        <w:spacing w:after="0" w:line="60"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Further, the CCPA went into effect on January 1, 2020, and limits how we may process personal information about California residents and may require us to modify our data processing practices and policies and incur substantial compliance-related costs and expenses. The CCPA imposes severe statutory damages and provides consumers with a private right of action for certain data breaches. Further, the CPRA, which went into effect on January 1, 2023, expands the CCPA with additional data privacy compliance requirements that may impact our business, and establishes a regulatory agency dedicated to enforcing those requirements. The requirements and effects of the CCPA and the CPRA are potentially far-reaching and may require us to modify certain policies and practices regarding the processing of certain personal information. Similar laws have been passed in other states, and are continuing to be proposed at the state and federal level, reflecting a trend toward more stringent privacy legislation in the United States.</w:t>
      </w:r>
    </w:p>
    <w:p>
      <w:pPr>
        <w:spacing w:after="0" w:line="60" w:lineRule="exact"/>
        <w:rPr>
          <w:sz w:val="20"/>
          <w:szCs w:val="20"/>
          <w:color w:val="auto"/>
        </w:rPr>
      </w:pPr>
    </w:p>
    <w:p>
      <w:pPr>
        <w:ind w:left="640" w:right="739" w:firstLine="351"/>
        <w:spacing w:after="0" w:line="263" w:lineRule="auto"/>
        <w:rPr>
          <w:sz w:val="20"/>
          <w:szCs w:val="20"/>
          <w:color w:val="auto"/>
        </w:rPr>
      </w:pPr>
      <w:r>
        <w:rPr>
          <w:rFonts w:ascii="Times New Roman" w:cs="Times New Roman" w:eastAsia="Times New Roman" w:hAnsi="Times New Roman"/>
          <w:sz w:val="14"/>
          <w:szCs w:val="14"/>
          <w:color w:val="auto"/>
        </w:rPr>
        <w:t>Additionally, in Canada, PIPEDA and similar provincial laws may impose obligations with respect to processing personal information. PIPEDA requires companies to obtain an individual’s consent when collecting, using, or disclosing that individual’s personal information. Individuals have the right to access and challenge the accuracy of their personal information held by an organization, and personal information may only be used for the purposes for which it was collected. If an organization intends to use personal information for another purpose, it must again obtain that individual’s consent. Failure to comply with PIPEDA could result in significant fines and penalties.</w:t>
      </w:r>
    </w:p>
    <w:p>
      <w:pPr>
        <w:spacing w:after="0" w:line="58"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Data privacy and security laws and regulations are often contradictory and subject to change or differing and evolving interpretations. The complex, dynamic legal landscape regarding privacy, data protection, and information security creates significant compliance challenges for us, potentially restricts our ability to process data (including personal information), and exposes us to additional expense, and, if we cannot comply with applicable laws in a timely manner or at all, adverse publicity, harm to our reputation and liability. Although we make reasonable efforts to comply with all applicable laws and regulations and have invested and continue to invest in data privacy compliance efforts, there can be no assurance that we will not be subject to regulatory action, including fines, in the event of an incident or other claim. We or our third-party service providers could be adversely affected if legislation or regulations are expanded to require changes in our or our third-party service providers’ business practices or if governing jurisdictions interpret or implement their legislation or regulations in ways that negatively affect our or our third-party service providers’ business, results of operations or financial condition.</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Healthcare Reform Efforts</w:t>
      </w:r>
    </w:p>
    <w:p>
      <w:pPr>
        <w:spacing w:after="0" w:line="101" w:lineRule="exact"/>
        <w:rPr>
          <w:sz w:val="20"/>
          <w:szCs w:val="20"/>
          <w:color w:val="auto"/>
        </w:rPr>
      </w:pPr>
    </w:p>
    <w:p>
      <w:pPr>
        <w:ind w:left="640" w:right="839" w:firstLine="351"/>
        <w:spacing w:after="0" w:line="263" w:lineRule="auto"/>
        <w:rPr>
          <w:sz w:val="20"/>
          <w:szCs w:val="20"/>
          <w:color w:val="auto"/>
        </w:rPr>
      </w:pPr>
      <w:r>
        <w:rPr>
          <w:rFonts w:ascii="Times New Roman" w:cs="Times New Roman" w:eastAsia="Times New Roman" w:hAnsi="Times New Roman"/>
          <w:sz w:val="14"/>
          <w:szCs w:val="14"/>
          <w:color w:val="auto"/>
        </w:rPr>
        <w:t>The U.S. federal and state governments continue to enact and seriously consider many broad-based legislative and regulatory proposals that have had a material impact on or could materially impact various aspects of the healthcare system and our business, operating results, and/or cash flows. In addition, state and federal budgetary shortfalls and constraints pose potential risks for our revenue streams. We cannot predict how government payors or healthcare consumers might react to federal and state healthcare legislation and regulation, whether already enacted or enacted in the future, nor can we predict what form many of these regulations will take before implementation. Some examples of legislative and regulatory changes impacting our business include:</w:t>
      </w:r>
    </w:p>
    <w:p>
      <w:pPr>
        <w:spacing w:after="0" w:line="58" w:lineRule="exact"/>
        <w:rPr>
          <w:sz w:val="20"/>
          <w:szCs w:val="20"/>
          <w:color w:val="auto"/>
        </w:rPr>
      </w:pPr>
    </w:p>
    <w:p>
      <w:pPr>
        <w:ind w:left="640" w:right="779" w:firstLine="351"/>
        <w:spacing w:after="0" w:line="263" w:lineRule="auto"/>
        <w:rPr>
          <w:sz w:val="20"/>
          <w:szCs w:val="20"/>
          <w:color w:val="auto"/>
        </w:rPr>
      </w:pPr>
      <w:r>
        <w:rPr>
          <w:rFonts w:ascii="Times New Roman" w:cs="Times New Roman" w:eastAsia="Times New Roman" w:hAnsi="Times New Roman"/>
          <w:sz w:val="14"/>
          <w:szCs w:val="14"/>
          <w:color w:val="auto"/>
        </w:rPr>
        <w:t>In March 2010, broad healthcare reform legislation was enacted in the United States through the ACA. There have since been numerous political and legal efforts to expand, repeal, replace, or modify the ACA, and there may be additional political, legislative, or other efforts to repeal, replace, or change the ACA. On June 17, 2021, the U.S. Supreme Court dismissed the most recent judicial challenge to the ACA brought by several states without specifically ruling on the constitutionality of the ACA. We anticipate continued changes with respect to the ACA, which may occur as a result of legislation, court challenges, or executive, administrative or other actions, which may significantly impact our business operations and results of operations.</w:t>
      </w:r>
    </w:p>
    <w:p>
      <w:pPr>
        <w:spacing w:after="0" w:line="58" w:lineRule="exact"/>
        <w:rPr>
          <w:sz w:val="20"/>
          <w:szCs w:val="20"/>
          <w:color w:val="auto"/>
        </w:rPr>
      </w:pPr>
    </w:p>
    <w:p>
      <w:pPr>
        <w:ind w:left="640" w:right="899" w:firstLine="351"/>
        <w:spacing w:after="0" w:line="265" w:lineRule="auto"/>
        <w:rPr>
          <w:sz w:val="20"/>
          <w:szCs w:val="20"/>
          <w:color w:val="auto"/>
        </w:rPr>
      </w:pPr>
      <w:r>
        <w:rPr>
          <w:rFonts w:ascii="Times New Roman" w:cs="Times New Roman" w:eastAsia="Times New Roman" w:hAnsi="Times New Roman"/>
          <w:sz w:val="14"/>
          <w:szCs w:val="14"/>
          <w:color w:val="auto"/>
        </w:rPr>
        <w:t>In February 2018, Congress passed the Bipartisan Budget Act of 2018, which, among other things, adopted policies further integrating Medicare and Medicaid benefits for dual-eligible beneficiaries, repealed the Independent Payment Advisory Board that was established by the ACA and intended to reduce the rate of growth in Medicare spending, and extended sequestration cuts to Medicare payments through 2027. As a result of the CARES Act and subsequent legislation, the 2% aggregated reductions to Medicare payments will remain in effect through 2032.</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6" w:name="page27"/>
    <w:bookmarkEnd w:id="2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779" w:firstLine="351"/>
        <w:spacing w:after="0" w:line="274" w:lineRule="auto"/>
        <w:rPr>
          <w:sz w:val="20"/>
          <w:szCs w:val="20"/>
          <w:color w:val="auto"/>
        </w:rPr>
      </w:pPr>
      <w:r>
        <w:rPr>
          <w:rFonts w:ascii="Times New Roman" w:cs="Times New Roman" w:eastAsia="Times New Roman" w:hAnsi="Times New Roman"/>
          <w:sz w:val="14"/>
          <w:szCs w:val="14"/>
          <w:color w:val="auto"/>
        </w:rPr>
        <w:t>In March 2020, ONC and CMS issued complementary new rules that are intended to clarify provisions of the Cures Act regarding interoperability and information blocking and create significant new requirements for healthcare industry participants. It is unclear at this time what the costs of compliance with the new rules will be, and what additional risks there may be to our business.</w:t>
      </w:r>
    </w:p>
    <w:p>
      <w:pPr>
        <w:spacing w:after="0" w:line="50"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While there may be significant changes to the healthcare environment in the future, the specific changes and their timing are not yet apparent. Specifically, changes in Medicare and Medicaid could lower pharmacy and provider solutions rates or increase our expenses. Any failure to successfully implement strategic initiatives that respond to future legislative, regulatory, and executive changes could have a material adverse effect on our business, results of operations, and financial condition.</w:t>
      </w:r>
    </w:p>
    <w:p>
      <w:pPr>
        <w:spacing w:after="0" w:line="54" w:lineRule="exact"/>
        <w:rPr>
          <w:sz w:val="20"/>
          <w:szCs w:val="20"/>
          <w:color w:val="auto"/>
        </w:rPr>
      </w:pPr>
    </w:p>
    <w:p>
      <w:pPr>
        <w:ind w:left="640" w:right="699" w:firstLine="351"/>
        <w:spacing w:after="0" w:line="262" w:lineRule="auto"/>
        <w:rPr>
          <w:sz w:val="20"/>
          <w:szCs w:val="20"/>
          <w:color w:val="auto"/>
        </w:rPr>
      </w:pPr>
      <w:r>
        <w:rPr>
          <w:rFonts w:ascii="Times New Roman" w:cs="Times New Roman" w:eastAsia="Times New Roman" w:hAnsi="Times New Roman"/>
          <w:sz w:val="14"/>
          <w:szCs w:val="14"/>
          <w:color w:val="auto"/>
        </w:rPr>
        <w:t>In December 2020, CMS and the HHS OIG final regulations established exceptions to the physician self-referral or the Stark Law for certain value-based compensation arrangements between or among physicians, providers, and suppliers. The regulations created a new exception for arrangements under which a physician receives limited remuneration for items or services actually provided by the physician, established a new exception for donations of cybersecurity technology and related services, and amended an exception for electronic health records items and services. These changes in federal regulations are anticipated to have a significant impact on healthcare providers and other stakeholders. In addition, we anticipate that additional changes will continue to be proposed in the future.</w:t>
      </w:r>
    </w:p>
    <w:p>
      <w:pPr>
        <w:spacing w:after="0" w:line="3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Other Regulations</w:t>
      </w:r>
    </w:p>
    <w:p>
      <w:pPr>
        <w:spacing w:after="0" w:line="101"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Our operations are subject to various state hazardous waste and non-hazardous medical waste disposal laws. These laws do not classify as hazardous most of the waste produced from medical services. Occupational Safety and Health Administration regulations require employers to provide workers who are occupationally subject to blood or other potentially infectious materials with prescribed protections. These regulatory requirements apply to all healthcare facilities, including our pharmacy and provider solutions, and require employers to make a determination as to which employees may be exposed to blood or other potentially infectious materials and to have in effect a written exposure control plan. In addition, employers are required to provide or employ hepatitis B vaccinations, personal protective equipment and other safety devices, infection control training, post-exposure evaluation and follow-up, waste disposal techniques and procedures, and work practice controls. Employers are also required to comply with various record-keeping requirements.</w:t>
      </w:r>
    </w:p>
    <w:p>
      <w:pPr>
        <w:spacing w:after="0" w:line="63" w:lineRule="exact"/>
        <w:rPr>
          <w:sz w:val="20"/>
          <w:szCs w:val="20"/>
          <w:color w:val="auto"/>
        </w:rPr>
      </w:pPr>
    </w:p>
    <w:p>
      <w:pPr>
        <w:ind w:left="640" w:right="779" w:firstLine="351"/>
        <w:spacing w:after="0" w:line="268" w:lineRule="auto"/>
        <w:rPr>
          <w:sz w:val="20"/>
          <w:szCs w:val="20"/>
          <w:color w:val="auto"/>
        </w:rPr>
      </w:pPr>
      <w:r>
        <w:rPr>
          <w:rFonts w:ascii="Times New Roman" w:cs="Times New Roman" w:eastAsia="Times New Roman" w:hAnsi="Times New Roman"/>
          <w:sz w:val="14"/>
          <w:szCs w:val="14"/>
          <w:color w:val="auto"/>
        </w:rPr>
        <w:t>Federal and state law also governs the dispensing of controlled substances by pharmacists and physicians. For example, the Prescription Drug Marketing Act governs the distribution of drug samples. Any allegations or findings that we or our providers have violated any of these laws or regulations could have a material adverse impact on our reputation, business, results of operations, and financial condition.</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Corporate and Available Information</w:t>
      </w:r>
    </w:p>
    <w:p>
      <w:pPr>
        <w:spacing w:after="0" w:line="99" w:lineRule="exact"/>
        <w:rPr>
          <w:sz w:val="20"/>
          <w:szCs w:val="20"/>
          <w:color w:val="auto"/>
        </w:rPr>
      </w:pPr>
    </w:p>
    <w:p>
      <w:pPr>
        <w:ind w:left="640" w:right="659" w:firstLine="516"/>
        <w:spacing w:after="0" w:line="263" w:lineRule="auto"/>
        <w:rPr>
          <w:sz w:val="20"/>
          <w:szCs w:val="20"/>
          <w:color w:val="auto"/>
        </w:rPr>
      </w:pPr>
      <w:r>
        <w:rPr>
          <w:rFonts w:ascii="Times New Roman" w:cs="Times New Roman" w:eastAsia="Times New Roman" w:hAnsi="Times New Roman"/>
          <w:sz w:val="14"/>
          <w:szCs w:val="14"/>
          <w:color w:val="auto"/>
        </w:rPr>
        <w:t>Through our predecessors, we commenced operations in 1974 and have grown organically and through acquisitions. We were incorporated in Delaware on July 19, 2017, as Phoenix Parent Holdings Inc., in connection with KKR Stockholder’s and Walgreen Stockholder’s acquisition of PharMerica Corporation, which was completed in December 2017. In March 2019, we acquired BrightSpring Health Holdings Corp. and its subsidiaries. We changed our name to BrightSpring Health Services, Inc. in May 2021. We completed our initial public offering (“IPO”) in January 2024 and our common stock is listed on the Nasdaq Global Select Market under the symbol “BTSG”.</w:t>
      </w:r>
    </w:p>
    <w:p>
      <w:pPr>
        <w:spacing w:after="0" w:line="58" w:lineRule="exact"/>
        <w:rPr>
          <w:sz w:val="20"/>
          <w:szCs w:val="20"/>
          <w:color w:val="auto"/>
        </w:rPr>
      </w:pPr>
    </w:p>
    <w:p>
      <w:pPr>
        <w:ind w:left="640" w:right="679" w:firstLine="516"/>
        <w:spacing w:after="0" w:line="292" w:lineRule="auto"/>
        <w:rPr>
          <w:sz w:val="20"/>
          <w:szCs w:val="20"/>
          <w:color w:val="auto"/>
        </w:rPr>
      </w:pPr>
      <w:r>
        <w:rPr>
          <w:rFonts w:ascii="Times New Roman" w:cs="Times New Roman" w:eastAsia="Times New Roman" w:hAnsi="Times New Roman"/>
          <w:sz w:val="14"/>
          <w:szCs w:val="14"/>
          <w:color w:val="auto"/>
        </w:rPr>
        <w:t>Our principal offices are located at 805 N. Whittington Parkway, Louisville, Kentucky 40222. Our telephone number is (502) 394-2100. We maintain a website at www.brightspringhealth.com.</w:t>
      </w:r>
    </w:p>
    <w:p>
      <w:pPr>
        <w:spacing w:after="0" w:line="38" w:lineRule="exact"/>
        <w:rPr>
          <w:sz w:val="20"/>
          <w:szCs w:val="20"/>
          <w:color w:val="auto"/>
        </w:rPr>
      </w:pPr>
    </w:p>
    <w:p>
      <w:pPr>
        <w:ind w:left="640" w:right="699" w:firstLine="516"/>
        <w:spacing w:after="0" w:line="260" w:lineRule="auto"/>
        <w:rPr>
          <w:sz w:val="20"/>
          <w:szCs w:val="20"/>
          <w:color w:val="auto"/>
        </w:rPr>
      </w:pPr>
      <w:r>
        <w:rPr>
          <w:rFonts w:ascii="Times New Roman" w:cs="Times New Roman" w:eastAsia="Times New Roman" w:hAnsi="Times New Roman"/>
          <w:sz w:val="14"/>
          <w:szCs w:val="14"/>
          <w:color w:val="auto"/>
        </w:rPr>
        <w:t>Our Annual Report on Form 10-K, Quarterly Reports on Form 10-Q, Current Reports on Form 8-K and all amendments to those reports filed with or furnished to the SEC pursuant to Section 13(a) or 15(d) of the Securities Exchange Act are available free of charge on our website, under the “Investors - Financial Information - SEC Filings” caption, as soon as reasonably practicable after we electronically file them with, or furnish them to, the SEC. We also make available through the Investors section of our website other reports filed with or furnished to the SEC under the Exchange Act, including our proxy statements and reports filed by officers and directors under Section 16(a) of the Exchange Act, as well as our Code of Ethics and Business Conduct, Corporate Governance Guidelines and Board committee charters. The information on our website (or any webpages referenced in this Annual Report on Form 10-K) is not part of this or any other report that we file with, or furnish to, the SEC. The SEC also maintains a website (www.sec.gov) where you can search for annual, quarterly and current reports, proxy and information statements and other information regarding us and other public companies.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7" w:name="page28"/>
    <w:bookmarkEnd w:id="2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231F20"/>
        </w:rPr>
        <w:t>Item 1A. Risk Factors</w:t>
      </w:r>
    </w:p>
    <w:p>
      <w:pPr>
        <w:spacing w:after="0" w:line="183" w:lineRule="exact"/>
        <w:rPr>
          <w:sz w:val="20"/>
          <w:szCs w:val="20"/>
          <w:color w:val="auto"/>
        </w:rPr>
      </w:pPr>
    </w:p>
    <w:p>
      <w:pPr>
        <w:ind w:left="640" w:right="879" w:firstLine="351"/>
        <w:spacing w:after="0" w:line="295" w:lineRule="auto"/>
        <w:rPr>
          <w:sz w:val="20"/>
          <w:szCs w:val="20"/>
          <w:color w:val="auto"/>
        </w:rPr>
      </w:pPr>
      <w:r>
        <w:rPr>
          <w:rFonts w:ascii="Times New Roman" w:cs="Times New Roman" w:eastAsia="Times New Roman" w:hAnsi="Times New Roman"/>
          <w:sz w:val="14"/>
          <w:szCs w:val="14"/>
          <w:i w:val="1"/>
          <w:iCs w:val="1"/>
          <w:color w:val="231F20"/>
        </w:rPr>
        <w:t>Investing in our securities involves a high degree of risk. You should carefully consider the risks and uncertainties described below and the other information set forth in this Annual Report on Form 10-K before deciding to invest in our securities.</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231F20"/>
        </w:rPr>
        <w:t>Risks Related to Our Business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231F20"/>
        </w:rPr>
        <w:t>We operate in a highly competitive industry.</w:t>
      </w:r>
    </w:p>
    <w:p>
      <w:pPr>
        <w:spacing w:after="0" w:line="187" w:lineRule="exact"/>
        <w:rPr>
          <w:sz w:val="20"/>
          <w:szCs w:val="20"/>
          <w:color w:val="auto"/>
        </w:rPr>
      </w:pPr>
    </w:p>
    <w:p>
      <w:pPr>
        <w:ind w:left="640" w:right="839" w:firstLine="351"/>
        <w:spacing w:after="0" w:line="260" w:lineRule="auto"/>
        <w:rPr>
          <w:sz w:val="20"/>
          <w:szCs w:val="20"/>
          <w:color w:val="auto"/>
        </w:rPr>
      </w:pPr>
      <w:r>
        <w:rPr>
          <w:rFonts w:ascii="Times New Roman" w:cs="Times New Roman" w:eastAsia="Times New Roman" w:hAnsi="Times New Roman"/>
          <w:sz w:val="14"/>
          <w:szCs w:val="14"/>
          <w:color w:val="231F20"/>
        </w:rPr>
        <w:t>The U.S. healthcare industry in which we operate is highly competitive. We compete with a broad and diverse set of services spanning both pharmacy and provider services. In our Pharmacy Solutions segment, the competition for the distribution of pharmaceuticals to patients and also to healthcare facilities is intense. In our Provider Services segment, we compete with local, regional, and national providers of home health, hospice, rehab therapy, personal, primary care and behavioral health services in each of the geographical areas in which we operate. In each geographic market, there are national, regional, and local pharmacies and providers that provide services comparable to those offered by our Pharmacy Solutions and Provider Services segments. For example, owners of skilled nursing facilities are entering the facility-based pharmacy market, particularly in areas of their geographic concentration. We also compete in the large and highly fragmented hospice, infusion, and specialty pharmacy markets. Failure to compete effectively could have a material adverse effect on our market share, business, financial condition, and results of operations.</w:t>
      </w:r>
    </w:p>
    <w:p>
      <w:pPr>
        <w:spacing w:after="0" w:line="235" w:lineRule="exact"/>
        <w:rPr>
          <w:sz w:val="20"/>
          <w:szCs w:val="20"/>
          <w:color w:val="auto"/>
        </w:rPr>
      </w:pPr>
    </w:p>
    <w:p>
      <w:pPr>
        <w:ind w:left="640" w:right="739" w:firstLine="351"/>
        <w:spacing w:after="0" w:line="258" w:lineRule="auto"/>
        <w:rPr>
          <w:sz w:val="20"/>
          <w:szCs w:val="20"/>
          <w:color w:val="auto"/>
        </w:rPr>
      </w:pPr>
      <w:r>
        <w:rPr>
          <w:rFonts w:ascii="Times New Roman" w:cs="Times New Roman" w:eastAsia="Times New Roman" w:hAnsi="Times New Roman"/>
          <w:sz w:val="14"/>
          <w:szCs w:val="14"/>
          <w:color w:val="231F20"/>
        </w:rPr>
        <w:t>We compete based on the availability of personnel, the quality of services, expertise of clinicians, caregivers, pharmacists, and pharmacy professionals, and in certain instances, on the price of our services. Some of our competitors may have greater financial, technical, and marketing resources, name recognition, or a larger number of patients and payors than we do. Often our contracts with payors are not exclusive, and local competitors may develop strategic relationships with referral sources and payors, limiting our ability to retain referrals and payors in local markets. Some of our competitors may negotiate exclusivity provisions with managed care plans or otherwise interfere with the ability of managed care companies to contract with us. We may experience increased competition for managed care contracts due to state regulation and limitations. These competitive advantages could result in pricing pressures, loss of, or failure to gain market share, or loss of patients or payors, any of which could harm our business. In addition, our competitors may offer more services than we do in the markets in which we operate, introduce new or enhanced services that we do not provide, or be viewed by consumers as a more desirable local alternative. This, in combination with industry consolidation and the development of strategic relationships by our competitors (including mergers of competitors with each other and with insurers), could cause a decline in revenue, loss of market acceptance of our services or a negative impact on our results of operations. In addition, some of our competitors have vertically integrated business models with commercial payors, or are under common control with, or owned by, pharmaceutical wholesalers and distributors, Managed Care Organizations, or MCOs, Pharmacy Benefit managers, or PBMs, or retail pharmacy chains and may be better positioned with respect to the cost-effective distribution of pharmaceuticals. In addition, some of our competitors may have secured long-term supply or distribution arrangements for prescription pharmaceuticals necessary to treat certain chronic disease states on price terms substantially more favorable than the terms currently available to us. Consequently, we may be less price competitive than some of these competitors with respect to certain pharmaceutical products.</w:t>
      </w:r>
    </w:p>
    <w:p>
      <w:pPr>
        <w:spacing w:after="0" w:line="236" w:lineRule="exact"/>
        <w:rPr>
          <w:sz w:val="20"/>
          <w:szCs w:val="20"/>
          <w:color w:val="auto"/>
        </w:rPr>
      </w:pPr>
    </w:p>
    <w:p>
      <w:pPr>
        <w:ind w:left="640" w:right="659" w:firstLine="351"/>
        <w:spacing w:after="0" w:line="264" w:lineRule="auto"/>
        <w:rPr>
          <w:sz w:val="20"/>
          <w:szCs w:val="20"/>
          <w:color w:val="auto"/>
        </w:rPr>
      </w:pPr>
      <w:r>
        <w:rPr>
          <w:rFonts w:ascii="Times New Roman" w:cs="Times New Roman" w:eastAsia="Times New Roman" w:hAnsi="Times New Roman"/>
          <w:sz w:val="14"/>
          <w:szCs w:val="14"/>
          <w:color w:val="231F20"/>
        </w:rPr>
        <w:t>In our Provider Services segment, there are few barriers to entry in states that do not require a certificate of need, or CON, or permit of approval, or POA. Although state CON and POA laws may limit the ability of competitors to enter into certain markets, these laws are not uniform throughout the United States and are frequently the subject of efforts to limit or repeal such laws. If states remove existing CON or POA requirements, we could face increased competition in these states. There can be no assurances that other states will not seek to eliminate or limit their existing CON or POA programs, which could lead to increased competition in these states.</w:t>
      </w:r>
    </w:p>
    <w:p>
      <w:pPr>
        <w:spacing w:after="0" w:line="231"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231F20"/>
        </w:rPr>
        <w:t>In our Pharmacy Solutions segment, we must maintain good working relationships with pharmaceutical manufacturers, wholesalers, and distributors. Any loss of a supplier relationship or other changes to these relationships could have an adverse effect on our business, financial condition, and results of operations. Additionally, access to limited distribution pharmaceuticals provides us with significant competitive advantages in developing relationships with payors and healthcare providers, and our failure to continue obtaining access to new limited distribution pharmaceuticals or the loss of our current access could have a material and adverse impact on our business. We also provide a significant amount of services to pharmaceutical manufacturers in exchange for a service fee related to patient access to specialty pharmaceuticals, and our failure to provide services at optimal levels could result in losing access to existing and future products. If pharmaceutical manufacturers require significant additional services and products to obtain access to their products without a corresponding increase in service fees, our profitability could be adversely impacted.</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8" w:name="page29"/>
    <w:bookmarkEnd w:id="2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40" w:right="89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If we are unable to maintain relationships with existing patient referral sources or establish new referral sources, our business, financial condition, and results of operations could be materially adversely affected.</w:t>
      </w:r>
    </w:p>
    <w:p>
      <w:pPr>
        <w:spacing w:after="0" w:line="120" w:lineRule="exact"/>
        <w:rPr>
          <w:sz w:val="20"/>
          <w:szCs w:val="20"/>
          <w:color w:val="auto"/>
        </w:rPr>
      </w:pPr>
    </w:p>
    <w:p>
      <w:pPr>
        <w:ind w:left="640" w:right="699" w:firstLine="351"/>
        <w:spacing w:after="0" w:line="258" w:lineRule="auto"/>
        <w:rPr>
          <w:sz w:val="20"/>
          <w:szCs w:val="20"/>
          <w:color w:val="auto"/>
        </w:rPr>
      </w:pPr>
      <w:r>
        <w:rPr>
          <w:rFonts w:ascii="Times New Roman" w:cs="Times New Roman" w:eastAsia="Times New Roman" w:hAnsi="Times New Roman"/>
          <w:sz w:val="14"/>
          <w:szCs w:val="14"/>
          <w:color w:val="231F20"/>
        </w:rPr>
        <w:t>Our success is heavily dependent on referrals from physicians, hospitals, long-term care facilities, other institutional healthcare providers, and other sources in the communities we serve, such as case managers and placement agencies, and on our ability to maintain good relationships with these referral sources. Our referral sources are not, and cannot be, obligated to refer patients to us and may refer their patients to other providers. Our growth and profitability depend, in part, on our ability to establish and maintain close working relationships with these patient referral sources, comply with applicable laws with respect to such relationships, and to increase awareness and acceptance of the benefits of our home and community health provider services and pharmaceutical solutions by our referral sources and their patients. Many of our referral sources are becoming increasingly focused on finding quality services. If we should fail to attain our quality goals, we expect our ability to generate referrals would be adversely impacted. Our ability to attract and retain referral sources could also be adversely affected if we fail to provide or maintain a reputation for providing cost-effective care as compared to other providers in the same geographic area or if our reputation is affected by negative publicity, including adverse media related to staffing shortages, the quality of care, the failure to provide care, inadequate training, incidents at our facilities, employee misconduct, and inadequate conditions at our facilities. If we lose, or fail to maintain, existing relationships or fail to develop new referral relationships or if we are perceived by our referral sources for any reason as not providing high quality or cost-effective patient care and solutions, our patient volumes and the quality of our patient mix could suffer, and our revenue and profitability could decline.</w:t>
      </w:r>
    </w:p>
    <w:p>
      <w:pPr>
        <w:spacing w:after="0" w:line="200" w:lineRule="exact"/>
        <w:rPr>
          <w:sz w:val="20"/>
          <w:szCs w:val="20"/>
          <w:color w:val="auto"/>
        </w:rPr>
      </w:pPr>
    </w:p>
    <w:p>
      <w:pPr>
        <w:spacing w:after="0" w:line="208" w:lineRule="exact"/>
        <w:rPr>
          <w:sz w:val="20"/>
          <w:szCs w:val="20"/>
          <w:color w:val="auto"/>
        </w:rPr>
      </w:pPr>
    </w:p>
    <w:p>
      <w:pPr>
        <w:ind w:left="64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Changes to Medicare and Medicaid rates or methods governing Medicare and Medicaid payments for our services could materially adversely affect our business.</w:t>
      </w:r>
    </w:p>
    <w:p>
      <w:pPr>
        <w:spacing w:after="0" w:line="120"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231F20"/>
        </w:rPr>
        <w:t>We derive substantial revenue from government healthcare programs, primarily Medicare and Medicaid. Payments received from Medicare are subject to changes made through federal legislation and regulation. Payments received from Medicaid may vary from state to state. These payments are subject to statutory and regulatory changes, administrative rulings, interpretations, and determinations concerning patient eligibility requirements, funding levels, and the method of calculating payments or reimbursements. Changes in government healthcare programs may decrease the reimbursement we receive or limit access to, or utilization of, our services, and in turn, could cause our revenues and profitability to decline. When such changes are implemented, we must also modify our internal billing processes and procedures accordingly, which can require significant time and expense. As federal healthcare expenditures continue to increase and state governments may face budgetary shortfalls, federal and state governments have made, and may continue to make, significant changes to the Medicare and Medicaid programs and reimbursement received for services rendered to beneficiaries of such programs. The U.S. federal budget is subject to change, including reductions in federal spending, and the Medicare program is frequently mentioned as a target for spending cuts. Changes that may occur at the federal or state level include:</w:t>
      </w:r>
    </w:p>
    <w:p>
      <w:pPr>
        <w:spacing w:after="0" w:line="65" w:lineRule="exact"/>
        <w:rPr>
          <w:sz w:val="20"/>
          <w:szCs w:val="20"/>
          <w:color w:val="auto"/>
        </w:rPr>
      </w:pPr>
    </w:p>
    <w:p>
      <w:pPr>
        <w:ind w:left="1340" w:hanging="352"/>
        <w:spacing w:after="0"/>
        <w:tabs>
          <w:tab w:leader="none" w:pos="1340" w:val="left"/>
        </w:tabs>
        <w:numPr>
          <w:ilvl w:val="0"/>
          <w:numId w:val="1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administrative or legislative changes to the base rates under the applicable prospective payment systems;</w:t>
      </w:r>
    </w:p>
    <w:p>
      <w:pPr>
        <w:spacing w:after="0" w:line="96" w:lineRule="exact"/>
        <w:rPr>
          <w:rFonts w:ascii="Times New Roman" w:cs="Times New Roman" w:eastAsia="Times New Roman" w:hAnsi="Times New Roman"/>
          <w:sz w:val="14"/>
          <w:szCs w:val="14"/>
          <w:color w:val="231F20"/>
        </w:rPr>
      </w:pPr>
    </w:p>
    <w:p>
      <w:pPr>
        <w:ind w:left="1340" w:hanging="352"/>
        <w:spacing w:after="0"/>
        <w:tabs>
          <w:tab w:leader="none" w:pos="1340" w:val="left"/>
        </w:tabs>
        <w:numPr>
          <w:ilvl w:val="0"/>
          <w:numId w:val="1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reduction or elimination of annual rate increases;</w:t>
      </w:r>
    </w:p>
    <w:p>
      <w:pPr>
        <w:spacing w:after="0" w:line="96" w:lineRule="exact"/>
        <w:rPr>
          <w:rFonts w:ascii="Times New Roman" w:cs="Times New Roman" w:eastAsia="Times New Roman" w:hAnsi="Times New Roman"/>
          <w:sz w:val="14"/>
          <w:szCs w:val="14"/>
          <w:color w:val="231F20"/>
        </w:rPr>
      </w:pPr>
    </w:p>
    <w:p>
      <w:pPr>
        <w:ind w:left="1340" w:right="899" w:hanging="352"/>
        <w:spacing w:after="0" w:line="292" w:lineRule="auto"/>
        <w:tabs>
          <w:tab w:leader="none" w:pos="1340" w:val="left"/>
        </w:tabs>
        <w:numPr>
          <w:ilvl w:val="0"/>
          <w:numId w:val="1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redefining eligibility or enrollment standards or coverage criteria for government healthcare programs or the receipt of services under those programs or changes in documentation requirements;</w:t>
      </w:r>
    </w:p>
    <w:p>
      <w:pPr>
        <w:spacing w:after="0" w:line="37" w:lineRule="exact"/>
        <w:rPr>
          <w:rFonts w:ascii="Times New Roman" w:cs="Times New Roman" w:eastAsia="Times New Roman" w:hAnsi="Times New Roman"/>
          <w:sz w:val="14"/>
          <w:szCs w:val="14"/>
          <w:color w:val="231F20"/>
        </w:rPr>
      </w:pPr>
    </w:p>
    <w:p>
      <w:pPr>
        <w:ind w:left="1340" w:right="919" w:hanging="352"/>
        <w:spacing w:after="0" w:line="292" w:lineRule="auto"/>
        <w:tabs>
          <w:tab w:leader="none" w:pos="1340" w:val="left"/>
        </w:tabs>
        <w:numPr>
          <w:ilvl w:val="0"/>
          <w:numId w:val="1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imposition of prior authorization and concurrent utilization review programs that may further limit the services for which government healthcare programs will pay and shift patients to lower levels of care and reimbursement;</w:t>
      </w:r>
    </w:p>
    <w:p>
      <w:pPr>
        <w:spacing w:after="0" w:line="37" w:lineRule="exact"/>
        <w:rPr>
          <w:rFonts w:ascii="Times New Roman" w:cs="Times New Roman" w:eastAsia="Times New Roman" w:hAnsi="Times New Roman"/>
          <w:sz w:val="14"/>
          <w:szCs w:val="14"/>
          <w:color w:val="231F20"/>
        </w:rPr>
      </w:pPr>
    </w:p>
    <w:p>
      <w:pPr>
        <w:ind w:left="1340" w:right="839" w:hanging="352"/>
        <w:spacing w:after="0" w:line="292" w:lineRule="auto"/>
        <w:tabs>
          <w:tab w:leader="none" w:pos="1340" w:val="left"/>
        </w:tabs>
        <w:numPr>
          <w:ilvl w:val="0"/>
          <w:numId w:val="1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imposition or increase of mechanisms shifting more responsibility for a portion of payment to beneficiaries, such as co-payments;</w:t>
      </w:r>
    </w:p>
    <w:p>
      <w:pPr>
        <w:spacing w:after="0" w:line="37" w:lineRule="exact"/>
        <w:rPr>
          <w:rFonts w:ascii="Times New Roman" w:cs="Times New Roman" w:eastAsia="Times New Roman" w:hAnsi="Times New Roman"/>
          <w:sz w:val="14"/>
          <w:szCs w:val="14"/>
          <w:color w:val="231F20"/>
        </w:rPr>
      </w:pPr>
    </w:p>
    <w:p>
      <w:pPr>
        <w:ind w:left="1340" w:hanging="352"/>
        <w:spacing w:after="0"/>
        <w:tabs>
          <w:tab w:leader="none" w:pos="1340" w:val="left"/>
        </w:tabs>
        <w:numPr>
          <w:ilvl w:val="0"/>
          <w:numId w:val="1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adjustments to the relative components of the wage index used in determining reimbursement rates;</w:t>
      </w:r>
    </w:p>
    <w:p>
      <w:pPr>
        <w:spacing w:after="0" w:line="96" w:lineRule="exact"/>
        <w:rPr>
          <w:rFonts w:ascii="Times New Roman" w:cs="Times New Roman" w:eastAsia="Times New Roman" w:hAnsi="Times New Roman"/>
          <w:sz w:val="14"/>
          <w:szCs w:val="14"/>
          <w:color w:val="231F20"/>
        </w:rPr>
      </w:pPr>
    </w:p>
    <w:p>
      <w:pPr>
        <w:ind w:left="1340" w:hanging="352"/>
        <w:spacing w:after="0"/>
        <w:tabs>
          <w:tab w:leader="none" w:pos="1340" w:val="left"/>
        </w:tabs>
        <w:numPr>
          <w:ilvl w:val="0"/>
          <w:numId w:val="1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decreasing benefits, such as limiting the number of hours of personal care services that will be covered;</w:t>
      </w:r>
    </w:p>
    <w:p>
      <w:pPr>
        <w:spacing w:after="0" w:line="96" w:lineRule="exact"/>
        <w:rPr>
          <w:rFonts w:ascii="Times New Roman" w:cs="Times New Roman" w:eastAsia="Times New Roman" w:hAnsi="Times New Roman"/>
          <w:sz w:val="14"/>
          <w:szCs w:val="14"/>
          <w:color w:val="231F20"/>
        </w:rPr>
      </w:pPr>
    </w:p>
    <w:p>
      <w:pPr>
        <w:ind w:left="1340" w:hanging="352"/>
        <w:spacing w:after="0"/>
        <w:tabs>
          <w:tab w:leader="none" w:pos="1340" w:val="left"/>
        </w:tabs>
        <w:numPr>
          <w:ilvl w:val="0"/>
          <w:numId w:val="1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changing reimbursement methodology;</w:t>
      </w:r>
    </w:p>
    <w:p>
      <w:pPr>
        <w:spacing w:after="0" w:line="96" w:lineRule="exact"/>
        <w:rPr>
          <w:rFonts w:ascii="Times New Roman" w:cs="Times New Roman" w:eastAsia="Times New Roman" w:hAnsi="Times New Roman"/>
          <w:sz w:val="14"/>
          <w:szCs w:val="14"/>
          <w:color w:val="231F20"/>
        </w:rPr>
      </w:pPr>
    </w:p>
    <w:p>
      <w:pPr>
        <w:ind w:left="1340" w:hanging="352"/>
        <w:spacing w:after="0"/>
        <w:tabs>
          <w:tab w:leader="none" w:pos="1340" w:val="left"/>
        </w:tabs>
        <w:numPr>
          <w:ilvl w:val="0"/>
          <w:numId w:val="1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slowing payments to providers;</w:t>
      </w:r>
    </w:p>
    <w:p>
      <w:pPr>
        <w:spacing w:after="0" w:line="96" w:lineRule="exact"/>
        <w:rPr>
          <w:rFonts w:ascii="Times New Roman" w:cs="Times New Roman" w:eastAsia="Times New Roman" w:hAnsi="Times New Roman"/>
          <w:sz w:val="14"/>
          <w:szCs w:val="14"/>
          <w:color w:val="231F20"/>
        </w:rPr>
      </w:pPr>
    </w:p>
    <w:p>
      <w:pPr>
        <w:ind w:left="1340" w:hanging="352"/>
        <w:spacing w:after="0"/>
        <w:tabs>
          <w:tab w:leader="none" w:pos="1340" w:val="left"/>
        </w:tabs>
        <w:numPr>
          <w:ilvl w:val="0"/>
          <w:numId w:val="1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increasing utilization of self-directed care alternatives or “all inclusive” programs;</w:t>
      </w:r>
    </w:p>
    <w:p>
      <w:pPr>
        <w:spacing w:after="0" w:line="96" w:lineRule="exact"/>
        <w:rPr>
          <w:rFonts w:ascii="Times New Roman" w:cs="Times New Roman" w:eastAsia="Times New Roman" w:hAnsi="Times New Roman"/>
          <w:sz w:val="14"/>
          <w:szCs w:val="14"/>
          <w:color w:val="231F20"/>
        </w:rPr>
      </w:pPr>
    </w:p>
    <w:p>
      <w:pPr>
        <w:ind w:left="1340" w:hanging="352"/>
        <w:spacing w:after="0"/>
        <w:tabs>
          <w:tab w:leader="none" w:pos="1340" w:val="left"/>
        </w:tabs>
        <w:numPr>
          <w:ilvl w:val="0"/>
          <w:numId w:val="1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changes to cap limits and per diem rates;</w:t>
      </w:r>
    </w:p>
    <w:p>
      <w:pPr>
        <w:spacing w:after="0" w:line="96" w:lineRule="exact"/>
        <w:rPr>
          <w:rFonts w:ascii="Times New Roman" w:cs="Times New Roman" w:eastAsia="Times New Roman" w:hAnsi="Times New Roman"/>
          <w:sz w:val="14"/>
          <w:szCs w:val="14"/>
          <w:color w:val="231F20"/>
        </w:rPr>
      </w:pPr>
    </w:p>
    <w:p>
      <w:pPr>
        <w:ind w:left="1340" w:hanging="352"/>
        <w:spacing w:after="0"/>
        <w:tabs>
          <w:tab w:leader="none" w:pos="1340" w:val="left"/>
        </w:tabs>
        <w:numPr>
          <w:ilvl w:val="0"/>
          <w:numId w:val="1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changes to case mix or therapy thresholds;</w:t>
      </w:r>
    </w:p>
    <w:p>
      <w:pPr>
        <w:spacing w:after="0" w:line="96" w:lineRule="exact"/>
        <w:rPr>
          <w:rFonts w:ascii="Times New Roman" w:cs="Times New Roman" w:eastAsia="Times New Roman" w:hAnsi="Times New Roman"/>
          <w:sz w:val="14"/>
          <w:szCs w:val="14"/>
          <w:color w:val="231F20"/>
        </w:rPr>
      </w:pPr>
    </w:p>
    <w:p>
      <w:pPr>
        <w:ind w:left="1340" w:hanging="352"/>
        <w:spacing w:after="0"/>
        <w:tabs>
          <w:tab w:leader="none" w:pos="1340" w:val="left"/>
        </w:tabs>
        <w:numPr>
          <w:ilvl w:val="0"/>
          <w:numId w:val="1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reclassification of home health resource groups;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9" w:name="page30"/>
    <w:bookmarkEnd w:id="2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340" w:hanging="352"/>
        <w:spacing w:after="0"/>
        <w:tabs>
          <w:tab w:leader="none" w:pos="1340" w:val="left"/>
        </w:tabs>
        <w:numPr>
          <w:ilvl w:val="0"/>
          <w:numId w:val="15"/>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reclassification of long-term care diagnosis-related groups.</w:t>
      </w:r>
    </w:p>
    <w:p>
      <w:pPr>
        <w:spacing w:after="0" w:line="97"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231F20"/>
        </w:rPr>
        <w:t>Additionally, regulators are increasing scrutiny of claims, which may require additional resources to respond to audits, and which may cause additional delays or denials in receiving payments. Medicare currently provides for an annual adjustment of the various payment rates based upon the increase or decrease of the medical care expenditure, which may be less than actual inflation, and if we do not manage the cost of providing services, such an annual adjustment may adversely impact our business, financial condition, and results of operations. This adjustment could be eliminated or reduced in any given year. Further, Medicare routinely reclassifies home health resource groups and long-term care diagnosis-related groups, and as a result, we could receive lower reimbursement rates depending on the case mix of the patients we service. If our cost of providing services increases by more than the annual Medicare price adjustment, or if these reclassifications result in lower reimbursement rates, our business, financial condition and results of operations could be adversely impacted. Certain of these measures have been implemented by, or are proposed in, states in which we operate.</w:t>
      </w:r>
    </w:p>
    <w:p>
      <w:pPr>
        <w:spacing w:after="0" w:line="235"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231F20"/>
        </w:rPr>
        <w:t>Additionally, CMS changed the Home Health Prospective Payment System case-mix adjustment methodology through the use of a Patient-Driven Groupings Model, or PDGM, for home health payments. This change was implemented on January 1, 2020, and also includes a change in the unit of payment from a 60-day payment period to a 30-day payment period and eliminates the use of therapy visits in the determination of payments. While the changes were intended to be implemented in a budget-neutral manner to the industry, the ultimate impact varied by provider based on factors including patient mix and admission source. Additionally, in arriving at the rate that is budget-neutral, CMS made assumptions about behavioral changes that resulted in reductions in reimbursement and a lack of clarity in methodology application.</w:t>
      </w:r>
    </w:p>
    <w:p>
      <w:pPr>
        <w:spacing w:after="0" w:line="59" w:lineRule="exact"/>
        <w:rPr>
          <w:sz w:val="20"/>
          <w:szCs w:val="20"/>
          <w:color w:val="auto"/>
        </w:rPr>
      </w:pPr>
    </w:p>
    <w:p>
      <w:pPr>
        <w:ind w:left="640" w:right="759" w:firstLine="351"/>
        <w:spacing w:after="0" w:line="260" w:lineRule="auto"/>
        <w:rPr>
          <w:sz w:val="20"/>
          <w:szCs w:val="20"/>
          <w:color w:val="auto"/>
        </w:rPr>
      </w:pPr>
      <w:r>
        <w:rPr>
          <w:rFonts w:ascii="Times New Roman" w:cs="Times New Roman" w:eastAsia="Times New Roman" w:hAnsi="Times New Roman"/>
          <w:sz w:val="14"/>
          <w:szCs w:val="14"/>
          <w:color w:val="231F20"/>
        </w:rPr>
        <w:t>The Patient Protection and Affordable Care Act and the Health Care Education and Reconciliation Act, or collectively, the ACA, added a new Medicare requirement for face-to-face encounters to support claims for home health services, which continues to be one of the most complex issues and can be the source of claims denials if not fulfilled, and extended the same requirements for face-to-face encounters to the case of physicians making certifications for home health services under Medicaid. For hospice patients receiving nursing center care under certain state Medicaid programs who elect hospice care under Medicare or Medicaid, the state must pay, in addition to the applicable Medicare or Medicaid hospice per diem rate, an amount equal to at least 95% of the Medicaid per diem nursing center rate for “room and board” furnished to the patient by the nursing center. The reduction or elimination of Medicare payments for hospice patients residing in nursing centers would significantly reduce our home and community health services revenues and profitability. In addition, changes in the way nursing centers are reimbursed for “room and board” services provided to hospice patients residing in nursing centers could adversely affect our ability to obtain referrals from nursing centers.</w:t>
      </w:r>
    </w:p>
    <w:p>
      <w:pPr>
        <w:spacing w:after="0" w:line="60" w:lineRule="exact"/>
        <w:rPr>
          <w:sz w:val="20"/>
          <w:szCs w:val="20"/>
          <w:color w:val="auto"/>
        </w:rPr>
      </w:pPr>
    </w:p>
    <w:p>
      <w:pPr>
        <w:ind w:left="640" w:right="719" w:firstLine="351"/>
        <w:spacing w:after="0" w:line="261" w:lineRule="auto"/>
        <w:rPr>
          <w:sz w:val="20"/>
          <w:szCs w:val="20"/>
          <w:color w:val="auto"/>
        </w:rPr>
      </w:pPr>
      <w:r>
        <w:rPr>
          <w:rFonts w:ascii="Times New Roman" w:cs="Times New Roman" w:eastAsia="Times New Roman" w:hAnsi="Times New Roman"/>
          <w:sz w:val="14"/>
          <w:szCs w:val="14"/>
          <w:color w:val="231F20"/>
        </w:rPr>
        <w:t>If changes in Medicare, Medicaid, or other state and local programs result in a reduction in available funds for the services we offer, a reduction in the number of beneficiaries eligible for our services or a reduction in the number of hours or amount of services that beneficiaries eligible for our services may receive, then our revenues and profitability could be negatively impacted. We cannot assure you that reimbursement payments under governmental payor programs, including supplemental insurance policies, will remain at levels comparable to present levels or will be sufficient to cover the costs allocable to patients eligible for reimbursement pursuant to these programs. In some cases, commercial insurance companies and other private payors rely on government payment systems to determine payment rates. As a result, changes to government healthcare programs that reduce Medicare, Medicaid, or other payments may negatively impact payments from private payors, as well.</w:t>
      </w:r>
    </w:p>
    <w:p>
      <w:pPr>
        <w:spacing w:after="0" w:line="60" w:lineRule="exact"/>
        <w:rPr>
          <w:sz w:val="20"/>
          <w:szCs w:val="20"/>
          <w:color w:val="auto"/>
        </w:rPr>
      </w:pPr>
    </w:p>
    <w:p>
      <w:pPr>
        <w:ind w:left="640" w:right="779" w:firstLine="351"/>
        <w:spacing w:after="0" w:line="292" w:lineRule="auto"/>
        <w:rPr>
          <w:sz w:val="20"/>
          <w:szCs w:val="20"/>
          <w:color w:val="auto"/>
        </w:rPr>
      </w:pPr>
      <w:r>
        <w:rPr>
          <w:rFonts w:ascii="Times New Roman" w:cs="Times New Roman" w:eastAsia="Times New Roman" w:hAnsi="Times New Roman"/>
          <w:sz w:val="14"/>
          <w:szCs w:val="14"/>
          <w:color w:val="231F20"/>
        </w:rPr>
        <w:t>Any reduction in reimbursements from governmental or private payors, as well as the imposition of co-payments that dissuade the use of our services, could also materially adversely affect our profitability.</w:t>
      </w:r>
    </w:p>
    <w:p>
      <w:pPr>
        <w:spacing w:after="0" w:line="206" w:lineRule="exact"/>
        <w:rPr>
          <w:sz w:val="20"/>
          <w:szCs w:val="20"/>
          <w:color w:val="auto"/>
        </w:rPr>
      </w:pPr>
    </w:p>
    <w:p>
      <w:pPr>
        <w:ind w:left="640" w:right="83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Cost containment initiatives of third-party payors, including post-payment audits, could adversely impact our business, financial condition, and results of operations.</w:t>
      </w:r>
    </w:p>
    <w:p>
      <w:pPr>
        <w:spacing w:after="0" w:line="120"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231F20"/>
        </w:rPr>
        <w:t>Third-party healthcare payors, such as federal and state governments, insurance companies and employers, have undertaken, and will likely continue to undertake, cost containment initiatives. As part of the efforts, such payors are demanding discounted fee structures or the assumption by healthcare providers of all or a portion of the financial risk relating to paying for care provided, often in exchange for exclusive or preferred participation in their benefit plans. We expect efforts to impose greater discounts and more stringent cost controls by government and other third-party payors to continue, potentially reducing the payments we receive for our services. For example, the Medicaid Integrity Program is increasing its scrutiny of Medicaid providers and reimbursements received through the program, which could result in recoupments of alleged overpayments. Similarly, private third-party payors also engage in post-payment audits which can result in recoupments. Additionally, private third-party payors may be successful in negotiating reduced reimbursement schedules for our services. Fixed fee schedules, capitation payment arrangements, exclusion from participation in or inability to reach agreements with private insurance organizations or government funded programs, reduction, or elimination of payments or an increase in the payments at a rate that is less than the increase in our costs, or other factors affecting payments for healthcare services over which we have no control, could have a material adverse effect on our business, financial</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0" w:name="page31"/>
    <w:bookmarkEnd w:id="3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right="899"/>
        <w:spacing w:after="0" w:line="274" w:lineRule="auto"/>
        <w:rPr>
          <w:sz w:val="20"/>
          <w:szCs w:val="20"/>
          <w:color w:val="auto"/>
        </w:rPr>
      </w:pPr>
      <w:r>
        <w:rPr>
          <w:rFonts w:ascii="Times New Roman" w:cs="Times New Roman" w:eastAsia="Times New Roman" w:hAnsi="Times New Roman"/>
          <w:sz w:val="14"/>
          <w:szCs w:val="14"/>
          <w:color w:val="231F20"/>
        </w:rPr>
        <w:t>condition, results of operations, and prospects. Further, we cannot assure you that our services will be considered cost-effective by third-party payors, that third-party payor reimbursement will continue to be available or that changes to third-party payor reimbursement policies will not have a material adverse effect on our ability to provide our services on a profitable basis, if at all.</w:t>
      </w:r>
    </w:p>
    <w:p>
      <w:pPr>
        <w:spacing w:after="0" w:line="50" w:lineRule="exact"/>
        <w:rPr>
          <w:sz w:val="20"/>
          <w:szCs w:val="20"/>
          <w:color w:val="auto"/>
        </w:rPr>
      </w:pPr>
    </w:p>
    <w:p>
      <w:pPr>
        <w:ind w:left="640" w:right="819" w:firstLine="351"/>
        <w:spacing w:after="0" w:line="262" w:lineRule="auto"/>
        <w:rPr>
          <w:sz w:val="20"/>
          <w:szCs w:val="20"/>
          <w:color w:val="auto"/>
        </w:rPr>
      </w:pPr>
      <w:r>
        <w:rPr>
          <w:rFonts w:ascii="Times New Roman" w:cs="Times New Roman" w:eastAsia="Times New Roman" w:hAnsi="Times New Roman"/>
          <w:sz w:val="14"/>
          <w:szCs w:val="14"/>
          <w:color w:val="231F20"/>
        </w:rPr>
        <w:t>In addition, certain third parties, known as conveners, offer patient placement and care transition services to managed care companies, Medicare Advantage plans, bundled payment participants, Accountable Care Organizations, or ACOs, and other healthcare providers as part of an effort to manage costs. Given their focus on perceived financial savings, conveners customarily suggest that patients avoid higher cost settings altogether or move as soon as practicable to lower-cost settings. However, conveners are not healthcare providers and may suggest a setting or duration of care that may not be appropriate from a clinical perspective. Efforts by conveners to avoid our care settings or suggest shorter lengths of stay in our care settings could have a material adverse effect on our business, financial condition and results of operations.</w:t>
      </w:r>
    </w:p>
    <w:p>
      <w:pPr>
        <w:spacing w:after="0" w:line="226" w:lineRule="exact"/>
        <w:rPr>
          <w:sz w:val="20"/>
          <w:szCs w:val="20"/>
          <w:color w:val="auto"/>
        </w:rPr>
      </w:pPr>
    </w:p>
    <w:p>
      <w:pPr>
        <w:ind w:left="640" w:right="89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The implementation of alternative payment models and the transition of Medicaid and Medicare beneficiaries to managed care organizations may limit our market share and could adversely affect our revenues.</w:t>
      </w:r>
    </w:p>
    <w:p>
      <w:pPr>
        <w:spacing w:after="0" w:line="120"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231F20"/>
        </w:rPr>
        <w:t>Many government and commercial payors are transitioning providers to alternative payment models that are designed to promote cost-efficiency, quality, and coordination of care. For example, ACOs, incentivize hospitals, physician groups, and other providers to organize and coordinate patient care while reducing unnecessary costs. Conceptually, ACOs receive a portion of any savings generated above a certain threshold from care coordination as long as benchmarks for the quality of care are maintained. Providers are then paid based on the overall value and quality (as determined by outcomes) of the services they provide to a patient rather than the number of services they provide. Pursuant to the ACA, CMS has established several separate ACO programs, the largest of which is the Medicare Shared Savings Program, or MSSP, for care provided to Medicare fee-for-service beneficiaries. The ACO rules adopted by CMS are extremely complex and remain subject to further refinement by CMS. For example, the ACO REACH program has meaningful changes for performance year 2026 then is being transitioned to a new program at the end of 2026. Other value-based models by CMS have been terminated early. Several states have implemented, or plan to implement, accountable care models for their Medicaid populations. Eligible providers, hospitals, and suppliers may participate by creating, participating in or contracting with an ACO. If we are not included in these programs, or if ACOs establish programs that overlap with our services, we are at risk for losing market share, including a loss of our current business.</w:t>
      </w:r>
    </w:p>
    <w:p>
      <w:pPr>
        <w:spacing w:after="0" w:line="61" w:lineRule="exact"/>
        <w:rPr>
          <w:sz w:val="20"/>
          <w:szCs w:val="20"/>
          <w:color w:val="auto"/>
        </w:rPr>
      </w:pPr>
    </w:p>
    <w:p>
      <w:pPr>
        <w:ind w:left="640" w:right="759" w:firstLine="351"/>
        <w:spacing w:after="0" w:line="268" w:lineRule="auto"/>
        <w:rPr>
          <w:sz w:val="20"/>
          <w:szCs w:val="20"/>
          <w:color w:val="auto"/>
        </w:rPr>
      </w:pPr>
      <w:r>
        <w:rPr>
          <w:rFonts w:ascii="Times New Roman" w:cs="Times New Roman" w:eastAsia="Times New Roman" w:hAnsi="Times New Roman"/>
          <w:sz w:val="14"/>
          <w:szCs w:val="14"/>
          <w:color w:val="231F20"/>
        </w:rPr>
        <w:t>The trend in the healthcare industry toward value-based purchasing of healthcare services is growing among both government and commercial payors. Value-based purchasing programs emphasize quality of outcome and efficiency of care provided, rather than quantity of care provided. For example, Medicare requires home and community health services companies to report certain quality data in order to receive full reimbursement.</w:t>
      </w:r>
    </w:p>
    <w:p>
      <w:pPr>
        <w:spacing w:after="0" w:line="54"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231F20"/>
        </w:rPr>
        <w:t>Failure to report quality data or poor performance may negatively impact the amount of reimbursement received. We rely on third parties with whom we contract to pass along the savings to us, which can be the subject of dispute or financial ability of our contract partner to make payment, among others. We may incur additional expenses in an effort to comply with additional and changing quality reporting requirements. The first performance year of the value-based purchasing program affecting home health providers began on January 1, 2023, and the model has been expanded to all 50 states. Under the expanded program, home health agencies receive payment bonuses or penalties based on their achievement of specified performance measures, relative to their peers’ performance. Performance on these quality measures in a specified year (performance year) impacts payment adjustments in a later year. Additionally, commercial payors have expressed intent to shift toward value-based reimbursement arrangements. Government and commercial payors’ implementation of value-based purchasing requirements could have a material adverse effect on our business, financial condition, and results of operations.</w:t>
      </w:r>
    </w:p>
    <w:p>
      <w:pPr>
        <w:spacing w:after="0" w:line="60" w:lineRule="exact"/>
        <w:rPr>
          <w:sz w:val="20"/>
          <w:szCs w:val="20"/>
          <w:color w:val="auto"/>
        </w:rPr>
      </w:pPr>
    </w:p>
    <w:p>
      <w:pPr>
        <w:ind w:left="640" w:right="719" w:firstLine="351"/>
        <w:spacing w:after="0" w:line="259" w:lineRule="auto"/>
        <w:rPr>
          <w:sz w:val="20"/>
          <w:szCs w:val="20"/>
          <w:color w:val="auto"/>
        </w:rPr>
      </w:pPr>
      <w:r>
        <w:rPr>
          <w:rFonts w:ascii="Times New Roman" w:cs="Times New Roman" w:eastAsia="Times New Roman" w:hAnsi="Times New Roman"/>
          <w:sz w:val="14"/>
          <w:szCs w:val="14"/>
          <w:color w:val="231F20"/>
        </w:rPr>
        <w:t>The ACA resulted in the establishment of various demonstration projects and Medicaid programs under which states may apply to test new or existing approaches to payment and delivery of Medicaid benefits. For example, CMS launched a home health agency pre-claim review demonstration project that runs through 2029 called the Review Choice Demonstration, or RCD, for Home Health Services. RCD is intended to assist in developing improved procedures to identify and prevent fraud and is limited to home health agencies in six states: Illinois, Ohio, North Carolina, Florida, Oklahoma and Texas. Home health agencies in these states have three options for initial review: pre-claim review of all claims, post-payment review of all claims, or minimal post-payment review with a 25% payment reduction for all home health services. Home health agencies that maintain pre-claim review affirmation rate or post-payment review approval rate of 90% or greater will be eligible for additional, less burdensome options for subsequent review. Compliance with this process has resulted in increased administrative costs and delays in reimbursement for home health services in the states subject to the demonstration. These delays could materially adversely affect our working capital and negatively affect our operations in these states.</w:t>
      </w:r>
    </w:p>
    <w:p>
      <w:pPr>
        <w:spacing w:after="0" w:line="6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231F20"/>
        </w:rPr>
        <w:t>While participation in such APMs, including ACOs, has historically been voluntary, CMS and certain other payers have</w:t>
      </w:r>
    </w:p>
    <w:p>
      <w:pPr>
        <w:spacing w:after="0" w:line="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231F20"/>
        </w:rPr>
        <w:t>indicated that participation in future programs may be required, and any changes to or elimination of VBC arrangements by CMS or</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1" w:name="page32"/>
    <w:bookmarkEnd w:id="3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719"/>
        <w:spacing w:after="0" w:line="259" w:lineRule="auto"/>
        <w:rPr>
          <w:sz w:val="20"/>
          <w:szCs w:val="20"/>
          <w:color w:val="auto"/>
        </w:rPr>
      </w:pPr>
      <w:r>
        <w:rPr>
          <w:rFonts w:ascii="Times New Roman" w:cs="Times New Roman" w:eastAsia="Times New Roman" w:hAnsi="Times New Roman"/>
          <w:sz w:val="14"/>
          <w:szCs w:val="14"/>
          <w:color w:val="231F20"/>
        </w:rPr>
        <w:t>other payers could have a material adverse effect on our business, results of operations, financial condition and cash flows. While we believe we are well-positioned to compete in a value-based reimbursement environment and facilitate the transition from FFS models to VBC arrangements, it is unclear whether VBC arrangements will ultimately achieve their aims and whether they will decrease aggregate reimbursement. As such, we cannot predict at this time what effect alternative payment models may have on our Company. If we perform at a level below the outcomes demonstrated by our competitors, fail to satisfy quality data reporting requirements, are unable to meet or exceed quality performance standards under any applicable value-based purchasing program, or otherwise fail to effectively provide or coordinate the efficient delivery of quality healthcare services, our reputation in the industry may be negatively impacted, we may receive reduced reimbursement amounts and we may owe repayments to payors, which could materially adversely impact our business, financial condition, and results of operations. Additionally, our reputation may be affected by negative press, including adverse media related to staffing shortages, the quality of care, the failure to provide care, inadequate training, incidents at our facilities, and inadequate conditions at our facilities, which could materially adversely impact our business.</w:t>
      </w:r>
    </w:p>
    <w:p>
      <w:pPr>
        <w:spacing w:after="0" w:line="65"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231F20"/>
        </w:rPr>
        <w:t>We may be similarly impacted by increased enrollment of Medicare and Medicaid beneficiaries in managed care plans, shifting away from traditional fee-for-service models. Under a managed Medicare plan, also known as Medicare Advantage, the federal government contracts with private health insurers to provide Medicare benefits and the insurers may choose to offer supplemental benefits. More than half of all Medicare beneficiaries were enrolled in a Medicare Advantage plan as of January 2025, a figure that continues to grow. CMS allows Medicare Advantage plans to offer certain personal care services as a supplemental benefit. Enrollment in managed Medicaid plans is also growing, as states are increasingly relying on Managed Care Organizations, or MCOs to deliver Medicaid program services as a strategy to control costs and manage resources. Managed care contracts typically permit the payor to terminate the contract without cause, on very short notice, typically 60 days, which can provide payors leverage to reduce volume or obtain favorable pricing. We cannot assure you that we will be successful in our efforts to be included in managed plan networks, that we will be able to secure or maintain favorable contracts with all or some of the MCOs, that our reimbursement under these programs will remain at current levels, that the authorizations for services will remain at current levels or that our profitability will remain at levels consistent with past performance. In addition, operational processes may not be well-defined as a state transitions Medicaid recipients to managed care. For example, membership, new referrals, and the related authorization for services to be provided may be delayed, which may result in delays in service delivery to consumers or in payment for services rendered. Difficulties with operational processes associated with new managed care contracts may negatively affect our revenue, cash flow, and profitability for services provided.</w:t>
      </w:r>
    </w:p>
    <w:p>
      <w:pPr>
        <w:spacing w:after="0" w:line="200" w:lineRule="exact"/>
        <w:rPr>
          <w:sz w:val="20"/>
          <w:szCs w:val="20"/>
          <w:color w:val="auto"/>
        </w:rPr>
      </w:pPr>
    </w:p>
    <w:p>
      <w:pPr>
        <w:spacing w:after="0" w:line="207" w:lineRule="exact"/>
        <w:rPr>
          <w:sz w:val="20"/>
          <w:szCs w:val="20"/>
          <w:color w:val="auto"/>
        </w:rPr>
      </w:pPr>
    </w:p>
    <w:p>
      <w:pPr>
        <w:ind w:left="640" w:right="73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Changes in the case mix of patients, as well as payor mix and payment methodologies, and decisions and operations of third-party organizations may have a material adverse effect on our business, financial condition, and results of operations.</w:t>
      </w:r>
    </w:p>
    <w:p>
      <w:pPr>
        <w:spacing w:after="0" w:line="120" w:lineRule="exact"/>
        <w:rPr>
          <w:sz w:val="20"/>
          <w:szCs w:val="20"/>
          <w:color w:val="auto"/>
        </w:rPr>
      </w:pPr>
    </w:p>
    <w:p>
      <w:pPr>
        <w:ind w:left="640" w:right="779" w:firstLine="351"/>
        <w:spacing w:after="0" w:line="265" w:lineRule="auto"/>
        <w:rPr>
          <w:sz w:val="20"/>
          <w:szCs w:val="20"/>
          <w:color w:val="auto"/>
        </w:rPr>
      </w:pPr>
      <w:r>
        <w:rPr>
          <w:rFonts w:ascii="Times New Roman" w:cs="Times New Roman" w:eastAsia="Times New Roman" w:hAnsi="Times New Roman"/>
          <w:sz w:val="14"/>
          <w:szCs w:val="14"/>
          <w:color w:val="231F20"/>
        </w:rPr>
        <w:t>The sources and amounts of our revenue are determined by a number of factors, including the mix of patients and third-party payors, the rates of reimbursement or payments among payors, and decisions and operations of third-party organizations. Changes in the case mix of the patients, payment methodologies, or payor mix among third-party payor, Medicare, and Medicaid may significantly affect our results of operations and cash flows. In particular, any significant decrease in our population of high-acuity patients could have a material adverse effect on our business, financial condition, and results of operations.</w:t>
      </w:r>
    </w:p>
    <w:p>
      <w:pPr>
        <w:spacing w:after="0" w:line="56"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231F20"/>
        </w:rPr>
        <w:t>Our ability to provide services may also be impacted by actions of third-party organizations, such as assisted living facilities choosing to bring pharmacy services in-house or hospitals following CMS’s guidelines for providing care outside of a traditional hospital setting. Increasing consolidation in the payor and supplier structure, including vertical integration efforts among insurers, providers, and suppliers, may limit our ability to negotiate favorable terms and conditions in our contracts and otherwise intensify competitive pressure. For example, MCOs and other third-party payors continue to consolidate, which enhances their ability to influence the delivery and cost structure of healthcare services. Consequently, the healthcare needs of patients in the United States are increasingly served by a smaller number of MCOs. These organizations generally enter into service agreements with a limited number of providers. Our business, financial condition, and results of operations could be materially adversely affected if these organizations terminate us as a provider, engage our competitors as a preferred or exclusive provider, and/or limit the patients eligible for our services.</w:t>
      </w:r>
    </w:p>
    <w:p>
      <w:pPr>
        <w:spacing w:after="0" w:line="200" w:lineRule="exact"/>
        <w:rPr>
          <w:sz w:val="20"/>
          <w:szCs w:val="20"/>
          <w:color w:val="auto"/>
        </w:rPr>
      </w:pPr>
    </w:p>
    <w:p>
      <w:pPr>
        <w:spacing w:after="0" w:line="202" w:lineRule="exact"/>
        <w:rPr>
          <w:sz w:val="20"/>
          <w:szCs w:val="20"/>
          <w:color w:val="auto"/>
        </w:rPr>
      </w:pPr>
    </w:p>
    <w:p>
      <w:pPr>
        <w:ind w:left="640" w:right="105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Our business is reliant on federal and state spending, budget decisions, and continuous governmental operations which may fluctuate under different political conditions.</w:t>
      </w:r>
    </w:p>
    <w:p>
      <w:pPr>
        <w:spacing w:after="0" w:line="120"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231F20"/>
        </w:rPr>
        <w:t>Adverse developments in the United States could lead to a reduction in federal government expenditures, including governmentally funded programs in which we participate. In addition, if at any time the federal government is not able to meet its debt payments unless the federal debt ceiling is raised, and legislation increasing the debt ceiling is not enacted, the federal government may stop or delay making payments on its obligations, including funding for government programs, such as Medicare and Medicaid. Further, any failure by the Congress to complete the federal budget process and fund government operations may result in a shutdown,</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2" w:name="page33"/>
    <w:bookmarkEnd w:id="3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right="699"/>
        <w:spacing w:after="0" w:line="259" w:lineRule="auto"/>
        <w:rPr>
          <w:sz w:val="20"/>
          <w:szCs w:val="20"/>
          <w:color w:val="auto"/>
        </w:rPr>
      </w:pPr>
      <w:r>
        <w:rPr>
          <w:rFonts w:ascii="Times New Roman" w:cs="Times New Roman" w:eastAsia="Times New Roman" w:hAnsi="Times New Roman"/>
          <w:sz w:val="14"/>
          <w:szCs w:val="14"/>
          <w:color w:val="231F20"/>
        </w:rPr>
        <w:t>potentially causing us to incur substantial costs without reimbursement under the Medicare program. For example, the failure of the 2011 Joint Select Committee to meet its Deficit Reduction goal resulted in an automatic reduction in Medicare home health and hospice payments of 2% beginning April 1, 2013. Due to subsequent legislative amendments to the statute, the 2% aggregated reductions will remain in effect through 2030. Congress continues to discuss deficit reduction measures, leading to a high degree of uncertainty regarding potential reforms to governmental healthcare programs. The Medicare program is frequently mentioned as a target for spending cuts and within the Medicare program, the home health and hospice benefits are often specifically targeted for cuts and a lowering of the Medicare caps. Historically, state budget pressures have resulted in reductions in state spending, and given that Medicaid outlays are a significant component of state budgets, we can expect continuing cost containment pressures on Medicaid outlays for our services. Weak economic conditions also could adversely affect the budgets of individual states and of the federal government. This could result in attempts to reduce or eliminate payments for federal and state healthcare programs, and could result in an increase in taxes and assessments on our activities.</w:t>
      </w:r>
    </w:p>
    <w:p>
      <w:pPr>
        <w:spacing w:after="0" w:line="65" w:lineRule="exact"/>
        <w:rPr>
          <w:sz w:val="20"/>
          <w:szCs w:val="20"/>
          <w:color w:val="auto"/>
        </w:rPr>
      </w:pPr>
    </w:p>
    <w:p>
      <w:pPr>
        <w:ind w:left="640" w:right="779" w:firstLine="351"/>
        <w:spacing w:after="0" w:line="265" w:lineRule="auto"/>
        <w:rPr>
          <w:sz w:val="20"/>
          <w:szCs w:val="20"/>
          <w:color w:val="auto"/>
        </w:rPr>
      </w:pPr>
      <w:r>
        <w:rPr>
          <w:rFonts w:ascii="Times New Roman" w:cs="Times New Roman" w:eastAsia="Times New Roman" w:hAnsi="Times New Roman"/>
          <w:sz w:val="14"/>
          <w:szCs w:val="14"/>
          <w:color w:val="231F20"/>
        </w:rPr>
        <w:t>Given competing national priorities, we are unable to predict the outcome and impact on our business of any changes in healthcare policy relating to the future funding of the Medicare and Medicaid programs. Further, Medicare, Medicaid, and/or private payor rates for home and community provider solutions and pharmacy services may not continue to be based on current methodologies or remain comparable to present levels. Any future healthcare legislation or regulation impacting these rates may materially adversely affect our business.</w:t>
      </w:r>
    </w:p>
    <w:p>
      <w:pPr>
        <w:spacing w:after="0" w:line="224" w:lineRule="exact"/>
        <w:rPr>
          <w:sz w:val="20"/>
          <w:szCs w:val="20"/>
          <w:color w:val="auto"/>
        </w:rPr>
      </w:pPr>
    </w:p>
    <w:p>
      <w:pPr>
        <w:ind w:left="640" w:right="73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Changes in drug utilization and/or pricing, PBM contracts, and Medicare Part D/Medicaid reimbursement may negatively impact our profitability.</w:t>
      </w:r>
    </w:p>
    <w:p>
      <w:pPr>
        <w:spacing w:after="0" w:line="120" w:lineRule="exact"/>
        <w:rPr>
          <w:sz w:val="20"/>
          <w:szCs w:val="20"/>
          <w:color w:val="auto"/>
        </w:rPr>
      </w:pPr>
    </w:p>
    <w:p>
      <w:pPr>
        <w:jc w:val="both"/>
        <w:ind w:left="640" w:right="939" w:firstLine="351"/>
        <w:spacing w:after="0" w:line="274" w:lineRule="auto"/>
        <w:rPr>
          <w:sz w:val="20"/>
          <w:szCs w:val="20"/>
          <w:color w:val="auto"/>
        </w:rPr>
      </w:pPr>
      <w:r>
        <w:rPr>
          <w:rFonts w:ascii="Times New Roman" w:cs="Times New Roman" w:eastAsia="Times New Roman" w:hAnsi="Times New Roman"/>
          <w:sz w:val="14"/>
          <w:szCs w:val="14"/>
          <w:color w:val="231F20"/>
        </w:rPr>
        <w:t>The profitability of our Pharmacy Solutions segment is dependent upon the utilization of prescription and non-prescription pharmaceuticals. Our revenues, operating results, and cash flows may decline if the utilization of drug and/or infusion therapies is reduced or physicians cease writing prescriptions for such therapies, including due to:</w:t>
      </w:r>
    </w:p>
    <w:p>
      <w:pPr>
        <w:spacing w:after="0" w:line="50" w:lineRule="exact"/>
        <w:rPr>
          <w:sz w:val="20"/>
          <w:szCs w:val="20"/>
          <w:color w:val="auto"/>
        </w:rPr>
      </w:pPr>
    </w:p>
    <w:p>
      <w:pPr>
        <w:ind w:left="1340" w:hanging="352"/>
        <w:spacing w:after="0"/>
        <w:tabs>
          <w:tab w:leader="none" w:pos="1340" w:val="left"/>
        </w:tabs>
        <w:numPr>
          <w:ilvl w:val="0"/>
          <w:numId w:val="16"/>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increased safety risk profiles or regulatory restrictions;</w:t>
      </w:r>
    </w:p>
    <w:p>
      <w:pPr>
        <w:spacing w:after="0" w:line="96" w:lineRule="exact"/>
        <w:rPr>
          <w:rFonts w:ascii="Times New Roman" w:cs="Times New Roman" w:eastAsia="Times New Roman" w:hAnsi="Times New Roman"/>
          <w:sz w:val="14"/>
          <w:szCs w:val="14"/>
          <w:color w:val="231F20"/>
        </w:rPr>
      </w:pPr>
    </w:p>
    <w:p>
      <w:pPr>
        <w:ind w:left="1340" w:hanging="352"/>
        <w:spacing w:after="0"/>
        <w:tabs>
          <w:tab w:leader="none" w:pos="1340" w:val="left"/>
        </w:tabs>
        <w:numPr>
          <w:ilvl w:val="0"/>
          <w:numId w:val="16"/>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manufacturing or other supply issues;</w:t>
      </w:r>
    </w:p>
    <w:p>
      <w:pPr>
        <w:spacing w:after="0" w:line="96" w:lineRule="exact"/>
        <w:rPr>
          <w:rFonts w:ascii="Times New Roman" w:cs="Times New Roman" w:eastAsia="Times New Roman" w:hAnsi="Times New Roman"/>
          <w:sz w:val="14"/>
          <w:szCs w:val="14"/>
          <w:color w:val="231F20"/>
        </w:rPr>
      </w:pPr>
    </w:p>
    <w:p>
      <w:pPr>
        <w:ind w:left="1340" w:hanging="352"/>
        <w:spacing w:after="0"/>
        <w:tabs>
          <w:tab w:leader="none" w:pos="1340" w:val="left"/>
        </w:tabs>
        <w:numPr>
          <w:ilvl w:val="0"/>
          <w:numId w:val="16"/>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a reduction in drug manufacturers’ participation in federal programs;</w:t>
      </w:r>
    </w:p>
    <w:p>
      <w:pPr>
        <w:spacing w:after="0" w:line="96" w:lineRule="exact"/>
        <w:rPr>
          <w:rFonts w:ascii="Times New Roman" w:cs="Times New Roman" w:eastAsia="Times New Roman" w:hAnsi="Times New Roman"/>
          <w:sz w:val="14"/>
          <w:szCs w:val="14"/>
          <w:color w:val="231F20"/>
        </w:rPr>
      </w:pPr>
    </w:p>
    <w:p>
      <w:pPr>
        <w:ind w:left="1340" w:hanging="352"/>
        <w:spacing w:after="0"/>
        <w:tabs>
          <w:tab w:leader="none" w:pos="1340" w:val="left"/>
        </w:tabs>
        <w:numPr>
          <w:ilvl w:val="0"/>
          <w:numId w:val="16"/>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certain products being withdrawn by their manufacturers or transitioned to over-the-counter products;</w:t>
      </w:r>
    </w:p>
    <w:p>
      <w:pPr>
        <w:spacing w:after="0" w:line="96" w:lineRule="exact"/>
        <w:rPr>
          <w:rFonts w:ascii="Times New Roman" w:cs="Times New Roman" w:eastAsia="Times New Roman" w:hAnsi="Times New Roman"/>
          <w:sz w:val="14"/>
          <w:szCs w:val="14"/>
          <w:color w:val="231F20"/>
        </w:rPr>
      </w:pPr>
    </w:p>
    <w:p>
      <w:pPr>
        <w:ind w:left="1340" w:hanging="352"/>
        <w:spacing w:after="0"/>
        <w:tabs>
          <w:tab w:leader="none" w:pos="1340" w:val="left"/>
        </w:tabs>
        <w:numPr>
          <w:ilvl w:val="0"/>
          <w:numId w:val="16"/>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FDA actions restricting the supply or increasing the cost of products;</w:t>
      </w:r>
    </w:p>
    <w:p>
      <w:pPr>
        <w:spacing w:after="0" w:line="96" w:lineRule="exact"/>
        <w:rPr>
          <w:rFonts w:ascii="Times New Roman" w:cs="Times New Roman" w:eastAsia="Times New Roman" w:hAnsi="Times New Roman"/>
          <w:sz w:val="14"/>
          <w:szCs w:val="14"/>
          <w:color w:val="231F20"/>
        </w:rPr>
      </w:pPr>
    </w:p>
    <w:p>
      <w:pPr>
        <w:ind w:left="1340" w:right="979" w:hanging="352"/>
        <w:spacing w:after="0" w:line="292" w:lineRule="auto"/>
        <w:tabs>
          <w:tab w:leader="none" w:pos="1340" w:val="left"/>
        </w:tabs>
        <w:numPr>
          <w:ilvl w:val="0"/>
          <w:numId w:val="16"/>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introduction of new and successful prescription drugs or lower-priced generic alternatives to existing brand name products; or</w:t>
      </w:r>
    </w:p>
    <w:p>
      <w:pPr>
        <w:spacing w:after="0" w:line="37" w:lineRule="exact"/>
        <w:rPr>
          <w:rFonts w:ascii="Times New Roman" w:cs="Times New Roman" w:eastAsia="Times New Roman" w:hAnsi="Times New Roman"/>
          <w:sz w:val="14"/>
          <w:szCs w:val="14"/>
          <w:color w:val="231F20"/>
        </w:rPr>
      </w:pPr>
    </w:p>
    <w:p>
      <w:pPr>
        <w:ind w:left="1340" w:hanging="352"/>
        <w:spacing w:after="0"/>
        <w:tabs>
          <w:tab w:leader="none" w:pos="1340" w:val="left"/>
        </w:tabs>
        <w:numPr>
          <w:ilvl w:val="0"/>
          <w:numId w:val="16"/>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inflation in the price of drugs.</w:t>
      </w:r>
    </w:p>
    <w:p>
      <w:pPr>
        <w:spacing w:after="0" w:line="183"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231F20"/>
        </w:rPr>
        <w:t>In addition, increased utilization of generic drugs has resulted in pressure to decrease reimbursement payments to facility-based, hospice, retail, and specialty pharmacies for generic drugs, causing a reduction in our margins on sales of generic drugs. Contracts and fee schedules in the prescription drug industry, including our contracts with various payors and fee schedules under state Medicaid programs, generally use certain published benchmarks, including Average Wholesale Price, or AWP, or Wholesale Acquisition Cost, or WAC, to establish pricing for prescription drugs. Future changes to the use of AWP, WAC or to other published pricing benchmarks used to establish drug pricing, including changes in the basis for calculating reimbursement by federal and state healthcare programs and/or other payors, could impact the reimbursement we receive from Medicare and Medicaid programs, the reimbursement we receive from our PBMs, clients, and other payors, and/or our ability to negotiate rebates and/or discounts with drug manufacturers and wholesalers. Numerous proposals at the federal level propose capping drug costs which could impact our business. A failure or inability to fully offset any increased prices or costs or to modify our operations to mitigate the impact of such increases could have a material adverse effect on our operating results. Additionally, any future changes in drug prices could be significantly different than our projections. We cannot predict the effect of these possible changes on our businesses.</w:t>
      </w:r>
    </w:p>
    <w:p>
      <w:pPr>
        <w:spacing w:after="0" w:line="63"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231F20"/>
        </w:rPr>
        <w:t>Our reimbursement under Medicare Part D, as well as our reimbursement from certain private third-party payors, is determined pursuant to agreements that we negotiate with those payors or their PBM representatives or group purchasing organizations, or GPOs. Similarly, our reimbursement from skilled nursing and rehabilitation facilities for drugs is determined pursuant to our agreements with them. Certain of these agreements are terminable upon prior notice by the other party. We cannot provide assurance that we will be able to replace terminated or expired agreements on terms as favorable as our existing agreements or at all. The termination or modification of these agreements could adversely affect our reimbursement from these sources, which would have a material adverse effect on our results of operations. Additionally, the proportion of our Medicare Part D business serviced under specific agreements may change over time based upon beneficiary choice, reassignment of beneficiaries to different Medicare Part D Plans, Medicare Part</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3" w:name="page34"/>
    <w:bookmarkEnd w:id="3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679"/>
        <w:spacing w:after="0" w:line="262" w:lineRule="auto"/>
        <w:rPr>
          <w:sz w:val="20"/>
          <w:szCs w:val="20"/>
          <w:color w:val="auto"/>
        </w:rPr>
      </w:pPr>
      <w:r>
        <w:rPr>
          <w:rFonts w:ascii="Times New Roman" w:cs="Times New Roman" w:eastAsia="Times New Roman" w:hAnsi="Times New Roman"/>
          <w:sz w:val="14"/>
          <w:szCs w:val="14"/>
          <w:color w:val="231F20"/>
        </w:rPr>
        <w:t>D Plan consolidation or other factors, which could also adversely affect our revenue. Many payors seek to limit the number of providers that supply pharmaceuticals to their enrollees in order to build volume that justifies their discounted pricing. From time to time, payors with whom we have relationships require that we bid against our competitors to keep their business. As a result of this bidding process, we may not be retained, and even if we are retained, the prices at which we are able to retain the business may be reduced. If we are not an approved provider selected by a GPO, affiliated hospitals and other members may be less likely to purchase our products. Should a GPO negotiate a sole source or bundling contract covering a future or current competitor, we may be precluded from making sales to members of that GPO for the duration of the contractual arrangement.</w:t>
      </w:r>
    </w:p>
    <w:p>
      <w:pPr>
        <w:spacing w:after="0" w:line="59"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231F20"/>
        </w:rPr>
        <w:t>Furthermore, Medicare Part D has resulted in increased utilization of prescription medications and puts pressure on our gross margin rates in our Pharmacy Solutions segment due to regulatory and competitive pressures. As a result of the ACA and changes to the retiree drug subsidy rules, clients of our PBM business could decide to discontinue providing prescription drug benefits to their Medicare-eligible members. To the extent this occurs, the adverse effects of increasing customer migration into Medicare Part D may outweigh the benefits we realize from growth of our Medicare Part D products. For example, in November 2020, the HHS released the Rebate Rule, which eliminates the regulatory safe harbor from prosecution under the Anti-Kickback Statute for rebates from pharmaceutical companies to PBMs in Medicare Part D and in Medicaid MCOs, replacing it with two more narrow safe harbors designed to directly benefit patients with high out-of-pocket costs and to change the way PBMs are compensated. The rule has experienced several delays in implementation, with the Inflation Reduction Act most recently delaying implementation of the rule until January 1, 2032.</w:t>
      </w:r>
    </w:p>
    <w:p>
      <w:pPr>
        <w:spacing w:after="0" w:line="235"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231F20"/>
        </w:rPr>
        <w:t>There has also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drug pricing, reduce the cost of prescription drugs under Medicare, and review the relationship between pricing and manufacturers’ patient assistance programs. The Inflation Reduction Act of 2022, or IRA, includes several provisions that may impact our business to varying degrees, including provisions that reduce the out-of-pocket spending cap for Medicare Part D beneficiaries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HHS Rebate Rule that would have limited the fees that pharmacy benefit managers can charge. Price caps on an initial 10 Part D drugs went into effect on January 1, 2026 and it is too soon to know the full impacts of the IRA. See “—Risks Related to Our Regulatory Framework—If we are unable to effectively adapt to changes in the healthcare industry, including changes to laws and regulations regarding or affecting U.S. healthcare reform, our business may be harmed.”</w:t>
      </w:r>
    </w:p>
    <w:p>
      <w:pPr>
        <w:spacing w:after="0" w:line="236" w:lineRule="exact"/>
        <w:rPr>
          <w:sz w:val="20"/>
          <w:szCs w:val="20"/>
          <w:color w:val="auto"/>
        </w:rPr>
      </w:pPr>
    </w:p>
    <w:p>
      <w:pPr>
        <w:ind w:left="640" w:right="93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Changes in our relationships with pharmaceutical suppliers, including changes in drug availability or pricing, could adversely affect our business and financial results.</w:t>
      </w:r>
    </w:p>
    <w:p>
      <w:pPr>
        <w:spacing w:after="0" w:line="120"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231F20"/>
        </w:rPr>
        <w:t>We have contractual relationships with pharmaceutical manufacturers, wholesalers, and distributors to purchase the pharmaceuticals that we dispense. In order to have access to these pharmaceuticals, and to be able to participate in the launch of new pharmaceuticals, we must maintain a good working relationship with these suppliers. Most of the manufacturers we contract directly with have the right to cancel their supply contracts with us without cause and after giving only minimal notice. In addition, these agreements may allow the manufacturers to distribute through channels other than us. Certain of these agreements also allow pricing and other terms to be adjusted periodically for changing market conditions or required service levels. We may be unable to renew contracts with our suppliers on favorable terms or at all. Any changes to these relationships, including, but not limited to, the loss of a supplier relationship or changes in (or inability to change) pricing, could have an adverse effect on our business and financial results. Many products dispensed by our pharmacies are manufactured with ingredients that are susceptible to supply shortages. Our suppliers are independent entities subject to their own operational and financial risks that are outside our control. If our current suppliers were to stop selling drugs to us or delay delivery, including as a result of supply shortages, production disruptions, quality issues, closing, or bankruptcies of our suppliers, or for other reasons, we may be unable to procure alternatives from other suppliers in a timely and efficient manner and on acceptable terms, or at all. Should a supply disruption result in the inability to obtain pharmaceutical solutions necessary for patient care, our business, financial condition, and results of operations could be negatively impacted.</w:t>
      </w:r>
    </w:p>
    <w:p>
      <w:pPr>
        <w:spacing w:after="0" w:line="69" w:lineRule="exact"/>
        <w:rPr>
          <w:sz w:val="20"/>
          <w:szCs w:val="20"/>
          <w:color w:val="auto"/>
        </w:rPr>
      </w:pPr>
    </w:p>
    <w:p>
      <w:pPr>
        <w:jc w:val="both"/>
        <w:ind w:left="640" w:right="799" w:firstLine="351"/>
        <w:spacing w:after="0" w:line="263" w:lineRule="auto"/>
        <w:rPr>
          <w:sz w:val="20"/>
          <w:szCs w:val="20"/>
          <w:color w:val="auto"/>
        </w:rPr>
      </w:pPr>
      <w:r>
        <w:rPr>
          <w:rFonts w:ascii="Times New Roman" w:cs="Times New Roman" w:eastAsia="Times New Roman" w:hAnsi="Times New Roman"/>
          <w:sz w:val="14"/>
          <w:szCs w:val="14"/>
          <w:color w:val="231F20"/>
        </w:rPr>
        <w:t>Some pharmaceutical manufacturers, wholesalers, and/or distributors attempt to limit the number of preferred pharmacies that may market certain of their products. We cannot provide assurance that we will be selected and retained as a preferred pharmacy or can remain a preferred pharmacy to market these products. We cannot provide assurance that we will be able to compete effectively with other providers to dispense each of our core products. Consolidation within the drug manufacturing industry and other external factors may enhance the ability of suppliers to sustain or increase pricing of drugs and diminish our ability to negotiate reduced drug acquisition costs. Any inability to offset increased brand name or generic drug acquisition costs or to modify our activities to lessen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4" w:name="page35"/>
    <w:bookmarkEnd w:id="3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699"/>
        <w:spacing w:after="0" w:line="262" w:lineRule="auto"/>
        <w:rPr>
          <w:sz w:val="20"/>
          <w:szCs w:val="20"/>
          <w:color w:val="auto"/>
        </w:rPr>
      </w:pPr>
      <w:r>
        <w:rPr>
          <w:rFonts w:ascii="Times New Roman" w:cs="Times New Roman" w:eastAsia="Times New Roman" w:hAnsi="Times New Roman"/>
          <w:sz w:val="14"/>
          <w:szCs w:val="14"/>
          <w:color w:val="231F20"/>
        </w:rPr>
        <w:t>the financial impact of such increased costs could have a significant adverse effect on our operating results. We receive certain discounts, rebates, and other price concessions from suppliers. If such agreements were to terminate or if we were to otherwise lose our right to participate in such agreements, we may not be able to replace such arrangements to purchase pharmaceutical products and services at similarly favorable prices or at all. There can be no assurance that any changes in legislation or regulations, or the interpretation or application of current law, that would eliminate or significantly reduce the discounts, rebates, and other price concessions that we receive from suppliers or that would otherwise impact payment available for drugs under federal or state healthcare programs will not have a material adverse impact on our business, financial condition, and results of operations.</w:t>
      </w:r>
    </w:p>
    <w:p>
      <w:pPr>
        <w:spacing w:after="0" w:line="59" w:lineRule="exact"/>
        <w:rPr>
          <w:sz w:val="20"/>
          <w:szCs w:val="20"/>
          <w:color w:val="auto"/>
        </w:rPr>
      </w:pPr>
    </w:p>
    <w:p>
      <w:pPr>
        <w:ind w:left="640" w:right="719" w:firstLine="351"/>
        <w:spacing w:after="0" w:line="274" w:lineRule="auto"/>
        <w:rPr>
          <w:sz w:val="20"/>
          <w:szCs w:val="20"/>
          <w:color w:val="auto"/>
        </w:rPr>
      </w:pPr>
      <w:r>
        <w:rPr>
          <w:rFonts w:ascii="Times New Roman" w:cs="Times New Roman" w:eastAsia="Times New Roman" w:hAnsi="Times New Roman"/>
          <w:sz w:val="14"/>
          <w:szCs w:val="14"/>
          <w:color w:val="231F20"/>
        </w:rPr>
        <w:t>The pipeline of new drugs includes many products that over the long term may replace older, more expensive therapies. As a result of such older drugs losing patent protection and being replaced by generic substitutes, new and less expensive delivery methods or additional products may be added to a therapeutic class, thereby increasing price competition in that therapeutic category.</w:t>
      </w:r>
    </w:p>
    <w:p>
      <w:pPr>
        <w:spacing w:after="0" w:line="50"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231F20"/>
        </w:rPr>
        <w:t>Much of the branded and generic drug product that we dispense is manufactured in whole or in substantial part outside of the United States and imported by our suppliers. As a result, significant changes in tax or trade policies, tariffs, or trade relations between the United States and other countries, such as the imposition of unilateral tariffs on imported products, could result in significant increases in our costs, restrict our access to suppliers, depress economic activity, and have a material adverse effect on our business, financial condition, and results of operations. In addition, other countries may change their business and trade policies and such changes, as well as any negative sentiments towards the United States in response to increased import tariffs and other changes in U.S. trade regulations, could adversely affect our businesses.</w:t>
      </w:r>
    </w:p>
    <w:p>
      <w:pPr>
        <w:spacing w:after="0" w:line="226" w:lineRule="exact"/>
        <w:rPr>
          <w:sz w:val="20"/>
          <w:szCs w:val="20"/>
          <w:color w:val="auto"/>
        </w:rPr>
      </w:pPr>
    </w:p>
    <w:p>
      <w:pPr>
        <w:ind w:left="640" w:right="111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Our business relies on the continual recruitment and retention of nurses, pharmacists, therapists, caregivers, direct support professionals, and other qualified personnel, including senior management.</w:t>
      </w:r>
    </w:p>
    <w:p>
      <w:pPr>
        <w:spacing w:after="0" w:line="120"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231F20"/>
        </w:rPr>
        <w:t>We compete with other healthcare providers for our employees, including but not limited to, clinicians, physicians, nurses, nurse practitioners, physician assistants, caregivers, direct care staff, counselors, therapists, pathologists, psychologists, pharmacists, other pharmacy professionals, and providers for our mobile network, as well as senior management. Competition for skilled personnel is intense, and the process of locating and recruiting qualified personnel with the combination of the skills, experience, and licenses necessary to meet the requirements of their job responsibilities can be difficult and lengthy. Various states in which we operate have established minimum staffing requirements or may establish minimum staffing requirements in the future. While we seek to comply with all applicable staffing and other requirements, such as state requirements related to compensation and benefits for direct care workers, the regulations in this area are complex and we may experience compliance issues from time to time.</w:t>
      </w:r>
    </w:p>
    <w:p>
      <w:pPr>
        <w:spacing w:after="0" w:line="60"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231F20"/>
        </w:rPr>
        <w:t>Federal and state regulators have considered implementing requirements related to staffing ratios, pass-through payments to direct care workers, minimum compensation standards, and compensation and benefits for direct care workers, and we believe that regulators will continue to focus their attention and regulatory and legislative efforts on these matters. For example, in an effort to promote transparency, CMS has proposed requiring state Medicaid agencies to report on compensation for direct care workers and support staff as a percentage of Medicaid payments for services in intermediate care facilities for individuals with intellectual disabilities. Failure to comply with any new requirements may result in one or more facilities failing to meet the conditions of participation under relevant federal and state healthcare programs and the imposition of fines or other sanctions. The proposed rule would also require compensation reporting requirements to include individuals employed by or contracted or subcontracted with a Medicaid provider or state or local government agency, which would require compliance with new standards. In addition, private litigation involving these matters also has become more common. Moreover, a portion of the staffing costs we incur is funded by states through Medicaid program appropriations or otherwise. If states do not appropriate sufficient additional funds to pay for any additional operating costs resulting from new workforce, transparency, and reporting requirements, our profitability may be materially adversely affected.</w:t>
      </w:r>
    </w:p>
    <w:p>
      <w:pPr>
        <w:spacing w:after="0" w:line="235"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231F20"/>
        </w:rPr>
        <w:t>Our ability to satisfy new workforce regulations will, among other things, depend upon our ability to attract and retain qualified healthcare professionals. If we are unable to attract and retain qualified personnel, we may be unable to provide our services, the quality of our services may decline, and we could lose patients and referral sources, which could have a material adverse effect on our business, financial condition, and results of operations. The loss of one or more of the members of the executive management team or the inability of a new management team to successfully execute our strategies may adversely affect our business. Our ability to attract and retain qualified personnel depends on several factors, including our ability to provide these personnel with attractive assignments and competitive salaries and benefits. We cannot be assured we will succeed in any of these areas. From time to time and particularly in recent years, the lack of availability of medical personnel, including qualified nurses, has been a significant operating issue for us and other healthcare providers in certain local and regional markets. Further, because we generally recruit our personnel from the local area where the relevant facility is located, the availability in certain areas of suitably qualified personnel can be limited.</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5" w:name="page36"/>
    <w:bookmarkEnd w:id="3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40" w:right="819"/>
        <w:spacing w:after="0" w:line="277" w:lineRule="auto"/>
        <w:rPr>
          <w:sz w:val="20"/>
          <w:szCs w:val="20"/>
          <w:color w:val="auto"/>
        </w:rPr>
      </w:pPr>
      <w:r>
        <w:rPr>
          <w:rFonts w:ascii="Times New Roman" w:cs="Times New Roman" w:eastAsia="Times New Roman" w:hAnsi="Times New Roman"/>
          <w:sz w:val="14"/>
          <w:szCs w:val="14"/>
          <w:b w:val="1"/>
          <w:bCs w:val="1"/>
          <w:i w:val="1"/>
          <w:iCs w:val="1"/>
          <w:color w:val="231F20"/>
        </w:rPr>
        <w:t>We are subject to federal, state, and local laws and regulations that govern our employment practices, including minimum wage, living wage, and paid time-off requirements. Failure to comply with these laws and regulations, or changes to these laws and regulations that increase our employment-related expenses, could adversely impact our operations.</w:t>
      </w:r>
    </w:p>
    <w:p>
      <w:pPr>
        <w:spacing w:after="0" w:line="134"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231F20"/>
        </w:rPr>
        <w:t>We are subject to applicable rules and regulations relating to our relationship with our employees, including occupational safety and health requirements, wage and hour and other compensation requirements, break requirements, health benefits, unemployment, providing leave, sick pay and overtime, proper classification of workers as employees or independent contractors, immigration status, and equal employment opportunity laws. These laws and regulations can vary significantly among jurisdictions and can be highly technical. Notably, we are subject to the California Labor Code pursuant to which plaintiffs have filed representative actions under the California Private Attorney General Act seeking statutory penalties for alleged violations related to calculation of overtime pay, errors in wage statements, and meal and rest break violations, among other things. Costs and expenses related to these requirements are a significant operating expense and may increase as a result of, among other things, changes in federal, state, or local laws or regulations, or the interpretation thereof, requiring employers to provide specified benefits or rights to employees, increases in the minimum wage and local living wage ordinances, increases in the level of existing benefits, or the lengthening of periods for which unemployment benefits are available. We may not be able to offset any increased costs and expenses. We have a substantial number of hourly employees who are paid wage rates based on or approximating the applicable federal, state, or local minimum wage, and the high proportion of hourly employees makes our business sensitive to minimum wage laws at both the state and federal levels</w:t>
      </w:r>
      <w:r>
        <w:rPr>
          <w:rFonts w:ascii="Times New Roman" w:cs="Times New Roman" w:eastAsia="Times New Roman" w:hAnsi="Times New Roman"/>
          <w:sz w:val="14"/>
          <w:szCs w:val="14"/>
          <w:b w:val="1"/>
          <w:bCs w:val="1"/>
          <w:i w:val="1"/>
          <w:iCs w:val="1"/>
          <w:color w:val="231F20"/>
        </w:rPr>
        <w:t>.</w:t>
      </w:r>
      <w:r>
        <w:rPr>
          <w:rFonts w:ascii="Times New Roman" w:cs="Times New Roman" w:eastAsia="Times New Roman" w:hAnsi="Times New Roman"/>
          <w:sz w:val="14"/>
          <w:szCs w:val="14"/>
          <w:color w:val="231F20"/>
        </w:rPr>
        <w:t xml:space="preserve"> Furthermore, any failure to comply with these laws requirements, including even a seemingly minor infraction, can result in significant penalties which could harm our reputation and have a material adverse effect on our business. In addition, federal, state, and local proposals to introduce a system of mandated health insurance and flexible work time, provide for higher minimum wages, paid time off and other similar initiatives could, if implemented, adversely affect our operations.</w:t>
      </w:r>
    </w:p>
    <w:p>
      <w:pPr>
        <w:spacing w:after="0" w:line="65"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231F20"/>
        </w:rPr>
        <w:t>In addition, certain individuals and entities, known as excluded persons, are prohibited from receiving payment for their services rendered to Medicaid, Medicare, and other federal and state healthcare program beneficiaries. If we inadvertently hire or contract with an excluded person, or if any of our current employees or contractors becomes an excluded person in the future without our knowledge, we may be subject to substantial civil penalties, including up to $20,000 for each item or service furnished by the excluded person to a federal or state healthcare program beneficiary, an assessment of up to three times the amount claimed and exclusion from federal healthcare programs.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231F20"/>
        </w:rPr>
        <w:t>Our results of operations fluctuate on a quarterly basis.</w:t>
      </w:r>
    </w:p>
    <w:p>
      <w:pPr>
        <w:spacing w:after="0" w:line="187" w:lineRule="exact"/>
        <w:rPr>
          <w:sz w:val="20"/>
          <w:szCs w:val="20"/>
          <w:color w:val="auto"/>
        </w:rPr>
      </w:pPr>
    </w:p>
    <w:p>
      <w:pPr>
        <w:ind w:left="640" w:right="739" w:firstLine="351"/>
        <w:spacing w:after="0" w:line="262" w:lineRule="auto"/>
        <w:rPr>
          <w:sz w:val="20"/>
          <w:szCs w:val="20"/>
          <w:color w:val="auto"/>
        </w:rPr>
      </w:pPr>
      <w:r>
        <w:rPr>
          <w:rFonts w:ascii="Times New Roman" w:cs="Times New Roman" w:eastAsia="Times New Roman" w:hAnsi="Times New Roman"/>
          <w:sz w:val="14"/>
          <w:szCs w:val="14"/>
          <w:color w:val="231F20"/>
        </w:rPr>
        <w:t>Our financial condition and results of operations and other key metrics have fluctuated on a quarterly basis in the past and may continue to fluctuate in the future due to a variety of factors, including census, script volume, reimbursement rates, drug purchasing costs, labor availability and pricing, volume fluctuations in broader healthcare and provider markets that are upstream of our care settings and the potential timing of delayed or leading payor reimbursement rate changes based on budget seasons, as well as purchasing cost fluctuations depending on when core contracts renew or escalate. As a result, historical period-to-period comparisons of our results of operations are not necessarily indicative of future period-to-period results, impacting comparability of our quarterly results year-over-year.</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231F20"/>
        </w:rPr>
        <w:t>Our business may be harmed by labor relation matters.</w:t>
      </w:r>
    </w:p>
    <w:p>
      <w:pPr>
        <w:spacing w:after="0" w:line="187"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231F20"/>
        </w:rPr>
        <w:t>We are subject to a risk of work stoppages and other labor relations matters because our hourly workforce in some states is highly unionized. We have numerous agreements with various different unions, and we have a national partnership agreement with the SEIU, which are renegotiated from time to time. We may also negotiate Memoranda of Understanding to amend these collective bargaining agreements when we receive increases in our rates from various state agencies. Upon expiration of these collective bargaining agreements, we may not be able to negotiate labor agreements on satisfactory terms with these labor unions. A strike, work stoppage or other slowdown could result in a disruption of our operations and/or higher ongoing labor costs, which could adversely affect our business.</w:t>
      </w:r>
    </w:p>
    <w:p>
      <w:pPr>
        <w:spacing w:after="0" w:line="226" w:lineRule="exact"/>
        <w:rPr>
          <w:sz w:val="20"/>
          <w:szCs w:val="20"/>
          <w:color w:val="auto"/>
        </w:rPr>
      </w:pPr>
    </w:p>
    <w:p>
      <w:pPr>
        <w:ind w:left="640" w:right="91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Because we are limited in our ability to control reimbursement rates received for our services, our business could be materially adversely affected if we are not able to maintain or reduce our costs to provide such services.</w:t>
      </w:r>
    </w:p>
    <w:p>
      <w:pPr>
        <w:spacing w:after="0" w:line="120"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231F20"/>
        </w:rPr>
        <w:t>We receive fixed payments at predetermined reimbursement rates established through federal and state legislation from Medicare and Medicaid, our most significant payors, for our services. Consequently, our profitability largely depends upon our ability to manage the costs of providing these services. We cannot be assured that reimbursement payments under Medicare and Medicaid will be sufficient to cover the costs allocable to patients eligible for reimbursement pursuant to these programs. Commercial payors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6" w:name="page37"/>
    <w:bookmarkEnd w:id="3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right="659"/>
        <w:spacing w:after="0" w:line="260" w:lineRule="auto"/>
        <w:rPr>
          <w:sz w:val="20"/>
          <w:szCs w:val="20"/>
          <w:color w:val="auto"/>
        </w:rPr>
      </w:pPr>
      <w:r>
        <w:rPr>
          <w:rFonts w:ascii="Times New Roman" w:cs="Times New Roman" w:eastAsia="Times New Roman" w:hAnsi="Times New Roman"/>
          <w:sz w:val="14"/>
          <w:szCs w:val="14"/>
          <w:color w:val="231F20"/>
        </w:rPr>
        <w:t>such as managed care organizations and private health insurance programs generally reimburse us for the services rendered to insured patients based upon contractually determined rates. Additionally, private payor rates are difficult for us to negotiate as such payors are under pressure to reduce their own costs. In addition, our profitability may be adversely affected by any efforts of our suppliers to shift healthcare costs by increasing the net prices on the products we obtain from them. Increases in operating costs, such as labor and supply costs, without a compensating increase in reimbursement rates, could have a material adverse effect on our business. In addition, cost pressures resulting from the use of more expensive forms of palliative care, including drugs and drug delivery systems, could negatively impact our profitability. As a result, we have sought to manage our costs in order to achieve a desired level of profitability including, but not limited to, centralization of various processes, the use of technology, and management of the number of employees utilized. If we are not able to streamline our processes and reduce our costs, our business, financial condition, and results of operations could be materially adversely affected.</w:t>
      </w:r>
    </w:p>
    <w:p>
      <w:pPr>
        <w:spacing w:after="0" w:line="228" w:lineRule="exact"/>
        <w:rPr>
          <w:sz w:val="20"/>
          <w:szCs w:val="20"/>
          <w:color w:val="auto"/>
        </w:rPr>
      </w:pPr>
    </w:p>
    <w:p>
      <w:pPr>
        <w:ind w:left="640" w:right="107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Delays in collection or non-collection of our accounts receivable, particularly during the business integration process, could adversely affect our business, financial condition, and results of operations.</w:t>
      </w:r>
    </w:p>
    <w:p>
      <w:pPr>
        <w:spacing w:after="0" w:line="120"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231F20"/>
        </w:rPr>
        <w:t>Prompt billing and collection of receivables from patients and third-party payors are important factors in our liquidity, and our business is characterized by delays from the time we provide services to the time we receive reimbursement or payment for these services. Having a diversified payor mix requires expertise and compliance across multiple complex coding, billing, and revenue recognition functions. We bill numerous and varied payors, and they typically have different billing requirements that must be satisfied prior to receiving payment for services rendered. Reimbursement is typically conditioned on our documenting the level and the necessity of service provided and correctly applying administrative and billing codes. Coding of services can be complex. Incorrect or incomplete documentation and billing information could result in non-payment for services rendered and could lead to allegations of billing fraud. This could subsequently lead to civil and criminal penalties, including but not limited to exclusion from government healthcare programs. Reimbursement and procedural issues often require us to resubmit claims multiple times and respond to multiple administrative requests before payment is remitted, increasing the age of accounts receivable. Billing and collection of our accounts receivable are further subject to the complex regulations that govern Medicare and Medicaid reimbursement and rules imposed by third-party payors, which are continuously evolving. Our inability to bill and collect on a timely basis pursuant to these regulations and rules could subject us to payment delays that could have a material adverse effect on our business, financial condition, and results of operations. In addition, timing delays in billings and collections may cause working capital shortages. It is possible that Medicare, Medicaid, documentation support, system problems or other provider issues or industry trends, particularly with respect to newly acquired entities for which we have limited operational experience, may extend our collection period, which may materially adversely affect our working capital, and our working capital management procedures may not successfully mitigate this risk.</w:t>
      </w:r>
    </w:p>
    <w:p>
      <w:pPr>
        <w:spacing w:after="0" w:line="237"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231F20"/>
        </w:rPr>
        <w:t>The timing of payments made under the Medicare and Medicaid programs is subject to governmental budgetary constraints, which may result in an increased period of time between submission of claims and subsequent payment under specific programs, most notably under the Medicare and Medicaid managed care programs, which in many cases pay claims significantly slower than traditional Medicare or state Medicaid programs. This delay is a result of more complicated authorization, billing, and collecting processes under Medicare and Medicaid managed care programs. In addition, we may experience delays in reimbursement as a result of the failure to receive prompt approvals related to change of ownership applications for acquired or other facilities. Further, our billing systems require significant technology investment and, as a result of marketplace demands, we need to continually invest in our billing systems. We may experience delays in reimbursement caused by our or other third parties’ information system failures. Changes in laws and regulations could further complicate our billing and increase our billing expense.</w:t>
      </w:r>
    </w:p>
    <w:p>
      <w:pPr>
        <w:spacing w:after="0" w:line="63" w:lineRule="exact"/>
        <w:rPr>
          <w:sz w:val="20"/>
          <w:szCs w:val="20"/>
          <w:color w:val="auto"/>
        </w:rPr>
      </w:pPr>
    </w:p>
    <w:p>
      <w:pPr>
        <w:ind w:left="640" w:right="779" w:firstLine="351"/>
        <w:spacing w:after="0" w:line="263" w:lineRule="auto"/>
        <w:rPr>
          <w:sz w:val="20"/>
          <w:szCs w:val="20"/>
          <w:color w:val="auto"/>
        </w:rPr>
      </w:pPr>
      <w:r>
        <w:rPr>
          <w:rFonts w:ascii="Times New Roman" w:cs="Times New Roman" w:eastAsia="Times New Roman" w:hAnsi="Times New Roman"/>
          <w:sz w:val="14"/>
          <w:szCs w:val="14"/>
          <w:color w:val="231F20"/>
        </w:rPr>
        <w:t>A change in our estimates of collectability or a delay in collection of accounts receivable could adversely affect our results of operations and liquidity. The estimates are based on a variety of factors, including the length of time receivables are past due, significant one-time events, contractual rights, client funding and/or political pressures, discussions with clients, and historical experience. A delay in collecting our accounts receivable, or the non-collection of accounts receivable, including, without limitation, in connection with our transition and integration of acquired companies, could have a material negative impact on our results of operations and liquidity and could be required to record credit losses in our consolidated financial statements.</w:t>
      </w:r>
    </w:p>
    <w:p>
      <w:pPr>
        <w:spacing w:after="0" w:line="226" w:lineRule="exact"/>
        <w:rPr>
          <w:sz w:val="20"/>
          <w:szCs w:val="20"/>
          <w:color w:val="auto"/>
        </w:rPr>
      </w:pPr>
    </w:p>
    <w:p>
      <w:pPr>
        <w:ind w:left="640" w:right="91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If we fail to manage our growth effectively, we may be unable to execute our business plan, maintain high levels of service and satisfaction, or adequately address competitive challenges.</w:t>
      </w:r>
    </w:p>
    <w:p>
      <w:pPr>
        <w:spacing w:after="0" w:line="120"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231F20"/>
        </w:rPr>
        <w:t>We have experienced, and may continue to experience, rapid growth, and organizational change, which has placed, and may continue to place, significant demands on our management and our operational and financial resources. Additionally, our organizational structure may become more complex as we expand our operational, financial, and management controls, as well as our reporting systems and procedures as a public company. We may require significant capital expenditures and the allocation of valuable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7" w:name="page38"/>
    <w:bookmarkEnd w:id="3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right="679"/>
        <w:spacing w:after="0" w:line="262" w:lineRule="auto"/>
        <w:rPr>
          <w:sz w:val="20"/>
          <w:szCs w:val="20"/>
          <w:color w:val="auto"/>
        </w:rPr>
      </w:pPr>
      <w:r>
        <w:rPr>
          <w:rFonts w:ascii="Times New Roman" w:cs="Times New Roman" w:eastAsia="Times New Roman" w:hAnsi="Times New Roman"/>
          <w:sz w:val="14"/>
          <w:szCs w:val="14"/>
          <w:color w:val="231F20"/>
        </w:rPr>
        <w:t>management resources to grow and evolve in these areas. We must effectively increase our headcount, ensure our personnel have the necessary licenses and competencies, and continue to effectively train and manage our employees. We will be unable to manage our business effectively if we are unable to alleviate the strain on resources caused by growth in a timely and successful manner. If we fail to effectively manage our anticipated growth and change or fail to ensure that the level of care and services provided by our employees complies with regulatory and contractual requirements, the quality of our services may suffer, which could negatively affect our brand and reputation, harm our ability to attract and retain patients, customers, referral sources, and employees, and lead to the need for corrective actions.</w:t>
      </w:r>
    </w:p>
    <w:p>
      <w:pPr>
        <w:spacing w:after="0" w:line="59" w:lineRule="exact"/>
        <w:rPr>
          <w:sz w:val="20"/>
          <w:szCs w:val="20"/>
          <w:color w:val="auto"/>
        </w:rPr>
      </w:pPr>
    </w:p>
    <w:p>
      <w:pPr>
        <w:ind w:left="640" w:right="739" w:firstLine="351"/>
        <w:spacing w:after="0" w:line="271" w:lineRule="auto"/>
        <w:rPr>
          <w:sz w:val="20"/>
          <w:szCs w:val="20"/>
          <w:color w:val="auto"/>
        </w:rPr>
      </w:pPr>
      <w:r>
        <w:rPr>
          <w:rFonts w:ascii="Times New Roman" w:cs="Times New Roman" w:eastAsia="Times New Roman" w:hAnsi="Times New Roman"/>
          <w:sz w:val="14"/>
          <w:szCs w:val="14"/>
          <w:color w:val="231F20"/>
        </w:rPr>
        <w:t>In addition, as we expand our business, it is important that we continue to maintain high levels of patient service and satisfaction. If we are unable to continue to provide high quality healthcare that meets the regulatory requirements and generates high levels of patient satisfaction, our reputation, as well as our business, results of operations and financial condition would be adversely affected.</w:t>
      </w:r>
    </w:p>
    <w:p>
      <w:pPr>
        <w:spacing w:after="0" w:line="396" w:lineRule="exact"/>
        <w:rPr>
          <w:sz w:val="20"/>
          <w:szCs w:val="20"/>
          <w:color w:val="auto"/>
        </w:rPr>
      </w:pPr>
    </w:p>
    <w:p>
      <w:pPr>
        <w:ind w:left="640" w:right="719"/>
        <w:spacing w:after="0" w:line="270" w:lineRule="auto"/>
        <w:rPr>
          <w:sz w:val="20"/>
          <w:szCs w:val="20"/>
          <w:color w:val="auto"/>
        </w:rPr>
      </w:pPr>
      <w:r>
        <w:rPr>
          <w:rFonts w:ascii="Times New Roman" w:cs="Times New Roman" w:eastAsia="Times New Roman" w:hAnsi="Times New Roman"/>
          <w:sz w:val="14"/>
          <w:szCs w:val="14"/>
          <w:b w:val="1"/>
          <w:bCs w:val="1"/>
          <w:i w:val="1"/>
          <w:iCs w:val="1"/>
          <w:color w:val="231F20"/>
        </w:rPr>
        <w:t>Our growth strategy is partially dependent upon our ability to identify and successfully complete acquisitions, joint ventures, and other strategic initiatives, including the pending sale of our Community Living business, as well as organic growth. Any failure by us to manage or integrate acquisitions, divestitures, and other significant transactions successfully, or to organically grow our business, may have a material adverse effect on our business, financial condition, and results of operations.</w:t>
      </w:r>
    </w:p>
    <w:p>
      <w:pPr>
        <w:spacing w:after="0" w:line="139" w:lineRule="exact"/>
        <w:rPr>
          <w:sz w:val="20"/>
          <w:szCs w:val="20"/>
          <w:color w:val="auto"/>
        </w:rPr>
      </w:pPr>
    </w:p>
    <w:p>
      <w:pPr>
        <w:ind w:left="640" w:right="679" w:firstLine="351"/>
        <w:spacing w:after="0" w:line="258" w:lineRule="auto"/>
        <w:rPr>
          <w:sz w:val="20"/>
          <w:szCs w:val="20"/>
          <w:color w:val="auto"/>
        </w:rPr>
      </w:pPr>
      <w:r>
        <w:rPr>
          <w:rFonts w:ascii="Times New Roman" w:cs="Times New Roman" w:eastAsia="Times New Roman" w:hAnsi="Times New Roman"/>
          <w:sz w:val="14"/>
          <w:szCs w:val="14"/>
          <w:color w:val="231F20"/>
        </w:rPr>
        <w:t>Acquisitions are a key strategic advantage and value creation driver for us. We regularly evaluate opportunities to acquire other companies and have undertaken, and may in the future undertake, strategic, and accretive acquisitions. We face competition for acquisition and joint venture candidates, which may limit the number of acquisition and joint venture opportunities available to us or lead to the payment of higher prices for our acquisitions and joint ventures. In addition, federal and state laws or regulations (such as antitrust laws) as well as changes in federal and state laws or regulations may materially adversely impact our ability to acquire businesses. For example, CMS has adopted a regulation known as the “36 Month Rule” that is applicable to home health agency acquisitions, which subject to certain exceptions, prohibits buyers of home health agencies that either enrolled in Medicare or underwent a change in ownership fewer than 36 months prior to the acquisition date, from assuming the Medicare billing privileges of the acquired home health agency. Instead, the acquired home health agencies must enroll as new providers with Medicare which may cause significant Medicare billing delays. As a result, the 36 Month Rule may further increase competition for acquisition targets that are not subject to the rule. We cannot assure you that we will successfully identify suitable acquisition candidates, obtain financing for such acquisitions, if necessary, consummate such potential acquisitions or efficiently integrate any acquired entities or successfully expand into new markets as a result of our acquisitions. If we are unable to successfully execute on such a strategy in the future, our future growth could be limited.</w:t>
      </w:r>
    </w:p>
    <w:p>
      <w:pPr>
        <w:spacing w:after="0" w:line="69" w:lineRule="exact"/>
        <w:rPr>
          <w:sz w:val="20"/>
          <w:szCs w:val="20"/>
          <w:color w:val="auto"/>
        </w:rPr>
      </w:pPr>
    </w:p>
    <w:p>
      <w:pPr>
        <w:ind w:left="640" w:right="739" w:firstLine="351"/>
        <w:spacing w:after="0" w:line="258" w:lineRule="auto"/>
        <w:rPr>
          <w:sz w:val="20"/>
          <w:szCs w:val="20"/>
          <w:color w:val="auto"/>
        </w:rPr>
      </w:pPr>
      <w:r>
        <w:rPr>
          <w:rFonts w:ascii="Times New Roman" w:cs="Times New Roman" w:eastAsia="Times New Roman" w:hAnsi="Times New Roman"/>
          <w:sz w:val="14"/>
          <w:szCs w:val="14"/>
          <w:color w:val="231F20"/>
        </w:rPr>
        <w:t>We believe that there are risks related to acquiring companies. Such risks include overpaying for acquisitions, losing key employees, strategic partnerships, or patients of acquired companies, failing to effectively integrate acquired companies, the assumption of liabilities and exposure to unforeseen liabilities of acquired operations, and failing to achieve potential synergies or remove transition, integration, or non-recurring costs. In addition, our due diligence review of acquired businesses may not successfully identify all potential issues. Further, following completion of an acquisition, we may not be able to maintain the growth rate, levels of revenue, earnings or operating efficiency that we and the acquired business have achieved or might achieve separately. Historically, we have funded acquisitions primarily through our credit facilities, the issuance of our common stock, and/or cash on hand, and there is no guarantee that we will be able to obtain financing for any future acquisition on favorable terms, if at all. These transactions may also cause us to significantly increase our interest expense, leverage and debt service requirements if we incur additional debt to pay for an acquisition or investment or dilute our current stockholders’ percentage ownership if we issue common stock to pay for an acquisition or investment or subsequent capital infusion, or incur asset write-offs and restructuring costs and other related expenses that could have a material adverse impact on our operating results. Furthermore, in certain circumstances, we could be required to pay or be involved in disputes relating to termination fees or liquidated damages if an acquisition is not consummated, the payment of which could have a material adverse effect on our business, financial condition, or results of operations.</w:t>
      </w:r>
    </w:p>
    <w:p>
      <w:pPr>
        <w:spacing w:after="0" w:line="69" w:lineRule="exact"/>
        <w:rPr>
          <w:sz w:val="20"/>
          <w:szCs w:val="20"/>
          <w:color w:val="auto"/>
        </w:rPr>
      </w:pPr>
    </w:p>
    <w:p>
      <w:pPr>
        <w:jc w:val="both"/>
        <w:ind w:left="640" w:right="759" w:firstLine="351"/>
        <w:spacing w:after="0" w:line="260" w:lineRule="auto"/>
        <w:rPr>
          <w:sz w:val="20"/>
          <w:szCs w:val="20"/>
          <w:color w:val="auto"/>
        </w:rPr>
      </w:pPr>
      <w:r>
        <w:rPr>
          <w:rFonts w:ascii="Times New Roman" w:cs="Times New Roman" w:eastAsia="Times New Roman" w:hAnsi="Times New Roman"/>
          <w:sz w:val="14"/>
          <w:szCs w:val="14"/>
          <w:color w:val="231F20"/>
        </w:rPr>
        <w:t>Upon consummation of an acquisition, the integration process could divert the attention of management, and any difficulties or problems encountered in the transition process could have a material adverse effect on our business, financial condition, or results of operations. In particular, the integration process may temporarily redirect resources previously focused on reducing cost of services, resulting in lower gross profits in relation to revenues. The process of combining companies could cause the interruption of, or a loss of momentum in, the activities of the respective businesses, which could have an adverse effect on their combined operations.</w:t>
      </w:r>
    </w:p>
    <w:p>
      <w:pPr>
        <w:spacing w:after="0" w:line="1" w:lineRule="exact"/>
        <w:rPr>
          <w:sz w:val="20"/>
          <w:szCs w:val="20"/>
          <w:color w:val="auto"/>
        </w:rPr>
      </w:pPr>
    </w:p>
    <w:p>
      <w:pPr>
        <w:ind w:left="640" w:right="799"/>
        <w:spacing w:after="0" w:line="261" w:lineRule="auto"/>
        <w:rPr>
          <w:sz w:val="20"/>
          <w:szCs w:val="20"/>
          <w:color w:val="auto"/>
        </w:rPr>
      </w:pPr>
      <w:r>
        <w:rPr>
          <w:rFonts w:ascii="Times New Roman" w:cs="Times New Roman" w:eastAsia="Times New Roman" w:hAnsi="Times New Roman"/>
          <w:sz w:val="14"/>
          <w:szCs w:val="14"/>
          <w:color w:val="231F20"/>
        </w:rPr>
        <w:t>Additionally, in some acquisitions, we may have to renegotiate, or risk losing, one or more third-party payor contracts. We may also be unable to immediately collect the accounts receivable of an acquired entity while we align the payors’ payment systems and accounts with our own systems, and may have difficulties in recouping partial episode payments and other types of misdirected payments for services from previous owners. Certain transactions can require licensure and/or Medicare and Medicaid enrollment</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8" w:name="page39"/>
    <w:bookmarkEnd w:id="3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799"/>
        <w:spacing w:after="0" w:line="292" w:lineRule="auto"/>
        <w:rPr>
          <w:sz w:val="20"/>
          <w:szCs w:val="20"/>
          <w:color w:val="auto"/>
        </w:rPr>
      </w:pPr>
      <w:r>
        <w:rPr>
          <w:rFonts w:ascii="Times New Roman" w:cs="Times New Roman" w:eastAsia="Times New Roman" w:hAnsi="Times New Roman"/>
          <w:sz w:val="14"/>
          <w:szCs w:val="14"/>
          <w:color w:val="231F20"/>
        </w:rPr>
        <w:t>changes which, in turn, may result in disruptions in payment for services, and in some cases an inability to bill and generate revenue for post-acquisition services for a period of time.</w:t>
      </w:r>
    </w:p>
    <w:p>
      <w:pPr>
        <w:spacing w:after="0" w:line="38"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231F20"/>
        </w:rPr>
        <w:t>We may also make strategic divestitures from time to time. With respect to any divestiture, we may encounter difficulty finding potential acquirers or other divestiture options on favorable terms. Any divestiture could affect our profitability as a result of the gains or losses on such sale of a business or service, the loss of the operating income resulting from such sale or the costs or liabilities that are not assumed by the acquirer that may negatively impact profitability subsequent to any divestiture. We may also recognize impairment charges as a result of a divesture.</w:t>
      </w:r>
    </w:p>
    <w:p>
      <w:pPr>
        <w:spacing w:after="0" w:line="56"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231F20"/>
        </w:rPr>
        <w:t>In addition to our acquisition growth strategy, we seek opportunities for increasing revenue from our existing operations through organic growth, such as applying for certificates of need, or CONs, in certain jurisdictions in our home health and hospice businesses which is a hyper-competitive process and can be difficult to obtain. We may not be able to successfully execute our organic growth strategies. Certain of our organic growth strategies may involve risks and uncertainties similar to those for our acquisition strategy. See above. In addition, we may not be able to expand the services into the new location, we may not be able to attract referrals to that new location, we may not be able to execute new contractual arrangements with patients and referral sources, and we may not accurately project organic growth performance, including projections of revenue, operating expenses, and margins.</w:t>
      </w:r>
    </w:p>
    <w:p>
      <w:pPr>
        <w:spacing w:after="0" w:line="226" w:lineRule="exact"/>
        <w:rPr>
          <w:sz w:val="20"/>
          <w:szCs w:val="20"/>
          <w:color w:val="auto"/>
        </w:rPr>
      </w:pPr>
    </w:p>
    <w:p>
      <w:pPr>
        <w:ind w:left="640" w:right="77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The sale of our Community Living business may not occur on the terms agreed to by the parties, in the expected time frame, or at all and, as a result, could adversely affect the Company’s business and financial condition.</w:t>
      </w:r>
    </w:p>
    <w:p>
      <w:pPr>
        <w:spacing w:after="0" w:line="34" w:lineRule="exact"/>
        <w:rPr>
          <w:sz w:val="20"/>
          <w:szCs w:val="20"/>
          <w:color w:val="auto"/>
        </w:rPr>
      </w:pPr>
    </w:p>
    <w:p>
      <w:pPr>
        <w:ind w:left="640" w:right="699" w:firstLine="351"/>
        <w:spacing w:after="0" w:line="259" w:lineRule="auto"/>
        <w:rPr>
          <w:sz w:val="20"/>
          <w:szCs w:val="20"/>
          <w:color w:val="auto"/>
        </w:rPr>
      </w:pPr>
      <w:r>
        <w:rPr>
          <w:rFonts w:ascii="Times New Roman" w:cs="Times New Roman" w:eastAsia="Times New Roman" w:hAnsi="Times New Roman"/>
          <w:sz w:val="14"/>
          <w:szCs w:val="14"/>
          <w:color w:val="231F20"/>
        </w:rPr>
        <w:t>As previously disclosed, on January 17, 2025, the Company entered into a purchase agreement with National Mentor Holding, Inc., or Sevita, to divest the Company's Community Living business for $835 million, subject to typical adjustments for working capital and other customary items. The Company expects the divestiture to close in the first fiscal quarter of 2026. The sale is subject to customary closing conditions, including Hart-Scott-Rodino Antitrust Improvements Act of 1976, as amended, and certain other antitrust laws and other laws (such as the State of California Office of Healthcare Affordability requiring a cost and market impact review). On January 30, 2026 the Federal Trade Commission issued a press release that describes the proposed agreed upon order where the parties agreed to divest certain facilities in exchange for FTC approval (which is currently in the public comment period).. The Company may not receive the required approval and other clearances for the transaction, or they may not be received in a timely manner. If such approvals are received, they may impose terms, conditions or restrictions that may cause a failure of the closing conditions set forth in the purchase agreement or that could have a detrimental impact on the Company following completion of the transaction. A substantial delay in obtaining the required authorizations, approvals or consents or the imposition of unfavorable terms, conditions or restrictions could prevent the completion of the sale, and government authorities could seek to block or challenge the transaction as they deem necessary or desirable in the public interest.</w:t>
      </w:r>
    </w:p>
    <w:p>
      <w:pPr>
        <w:spacing w:after="0" w:line="61" w:lineRule="exact"/>
        <w:rPr>
          <w:sz w:val="20"/>
          <w:szCs w:val="20"/>
          <w:color w:val="auto"/>
        </w:rPr>
      </w:pPr>
    </w:p>
    <w:p>
      <w:pPr>
        <w:ind w:left="640" w:right="959" w:firstLine="351"/>
        <w:spacing w:after="0" w:line="268" w:lineRule="auto"/>
        <w:rPr>
          <w:sz w:val="20"/>
          <w:szCs w:val="20"/>
          <w:color w:val="auto"/>
        </w:rPr>
      </w:pPr>
      <w:r>
        <w:rPr>
          <w:rFonts w:ascii="Times New Roman" w:cs="Times New Roman" w:eastAsia="Times New Roman" w:hAnsi="Times New Roman"/>
          <w:sz w:val="14"/>
          <w:szCs w:val="14"/>
          <w:color w:val="231F20"/>
        </w:rPr>
        <w:t>While we believe the sale will result in increased strategic focus, operational efficiencies, a refined payor mix, and greater clinical integration and business synergy across the Provider Services segment, no assurances can be made that these impacts will occur. If the transaction fails to close, the Company’s business and financial condition may be adversely affected and we may continue to be responsible for any transaction costs incurred.</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231F20"/>
        </w:rPr>
        <w:t>If we are unable to provide consistently high quality of care, our business will be adversely impacted.</w:t>
      </w:r>
    </w:p>
    <w:p>
      <w:pPr>
        <w:spacing w:after="0" w:line="187"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231F20"/>
        </w:rPr>
        <w:t>Providing quality patient care is fundamental to our business. Clinical quality is becoming increasingly important within our industries. Medicare imposes a financial penalty upon hospitals that have excessive rates of patient readmissions within 30 days from hospital discharge. We believe this regulation provides a competitive advantage to home health providers who can differentiate themselves based upon quality, particularly by achieving low patient acute care hospitalization readmission rates and by implementing disease management programs designed to be responsive to the needs of patients served by referring hospitals. We are focused intently upon improving our patient outcomes, particularly our patient acute care hospitalization readmission rates. Additionally, Medicare has established consumer-facing websites, Home Health Compare and Hospice Compare, that present data regarding our performance on certain quality measures compared to state and national averages. If we should fail to achieve or exceed these averages, it may negatively affect our rates of reimbursement, our reputation, and our ability to generate referrals, which could have a material adverse effect upon our business, consolidated financial condition, and results of operations.</w:t>
      </w:r>
    </w:p>
    <w:p>
      <w:pPr>
        <w:spacing w:after="0" w:line="60" w:lineRule="exact"/>
        <w:rPr>
          <w:sz w:val="20"/>
          <w:szCs w:val="20"/>
          <w:color w:val="auto"/>
        </w:rPr>
      </w:pPr>
    </w:p>
    <w:p>
      <w:pPr>
        <w:ind w:left="640" w:right="759" w:firstLine="351"/>
        <w:spacing w:after="0" w:line="262" w:lineRule="auto"/>
        <w:rPr>
          <w:sz w:val="20"/>
          <w:szCs w:val="20"/>
          <w:color w:val="auto"/>
        </w:rPr>
      </w:pPr>
      <w:r>
        <w:rPr>
          <w:rFonts w:ascii="Times New Roman" w:cs="Times New Roman" w:eastAsia="Times New Roman" w:hAnsi="Times New Roman"/>
          <w:sz w:val="14"/>
          <w:szCs w:val="14"/>
          <w:color w:val="231F20"/>
        </w:rPr>
        <w:t>Many of our service users have complex medical conditions or special needs, are vulnerable, and often require a substantial level of care and supervision. There is a risk that one or more service users could be harmed by one or more of our employees, workforce members, or other service users, either intentionally, by accident, or through negligence, neglect, error, poor performance, mistreatment, failure to provide proper care or medication or carry out physician’s orders, failure to properly document or monitor or report information, failure to address risks to service users’ health or safety, failure to maintain appropriate staffing, failure to implement appropriate interventions or other actions or inaction. Employees and workforce members have engaged in conduct (including failing to take action) that has impacted, and may in the future engage in conduct that impacts, our service users or their</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9" w:name="page40"/>
    <w:bookmarkEnd w:id="3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799"/>
        <w:spacing w:after="0" w:line="260" w:lineRule="auto"/>
        <w:rPr>
          <w:sz w:val="20"/>
          <w:szCs w:val="20"/>
          <w:color w:val="auto"/>
        </w:rPr>
      </w:pPr>
      <w:r>
        <w:rPr>
          <w:rFonts w:ascii="Times New Roman" w:cs="Times New Roman" w:eastAsia="Times New Roman" w:hAnsi="Times New Roman"/>
          <w:sz w:val="14"/>
          <w:szCs w:val="14"/>
          <w:color w:val="231F20"/>
        </w:rPr>
        <w:t>health, safety, welfare, or clinical treatment. Further, individuals cared for by us have in the past engaged, and may in the future engage, in behavior that results in harm to themselves, our employees or workforce members or to one or more other individuals, including members of the public and other service users. In addition, we have experienced staff shortages and if we experience staff shortages, or are unable to meet any applicable regulatory staffing requirements, it could impact our quality of care. In the past, regulators have taken measures against certain of our facilities and locations as a result of non-compliance with applicable laws and regulations (for example, admissions bans) and may do so in the future. In addition, our facilities and locations have been subject to other regulatory inquiries and matters, such as recoupments as a result of alleged insufficient documentation, overpayments, audits, removals of clients as a result of staffing and incidents identified during a monitoring visit, contract terminations, suspensions or revocations of licenses, home closures, vendor holds, which may occur as a result of our failure to submit an acceptable report under state law, and administrative penalties issued as a result of staffing issues and incidents found during monitoring visits.</w:t>
      </w:r>
    </w:p>
    <w:p>
      <w:pPr>
        <w:spacing w:after="0" w:line="60"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231F20"/>
        </w:rPr>
        <w:t>If one or more of our facilities experiences an adverse patient incident or is found to have failed to provide appropriate patient care (including as a result of staffing shortages or the actions or inactions of our employees or workforce members), governmental or regulatory authorities may take action against us or our employees or workforce members, including an admissions ban, admissions hold, reduction in census, loss of accreditation, license revocation, application denial period, administrative or other order, other adverse regulatory action, a settlement or other agreement requiring corrective actions or requiring us or a specific facility to demonstrate substantial compliance with licensure or other requirements, and the imposition of certain requirements, including requirements to transfer our service users, to provide reports or other documentation or to undergo revisit surveys or inspections. If such an action or a closure of a facility were to occur and result in the improper termination of patient care, we or our employees or workforce members may be exposed to governmental or regulatory inquiries, investigations, liability, and litigation, including claims of patient abandonment. Certain of our individual locations have been, and may continue to be, subject to findings of quality of care deficiencies or practices, incidents of patient abuse or neglect, and claims regarding services rendered that do not meet the standard of care, which have resulted, and in the future may result, in civil or criminal penalties; fines; the suspension, modification, termination, or revocation of a license of Medicare or Medicaid participation; the suspension of the operations of a facility; the suspension or denial of admissions of service users; a reduction in census; the removal of service users from properties; the denial of payments in full or in part; administrative orders; the implementation of state oversight, temporary management or receivership; and other actions. If an admissions hold, loss of accreditation, license revocation, or other action such as a closure of a facility occurs, states may interpret such an interruption to be “patient abandonment,” which may lead to additional action by regulatory authorities or patients. In many states, patient abandonment includes abandoning or neglecting a patient needing professional care without making reasonable arrangements for the continuation of care. In addition to actions by state boards, patients may also pursue a private right of action claiming abandonment.</w:t>
      </w:r>
    </w:p>
    <w:p>
      <w:pPr>
        <w:spacing w:after="0" w:line="234"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231F20"/>
        </w:rPr>
        <w:t>Any such patient incident, adverse regulatory action, self-disclosure, self-report, claim or other event, action or inaction has in the past, and could in the future, result in governmental investigations, judgments, or fines and have a material adverse effect on our business, financial condition, and results of operations. We have received inquiries and requests from various governmental and regulatory authorities and we have in the past and may in the future receive notices of potential sanctions based on violations of law or standards of care or alleged or actual failures to cure identified deficiencies or deficient practices. Further, claims of patient abuse, neglect, or medical malpractice have resulted in the past, and in the future may result, in law enforcement agencies investigating or arresting our employees and workforce members in order to investigate even unsubstantiated criminal or misdemeanor claims. While such enforcement actions are typically taken against individuals, we cannot predict how law enforcement or governmental or regulatory authorities will enforce the laws or whether governmental or regulatory authorities will assert that we or any of our employees or workforce members are responsible for such actions, or should have known about such actions. In addition, we have been and could become the subject of negative publicity or unfavorable media attention or governmental or regulatory scrutiny, regardless of whether the allegations are substantiated, that could have a significant, adverse effect on the trading price of our common stock or adversely impact our reputation, our relationships with referral sources and payors, whether service users and their family members choose us, and whether our referral sources choose other healthcare entities to provide healthcare.</w:t>
      </w:r>
    </w:p>
    <w:p>
      <w:pPr>
        <w:spacing w:after="0" w:line="69"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231F20"/>
        </w:rPr>
        <w:t>If we fail to provide or maintain a reputation for providing high quality or cost-effective care or adequate staffing, training, monitoring, and facilities, or are perceived to provide lower quality or less cost-effective care or inferior staffing, training, monitoring, and facilities than our competitors within the same geographic area, or if patients of our home and community health services and/or pharmacy services perceive that they could receive higher quality or more cost-effective services from other providers, our ability to attract and retain patients, customers, and employees could be adversely affected, which could have a material adverse effect upon our business, consolidated financial condition and results of operations. We believe that the perception of our quality of care by potential patients or their families seeking our services is influenced by a variety of factors, including physician and other healthcare professional referrals, community information and referral services, electronic media, newspapers and other print, and results of patient surveys, recommendations from family and friends, and published quality care statistics compiled by CMS or other industry data.</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0" w:name="page41"/>
    <w:bookmarkEnd w:id="4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40" w:right="103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If we are unable to maintain our corporate reputation, or there is adverse publicity, including negative information on social media, or changes in public perception of our services, our business may suffer.</w:t>
      </w:r>
    </w:p>
    <w:p>
      <w:pPr>
        <w:spacing w:after="0" w:line="120"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231F20"/>
        </w:rPr>
        <w:t>Our success depends on our ability to maintain our corporate reputation, including our reputation for providing quality patient care and for compliance with applicable Medicare, Medicaid, or HIPAA requirements or other laws to which we are subject, among governmental authorities, physicians, hospitals, discharge planning departments, case managers, nursing homes, rehabilitation centers, advocacy groups, patients and their families, other referral sources, and the public. For example, while we believe that the services we provide are of high quality, if our “quality measures,” which are published annually online by CMS, are deemed to be not of the highest value, our reputation could be negatively affected. Adverse publicity surrounding any aspect of our business, including our failure to provide proper care, staffing, or training, incidents at our facilities, employee misconduct, conditions at our facilities, litigation, licensure actions, changes in public perception of our services or government investigations of our operations could negatively affect our overall reputation, the willingness of other providers and organizations to refer patients to us, of patients to use our services, and our ability to retain agreements or obtain new agreements. Increased government scrutiny may also contribute to an increase in compliance costs. Any of these events could have a negative effect on our business, financial condition, and operating results.</w:t>
      </w:r>
    </w:p>
    <w:p>
      <w:pPr>
        <w:spacing w:after="0" w:line="237"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231F20"/>
        </w:rPr>
        <w:t>There has been a marked increase in the use of social media platforms and similar channels that provide individuals with access to a broad audience of consumers and other interested persons. The availability of information on social media platforms is virtually immediate, as is its effect. Many social media platforms immediately publish the content their subscribers and participants post, often without filters or checks on accuracy of the content posted. The opportunity for dissemination of information, including inaccurate information, is potentially limitless. Information about our business and/or services may be posted on such platforms at any time. Negative views regarding our services may continue to be posted in the future, and are out of our control. Regardless of their accuracy or authenticity, such information and views may be adverse to our interests and may harm our reputation and brand. The harm may be immediate without affording an opportunity for redress or correction. Such negative publicity also could adversely affect the size, engagement, activity, and loyalty of our customer base or the effectiveness of word-of-mouth marketing, and result in decreased revenue, or require us to expend additional funds for marketing efforts. Ultimately, the risks associated with any such negative publicity cannot be eliminated or completely mitigated and may materially adversely affect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ind w:left="640" w:right="879"/>
        <w:spacing w:after="0" w:line="277" w:lineRule="auto"/>
        <w:rPr>
          <w:sz w:val="20"/>
          <w:szCs w:val="20"/>
          <w:color w:val="auto"/>
        </w:rPr>
      </w:pPr>
      <w:r>
        <w:rPr>
          <w:rFonts w:ascii="Times New Roman" w:cs="Times New Roman" w:eastAsia="Times New Roman" w:hAnsi="Times New Roman"/>
          <w:sz w:val="14"/>
          <w:szCs w:val="14"/>
          <w:b w:val="1"/>
          <w:bCs w:val="1"/>
          <w:i w:val="1"/>
          <w:iCs w:val="1"/>
          <w:color w:val="231F20"/>
        </w:rPr>
        <w:t>If our existing customers do not continue with or renew their contracts with us, renew at lower fee levels, decline to purchase additional services from us or reduce the services received from us pursuant to those contracts, it could have a material adverse effect on our business, financial condition, and results of operations.</w:t>
      </w:r>
    </w:p>
    <w:p>
      <w:pPr>
        <w:spacing w:after="0" w:line="134" w:lineRule="exact"/>
        <w:rPr>
          <w:sz w:val="20"/>
          <w:szCs w:val="20"/>
          <w:color w:val="auto"/>
        </w:rPr>
      </w:pPr>
    </w:p>
    <w:p>
      <w:pPr>
        <w:ind w:left="640" w:right="719" w:firstLine="351"/>
        <w:spacing w:after="0" w:line="260" w:lineRule="auto"/>
        <w:rPr>
          <w:sz w:val="20"/>
          <w:szCs w:val="20"/>
          <w:color w:val="auto"/>
        </w:rPr>
      </w:pPr>
      <w:r>
        <w:rPr>
          <w:rFonts w:ascii="Times New Roman" w:cs="Times New Roman" w:eastAsia="Times New Roman" w:hAnsi="Times New Roman"/>
          <w:sz w:val="14"/>
          <w:szCs w:val="14"/>
          <w:color w:val="231F20"/>
        </w:rPr>
        <w:t>Our agreements with our customers are generally in effect for specific time periods. However, certain of our Pharmacy Solutions segment contracts are terminable without cause upon advance written notice, giving those customers leverage to demand more favorable pricing, or seek services from another provider. In all of our lines of business, our ability to renew or retain our agreements depends on our quality of service and reputation, but may also be affected by other factors over which we have little or no control, such as government appropriations and changes in provider eligibility requirements. Additionally, failure to satisfy any of the numerous technical renewal requirements in connections with our proposals for agreements could result in a proposal being rejected even if it contains favorable pricing terms. Failure to obtain, renew, or retain agreements with customers may negatively impact our business, financial condition, and results of operations. We can give no assurance that our existing agreements will be renewed on commercially reasonable terms or at all.</w:t>
      </w:r>
    </w:p>
    <w:p>
      <w:pPr>
        <w:spacing w:after="0" w:line="231" w:lineRule="exact"/>
        <w:rPr>
          <w:sz w:val="20"/>
          <w:szCs w:val="20"/>
          <w:color w:val="auto"/>
        </w:rPr>
      </w:pPr>
    </w:p>
    <w:p>
      <w:pPr>
        <w:ind w:left="640" w:right="77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Our business depends on our ability to effectively invest in, implement improvements to, and properly maintain the uninterrupted operation and data integrity of our information technology and other business systems.</w:t>
      </w:r>
    </w:p>
    <w:p>
      <w:pPr>
        <w:spacing w:after="0" w:line="120"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231F20"/>
        </w:rPr>
        <w:t>Our business is highly dependent on maintaining effective and secure information systems, including those maintained by us and those maintained and provided by third-party service providers (for example, “software-as-a-service” and cloud solutions), as well as the integrity and timeliness of the data we use to serve our patients, support employees and operate our business. Our operations rely significantly on the Electronic Medical Records (EMR) system provided by our vendor. This dependency is critical for maintaining the integrity, accessibility, and security of patient data. Any disruption, termination, or failure of the vendor to provide timely updates and support could adversely affect our ability to deliver healthcare services efficiently. Our business also supports the use of electronic visit verification, or EVV, to collect visit submission information such as service type, visit start time and end time, and care plan tasks for our home and community-based care services. We use mobile devices to capture time in and time out, mileage and travel time, as well as the completed care plan tasks with client verification. Our ability to effectively manage our business and coordinate the provision and billing of our services and prompt, accurate documentation of the care and services we provide depends significantly on the reliability and capacity of these systems. We rely on these providers to provide continual operation, as well as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1" w:name="page42"/>
    <w:bookmarkEnd w:id="4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right="659"/>
        <w:spacing w:after="0" w:line="259" w:lineRule="auto"/>
        <w:rPr>
          <w:sz w:val="20"/>
          <w:szCs w:val="20"/>
          <w:color w:val="auto"/>
        </w:rPr>
      </w:pPr>
      <w:r>
        <w:rPr>
          <w:rFonts w:ascii="Times New Roman" w:cs="Times New Roman" w:eastAsia="Times New Roman" w:hAnsi="Times New Roman"/>
          <w:sz w:val="14"/>
          <w:szCs w:val="14"/>
          <w:color w:val="231F20"/>
        </w:rPr>
        <w:t>maintenance, enhancements, and security of any protected and/or confidential data (including personal information). To the extent that our EVV and other vendors fail to support these processes, our internal operations could be negatively affected. Our systems, and those of our third-party service providers, are vulnerable to damages, failures, malfunctions, outages or other interruptions which could be caused by a number of factors such as power outages or damages, telecommunications problems, data corruption, software errors, human error, computer viruses, defects and other errors, physical or electronic break-ins, theft, design defects, network failures, security breaches, cyberattacks, acts of war or terrorist attacks, fire, flood, and natural disasters. A system failure, outage or other interruption may also cause the corruption or loss of important, confidential, and/or protected data (including personal information). See “—Risks Related to Our Regulatory Framework—If we are found to have violated HIPAA, or any other applicable privacy and security laws and regulations, as well as contractual obligations, we could be subject to sanctions, fines, damages, and other additional civil or criminal penalties, which could increase our liabilities, harm our reputation, and have a material adverse effect on our business, financial condition, and results of operations.” Furthermore, our third-party providers’ existing safety systems, data backup, access protection, user management, information technology emergency planning, and other security measures may not be sufficient to prevent data loss or long-term network outages.</w:t>
      </w:r>
    </w:p>
    <w:p>
      <w:pPr>
        <w:spacing w:after="0" w:line="61"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231F20"/>
        </w:rPr>
        <w:t>Our company is increasingly integrating Artificial Intelligence (AI) technologies into our operations to enhance efficiency, decision-making, and customer experience. While AI offers significant benefits, it also introduces new risks, including potential biases in decision-making, data privacy concerns, and reliance on complex algorithms. We are committed to mitigating these risks through rigorous testing, continuous monitoring, and adherence to ethical guidelines. However, any failure to manage these risks effectively could adversely impact on our business operations and reputation.</w:t>
      </w:r>
    </w:p>
    <w:p>
      <w:pPr>
        <w:spacing w:after="0" w:line="56" w:lineRule="exact"/>
        <w:rPr>
          <w:sz w:val="20"/>
          <w:szCs w:val="20"/>
          <w:color w:val="auto"/>
        </w:rPr>
      </w:pPr>
    </w:p>
    <w:p>
      <w:pPr>
        <w:ind w:left="640" w:right="759" w:firstLine="351"/>
        <w:spacing w:after="0" w:line="259" w:lineRule="auto"/>
        <w:rPr>
          <w:sz w:val="20"/>
          <w:szCs w:val="20"/>
          <w:color w:val="auto"/>
        </w:rPr>
      </w:pPr>
      <w:r>
        <w:rPr>
          <w:rFonts w:ascii="Times New Roman" w:cs="Times New Roman" w:eastAsia="Times New Roman" w:hAnsi="Times New Roman"/>
          <w:sz w:val="14"/>
          <w:szCs w:val="14"/>
          <w:color w:val="231F20"/>
        </w:rPr>
        <w:t>In addition, we may have to upgrade our existing information technology systems, including with AI technology, from time to time in order for such systems to withstand the increasing needs of our expanding business. We rely on certain hardware, telecommunications, and software vendors to maintain and periodically upgrade many of these systems so that we can continue to support our business. Costs and potential problems and interruptions associated with the implementation of new or upgraded systems and technology or with maintenance or adequate support of existing systems could disrupt or reduce the efficiency of our operations. Further, upgrading and expanding our information technology infrastructure could require significant investment of additional resources and capital, which may not always be available or available on favorable terms. We also depend on our information technology staff. If we cannot meet our staffing needs in this area, we may not be able to fulfill our technology initiatives while continuing to provide maintenance on existing systems. Any material disruption, outage or slowdown of our systems or those of our third-party providers, including those caused by our or their failure to successfully upgrade our or their systems, and our or their inability to convert to alternate systems in an efficient and timely manner could have a material adverse effect on our business, financial condition, and results of operations.</w:t>
      </w:r>
    </w:p>
    <w:p>
      <w:pPr>
        <w:spacing w:after="0" w:line="63" w:lineRule="exact"/>
        <w:rPr>
          <w:sz w:val="20"/>
          <w:szCs w:val="20"/>
          <w:color w:val="auto"/>
        </w:rPr>
      </w:pPr>
    </w:p>
    <w:p>
      <w:pPr>
        <w:ind w:left="640" w:right="799" w:firstLine="351"/>
        <w:spacing w:after="0" w:line="265" w:lineRule="auto"/>
        <w:rPr>
          <w:sz w:val="20"/>
          <w:szCs w:val="20"/>
          <w:color w:val="auto"/>
        </w:rPr>
      </w:pPr>
      <w:r>
        <w:rPr>
          <w:rFonts w:ascii="Times New Roman" w:cs="Times New Roman" w:eastAsia="Times New Roman" w:hAnsi="Times New Roman"/>
          <w:sz w:val="14"/>
          <w:szCs w:val="14"/>
          <w:color w:val="231F20"/>
        </w:rPr>
        <w:t>Additionally, operations that we acquire must be integrated into our various information systems in an efficient and effective manner. For certain aspects, we rely upon third-party service providers to assist us with those activities. If we are unable to integrate and transition any acquired business into our information systems, due to our failures or any failure of our third-party service providers, we could incur unanticipated expenses, suffer disruptions in service, experience regulatory issues, and lose revenue from the operation of such business.</w:t>
      </w:r>
    </w:p>
    <w:p>
      <w:pPr>
        <w:spacing w:after="0" w:line="224" w:lineRule="exact"/>
        <w:rPr>
          <w:sz w:val="20"/>
          <w:szCs w:val="20"/>
          <w:color w:val="auto"/>
        </w:rPr>
      </w:pPr>
    </w:p>
    <w:p>
      <w:pPr>
        <w:jc w:val="both"/>
        <w:ind w:left="640" w:right="719"/>
        <w:spacing w:after="0" w:line="277" w:lineRule="auto"/>
        <w:rPr>
          <w:sz w:val="20"/>
          <w:szCs w:val="20"/>
          <w:color w:val="auto"/>
        </w:rPr>
      </w:pPr>
      <w:r>
        <w:rPr>
          <w:rFonts w:ascii="Times New Roman" w:cs="Times New Roman" w:eastAsia="Times New Roman" w:hAnsi="Times New Roman"/>
          <w:sz w:val="14"/>
          <w:szCs w:val="14"/>
          <w:b w:val="1"/>
          <w:bCs w:val="1"/>
          <w:i w:val="1"/>
          <w:iCs w:val="1"/>
          <w:color w:val="231F20"/>
        </w:rPr>
        <w:t>Security breaches, loss of data, and other disruptions could compromise sensitive business or patient information, cause a loss of confidential patient data, employee data, personal information, or prevent access to critical information, and expose us to liability, litigation, and federal and state governmental inquiries and damage our reputation and brand.</w:t>
      </w:r>
    </w:p>
    <w:p>
      <w:pPr>
        <w:spacing w:after="0" w:line="134" w:lineRule="exact"/>
        <w:rPr>
          <w:sz w:val="20"/>
          <w:szCs w:val="20"/>
          <w:color w:val="auto"/>
        </w:rPr>
      </w:pPr>
    </w:p>
    <w:p>
      <w:pPr>
        <w:ind w:left="640" w:right="719" w:firstLine="351"/>
        <w:spacing w:after="0" w:line="258" w:lineRule="auto"/>
        <w:rPr>
          <w:sz w:val="20"/>
          <w:szCs w:val="20"/>
          <w:color w:val="auto"/>
        </w:rPr>
      </w:pPr>
      <w:r>
        <w:rPr>
          <w:rFonts w:ascii="Times New Roman" w:cs="Times New Roman" w:eastAsia="Times New Roman" w:hAnsi="Times New Roman"/>
          <w:sz w:val="14"/>
          <w:szCs w:val="14"/>
          <w:color w:val="231F20"/>
        </w:rPr>
        <w:t>In the ordinary course of our business, we collect, process, use, transmit, share, disclose, create, receive, maintain, transmit, and store, or collectively, Process, personal information (which may also be referred to as personal data, personally identifiable information, and/or non-public personal information), including protected health information, or PHI, relating to our patients, employees, referral sources, payors, and others. We also Process, and contract with third-party service providers to Process, other sensitive, confidential, and/or proprietary information. Our third-party service providers may also rely on their own sub-processors to Process, creating additional layers of risk we do not directly control. Concentration in certain services, such as payment processing, hosting, cybersecurity tooling, or digital ordering, could increase the potential impact of outages, security incidents, or adverse changes in terms or pricing. We use third-party service providers for important aspects of the Processing of personal information and other confidential and sensitive data and information, and therefore rely on third parties to manage functions that have material cybersecurity risks. Because of the sensitivity of such personal information and other sensitive data and information that we and our service providers Process, the security of our technology platform and other aspects of our services, including those provided or facilitated by our third-party service providers, are critical to our operations and business strategy. Our patients, employees, payors, and referral sources have a high expectation that we will adequately protect their information, including personal information, from cyberattacks or other security breaches, and may have claims against us if we are unable to do so. We may also have exposure to regulatory investigations and other compliance risks in the event of a cyberattack or other security breach. We have been, and are currently, subject to HHS investigations with respect to data privacy and security incidents involving PHI. There can be no assurance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2" w:name="page43"/>
    <w:bookmarkEnd w:id="4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40" w:right="659"/>
        <w:spacing w:after="0" w:line="262" w:lineRule="auto"/>
        <w:rPr>
          <w:sz w:val="20"/>
          <w:szCs w:val="20"/>
          <w:color w:val="auto"/>
        </w:rPr>
      </w:pPr>
      <w:r>
        <w:rPr>
          <w:rFonts w:ascii="Times New Roman" w:cs="Times New Roman" w:eastAsia="Times New Roman" w:hAnsi="Times New Roman"/>
          <w:sz w:val="14"/>
          <w:szCs w:val="14"/>
          <w:color w:val="231F20"/>
        </w:rPr>
        <w:t>that we will not be subject to such HHS investigations or investigations by other governmental or regulatory authorities in the future, including those that may have a material impact on our business. Any delay in identifying such breaches or incidents or in providing timely reports or notification of such incidents may lead to increased harm and increased penalties or other actions, such as measures required as part of any resolution or settlement agreement. Our patients, employees, payors, and referral sources may have contractual rights of indemnification against us in the event that their personal or proprietary business information is accessed, acquired, disclosed, lost, used or compromised as a result of a breach of our information systems. In such an event, these parties may also seek to terminate our contracts with them.</w:t>
      </w:r>
    </w:p>
    <w:p>
      <w:pPr>
        <w:spacing w:after="0" w:line="59" w:lineRule="exact"/>
        <w:rPr>
          <w:sz w:val="20"/>
          <w:szCs w:val="20"/>
          <w:color w:val="auto"/>
        </w:rPr>
      </w:pPr>
    </w:p>
    <w:p>
      <w:pPr>
        <w:ind w:left="640" w:right="659" w:firstLine="351"/>
        <w:spacing w:after="0" w:line="257" w:lineRule="auto"/>
        <w:rPr>
          <w:sz w:val="20"/>
          <w:szCs w:val="20"/>
          <w:color w:val="auto"/>
        </w:rPr>
      </w:pPr>
      <w:r>
        <w:rPr>
          <w:rFonts w:ascii="Times New Roman" w:cs="Times New Roman" w:eastAsia="Times New Roman" w:hAnsi="Times New Roman"/>
          <w:sz w:val="14"/>
          <w:szCs w:val="14"/>
          <w:color w:val="231F20"/>
        </w:rPr>
        <w:t>Our systems and those of our third-party service providers and business partners may be vulnerable to, and have experienced, data or security breaches, cyberattacks (including ransomware), acts of vandalism, computer viruses, misplaced or lost data, human errors, or other similar events. While we have safeguards in place designed to defend our systems against intrusions and attacks and to protect our data, we cannot be certain that these measures are sufficient to counter all current and emerging technology threats, including those that adopt evolving AI technologies. Emerging technologies may increase our operational, privacy, cybersecurity, and intellectual property risks, including errors, bias, data leakage, and claims related to training data and generated outputs, and may increase expenses. We may also be dependent on third-party AI models and vendors, whose availability, reliability, performance, or terms of use may change. If unauthorized parties gain access to our networks or data, or those of our employees, third-party service providers or business partners, they may be able to access, steal, publish, delete, use in an unauthorized manner or modify confidential and sensitive information, including personal information, PHI, trade secrets or other confidential information, intellectual property, and proprietary business information. In addition, employees may intentionally or inadvertently cause data or security breaches that result in destruction, loss, alteration, unauthorized disclosure of, or access to such information. Further, the techniques used to obtain unauthorized access, disable or degrade service, or sabotage systems change frequently and are often difficult to detect. Threats to our systems and associated third-party systems can originate from human error, fraud, or malice on the part of employees or third parties or simply from accidental technological failure. Computer viruses and other malware can be distributed and could infiltrate our systems or those of associated third parties. Because the techniques used to circumvent security systems can be highly sophisticated, change frequently, are often not detected until launched against a target and may originate from less regulated and remote areas around the world, we, and our third-party service providers, may be unable to effectively detect or proactively address all possible techniques, implement adequate preventive measures for all situations or respond to any breach or security incident. The administrative, physical, and technological safeguards we or our third-party service providers implement to address these risks may not address applicable laws and regulations or address situations that could lead to increased privacy or security risks. The businesses we have acquired, or may acquire in the future, may not have in place all of the required safeguards and may have experienced breaches or security incidents. It may take significant time and expense to integrate such businesses to our policies and procedures. To the extent we terminate contracts with our third-party service providers, we may not be able to ensure that the relevant personal information of our patients and employees is maintained in compliance with the required safeguards. In the normal course of business, we are and have been the target of malicious cyberattack attempts and have experienced ransomware attacks and other security incidents that have disrupted our operations. We have previously experienced, and may in the future experience, ransomware attacks that could result in a breach of individuals' personal information (including PHI), which has, and in the future, could require us to notify the impacted individuals and applicable regulators and could subject us to a HHS Office for Civil Rights investigation, various state regulatory investigations, or other legal proceedings. There can be no assurance that any present or future cyberattacks will not be material or significant.</w:t>
      </w:r>
    </w:p>
    <w:p>
      <w:pPr>
        <w:spacing w:after="0" w:line="69" w:lineRule="exact"/>
        <w:rPr>
          <w:sz w:val="20"/>
          <w:szCs w:val="20"/>
          <w:color w:val="auto"/>
        </w:rPr>
      </w:pPr>
    </w:p>
    <w:p>
      <w:pPr>
        <w:ind w:left="640" w:right="679" w:firstLine="351"/>
        <w:spacing w:after="0" w:line="258" w:lineRule="auto"/>
        <w:rPr>
          <w:sz w:val="20"/>
          <w:szCs w:val="20"/>
          <w:color w:val="auto"/>
        </w:rPr>
      </w:pPr>
      <w:r>
        <w:rPr>
          <w:rFonts w:ascii="Times New Roman" w:cs="Times New Roman" w:eastAsia="Times New Roman" w:hAnsi="Times New Roman"/>
          <w:sz w:val="14"/>
          <w:szCs w:val="14"/>
          <w:color w:val="231F20"/>
        </w:rPr>
        <w:t>Any such cyberattack or threat, including those that result in data or security breaches, could result in costly investigations, litigation, government enforcement actions, civil or criminal penalties, fines, operational changes or other response measures, loss of patient and customer confidence in our security measures, loss of business partners, and negative publicity that could adversely affect our brand, reputation, business, financial condition, and results of operations. In particular, any such interruption in access, compromise, use, improper access, acquisition, disclosure or other loss of information, including personal information or PHI, could result in legal claims or proceedings and/or liability or penalties under laws and regulations that protect the privacy, confidentiality, or security of personal information, including the Health Insurance Portability and Accountability Act of 1996, as amended by the Health Information Technology for Economic and Clinical Health Act of 2009 and other laws, and implementing regulations, or collectively, HIPAA, the FTCA, the California Consumer Privacy Act, or CCPA, as amended by the California Privacy Rights Act of 2020, or CPRA, and its implementing regulations, and other state data privacy, security, consumer health data, or consumer protection laws, including state breach notification laws. These laws often provide for civil penalties for violations, as well as a private right of action for data breaches that may increase data breach litigation. Any delay in identifying such breaches or incidents or in providing timely notification of such incidents may lead to increased harm and increased penalties. For further information, see “—Risks Related to Our Regulatory Framework—If we are found to have violated HIPAA, or any other applicable privacy and security laws and regulations, as well as contractual obligations, we could be subject to sanctions, fines, damages, and other additional civil or criminal penalties, which could increase our liabilities, harm our reputation, and have a material adverse effect on our business, financial condition, and results of operation.”</w:t>
      </w:r>
    </w:p>
    <w:p>
      <w:pPr>
        <w:spacing w:after="0" w:line="65" w:lineRule="exact"/>
        <w:rPr>
          <w:sz w:val="20"/>
          <w:szCs w:val="20"/>
          <w:color w:val="auto"/>
        </w:rPr>
      </w:pPr>
    </w:p>
    <w:p>
      <w:pPr>
        <w:ind w:left="640" w:right="679" w:firstLine="351"/>
        <w:spacing w:after="0" w:line="292" w:lineRule="auto"/>
        <w:rPr>
          <w:sz w:val="20"/>
          <w:szCs w:val="20"/>
          <w:color w:val="auto"/>
        </w:rPr>
      </w:pPr>
      <w:r>
        <w:rPr>
          <w:rFonts w:ascii="Times New Roman" w:cs="Times New Roman" w:eastAsia="Times New Roman" w:hAnsi="Times New Roman"/>
          <w:sz w:val="14"/>
          <w:szCs w:val="14"/>
          <w:color w:val="231F20"/>
        </w:rPr>
        <w:t>In addition, denial of service or other cyberattacks could be launched against us for a variety of purposes, including to interfere with our services or create a diversion for other malicious activities. Our defensive measures may not prevent unplanned downtime, or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3" w:name="page44"/>
    <w:bookmarkEnd w:id="4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679"/>
        <w:spacing w:after="0" w:line="260" w:lineRule="auto"/>
        <w:rPr>
          <w:sz w:val="20"/>
          <w:szCs w:val="20"/>
          <w:color w:val="auto"/>
        </w:rPr>
      </w:pPr>
      <w:r>
        <w:rPr>
          <w:rFonts w:ascii="Times New Roman" w:cs="Times New Roman" w:eastAsia="Times New Roman" w:hAnsi="Times New Roman"/>
          <w:sz w:val="14"/>
          <w:szCs w:val="14"/>
          <w:color w:val="231F20"/>
        </w:rPr>
        <w:t>the unauthorized access, acquisition, disclosure, or use of confidential, sensitive data, and/or personal information. We may be required to expend significant capital and other resources to protect against security breaches, to safeguard the privacy, security, and confidentiality of personal information and other sensitive data and information, to investigate, contain, remediate, and mitigate actual or potential security breaches and security incidents, and/or to report security breaches and security incidents to patients, customers, employees, regulators, media, credit bureaus, and other third parties in accordance with applicable law and to offer complimentary credit monitoring, identity theft protection, and similar services where required by law or otherwise appropriate. While we maintain cyber errors and omissions insurance coverage that covers certain aspects of cyber risks, these losses may not be adequately covered by insurance or other contractual rights available to us. We may also be subject to potential increases in insurance premiums, resulting in increased costs or loss of revenue, and such insurance coverage may not continue to be available to us in adequate amounts or on satisfactory terms, if at all.</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231F20"/>
        </w:rPr>
        <w:t>We are subject to risks related to credit card payments and other payment methods.</w:t>
      </w:r>
    </w:p>
    <w:p>
      <w:pPr>
        <w:spacing w:after="0" w:line="187" w:lineRule="exact"/>
        <w:rPr>
          <w:sz w:val="20"/>
          <w:szCs w:val="20"/>
          <w:color w:val="auto"/>
        </w:rPr>
      </w:pPr>
    </w:p>
    <w:p>
      <w:pPr>
        <w:ind w:left="640" w:right="839" w:firstLine="351"/>
        <w:spacing w:after="0" w:line="292" w:lineRule="auto"/>
        <w:rPr>
          <w:sz w:val="20"/>
          <w:szCs w:val="20"/>
          <w:color w:val="auto"/>
        </w:rPr>
      </w:pPr>
      <w:r>
        <w:rPr>
          <w:rFonts w:ascii="Times New Roman" w:cs="Times New Roman" w:eastAsia="Times New Roman" w:hAnsi="Times New Roman"/>
          <w:sz w:val="14"/>
          <w:szCs w:val="14"/>
          <w:color w:val="231F20"/>
        </w:rPr>
        <w:t>We currently accept credit cards and debit cards. As a result, we pay interchange and other related acceptance and transaction processing fees, which may increase over time and raise our operating costs and lower profitability.</w:t>
      </w:r>
    </w:p>
    <w:p>
      <w:pPr>
        <w:spacing w:after="0" w:line="38"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231F20"/>
        </w:rPr>
        <w:t>We are also subject to evolving Payment Card Industry, or PCI, and network operating rules, including data security rules, certification requirements, and rules governing electronic funds transfers. For example, we are subject to the Payment Card Industry Data Security Standard, issued by the PCI Security Standards Council, that contains compliance guidelines and standards with regard to our security surrounding the physical and electronic storage, processing, and transmission of individual cardholder data, including regular audit to maintain compliance. As our business evolves and expands, and if we offer new payment options to consumers, we may be subject to additional regulations, compliance requirements, fraud, and other risks, in addition to new assessments that involve costs above what we currently pay for compliance. By accepting debit cards for payment, we are also subject to compliance with American National Standards Institute data encryption standards and payment network security operating guidelines. Additionally, the Fair and Accurate Credit Transactions Act requires systems that print payment card receipts to employ personal account number truncation so that the customer’s full account number is not viewable on the slip. Failure to be PCI compliant or to meet other payment card standards may result in the imposition of financial penalties or the allocation by the card brands of the costs of fraudulent charges to us. In addition, if we (or a third-party processing payment card transactions on our behalf) suffer a security breach affecting payment card information, we may have to pay onerous and significant fines, penalties, and assessments arising out of the major card brands’ rules and regulations, contractual indemnifications, or liability contained in merchant agreements and similar contracts, and we may lose our ability to accept payment cards for payment for our services, which could materially impact our operations and financial performance.</w:t>
      </w:r>
    </w:p>
    <w:p>
      <w:pPr>
        <w:spacing w:after="0" w:line="239" w:lineRule="exact"/>
        <w:rPr>
          <w:sz w:val="20"/>
          <w:szCs w:val="20"/>
          <w:color w:val="auto"/>
        </w:rPr>
      </w:pPr>
    </w:p>
    <w:p>
      <w:pPr>
        <w:ind w:left="640" w:right="939" w:firstLine="351"/>
        <w:spacing w:after="0" w:line="263" w:lineRule="auto"/>
        <w:rPr>
          <w:sz w:val="20"/>
          <w:szCs w:val="20"/>
          <w:color w:val="auto"/>
        </w:rPr>
      </w:pPr>
      <w:r>
        <w:rPr>
          <w:rFonts w:ascii="Times New Roman" w:cs="Times New Roman" w:eastAsia="Times New Roman" w:hAnsi="Times New Roman"/>
          <w:sz w:val="14"/>
          <w:szCs w:val="14"/>
          <w:color w:val="231F20"/>
        </w:rPr>
        <w:t>In addition, we rely on third-party payment processors to process the payments made by our customers. If our third-party payment processors terminate their relationships with us or refuse to renew their agreements with us on commercially reasonable terms, we would need to find an alternate payment processor and may not be able to secure similar terms or replace such payment processors in an acceptable time frame. Further, the software and services provided by our third-party payment processors may contain errors or vulnerabilities, be compromised, experience outages, or not meet our expectations. If any of these events were to occur, our business, financial condition, and results of operations could be materially and adversely affected.</w:t>
      </w:r>
    </w:p>
    <w:p>
      <w:pPr>
        <w:spacing w:after="0" w:line="58"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231F20"/>
        </w:rPr>
        <w:t>We occasionally receive payments made with fraudulent data which result in customer-initiated disputes (charge-backs). Under current credit and debit card practices, we may be liable for fraudulent transactions and be required by card issuers to pay charge-back fees. Charge-backs result not only in our loss of fees earned with respect to the payment, but also leave us liable for the underlying money transfer amount. If our charge-back rate becomes excessive, card brands and associations also may require us to pay fines or refuse to process our transactions. In addition, we may be subject to additional fraud risk if third-party service providers or our employees fraudulently use our customer information for their own gain or facilitate the fraudulent use of such information. As a result, we may suffer losses as a result of orders placed with fraudulent data even if the associated financial institution approved payment of the orders. If we are unable to detect or control credit and debit card fraud, our liability for these transactions could harm our business, financial condition, and results of operations.</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231F20"/>
        </w:rPr>
        <w:t>We may be subject to substantial malpractice or other similar claims.</w:t>
      </w:r>
    </w:p>
    <w:p>
      <w:pPr>
        <w:spacing w:after="0" w:line="187"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231F20"/>
        </w:rPr>
        <w:t>The nature of our business subjects us to inherent risk of wrongful death, personal injury, product liability, professional malpractice and other potential claims, liabilities, and substantial damage awards. In addition, the pharmaceutical products we dispense could become subject to contamination, product tampering, mislabeling, recall or other damage. In addition, errors in the compounding, dispensing, and packaging of drugs and consuming drugs in a manner that is not prescribed could lead to serious injury or death. Healthcare providers have become subject to an increasing number of legal actions alleging malpractice or related legal</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4" w:name="page45"/>
    <w:bookmarkEnd w:id="4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right="679"/>
        <w:spacing w:after="0" w:line="258" w:lineRule="auto"/>
        <w:rPr>
          <w:sz w:val="20"/>
          <w:szCs w:val="20"/>
          <w:color w:val="auto"/>
        </w:rPr>
      </w:pPr>
      <w:r>
        <w:rPr>
          <w:rFonts w:ascii="Times New Roman" w:cs="Times New Roman" w:eastAsia="Times New Roman" w:hAnsi="Times New Roman"/>
          <w:sz w:val="14"/>
          <w:szCs w:val="14"/>
          <w:color w:val="231F20"/>
        </w:rPr>
        <w:t>theories in recent years, many of which involve large monetary claims and significant defense costs. In general, we coordinate care for high-need, medically complex individuals through employed clinicians, caregivers, and pharmacists, including physicians, registered nurses, limited practice nurses, licensed therapists, certified nursing assistants, home health aides, therapy assistants, direct care staff, and other similar professionals. From time to time, we are subject to claims alleging that we did not properly treat or care for a patient, that we failed to follow internal or external procedures that resulted in death or harm to a patient or that our employees mistreated our consumers, resulting in death or harm. We are also subject to claims arising out of accidents involving vehicle collisions brought by patients whom we are transporting, from employees driving to or from home visits or other affected individuals. We cannot be certain that a provider will not incur tort liability in treating one of our patients. The clinicians, caregivers, and other healthcare professionals we employ could be considered our agents and, as a result, we could be held liable for their acts, omissions, malpractice, and/or negligence and may be subject to mass tort actions and/or class actions. We cannot predict the effect that any claims of this nature, regardless of their ultimate outcome, could have on our business or reputation or on our ability to attract and retain patients and employees. We are self-insured for a substantial portion of our general and professional liability, automobile liability, workers’ compensation risks, and (subject to certain stop loss coverage at a high level of losses) health benefits. Any claims against us in excess of insurance limits, or multiple claims requiring us to pay deductibles or self-insured retention amounts, as well as the potential impact on our brand or reputation as a result of being involved in any legal proceedings, could have a material adverse impact on our business, results of operations and financial condition.</w:t>
      </w:r>
    </w:p>
    <w:p>
      <w:pPr>
        <w:spacing w:after="0" w:line="234" w:lineRule="exact"/>
        <w:rPr>
          <w:sz w:val="20"/>
          <w:szCs w:val="20"/>
          <w:color w:val="auto"/>
        </w:rPr>
      </w:pPr>
    </w:p>
    <w:p>
      <w:pPr>
        <w:ind w:left="640" w:right="85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We are exposed to various risks related to governmental inquiries, regulatory actions, and whistleblower and other lawsuits that could adversely affect our operating results. Our insurance may not cover all claims against us.</w:t>
      </w:r>
    </w:p>
    <w:p>
      <w:pPr>
        <w:spacing w:after="0" w:line="120"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231F20"/>
        </w:rPr>
        <w:t>Regulatory agencies may initiate administrative proceedings alleging violations of statutes and regulations arising from our services, or reimbursement of those services, and seek to impose monetary penalties on us. We could be required to pay substantial amounts to respond to and defend against regulatory investigations, and if we do not prevail, damages or penalties arising from these administrative proceedings. We are subject to lawsuits, civil investigative demands, and subpoenas under the False Claims Act, the Controlled Substances Act, the Anti-Kickback Statute, the Stark Law, and other federal and state statutes designed to combat fraud and abuse in our industries, as well as civil investigative demands, subpoenas and other inquiries related to our operations, including several ongoing qui tam actions and the Silver matter, as discussed under Item 3 “Legal Proceedings” and Note 15 “Commitments and Contingencies” to our audited consolidated financial statements included elsewhere in this Annual Report on Form 10-K. Additionally, there can be no assurance that we will not be subject to claims or litigation related to the authorization or denial of claims for payment of benefits, or to allegations that we have engaged in fee splitting, which may be prohibited under state laws, or to allegations that we engage in the corporate practice of medicine or the delivery of medical services, where prohibited.</w:t>
      </w:r>
    </w:p>
    <w:p>
      <w:pPr>
        <w:spacing w:after="0" w:line="151" w:lineRule="exact"/>
        <w:rPr>
          <w:sz w:val="20"/>
          <w:szCs w:val="20"/>
          <w:color w:val="auto"/>
        </w:rPr>
      </w:pPr>
    </w:p>
    <w:p>
      <w:pPr>
        <w:ind w:left="640" w:right="759" w:firstLine="351"/>
        <w:spacing w:after="0" w:line="265" w:lineRule="auto"/>
        <w:rPr>
          <w:sz w:val="20"/>
          <w:szCs w:val="20"/>
          <w:color w:val="auto"/>
        </w:rPr>
      </w:pPr>
      <w:r>
        <w:rPr>
          <w:rFonts w:ascii="Times New Roman" w:cs="Times New Roman" w:eastAsia="Times New Roman" w:hAnsi="Times New Roman"/>
          <w:sz w:val="14"/>
          <w:szCs w:val="14"/>
          <w:color w:val="231F20"/>
        </w:rPr>
        <w:t>Moreover, we could also be subject to potential litigation associated with compliance with various laws and governmental regulations at the federal or state levels, such as those relating to the protection of older adults and persons with disabilities or those related to employment, health, safety, security, and other regulations under which we operate. We are currently subject to class actions, employee-related claims, and other lawsuits and proceedings in connection with our operations, including, but not limited to, those related to alleged violations of federal and state wage and hour laws, wrongful discharge, retaliation, and illegal discrimination.</w:t>
      </w:r>
    </w:p>
    <w:p>
      <w:pPr>
        <w:spacing w:after="0" w:line="56" w:lineRule="exact"/>
        <w:rPr>
          <w:sz w:val="20"/>
          <w:szCs w:val="20"/>
          <w:color w:val="auto"/>
        </w:rPr>
      </w:pPr>
    </w:p>
    <w:p>
      <w:pPr>
        <w:ind w:left="640" w:right="699" w:firstLine="351"/>
        <w:spacing w:after="0" w:line="263" w:lineRule="auto"/>
        <w:rPr>
          <w:sz w:val="20"/>
          <w:szCs w:val="20"/>
          <w:color w:val="auto"/>
        </w:rPr>
      </w:pPr>
      <w:r>
        <w:rPr>
          <w:rFonts w:ascii="Times New Roman" w:cs="Times New Roman" w:eastAsia="Times New Roman" w:hAnsi="Times New Roman"/>
          <w:sz w:val="14"/>
          <w:szCs w:val="14"/>
          <w:color w:val="231F20"/>
        </w:rPr>
        <w:t>Responding to lawsuits brought against us and governmental inquiries can often be expensive, time-consuming, and disruptive to normal business operations. Moreover, complex legal proceedings and governmental inquiries may remain unresolved for several years, and the results are difficult to predict. Unfavorable outcomes from these claims, lawsuits, and governmental inquiries could adversely affect our business, financial condition, and results of operations and we could incur substantial monetary liability and/or be required to change our business practices. Any claims made against us, regardless of their merit or eventual outcome, could damage our reputation and business and our ability to attract and retain patients, customers, strategic partnerships, and employees.</w:t>
      </w:r>
    </w:p>
    <w:p>
      <w:pPr>
        <w:spacing w:after="0" w:line="58"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231F20"/>
        </w:rPr>
        <w:t>We maintain general liability insurance to provide coverage to us and our subsidiaries against certain of these non-governmental litigation claims and potential litigation risks. However, we cannot assure you claims will not be made in the future in excess of the limits of our insurance, nor can we assure you that any such claims, if successful and in excess of such limits, will not have a material adverse effect on our business, financial condition, and results of operations. We cannot assure you that the insurance we maintain will cover or satisfy claims made against us or that insurance coverage will continue to be available to us at commercially reasonable rates, in adequate amounts or on satisfactory terms, if at all.</w:t>
      </w:r>
    </w:p>
    <w:p>
      <w:pPr>
        <w:spacing w:after="0" w:line="226" w:lineRule="exact"/>
        <w:rPr>
          <w:sz w:val="20"/>
          <w:szCs w:val="20"/>
          <w:color w:val="auto"/>
        </w:rPr>
      </w:pPr>
    </w:p>
    <w:p>
      <w:pPr>
        <w:ind w:left="640" w:right="83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Our current insurance program may expose us to unexpected costs and negatively affect our business, financial condition, and results of operations, particularly if we incur losses not covered by our insurance or if claims or losses differ from our estimates.</w:t>
      </w:r>
    </w:p>
    <w:p>
      <w:pPr>
        <w:spacing w:after="0" w:line="120" w:lineRule="exact"/>
        <w:rPr>
          <w:sz w:val="20"/>
          <w:szCs w:val="20"/>
          <w:color w:val="auto"/>
        </w:rPr>
      </w:pPr>
    </w:p>
    <w:p>
      <w:pPr>
        <w:ind w:left="640" w:right="799" w:firstLine="351"/>
        <w:spacing w:after="0" w:line="292" w:lineRule="auto"/>
        <w:rPr>
          <w:sz w:val="20"/>
          <w:szCs w:val="20"/>
          <w:color w:val="auto"/>
        </w:rPr>
      </w:pPr>
      <w:r>
        <w:rPr>
          <w:rFonts w:ascii="Times New Roman" w:cs="Times New Roman" w:eastAsia="Times New Roman" w:hAnsi="Times New Roman"/>
          <w:sz w:val="14"/>
          <w:szCs w:val="14"/>
          <w:color w:val="231F20"/>
        </w:rPr>
        <w:t>Although our insurance coverage reflects deductibles, self-insured retentions, limits of liability, and similar provisions that we believe are reasonable based on our operations, the coverage under our insurance programs may not be adequate to protect us in all</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5" w:name="page46"/>
    <w:bookmarkEnd w:id="4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right="719"/>
        <w:spacing w:after="0" w:line="259" w:lineRule="auto"/>
        <w:rPr>
          <w:sz w:val="20"/>
          <w:szCs w:val="20"/>
          <w:color w:val="auto"/>
        </w:rPr>
      </w:pPr>
      <w:r>
        <w:rPr>
          <w:rFonts w:ascii="Times New Roman" w:cs="Times New Roman" w:eastAsia="Times New Roman" w:hAnsi="Times New Roman"/>
          <w:sz w:val="14"/>
          <w:szCs w:val="14"/>
          <w:color w:val="231F20"/>
        </w:rPr>
        <w:t>circumstances. Given the matters not covered by insurance, and with respect to those covered by insurance, the policy limits and high deductibles and/or self-insured retentions on many of the Company’s insurance programs, the vast majority of claims may not be paid by third-party insurance. Our insurance policies contain exclusions and conditions that could have a materially adverse impact on our ability to receive indemnification thereunder, as well as customary sub-limits for particular types of losses. Additionally, insurance companies that currently insure companies in our industries may cease to do so, may change the coverage provided, or may substantially increase premiums in the future. Changes in our annual insurance costs and self-insured retention limits depend in large part on the insurance market, and insurance coverage may not continue to be available to us at commercially reasonable rates, in adequate amounts or on satisfactory terms, if at all. We self-insure for a substantial portion of our general and professional liability, automobile liability, workers’ compensation risks, and (subject to certain stop loss coverage at a high level of losses) health benefits. We self-insure for various risks, including employment class actions, False Claims Act actions, adverse regulatory actions, commercial contractual or commercial tort actions, and intellectual property actions. The incurrences of losses and liabilities that exceed our available coverage, therefore, could have a material adverse effect on our business, financial condition, and results of operations.</w:t>
      </w:r>
    </w:p>
    <w:p>
      <w:pPr>
        <w:spacing w:after="0" w:line="235"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231F20"/>
        </w:rPr>
        <w:t>We utilize historical data to estimate our reserves for our insurance programs. Unanticipated changes in any applicable actuarial assumptions and management estimates underlying our liabilities for these losses could result in materially different expenses than expected under these programs, which could have a material adverse effect on our financial condition and results of operations. In addition, if we experience a greater number of these losses than we anticipate, it could have a material adverse effect on our business, financial condition, and results of operations.</w:t>
      </w:r>
    </w:p>
    <w:p>
      <w:pPr>
        <w:spacing w:after="0" w:line="224" w:lineRule="exact"/>
        <w:rPr>
          <w:sz w:val="20"/>
          <w:szCs w:val="20"/>
          <w:color w:val="auto"/>
        </w:rPr>
      </w:pPr>
    </w:p>
    <w:p>
      <w:pPr>
        <w:ind w:left="640" w:right="125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Factors outside of our control, including those listed, have required, and could in the future require us to record an asset impairment of goodwill.</w:t>
      </w:r>
    </w:p>
    <w:p>
      <w:pPr>
        <w:spacing w:after="0" w:line="120" w:lineRule="exact"/>
        <w:rPr>
          <w:sz w:val="20"/>
          <w:szCs w:val="20"/>
          <w:color w:val="auto"/>
        </w:rPr>
      </w:pPr>
    </w:p>
    <w:p>
      <w:pPr>
        <w:ind w:left="640" w:right="679" w:firstLine="351"/>
        <w:spacing w:after="0" w:line="258" w:lineRule="auto"/>
        <w:rPr>
          <w:sz w:val="20"/>
          <w:szCs w:val="20"/>
          <w:color w:val="auto"/>
        </w:rPr>
      </w:pPr>
      <w:r>
        <w:rPr>
          <w:rFonts w:ascii="Times New Roman" w:cs="Times New Roman" w:eastAsia="Times New Roman" w:hAnsi="Times New Roman"/>
          <w:sz w:val="14"/>
          <w:szCs w:val="14"/>
          <w:color w:val="231F20"/>
        </w:rPr>
        <w:t>Because we have grown in part through acquisitions, goodwill and intangible assets, net represent a significant portion of our assets. We monitor the recoverability of our indefinite-lived intangible assets, which include our licenses, and evaluate goodwill and indefinite-lived intangible assets annually, or more frequently if indicators of impairment exist in interim periods, to determine if impairment has occurred. We also review the carrying value of our goodwill and intangible assets, both indefinite- and definite-lived, for impairment whenever events or changes in circumstances indicate that the carrying value of such assets may not be fully recoverable. Such indicators are based on market conditions and the operational performance of our business. If the testing performed indicates that impairment has occurred, we are required to record a non-cash impairment charge for the difference between the carrying value of the intangible assets or goodwill and the fair value of the intangible assets or the goodwill, respectively, in the period the determination is made. The testing of goodwill and intangible assets for impairment requires us to make estimates that are subject to significant assumptions about our future revenues, profitability, cash flow, fair value of assets and liabilities, and weighted average cost of capital, as well as other assumptions. Changes in these estimates, or changes in actual performance compared with these estimates, may affect the fair value of intangible assets or goodwill, which may result in an impairment charge. We did not recognize any goodwill impairment charge for the years ended December 31, 2024 or 2025. See Note 1 “</w:t>
      </w:r>
      <w:r>
        <w:rPr>
          <w:rFonts w:ascii="Times New Roman" w:cs="Times New Roman" w:eastAsia="Times New Roman" w:hAnsi="Times New Roman"/>
          <w:sz w:val="14"/>
          <w:szCs w:val="14"/>
          <w:i w:val="1"/>
          <w:iCs w:val="1"/>
          <w:color w:val="231F20"/>
        </w:rPr>
        <w:t>Significant Accounting Policies</w:t>
      </w:r>
      <w:r>
        <w:rPr>
          <w:rFonts w:ascii="Times New Roman" w:cs="Times New Roman" w:eastAsia="Times New Roman" w:hAnsi="Times New Roman"/>
          <w:sz w:val="14"/>
          <w:szCs w:val="14"/>
          <w:color w:val="231F20"/>
        </w:rPr>
        <w:t>” and Note 5 “</w:t>
      </w:r>
      <w:r>
        <w:rPr>
          <w:rFonts w:ascii="Times New Roman" w:cs="Times New Roman" w:eastAsia="Times New Roman" w:hAnsi="Times New Roman"/>
          <w:sz w:val="14"/>
          <w:szCs w:val="14"/>
          <w:i w:val="1"/>
          <w:iCs w:val="1"/>
          <w:color w:val="231F20"/>
        </w:rPr>
        <w:t>Goodwill and Intangible Assets</w:t>
      </w:r>
      <w:r>
        <w:rPr>
          <w:rFonts w:ascii="Times New Roman" w:cs="Times New Roman" w:eastAsia="Times New Roman" w:hAnsi="Times New Roman"/>
          <w:sz w:val="14"/>
          <w:szCs w:val="14"/>
          <w:color w:val="231F20"/>
        </w:rPr>
        <w:t>” to our consolidated financial statements included elsewhere in this Annual Report on Form 10-K. If as part of our review of goodwill and intangibles for impairment, we were required to write down all or a significant part of our goodwill and/or intangible assets, our financial condition and results of operations could be materially adversely affected.</w:t>
      </w:r>
    </w:p>
    <w:p>
      <w:pPr>
        <w:spacing w:after="0" w:line="234" w:lineRule="exact"/>
        <w:rPr>
          <w:sz w:val="20"/>
          <w:szCs w:val="20"/>
          <w:color w:val="auto"/>
        </w:rPr>
      </w:pPr>
    </w:p>
    <w:p>
      <w:pPr>
        <w:ind w:left="640" w:right="79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Inclement weather, natural disasters, acts of terrorism, riots, civil insurrection or social unrest, looting, protests, strikes, or street demonstrations, or pandemics may impact our ability to provide services.</w:t>
      </w:r>
    </w:p>
    <w:p>
      <w:pPr>
        <w:spacing w:after="0" w:line="120" w:lineRule="exact"/>
        <w:rPr>
          <w:sz w:val="20"/>
          <w:szCs w:val="20"/>
          <w:color w:val="auto"/>
        </w:rPr>
      </w:pPr>
    </w:p>
    <w:p>
      <w:pPr>
        <w:ind w:left="640" w:right="699" w:firstLine="351"/>
        <w:spacing w:after="0" w:line="261" w:lineRule="auto"/>
        <w:rPr>
          <w:sz w:val="20"/>
          <w:szCs w:val="20"/>
          <w:color w:val="auto"/>
        </w:rPr>
      </w:pPr>
      <w:r>
        <w:rPr>
          <w:rFonts w:ascii="Times New Roman" w:cs="Times New Roman" w:eastAsia="Times New Roman" w:hAnsi="Times New Roman"/>
          <w:sz w:val="14"/>
          <w:szCs w:val="14"/>
          <w:color w:val="231F20"/>
        </w:rPr>
        <w:t>Inclement weather, natural disasters, acts of terrorism, riots, civil insurrection, social unrest or other acts of violence, looting, protests, strikes, or street demonstrations, or pandemics, may prevent or hinder our employees from providing authorized goods and services and our patients and customers from receiving those goods and services. We are not paid for authorized goods and services that are not delivered due to these events. Furthermore, prolonged disruptions as a result of such events in the markets in which we operate, could disrupt our relationships with patients, caregivers and employees, and referral sources located in affected areas and, in the case of our corporate office, our ability to provide administrative support services, including billing and collection services. Future inclement weather, natural disasters, acts of terrorism, riots, civil insurrection, social unrest or other acts of violence, looting, protests, strikes or street demonstrations, or pandemics, may adversely affect our reputation,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6" w:name="page47"/>
    <w:bookmarkEnd w:id="4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231F20"/>
        </w:rPr>
        <w:t>We may be unable to adequately protect our intellectual property rights, which could harm our business.</w:t>
      </w:r>
    </w:p>
    <w:p>
      <w:pPr>
        <w:spacing w:after="0" w:line="187" w:lineRule="exact"/>
        <w:rPr>
          <w:sz w:val="20"/>
          <w:szCs w:val="20"/>
          <w:color w:val="auto"/>
        </w:rPr>
      </w:pPr>
    </w:p>
    <w:p>
      <w:pPr>
        <w:ind w:left="640" w:right="699" w:firstLine="351"/>
        <w:spacing w:after="0" w:line="259" w:lineRule="auto"/>
        <w:rPr>
          <w:sz w:val="20"/>
          <w:szCs w:val="20"/>
          <w:color w:val="auto"/>
        </w:rPr>
      </w:pPr>
      <w:r>
        <w:rPr>
          <w:rFonts w:ascii="Times New Roman" w:cs="Times New Roman" w:eastAsia="Times New Roman" w:hAnsi="Times New Roman"/>
          <w:sz w:val="14"/>
          <w:szCs w:val="14"/>
          <w:color w:val="231F20"/>
        </w:rPr>
        <w:t>We rely on a combination of intellectual property laws, internal procedures, and nondisclosure agreements to protect our intellectual property and proprietary rights. We believe our trademarks are valuable assets, some of which are federally registered and some are not. However, our intellectual property rights may not be sufficient to distinguish our services from those of our competitors and to provide us with a competitive advantage. For example, from time to time, third parties may use names, logos, and slogans similar to ours, may apply to register trademarks or domain names similar to ours, may infringe or otherwise violate our intellectual property rights and may challenge our use of our trademarks. Our intellectual property rights may not be successfully asserted against such third parties or may be invalidated, circumvented, or challenged. Asserting or defending our intellectual property rights could be time consuming and costly and could distract management’s attention and resources. For example, we are a defendant in litigation regarding the use of our BrightSpring mark, which if adversely determined could result in monetary damages as well as the cessation of the use of our BrightSpring mark. If we are unable to prevent our competitors from using names, logos, slogans, and domain names similar to ours, or if we are prevented by our competitors from using certain names, logos, slogans and domain names, consumer confusion could result, the perception of our brands and services could be negatively affected, and our revenue and profitability could suffer as a result. Failure to protect our intellectual property and proprietary rights could have an adverse effect on our business.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231F20"/>
        </w:rPr>
        <w:t>KKR Stockholder owns a significant portion of our stock, and its interests may conflict with yours in the future.</w:t>
      </w:r>
    </w:p>
    <w:p>
      <w:pPr>
        <w:spacing w:after="0" w:line="187" w:lineRule="exact"/>
        <w:rPr>
          <w:sz w:val="20"/>
          <w:szCs w:val="20"/>
          <w:color w:val="auto"/>
        </w:rPr>
      </w:pPr>
    </w:p>
    <w:p>
      <w:pPr>
        <w:ind w:left="640" w:right="699" w:firstLine="351"/>
        <w:spacing w:after="0" w:line="261" w:lineRule="auto"/>
        <w:rPr>
          <w:sz w:val="20"/>
          <w:szCs w:val="20"/>
          <w:color w:val="auto"/>
        </w:rPr>
      </w:pPr>
      <w:r>
        <w:rPr>
          <w:rFonts w:ascii="Times New Roman" w:cs="Times New Roman" w:eastAsia="Times New Roman" w:hAnsi="Times New Roman"/>
          <w:sz w:val="14"/>
          <w:szCs w:val="14"/>
          <w:color w:val="231F20"/>
        </w:rPr>
        <w:t>KKR Stockholder beneficially owns approximately 32.2% of the voting power of our common stock. As a result, KKR Stockholder is able to influence the election and removal of our directors and thereby determine our corporate and management policies, including potential mergers or acquisitions, payment of dividends, asset sales, amendment of our certificate of incorporation or bylaws and other significant corporate transactions for so long as KKR Stockholder and its affiliates retain significant ownership of us. This concentration of our ownership may delay or deter possible changes in control of the Company, which may reduce the value of an investment in our common stock. So long as KKR Stockholder and its affiliates continue to own, directly or indirectly, a significant amount of our voting power, it is able to influence or effectively control our decisions, and KKR Stockholder has the right to nominate individuals to our board of directors under the existing stockholders agreement.</w:t>
      </w:r>
    </w:p>
    <w:p>
      <w:pPr>
        <w:spacing w:after="0" w:line="60"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231F20"/>
        </w:rPr>
        <w:t>In the ordinary course of their business activities, KKR Stockholder and its affiliates may engage in activities where their interests conflict with our interests or those of our stockholders. Our second amended and restated certificate of incorporation provides that any of KKR Stockholder, any of its respective affiliates or any director who is not employed by us or his or her affiliates do not have any duty to refrain from engaging, directly or indirectly, in the same business activities or similar business activities or lines of business in which we operate. KKR Stockholder and its affiliates also may pursue acquisition opportunities that may be complementary to our business and, as a result, those acquisition opportunities may not be available to us. In addition, KKR Stockholder and its affiliates may have an interest in pursuing acquisitions, divestitures, and other transactions that, in their judgment, could enhance their investment, even though such transactions might involve risks to you.</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231F20"/>
        </w:rPr>
        <w:t>Risks Related to Our Regulatory Framework</w:t>
      </w:r>
    </w:p>
    <w:p>
      <w:pPr>
        <w:spacing w:after="0" w:line="181" w:lineRule="exact"/>
        <w:rPr>
          <w:sz w:val="20"/>
          <w:szCs w:val="20"/>
          <w:color w:val="auto"/>
        </w:rPr>
      </w:pPr>
    </w:p>
    <w:p>
      <w:pPr>
        <w:ind w:left="640" w:right="121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We conduct business in a heavily regulated industry, and changes in regulations, the enforcement of these regulations, or violations of regulations may result in increased costs or sanctions that reduce our revenues and profitability.</w:t>
      </w:r>
    </w:p>
    <w:p>
      <w:pPr>
        <w:spacing w:after="0" w:line="120" w:lineRule="exact"/>
        <w:rPr>
          <w:sz w:val="20"/>
          <w:szCs w:val="20"/>
          <w:color w:val="auto"/>
        </w:rPr>
      </w:pPr>
    </w:p>
    <w:p>
      <w:pPr>
        <w:ind w:left="640" w:right="699" w:firstLine="351"/>
        <w:spacing w:after="0" w:line="258" w:lineRule="auto"/>
        <w:rPr>
          <w:sz w:val="20"/>
          <w:szCs w:val="20"/>
          <w:color w:val="auto"/>
        </w:rPr>
      </w:pPr>
      <w:r>
        <w:rPr>
          <w:rFonts w:ascii="Times New Roman" w:cs="Times New Roman" w:eastAsia="Times New Roman" w:hAnsi="Times New Roman"/>
          <w:sz w:val="14"/>
          <w:szCs w:val="14"/>
          <w:color w:val="231F20"/>
        </w:rPr>
        <w:t>The federal government and the states in which we operate regulate our industries extensively. The laws and regulations governing our operations, along with the conditions of participation and conditions of payment, in various government programs, impose certain requirements on the way in which we do business, the services we offer, and our interactions with providers and consumers. The extensive federal and state regulations affecting the healthcare industry include, but are not limited to, regulations relating to licensure, certification and enrollment, billing and coding, eligibility for, necessity of, and provision of services, conduct of operations, allowable costs, prices for services, adequacy and quality of services, facility staffing requirements, facility accreditation, qualifications and licensure of staff, environmental and occupational health and safety, and the confidentiality and security of health-related information. In particular, various fraud and abuse laws, including the Anti-Kickback Statute, the Stark Law, and the False Claims Act, prohibit certain business practices and relationships that might affect the provision and cost of healthcare services reimbursable under Medicare and Medicaid, including the payment or receipt of remuneration for the referral of patients whose care will be paid for by Medicare or other governmental programs. Additionally, in some states, our contractual relationships with physicians and professional corporations, which we do not own, may implicate certain state laws that generally prohibit non-professional entities, such as us, from practicing medicine, employing physicians to practice medicine, providing licensed medical services and exercising control over medical decisions by licensed physicians or other healthcare professionals (such activities are generally referred to as the corporate practice of medicine). Other states in which we may operate in the future may also prohibit the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7" w:name="page48"/>
    <w:bookmarkEnd w:id="4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right="659"/>
        <w:spacing w:after="0" w:line="260" w:lineRule="auto"/>
        <w:rPr>
          <w:sz w:val="20"/>
          <w:szCs w:val="20"/>
          <w:color w:val="auto"/>
        </w:rPr>
      </w:pPr>
      <w:r>
        <w:rPr>
          <w:rFonts w:ascii="Times New Roman" w:cs="Times New Roman" w:eastAsia="Times New Roman" w:hAnsi="Times New Roman"/>
          <w:sz w:val="14"/>
          <w:szCs w:val="14"/>
          <w:color w:val="231F20"/>
        </w:rPr>
        <w:t>corporate practice of medicine. Our contractual relationships with physicians and professional corporations may be challenged by governmental and regulatory authorities, state boards of medicine, state attorneys general and other parties that assert or determine that our relationships with professional corporations violate state corporate practice of medicine, fee-splitting, and/or kickback prohibitions. We are also subject to laws requiring the registration and regulation of pharmacies; laws governing the dispensing of pharmaceuticals and controlled substances; laws regulating the protection of the environment and health and safety matters, including those governing exposure to, and the management and disposal of, hazardous substances; laws regarding food and drug safety, including those of the Food and Drug Administration, or FDA, and the Drug Enforcement Administration, or DEA. We are required to hold valid DEA and state-level licenses, meet various security and operating standards, and comply with the federal and various state controlled substance acts and related regulations governing the sale, dispensing, disposal, holding and distribution of controlled substances. Compliance with these regulations is expensive, and these costs may increase in the future.</w:t>
      </w:r>
    </w:p>
    <w:p>
      <w:pPr>
        <w:spacing w:after="0" w:line="60" w:lineRule="exact"/>
        <w:rPr>
          <w:sz w:val="20"/>
          <w:szCs w:val="20"/>
          <w:color w:val="auto"/>
        </w:rPr>
      </w:pPr>
    </w:p>
    <w:p>
      <w:pPr>
        <w:ind w:left="640" w:right="679" w:firstLine="351"/>
        <w:spacing w:after="0" w:line="258" w:lineRule="auto"/>
        <w:rPr>
          <w:sz w:val="20"/>
          <w:szCs w:val="20"/>
          <w:color w:val="auto"/>
        </w:rPr>
      </w:pPr>
      <w:r>
        <w:rPr>
          <w:rFonts w:ascii="Times New Roman" w:cs="Times New Roman" w:eastAsia="Times New Roman" w:hAnsi="Times New Roman"/>
          <w:sz w:val="14"/>
          <w:szCs w:val="14"/>
          <w:color w:val="231F20"/>
        </w:rPr>
        <w:t>Federal and state governments continue to pursue intensive enforcement policies resulting in a significant number of investigations, inspections, audits, citations of regulatory deficiencies, and other regulatory sanctions, including demands for refund of alleged overpayments, terminations from the Medicare and Medicaid programs, bans on Medicare and Medicaid payments for new admissions, admission moratoriums, and civil monetary penalties or criminal penalties. We expect audits under the CMS Recovery Audit Contractor, or RAC, program, the CMS Targeted Probe and Educate, or TPE, program, the Unified Program Integrity Contractors, or UPIC, program and other federal and state audits evaluating the medical necessity of services to further intensify the regulatory environment surrounding the healthcare industry, as third-party firms engaged by CMS and others conduct extensive pre and post-payment audits of claims data as well as medical and other records in order to identify improper payments to healthcare providers under the Medicare and Medicaid programs. The DEA, FDA, and state regulatory authorities have broad enforcement powers, including the ability to seize or recall products. If we fail to comply with the extensive laws, regulations, and prohibitions applicable to our businesses, we could become ineligible or disqualified to provide services or receive government program reimbursement, suffer suspension or revocation of our licenses, cancellation of our agreements, civil or criminal penalties, litigation, and/or damage to our reputation, lose billing privileges, be barred from re-enrollment in governmental payor programs, or be required to repay amounts received or to make significant changes to our operations. We may also become subject to corporate integrity agreement(s) or monitoring by regulatory agencies. In addition, we could be forced to expend considerable resources responding to investigations, audits, or other enforcement actions related to these laws, regulations, or prohibitions. Failure of our staff to satisfy applicable licensure requirements, or of our home and community health services and pharmacy services operations or our service providers to satisfy applicable licensure and certification requirements, could have a material adverse effect on our business, financial condition, and results of operations.</w:t>
      </w:r>
    </w:p>
    <w:p>
      <w:pPr>
        <w:spacing w:after="0" w:line="236" w:lineRule="exact"/>
        <w:rPr>
          <w:sz w:val="20"/>
          <w:szCs w:val="20"/>
          <w:color w:val="auto"/>
        </w:rPr>
      </w:pPr>
    </w:p>
    <w:p>
      <w:pPr>
        <w:ind w:left="640" w:right="659" w:firstLine="351"/>
        <w:spacing w:after="0" w:line="257" w:lineRule="auto"/>
        <w:rPr>
          <w:sz w:val="20"/>
          <w:szCs w:val="20"/>
          <w:color w:val="auto"/>
        </w:rPr>
      </w:pPr>
      <w:r>
        <w:rPr>
          <w:rFonts w:ascii="Times New Roman" w:cs="Times New Roman" w:eastAsia="Times New Roman" w:hAnsi="Times New Roman"/>
          <w:sz w:val="14"/>
          <w:szCs w:val="14"/>
          <w:color w:val="231F20"/>
        </w:rPr>
        <w:t>In March 2020, the HHS Office of the National Coordinator for Health Information Technology, or ONC, and CMS promulgated final rules aimed at supporting seamless and secure access, exchange, and use of electronic health information, or EHI, by increasing innovation and competition by giving patients and their healthcare providers secure access to health information and new tools, allowing for more choice in care and treatment. The final rules were intended to clarify and operationalize provisions of the 21st Century Cures Act, or Cures Act, regarding interoperability and “information blocking.” Information blocking is defined as any activity that is likely to interfere with, prevent, or materially discourage access, exchange, or use of EHI, where a health information technology developer, health information network or health information exchange knows or should know that such practice is likely to interfere with access to, exchange or use of EHI. The final rules created significant requirements for healthcare industry participants, and required certain electronic health record technology to incorporate standardized application programming interfaces, or APIs, to allow individuals to securely and easily access structured EHI using smartphone applications. The ONC also implemented provisions of the Cures Act requiring that patients can electronically access all of their EHI (structured and/or unstructured) at no cost. Finally, to further support access and exchange of EHI, the final ONC rule implemented the information blocking provisions of the Cures Act and identified eight “reasonable and necessary activities” as exceptions to information blocking activities, as long as specific conditions are met. On April 18, 2023, the ONC issued a notice of proposed rulemaking that would modify certain components of the final ONC rule, including modifying and expanding certain exceptions to the information blocking regulations, which are intended to support information sharing. The impact of these changes on our business is unclear at this time, due to, among other things, uncertainty regarding the interpretation of safe harbors and exceptions to the final ONC rule by industry participants and regulators. Additionally, on July 3, 2023, the HHS Office of Inspector General, or OIG, issued a final rule that amended the HHS OIG’s civil money penalty regulations to add information blocking civil money penalty authority to the existing regulatory framework for the imposition and appeal of civil money penalties, assessments, and exclusions. The final rule also explained that OIG would focus its enforcement efforts on information blocking allegations that pose greater risk to patients, providers, and healthcare programs.</w:t>
      </w:r>
    </w:p>
    <w:p>
      <w:pPr>
        <w:spacing w:after="0" w:line="74" w:lineRule="exact"/>
        <w:rPr>
          <w:sz w:val="20"/>
          <w:szCs w:val="20"/>
          <w:color w:val="auto"/>
        </w:rPr>
      </w:pPr>
    </w:p>
    <w:p>
      <w:pPr>
        <w:ind w:left="640" w:right="799" w:firstLine="351"/>
        <w:spacing w:after="0" w:line="268" w:lineRule="auto"/>
        <w:rPr>
          <w:sz w:val="20"/>
          <w:szCs w:val="20"/>
          <w:color w:val="auto"/>
        </w:rPr>
      </w:pPr>
      <w:r>
        <w:rPr>
          <w:rFonts w:ascii="Times New Roman" w:cs="Times New Roman" w:eastAsia="Times New Roman" w:hAnsi="Times New Roman"/>
          <w:sz w:val="14"/>
          <w:szCs w:val="14"/>
          <w:color w:val="231F20"/>
        </w:rPr>
        <w:t>We are unable to predict the future course of federal and state regulation or legislation, including Medicare and Medicaid statutes and regulations, or the intensity of federal and state enforcement actions. Changes in the regulatory framework, including those associated with healthcare reform, and sanctions from various enforcement actions could have a material adverse effect on our business, financial condition, and results of operations.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8" w:name="page49"/>
    <w:bookmarkEnd w:id="4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40" w:right="699"/>
        <w:spacing w:after="0" w:line="277" w:lineRule="auto"/>
        <w:rPr>
          <w:sz w:val="20"/>
          <w:szCs w:val="20"/>
          <w:color w:val="auto"/>
        </w:rPr>
      </w:pPr>
      <w:r>
        <w:rPr>
          <w:rFonts w:ascii="Times New Roman" w:cs="Times New Roman" w:eastAsia="Times New Roman" w:hAnsi="Times New Roman"/>
          <w:sz w:val="14"/>
          <w:szCs w:val="14"/>
          <w:b w:val="1"/>
          <w:bCs w:val="1"/>
          <w:i w:val="1"/>
          <w:iCs w:val="1"/>
          <w:color w:val="231F20"/>
        </w:rPr>
        <w:t>In the U.S., we conduct business in a heavily regulated industry and if we fail to comply with these laws and government regulations, we could incur fines and penalties or be required to make significant changes to our operations or experience adverse publicity, any or all of which could have a material adverse effect on our business, financial condition, and results of operations.</w:t>
      </w:r>
    </w:p>
    <w:p>
      <w:pPr>
        <w:spacing w:after="0" w:line="134" w:lineRule="exact"/>
        <w:rPr>
          <w:sz w:val="20"/>
          <w:szCs w:val="20"/>
          <w:color w:val="auto"/>
        </w:rPr>
      </w:pPr>
    </w:p>
    <w:p>
      <w:pPr>
        <w:ind w:left="640" w:right="799" w:firstLine="351"/>
        <w:spacing w:after="0" w:line="268" w:lineRule="auto"/>
        <w:rPr>
          <w:sz w:val="20"/>
          <w:szCs w:val="20"/>
          <w:color w:val="auto"/>
        </w:rPr>
      </w:pPr>
      <w:r>
        <w:rPr>
          <w:rFonts w:ascii="Times New Roman" w:cs="Times New Roman" w:eastAsia="Times New Roman" w:hAnsi="Times New Roman"/>
          <w:sz w:val="14"/>
          <w:szCs w:val="14"/>
          <w:color w:val="231F20"/>
        </w:rPr>
        <w:t>The U.S. healthcare industry is heavily regulated and closely scrutinized by federal, state, and local governments. Comprehensive statutes and regulations govern our relationships with physicians and other healthcare providers, the manner we provide and bill for services and collect reimbursement from governmental programs and private payors, our relationships with drug manufacturers, our marketing activities, and other aspects of our operations. Of particular importance are:</w:t>
      </w:r>
    </w:p>
    <w:p>
      <w:pPr>
        <w:spacing w:after="0" w:line="54" w:lineRule="exact"/>
        <w:rPr>
          <w:sz w:val="20"/>
          <w:szCs w:val="20"/>
          <w:color w:val="auto"/>
        </w:rPr>
      </w:pPr>
    </w:p>
    <w:p>
      <w:pPr>
        <w:ind w:left="1340" w:right="779" w:hanging="352"/>
        <w:spacing w:after="0" w:line="265" w:lineRule="auto"/>
        <w:tabs>
          <w:tab w:leader="none" w:pos="1340" w:val="left"/>
        </w:tabs>
        <w:numPr>
          <w:ilvl w:val="0"/>
          <w:numId w:val="17"/>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Anti-Kickback Statute, which prohibits the knowing and willful offer, payment, solicitation, or receipt of any bribe, kickback, rebate, or other remuneration for referring an individual, in return for ordering, leasing, purchasing or recommending or arranging for or to induce the referral of an individual, or the ordering, purchasing, or leasing of items or services covered, in whole or in part, by any federal healthcare program, such as Medicare and Medicaid. A person or entity does not need to have actual knowledge of the statute or specific intent to violate it to have committed a violation;</w:t>
      </w:r>
    </w:p>
    <w:p>
      <w:pPr>
        <w:spacing w:after="0" w:line="56" w:lineRule="exact"/>
        <w:rPr>
          <w:rFonts w:ascii="Times New Roman" w:cs="Times New Roman" w:eastAsia="Times New Roman" w:hAnsi="Times New Roman"/>
          <w:sz w:val="14"/>
          <w:szCs w:val="14"/>
          <w:color w:val="231F20"/>
        </w:rPr>
      </w:pPr>
    </w:p>
    <w:p>
      <w:pPr>
        <w:ind w:left="1340" w:right="659" w:hanging="352"/>
        <w:spacing w:after="0" w:line="265" w:lineRule="auto"/>
        <w:tabs>
          <w:tab w:leader="none" w:pos="1340" w:val="left"/>
        </w:tabs>
        <w:numPr>
          <w:ilvl w:val="0"/>
          <w:numId w:val="17"/>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federal physician self-referral law, commonly referred to as the Stark Law, which, subject to limited exceptions, prohibits physicians from referring Medicare or Medicaid patients to an entity for the provision of certain “designated health services” if the physician or a member of such physician’s immediate family has a direct or indirect financial relationship (including an ownership interest or a compensation arrangement) with the entity, and prohibits the entity from billing Medicare or Medicaid for such designated health services;</w:t>
      </w:r>
    </w:p>
    <w:p>
      <w:pPr>
        <w:spacing w:after="0" w:line="56" w:lineRule="exact"/>
        <w:rPr>
          <w:rFonts w:ascii="Times New Roman" w:cs="Times New Roman" w:eastAsia="Times New Roman" w:hAnsi="Times New Roman"/>
          <w:sz w:val="14"/>
          <w:szCs w:val="14"/>
          <w:color w:val="231F20"/>
        </w:rPr>
      </w:pPr>
    </w:p>
    <w:p>
      <w:pPr>
        <w:ind w:left="1340" w:right="699" w:hanging="352"/>
        <w:spacing w:after="0" w:line="261" w:lineRule="auto"/>
        <w:tabs>
          <w:tab w:leader="none" w:pos="1340" w:val="left"/>
        </w:tabs>
        <w:numPr>
          <w:ilvl w:val="0"/>
          <w:numId w:val="17"/>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 xml:space="preserve">the False Claims Act, which imposes civil and criminal liability on individuals or entities that knowingly submit false or fraudulent claims for payment to the government or knowingly make, or cause to be made, a false statement in order to have a false claim paid, including </w:t>
      </w:r>
      <w:r>
        <w:rPr>
          <w:rFonts w:ascii="Times New Roman" w:cs="Times New Roman" w:eastAsia="Times New Roman" w:hAnsi="Times New Roman"/>
          <w:sz w:val="14"/>
          <w:szCs w:val="14"/>
          <w:i w:val="1"/>
          <w:iCs w:val="1"/>
          <w:color w:val="231F20"/>
        </w:rPr>
        <w:t>qui tam</w:t>
      </w:r>
      <w:r>
        <w:rPr>
          <w:rFonts w:ascii="Times New Roman" w:cs="Times New Roman" w:eastAsia="Times New Roman" w:hAnsi="Times New Roman"/>
          <w:sz w:val="14"/>
          <w:szCs w:val="14"/>
          <w:color w:val="231F20"/>
        </w:rPr>
        <w:t xml:space="preserve"> or whistleblower suits. There are many potential bases for liability under the False Claims Act. The government has used the False Claims Act to prosecute Medicare and other government healthcare program fraud such as coding errors, billing for services not provided, and providing care that is not medically necessary or that is substandard in quality. In addition, the government may assert that a claim including items or services resulting from a violation of the Anti-Kickback Statute or the Stark Law constitutes a false or fraudulent claim for purposes of the False Claims Act;</w:t>
      </w:r>
    </w:p>
    <w:p>
      <w:pPr>
        <w:spacing w:after="0" w:line="59" w:lineRule="exact"/>
        <w:rPr>
          <w:rFonts w:ascii="Times New Roman" w:cs="Times New Roman" w:eastAsia="Times New Roman" w:hAnsi="Times New Roman"/>
          <w:sz w:val="14"/>
          <w:szCs w:val="14"/>
          <w:color w:val="231F20"/>
        </w:rPr>
      </w:pPr>
    </w:p>
    <w:p>
      <w:pPr>
        <w:ind w:left="1340" w:right="779" w:hanging="352"/>
        <w:spacing w:after="0" w:line="265" w:lineRule="auto"/>
        <w:tabs>
          <w:tab w:leader="none" w:pos="1340" w:val="left"/>
        </w:tabs>
        <w:numPr>
          <w:ilvl w:val="0"/>
          <w:numId w:val="17"/>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criminal healthcare fraud provisions of HIPAA, and related rules that prohibit knowingly and willfully executing a scheme or artifice to defraud any healthcare benefit program or falsifying, concealing or covering up a material fact or making any material false, fictitious or fraudulent statement in connection with the delivery of or payment for healthcare benefits, items or services. Similar to the Anti-Kickback Statute, a person or entity does not need to have actual knowledge of the statute or specific intent to violate it to have committed a violation;</w:t>
      </w:r>
    </w:p>
    <w:p>
      <w:pPr>
        <w:spacing w:after="0" w:line="56" w:lineRule="exact"/>
        <w:rPr>
          <w:rFonts w:ascii="Times New Roman" w:cs="Times New Roman" w:eastAsia="Times New Roman" w:hAnsi="Times New Roman"/>
          <w:sz w:val="14"/>
          <w:szCs w:val="14"/>
          <w:color w:val="231F20"/>
        </w:rPr>
      </w:pPr>
    </w:p>
    <w:p>
      <w:pPr>
        <w:ind w:left="1340" w:right="959" w:hanging="352"/>
        <w:spacing w:after="0" w:line="292" w:lineRule="auto"/>
        <w:tabs>
          <w:tab w:leader="none" w:pos="1340" w:val="left"/>
        </w:tabs>
        <w:numPr>
          <w:ilvl w:val="0"/>
          <w:numId w:val="17"/>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reassignment of payment rules that prohibit certain types of billing and collection practices in connection with claims payable by the Medicare or Medicaid programs;</w:t>
      </w:r>
    </w:p>
    <w:p>
      <w:pPr>
        <w:spacing w:after="0" w:line="37" w:lineRule="exact"/>
        <w:rPr>
          <w:rFonts w:ascii="Times New Roman" w:cs="Times New Roman" w:eastAsia="Times New Roman" w:hAnsi="Times New Roman"/>
          <w:sz w:val="14"/>
          <w:szCs w:val="14"/>
          <w:color w:val="231F20"/>
        </w:rPr>
      </w:pPr>
    </w:p>
    <w:p>
      <w:pPr>
        <w:ind w:left="1340" w:right="679" w:hanging="352"/>
        <w:spacing w:after="0" w:line="262" w:lineRule="auto"/>
        <w:tabs>
          <w:tab w:leader="none" w:pos="1340" w:val="left"/>
        </w:tabs>
        <w:numPr>
          <w:ilvl w:val="0"/>
          <w:numId w:val="17"/>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similar state law provisions pertaining to anti-kickback, self-referral, and false claims issues, some of which may apply to items or services reimbursed by any payor, including patients and commercial insurers. These statutes and regulations generally prohibit the payment or receipt of remuneration to induce or in exchange for a referral, and prohibit physicians from referring patients to an entity with which the physicians have a financial relationship, thus limiting the types of payments that can be made between healthcare providers and other parties who may influence referrals to those providers. Many of these statutes and regulations have not been interpreted to the extent of their federal analogues, and therefore are not clear in their scope and application;</w:t>
      </w:r>
    </w:p>
    <w:p>
      <w:pPr>
        <w:spacing w:after="0" w:line="58" w:lineRule="exact"/>
        <w:rPr>
          <w:rFonts w:ascii="Times New Roman" w:cs="Times New Roman" w:eastAsia="Times New Roman" w:hAnsi="Times New Roman"/>
          <w:sz w:val="14"/>
          <w:szCs w:val="14"/>
          <w:color w:val="231F20"/>
        </w:rPr>
      </w:pPr>
    </w:p>
    <w:p>
      <w:pPr>
        <w:ind w:left="1340" w:right="839" w:hanging="352"/>
        <w:spacing w:after="0" w:line="274" w:lineRule="auto"/>
        <w:tabs>
          <w:tab w:leader="none" w:pos="1340" w:val="left"/>
        </w:tabs>
        <w:numPr>
          <w:ilvl w:val="0"/>
          <w:numId w:val="17"/>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state corporate practice of medicine and fee-splitting laws that prohibit general business corporations, such as us, from practicing medicine, controlling physicians’ medical decisions or engaging in some practices such as splitting fees with physicians;</w:t>
      </w:r>
    </w:p>
    <w:p>
      <w:pPr>
        <w:spacing w:after="0" w:line="50" w:lineRule="exact"/>
        <w:rPr>
          <w:rFonts w:ascii="Times New Roman" w:cs="Times New Roman" w:eastAsia="Times New Roman" w:hAnsi="Times New Roman"/>
          <w:sz w:val="14"/>
          <w:szCs w:val="14"/>
          <w:color w:val="231F20"/>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laws that regulate debt collection practices;</w:t>
      </w:r>
    </w:p>
    <w:p>
      <w:pPr>
        <w:spacing w:after="0" w:line="96" w:lineRule="exact"/>
        <w:rPr>
          <w:rFonts w:ascii="Times New Roman" w:cs="Times New Roman" w:eastAsia="Times New Roman" w:hAnsi="Times New Roman"/>
          <w:sz w:val="14"/>
          <w:szCs w:val="14"/>
          <w:color w:val="231F20"/>
        </w:rPr>
      </w:pPr>
    </w:p>
    <w:p>
      <w:pPr>
        <w:ind w:left="1340" w:right="999" w:hanging="352"/>
        <w:spacing w:after="0" w:line="292" w:lineRule="auto"/>
        <w:tabs>
          <w:tab w:leader="none" w:pos="1340" w:val="left"/>
        </w:tabs>
        <w:numPr>
          <w:ilvl w:val="0"/>
          <w:numId w:val="17"/>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a provision of the Social Security Act that imposes criminal penalties on healthcare providers who fail to disclose, or refund known overpayments;</w:t>
      </w:r>
    </w:p>
    <w:p>
      <w:pPr>
        <w:spacing w:after="0" w:line="37" w:lineRule="exact"/>
        <w:rPr>
          <w:rFonts w:ascii="Times New Roman" w:cs="Times New Roman" w:eastAsia="Times New Roman" w:hAnsi="Times New Roman"/>
          <w:sz w:val="14"/>
          <w:szCs w:val="14"/>
          <w:color w:val="231F20"/>
        </w:rPr>
      </w:pPr>
    </w:p>
    <w:p>
      <w:pPr>
        <w:jc w:val="both"/>
        <w:ind w:left="1340" w:right="659" w:hanging="352"/>
        <w:spacing w:after="0" w:line="274" w:lineRule="auto"/>
        <w:tabs>
          <w:tab w:leader="none" w:pos="1340" w:val="left"/>
        </w:tabs>
        <w:numPr>
          <w:ilvl w:val="0"/>
          <w:numId w:val="17"/>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federal and state laws that prohibit providers from billing and receiving payment from Medicare and Medicaid for services unless the services are medically necessary, adequately and accurately documented, and billed using codes that accurately reflect the type and level of services rendered;</w:t>
      </w:r>
    </w:p>
    <w:p>
      <w:pPr>
        <w:spacing w:after="0" w:line="50" w:lineRule="exact"/>
        <w:rPr>
          <w:rFonts w:ascii="Times New Roman" w:cs="Times New Roman" w:eastAsia="Times New Roman" w:hAnsi="Times New Roman"/>
          <w:sz w:val="14"/>
          <w:szCs w:val="14"/>
          <w:color w:val="231F20"/>
        </w:rPr>
      </w:pPr>
    </w:p>
    <w:p>
      <w:pPr>
        <w:ind w:left="1340" w:right="919" w:hanging="352"/>
        <w:spacing w:after="0" w:line="292" w:lineRule="auto"/>
        <w:tabs>
          <w:tab w:leader="none" w:pos="1340" w:val="left"/>
        </w:tabs>
        <w:numPr>
          <w:ilvl w:val="0"/>
          <w:numId w:val="17"/>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federal and state laws that require licenses to dispense pharmaceuticals, including state laws that restrict operations by non-resident pharmacies, which may affect our ability to operate in some states; and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9" w:name="page50"/>
    <w:bookmarkEnd w:id="4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340" w:right="759" w:hanging="352"/>
        <w:spacing w:after="0" w:line="274" w:lineRule="auto"/>
        <w:tabs>
          <w:tab w:leader="none" w:pos="1340" w:val="left"/>
        </w:tabs>
        <w:numPr>
          <w:ilvl w:val="0"/>
          <w:numId w:val="1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federal and state laws and policies that require healthcare providers to maintain licensure, certification or accreditation to enroll and participate in the Medicare and Medicaid programs, and to report certain changes in their operations to the agencies that administer these programs.</w:t>
      </w:r>
    </w:p>
    <w:p>
      <w:pPr>
        <w:spacing w:after="0" w:line="136"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231F20"/>
        </w:rPr>
        <w:t>Because of the breadth of these laws and the narrowness of the statutory exceptions and safe harbors available, it is possible that some of our business activities could be subject to challenge under one or more of these laws. Achieving and sustaining compliance with these laws may prove costly. Although a well-designed and effective compliance program that detects and prevents wrongdoing may help identify and remediate misconduct and reduce the risk of investigation and prosecution for violations of these laws, the risks cannot be entirely eliminated, especially if our staff does not report compliance concerns or if our auditing and monitoring programs do not adequately identify and resolve compliance concerns. Failure to comply with these laws and other laws can result in civil and criminal penalties such as fines, damages, overpayment, recoupment, imprisonment, loss of enrollment status, and exclusion from the Medicare and Medicaid programs. Our failure to accurately anticipate the application of these laws and regulations to our business or any other failure to comply with regulatory requirements could create liability for us and negatively affect our business. Any action against us for violation of these laws or regulations, even if we successfully defend against it, could cause us to incur significant legal expenses, divert our management’s attention from the operation of our business, and result in adverse publicity.</w:t>
      </w:r>
    </w:p>
    <w:p>
      <w:pPr>
        <w:spacing w:after="0" w:line="233" w:lineRule="exact"/>
        <w:rPr>
          <w:sz w:val="20"/>
          <w:szCs w:val="20"/>
          <w:color w:val="auto"/>
        </w:rPr>
      </w:pPr>
    </w:p>
    <w:p>
      <w:pPr>
        <w:ind w:left="640" w:right="71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Many states have Certificate of Need, or CON, laws or other regulatory provisions that may adversely impact our ability to expand into new markets and thereby limit our ability to grow and increase revenue.</w:t>
      </w:r>
    </w:p>
    <w:p>
      <w:pPr>
        <w:spacing w:after="0" w:line="120" w:lineRule="exact"/>
        <w:rPr>
          <w:sz w:val="20"/>
          <w:szCs w:val="20"/>
          <w:color w:val="auto"/>
        </w:rPr>
      </w:pPr>
    </w:p>
    <w:p>
      <w:pPr>
        <w:ind w:left="640" w:right="699" w:firstLine="351"/>
        <w:spacing w:after="0" w:line="261" w:lineRule="auto"/>
        <w:rPr>
          <w:sz w:val="20"/>
          <w:szCs w:val="20"/>
          <w:color w:val="auto"/>
        </w:rPr>
      </w:pPr>
      <w:r>
        <w:rPr>
          <w:rFonts w:ascii="Times New Roman" w:cs="Times New Roman" w:eastAsia="Times New Roman" w:hAnsi="Times New Roman"/>
          <w:sz w:val="14"/>
          <w:szCs w:val="14"/>
          <w:color w:val="231F20"/>
        </w:rPr>
        <w:t>Many states have enacted CON laws that require prior state approval to offer new or expanded healthcare services or open new healthcare facilities or expand services at existing facilities. In such states, expansion by existing providers or entry into the market by new providers is permitted only where a given amount of unmet need exists, resulting from population increases, a reduction in competing providers, or a lack of providers. These states ration the entry of new providers or services and the expansion of existing providers or services in their markets through a CON process, which is periodically evaluated and updated as required by applicable state law. The process is intended to promote comprehensive healthcare planning, assist in providing high-quality healthcare at the lowest possible cost and avoid unnecessary duplication by ensuring that only those healthcare facilities, services, and operations that are needed will be built and opened or expanded.</w:t>
      </w:r>
    </w:p>
    <w:p>
      <w:pPr>
        <w:spacing w:after="0" w:line="60"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231F20"/>
        </w:rPr>
        <w:t>Our costs of obtaining a CON in any new CON state in which we seek to operate could be significant, and we cannot assure you that we will be able to obtain the CON or other required approvals in the future. We have applied for, and been approved for, CONs in states in which we currently operate. Our failure or inability to obtain a required CON, license, or any necessary approvals could adversely affect our ability to expand into new markets and to expand our services and facilities in existing markets. Furthermore, if a CON or other prior approval upon which we relied to invest in a facility were to be revoked or lost through an appeal process, we may not be able to recover the value of our investment. Failure to obtain a CON may result in a facility’s ineligibility to receive reimbursement under the Medicare or Medicaid programs, the revocation of a facility’s license or imposition of civil or criminal penalties, any of which could harm our business. Although we believe that CON laws have not had a material impact on our business to date, the repeal of CON laws in CON markets may have a material adverse effect on our business, financial condition, and results of operations.</w:t>
      </w:r>
    </w:p>
    <w:p>
      <w:pPr>
        <w:spacing w:after="0" w:line="60" w:lineRule="exact"/>
        <w:rPr>
          <w:sz w:val="20"/>
          <w:szCs w:val="20"/>
          <w:color w:val="auto"/>
        </w:rPr>
      </w:pPr>
    </w:p>
    <w:p>
      <w:pPr>
        <w:ind w:left="640" w:right="739" w:firstLine="351"/>
        <w:spacing w:after="0" w:line="262" w:lineRule="auto"/>
        <w:rPr>
          <w:sz w:val="20"/>
          <w:szCs w:val="20"/>
          <w:color w:val="auto"/>
        </w:rPr>
      </w:pPr>
      <w:r>
        <w:rPr>
          <w:rFonts w:ascii="Times New Roman" w:cs="Times New Roman" w:eastAsia="Times New Roman" w:hAnsi="Times New Roman"/>
          <w:sz w:val="14"/>
          <w:szCs w:val="14"/>
          <w:color w:val="231F20"/>
        </w:rPr>
        <w:t>CMS and state Medicaid agencies may, for a period of time, impose a moratorium against additional Medicaid enrollment for a particular type of service, upon a determination that a moratorium is necessary to prevent fraud, waste, or abuse, or to limit an over-abundance of a type of Medicaid provider within a state. In addition, states may impose moratoriums relating to state Medicaid program, licensure, and other matters, such as number of beds. A moratorium in any state in which we seek to, or currently, operate may prevent us from introducing, acquiring or disposing of, operations in that state, respectively, which may impair our future expansion, acquisition, or divestiture opportunities in some states. The imposition of additional CON laws may delay or otherwise affect our ability to accomplish our business objectives.</w:t>
      </w:r>
    </w:p>
    <w:p>
      <w:pPr>
        <w:spacing w:after="0" w:line="226" w:lineRule="exact"/>
        <w:rPr>
          <w:sz w:val="20"/>
          <w:szCs w:val="20"/>
          <w:color w:val="auto"/>
        </w:rPr>
      </w:pPr>
    </w:p>
    <w:p>
      <w:pPr>
        <w:ind w:left="640" w:right="69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If we are unable to effectively adapt to changes in the healthcare industry, including changes to laws and regulations regarding or affecting U.S. healthcare reform, our business may be harmed.</w:t>
      </w:r>
    </w:p>
    <w:p>
      <w:pPr>
        <w:spacing w:after="0" w:line="120"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231F20"/>
        </w:rPr>
        <w:t>In recent years, the Congress and certain state legislatures have considered and passed a large number of laws intended to result in significant changes to the healthcare industry, which could result in major changes in the healthcare delivery and reimbursement system on a national and state level, including changes directly impacting the reimbursement systems for our services. In March 2010, the ACA was signed into law and changed how healthcare services are delivered and reimbursed through the expansion of public and private health insurance coverage, reduction of growth in Medicare and Medicaid program spending, and the establishment and expansion of programs that tie reimbursement to quality and integration. Efforts to substantially modify provisions of the ACA have resulted in federal court reviews of such efforts, and the U.S. Supreme Court rejected the latest constitutional challenge to the ACA’s requirement to obtain minimum essential health insurance coverage, or the individual mandate, on June 17, 2021. The ultimate outcomes of efforts to expand the ACA, substantially amend its provisions, or change funding for the ACA is unknown. Though we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0" w:name="page51"/>
    <w:bookmarkEnd w:id="5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right="719"/>
        <w:spacing w:after="0" w:line="292" w:lineRule="auto"/>
        <w:rPr>
          <w:sz w:val="20"/>
          <w:szCs w:val="20"/>
          <w:color w:val="auto"/>
        </w:rPr>
      </w:pPr>
      <w:r>
        <w:rPr>
          <w:rFonts w:ascii="Times New Roman" w:cs="Times New Roman" w:eastAsia="Times New Roman" w:hAnsi="Times New Roman"/>
          <w:sz w:val="14"/>
          <w:szCs w:val="14"/>
          <w:color w:val="231F20"/>
        </w:rPr>
        <w:t>cannot predict what, if any, reform proposals will be adopted, healthcare reform and legislation may have a material adverse effect on our business, financial condition, and results of operations.</w:t>
      </w:r>
    </w:p>
    <w:p>
      <w:pPr>
        <w:spacing w:after="0" w:line="38" w:lineRule="exact"/>
        <w:rPr>
          <w:sz w:val="20"/>
          <w:szCs w:val="20"/>
          <w:color w:val="auto"/>
        </w:rPr>
      </w:pPr>
    </w:p>
    <w:p>
      <w:pPr>
        <w:ind w:left="640" w:right="679" w:firstLine="351"/>
        <w:spacing w:after="0" w:line="257" w:lineRule="auto"/>
        <w:rPr>
          <w:sz w:val="20"/>
          <w:szCs w:val="20"/>
          <w:color w:val="auto"/>
        </w:rPr>
      </w:pPr>
      <w:r>
        <w:rPr>
          <w:rFonts w:ascii="Times New Roman" w:cs="Times New Roman" w:eastAsia="Times New Roman" w:hAnsi="Times New Roman"/>
          <w:sz w:val="14"/>
          <w:szCs w:val="14"/>
          <w:color w:val="231F20"/>
        </w:rPr>
        <w:t>Moreover, healthcare reform initiatives have also resulted in changes to, or the adoption of, federal and state laws and regulations relating to the regulation of PBMs, drug pricing or purchasing, and purchase discount and rebate arrangements with drug manufacturers, which could reduce discounts or rebates and affect our relationships with drug manufacturers. In addition to the rules promulgated by HHS, there have also been judicial decisions impacting the pharmacies and PBMs. For example, in December 2020, the U.S. Supreme Court upheld an Arkansas law that, among other things, mandates a particular pricing methodology, establishes an appeals process for a pharmacy when the reimbursement is below the pharmacy’s acquisition cost, permits a pharmacy to reverse and rebill if they cannot procure the drug from its wholesaler at a price equal to or less than the reimbursement rate, prohibits a PBM from reimbursing a pharmacy less than the amount it reimburses an affiliate on a per unit basis, and permits a pharmacy to decline to dispense if the reimbursement is lower than the pharmacy’s acquisition cost. More recently, in June 2022, the Federal Trade Commission, or FTC, announced an inquiry regarding the role of PBMs and stated its intent to closely scrutinize the impact of PBM rebates and fees on patients and payers, the FTC issued an interim report in June 2024. Several states have proposed separate PBM bills, and at least 18 states have adopted PBM oversight laws. A number of these proposed laws would require PBMs to submit annual transparency reports or otherwise disclose contractual arrangements with health benefit plans or health insurance issuers and would enable regulators to conduct audits of PBM operations. Federal PBM reforms that mirror and expand on new state PBM initiatives became law in February 2026. It is unclear how these laws, inquiries, rules, and decisions will impact pharmaceutical companies, pharmacies, and PBMs. In addition, CMS has indicated that it intends to increase flexibility in state Medicaid programs, including by expanding the scope of waivers under which states may implement Medicaid expansion provisions, impose different eligibility or enrollment restrictions, or otherwise implement programs that vary from federal standards. CMS administrators have also signaled interest in changing Medicaid payment models. Other industry participants, such as private payors, may also introduce financial or delivery system reforms. We are unable to predict the nature and success of such initiatives. We cannot predict with certainty what impact any federal and state healthcare reforms will have on us, but such changes could impose new and/or more stringent regulatory requirements on our activities, which could adversely affect our business, financial condition, and results of operations.</w:t>
      </w:r>
    </w:p>
    <w:p>
      <w:pPr>
        <w:spacing w:after="0" w:line="241" w:lineRule="exact"/>
        <w:rPr>
          <w:sz w:val="20"/>
          <w:szCs w:val="20"/>
          <w:color w:val="auto"/>
        </w:rPr>
      </w:pPr>
    </w:p>
    <w:p>
      <w:pPr>
        <w:ind w:left="640" w:right="739"/>
        <w:spacing w:after="0" w:line="274" w:lineRule="auto"/>
        <w:rPr>
          <w:sz w:val="20"/>
          <w:szCs w:val="20"/>
          <w:color w:val="auto"/>
        </w:rPr>
      </w:pPr>
      <w:r>
        <w:rPr>
          <w:rFonts w:ascii="Times New Roman" w:cs="Times New Roman" w:eastAsia="Times New Roman" w:hAnsi="Times New Roman"/>
          <w:sz w:val="14"/>
          <w:szCs w:val="14"/>
          <w:b w:val="1"/>
          <w:bCs w:val="1"/>
          <w:i w:val="1"/>
          <w:iCs w:val="1"/>
          <w:color w:val="231F20"/>
        </w:rPr>
        <w:t>If we are found to have violated HIPAA, or any other applicable privacy and security laws and regulations, as well as contractual obligations, we could be subject to sanctions, fines, damages and other additional civil or criminal penalties, which could increase our liabilities, harm our reputation and have a material adverse effect on our business, financial condition and results of operations.</w:t>
      </w:r>
    </w:p>
    <w:p>
      <w:pPr>
        <w:spacing w:after="0" w:line="312"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231F20"/>
        </w:rPr>
        <w:t>Numerous federal, state, and foreign laws, rules, and regulations, as well as contractual obligations, govern the processing of confidential, sensitive, and personal information, including certain patient health information, such as patient records. Existing laws and regulations are constantly evolving, and new laws and regulations that apply to our business are being introduced at every level of government in the United States, as well as in foreign jurisdictions where we currently operate or may in the future operate. In many cases, these laws and regulations apply not only to third-party transactions, but also to transfers of information between or among us, our affiliates, and other parties with whom we conduct business. These laws and regulations may be interpreted and applied differently over time and from jurisdiction to jurisdiction, and it is possible that they will be interpreted and applied in ways that may have a material adverse effect on our business. The regulatory framework for data privacy and security worldwide is continuously evolving and developing and, as a result, interpretation and implementation standards and enforcement practices are likely to remain uncertain for the foreseeable future.</w:t>
      </w:r>
    </w:p>
    <w:p>
      <w:pPr>
        <w:spacing w:after="0" w:line="60"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231F20"/>
        </w:rPr>
        <w:t>For example, HIPAA establishes a set of national privacy and security standards in the United States for the protection of PHI by health plans, healthcare clearinghouses, and certain healthcare providers, referred to as covered entities, and the business associates with whom such covered entities contract for services that involve the use or disclosure of PHI, including certain subcontractors of such business associates. HIPAA requires healthcare providers like us to develop and maintain policies and procedures with respect to PHI that is used or disclosed, including the adoption of administrative, physical, and technical safeguards to protect such information. In particular, HIPAA requires us to develop and maintain policies and procedures governing PHI that is used or disclosed, and to implement administrative, physical, and technical safeguards to protect PHI, including PHI maintained, used, and disclosed in electronic form. These safeguards include employee training, identifying business associates with whom covered entities need to enter into HIPAA-compliant contractual arrangements, called business associate agreements, and various other measures. Ongoing implementation and oversight of these measures involves significant time, effort, and expense and we may have to dedicate additional time and resources to ensure compliance with HIPAA requirements.</w:t>
      </w:r>
    </w:p>
    <w:p>
      <w:pPr>
        <w:spacing w:after="0" w:line="65" w:lineRule="exact"/>
        <w:rPr>
          <w:sz w:val="20"/>
          <w:szCs w:val="20"/>
          <w:color w:val="auto"/>
        </w:rPr>
      </w:pPr>
    </w:p>
    <w:p>
      <w:pPr>
        <w:ind w:left="640" w:right="739" w:firstLine="351"/>
        <w:spacing w:after="0" w:line="268" w:lineRule="auto"/>
        <w:rPr>
          <w:sz w:val="20"/>
          <w:szCs w:val="20"/>
          <w:color w:val="auto"/>
        </w:rPr>
      </w:pPr>
      <w:r>
        <w:rPr>
          <w:rFonts w:ascii="Times New Roman" w:cs="Times New Roman" w:eastAsia="Times New Roman" w:hAnsi="Times New Roman"/>
          <w:sz w:val="14"/>
          <w:szCs w:val="14"/>
          <w:color w:val="231F20"/>
        </w:rPr>
        <w:t>HIPAA further requires covered entities to notify affected individuals “without unreasonable delay and in no case later than 60 calendar days after discovery of the breach” if their unsecured PHI is subject to an unauthorized access, use or disclosure, though many states require shorter breach notification timeframes. If a breach affects 500 patients or more, covered entities must report it to HHS and local media without unreasonable delay (and in no case later than 60 days after discovery of the breach), and HHS will post</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1" w:name="page52"/>
    <w:bookmarkEnd w:id="5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679"/>
        <w:spacing w:after="0" w:line="268" w:lineRule="auto"/>
        <w:rPr>
          <w:sz w:val="20"/>
          <w:szCs w:val="20"/>
          <w:color w:val="auto"/>
        </w:rPr>
      </w:pPr>
      <w:r>
        <w:rPr>
          <w:rFonts w:ascii="Times New Roman" w:cs="Times New Roman" w:eastAsia="Times New Roman" w:hAnsi="Times New Roman"/>
          <w:sz w:val="14"/>
          <w:szCs w:val="14"/>
          <w:color w:val="231F20"/>
        </w:rPr>
        <w:t>the name of the entity on its public website. If a breach affects fewer than 500 individuals, the covered entity must log it and notify HHS at least annually. HIPAA also implemented the use of standard transaction code sets and standard identifiers that covered entities must use when submitting or receiving certain electronic healthcare transactions, including activities associated with the billing and collection of healthcare claims.</w:t>
      </w:r>
    </w:p>
    <w:p>
      <w:pPr>
        <w:spacing w:after="0" w:line="54"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231F20"/>
        </w:rPr>
        <w:t>Penalties for failure to comply with a requirement of HIPAA vary significantly depending on the failure and could include requiring corrective actions, resolution agreements, and/or imposing civil monetary or criminal penalties. HIPAA also authorizes HHS to conduct audits of HIPAA compliance and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 Litigation with those affected could increase our liabilities, harm our reputation, and have a material adverse effect on our business, financial condition, and results of operations.</w:t>
      </w:r>
    </w:p>
    <w:p>
      <w:pPr>
        <w:spacing w:after="0" w:line="235" w:lineRule="exact"/>
        <w:rPr>
          <w:sz w:val="20"/>
          <w:szCs w:val="20"/>
          <w:color w:val="auto"/>
        </w:rPr>
      </w:pPr>
    </w:p>
    <w:p>
      <w:pPr>
        <w:ind w:left="640" w:right="679" w:firstLine="351"/>
        <w:spacing w:after="0" w:line="258" w:lineRule="auto"/>
        <w:rPr>
          <w:sz w:val="20"/>
          <w:szCs w:val="20"/>
          <w:color w:val="auto"/>
        </w:rPr>
      </w:pPr>
      <w:r>
        <w:rPr>
          <w:rFonts w:ascii="Times New Roman" w:cs="Times New Roman" w:eastAsia="Times New Roman" w:hAnsi="Times New Roman"/>
          <w:sz w:val="14"/>
          <w:szCs w:val="14"/>
          <w:color w:val="231F20"/>
        </w:rPr>
        <w:t>Numerous other federal and state laws protect the confidentiality, privacy, availability, integrity, and security of PHI. For example, failing to take appropriate steps to keep consumers’ personal information secure constitutes unfair acts or practices in or affecting commerce in violation of Section 5(a) of the Federal Trade Commission Act, or the FTCA.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current guidance for appropriately securing consumers’ personal information is similar to what is required by the HIPAA security regulations, but this guidance may change in the future, resulting in increased complexity and the need to expend additional resources to ensure we are complying with the FTCA. For information that is not subject to HIPAA and deemed to be “personal health records,” the FTC may also impose penalties for violations of the Health Breach Notification Rule, or HBNR, to the extent we are considered a “personal health record-related entity” or “third party service provider.” The FTC has taken enforcement actions under HBNR and indicated that the FTC will continue to protect consumer privacy through greater use of the agency’s enforcement authorities. As a result, our operations may be subject to greater scrutiny by federal and state regulators, partners, and consumers with respect to our collection, use, and disclosure of health information. Additionally, federal and state consumer protection laws are increasingly being applied by FTC and states’ attorneys general to regulate the collection, use, storage, and disclosure of personal or personally identifiable information, through websites or otherwise, and to regulate the presentation of website content.</w:t>
      </w:r>
    </w:p>
    <w:p>
      <w:pPr>
        <w:spacing w:after="0" w:line="66" w:lineRule="exact"/>
        <w:rPr>
          <w:sz w:val="20"/>
          <w:szCs w:val="20"/>
          <w:color w:val="auto"/>
        </w:rPr>
      </w:pPr>
    </w:p>
    <w:p>
      <w:pPr>
        <w:ind w:left="640" w:right="659" w:firstLine="351"/>
        <w:spacing w:after="0" w:line="257" w:lineRule="auto"/>
        <w:rPr>
          <w:sz w:val="20"/>
          <w:szCs w:val="20"/>
          <w:color w:val="auto"/>
        </w:rPr>
      </w:pPr>
      <w:r>
        <w:rPr>
          <w:rFonts w:ascii="Times New Roman" w:cs="Times New Roman" w:eastAsia="Times New Roman" w:hAnsi="Times New Roman"/>
          <w:sz w:val="14"/>
          <w:szCs w:val="14"/>
          <w:color w:val="231F20"/>
        </w:rPr>
        <w:t>Further, as of 2025 at least twenty states, such as California and Massachusetts, have implemented privacy laws and regulations implicating health information, such as the California Confidentiality of Medical Information Act, that impose restrictive requirements regulating the use and disclosure of personally identifiable information, including PHI. In many cases, these laws are more restrictive than, and may not be preempted by, HIPAA and may be subject to varying interpretations by courts and government agencies, creating complex compliance issues and potentially exposing us to additional expense, adverse publicity, and liability. We also expect that there will continue to be new laws, regulations, and industry standards concerning privacy, data protection, and information security proposed and enacted in various jurisdictions. For example, Washington State enacted a broadly applicable law to protect the privacy of personal health information known as the “My Health My Data Act,” which generally requires affirmative consent for the collection, use, or sharing of any “consumer health data.” Consumer health data is defined to include personal information that is linked or reasonably linkable to a consumer and that identifies a consumer’s past, present, or future physical or mental health status; consumer health data also includes information that is derived or extrapolated from non-health information, such as algorithms and machine learning. Other states, including Connecticut and Nevada, have also passed consumer health data laws, and given the increased focus on the use of health data by entities that are not subject to HIPAA, additional states are expected to pass consumer health privacy laws. The CCPA originally went into effect on January 1, 2020, and established a new privacy framework for covered businesses such as ours. In November 2020, California voters passed the CPRA, which went into effect on January 1, 2023, and which further expanded the CCPA with additional data privacy compliance requirements that may impact our business, and established a regulatory agency dedicated to enforcing the CCPA. It remains unclear how various provisions of the CCPA (as amended by CPRA and its implementing regulations) will be interpreted and enforced. In addition, on March 2, 2021, Virginia enacted the Virginia Consumer Data Protection Act, or VCDPA, a comprehensive privacy statute that shares similarities with the CCPA and legislation proposed or enacted in other states. Additional states, including Colorado, Connecticut, Delaware, Indiana, Iowa, Nebraska, New Hampshire, New Jersey, Maryland, Minnesota, Montana, Oregon, Tennessee, Texas, and Utah have since passed or are considering passing comprehensive state privacy laws. In addition, laws such as the Illinois Biometric Information Privacy Act, which regulates the processing of biometric information, provide for a private right of action and substantial penalties and statutory damages for violations that have generated significant class-action litigation and settlements. Such laws and regulations require us to continuously review our data Processing practices and policies, may cause us to incur substantial costs with respect to compliance, and could require us to adapt our products and solutions, which may reduce their utility to our customers.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2" w:name="page53"/>
    <w:bookmarkEnd w:id="5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231F20"/>
        </w:rPr>
        <w:t>Similar laws have been proposed in other states and at the federal level and if passed, such laws may have potentially conflicting requirements that would make compliance challenging. Such changes may also require us to modify our products and features, and may limit our ability to make use of the data that we collect, may require additional investment of resources in compliance programs, impact strategies, and the availability of previously useful data and could result in increased compliance costs and/or changes in business practices and policies. Specifically, an expanding patchwork of privacy and AI laws and targeted statutes impose differing obligations related to notice, consumer rights and appeals, data minimization, sensitive data restrictions, targeted advertising, and certain profiling, and such requirements continue to evolve. New legislation proposed or enacted in various other states will continue to shape the data privacy environment nationally.</w:t>
      </w:r>
    </w:p>
    <w:p>
      <w:pPr>
        <w:spacing w:after="0" w:line="60" w:lineRule="exact"/>
        <w:rPr>
          <w:sz w:val="20"/>
          <w:szCs w:val="20"/>
          <w:color w:val="auto"/>
        </w:rPr>
      </w:pPr>
    </w:p>
    <w:p>
      <w:pPr>
        <w:ind w:left="640" w:right="739" w:firstLine="351"/>
        <w:spacing w:after="0" w:line="259" w:lineRule="auto"/>
        <w:rPr>
          <w:sz w:val="20"/>
          <w:szCs w:val="20"/>
          <w:color w:val="auto"/>
        </w:rPr>
      </w:pPr>
      <w:r>
        <w:rPr>
          <w:rFonts w:ascii="Times New Roman" w:cs="Times New Roman" w:eastAsia="Times New Roman" w:hAnsi="Times New Roman"/>
          <w:sz w:val="14"/>
          <w:szCs w:val="14"/>
          <w:color w:val="231F20"/>
        </w:rPr>
        <w:t>Additionally, all 50 U.S. states and the District of Columbia have enacted breach notification laws that may require us to notify patients, employees, or regulators in the event of unauthorized access to or disclosure of personal or confidential information experienced by us or our service providers.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patients or other counterparties of a security breach. Although we may have contractual protections with our service providers,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service providers may not be sufficient to adequately protect us from any such liabilities and losses, and we may be unable to enforce any such contractual protections. In addition to government regulation, privacy advocates and industry groups have and may in the future propose self-regulatory standards from time to time. These and other industry standards may legally or contractually apply to us, or we may elect to comply with such standards.</w:t>
      </w:r>
    </w:p>
    <w:p>
      <w:pPr>
        <w:spacing w:after="0" w:line="65" w:lineRule="exact"/>
        <w:rPr>
          <w:sz w:val="20"/>
          <w:szCs w:val="20"/>
          <w:color w:val="auto"/>
        </w:rPr>
      </w:pPr>
    </w:p>
    <w:p>
      <w:pPr>
        <w:ind w:left="640" w:right="699" w:firstLine="351"/>
        <w:spacing w:after="0" w:line="261" w:lineRule="auto"/>
        <w:rPr>
          <w:sz w:val="20"/>
          <w:szCs w:val="20"/>
          <w:color w:val="auto"/>
        </w:rPr>
      </w:pPr>
      <w:r>
        <w:rPr>
          <w:rFonts w:ascii="Times New Roman" w:cs="Times New Roman" w:eastAsia="Times New Roman" w:hAnsi="Times New Roman"/>
          <w:sz w:val="14"/>
          <w:szCs w:val="14"/>
          <w:color w:val="231F20"/>
        </w:rPr>
        <w:t>Additionally, we make public statements about our use and disclosure of personal information through our privacy policies, information provided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Moreover, from time to time, concerns may be expressed about whether our services compromise the privacy of patients and others. Any concerns about our data privacy and security practices, even if unfounded, could damage the reputation of our businesses, discourage potential patients from our services and have a material adverse effect on our business.</w:t>
      </w:r>
    </w:p>
    <w:p>
      <w:pPr>
        <w:spacing w:after="0" w:line="60"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231F20"/>
        </w:rPr>
        <w:t>Complying with these various laws, rules, regulations, and standards, and with any new laws or regulation changes to existing laws, could cause us to incur substantial costs that are likely to increase over time, require us to change our business practices in a manner adverse to our business, divert resources from other initiatives and projects, and restrict the way products and services involving data are offered, all of which may have a material adverse effect on our business. For example, we have incurred and expect to continue to incur additional costs to comply with the CCPA and other similar U.S. state laws and regulations. However, in the future we may be unable to make such changes and modifications to our business practices in a commercially reasonable manner, or at all. Given the rapid development of data privacy laws and regulations, we expect to encounter inconsistent interpretation and enforcement of these laws and regulations, as well as frequent changes to these laws and regulations which may expose us to significant penalties or liability for non-compliance, the possibility of fines, lawsuits (including class action privacy litigation), regulatory investigations, criminal or civil sanctions, audits, adverse media coverage, public censure, other claims, significant costs for remediation and damage to our reputation, or otherwise have a material adverse effect on our business and operations. Any inability to adequately address data privacy or security-related concerns, even if unfounded, or to comply with applicable laws, regulations, standards, and other obligations relating to data privacy and security, could result in additional cost and liability to us, damage our relationships with patients, harm our reputation, and have a material adverse effect on our business.</w:t>
      </w:r>
    </w:p>
    <w:p>
      <w:pPr>
        <w:spacing w:after="0" w:line="236" w:lineRule="exact"/>
        <w:rPr>
          <w:sz w:val="20"/>
          <w:szCs w:val="20"/>
          <w:color w:val="auto"/>
        </w:rPr>
      </w:pPr>
    </w:p>
    <w:p>
      <w:pPr>
        <w:ind w:left="640" w:right="779"/>
        <w:spacing w:after="0" w:line="277" w:lineRule="auto"/>
        <w:rPr>
          <w:sz w:val="20"/>
          <w:szCs w:val="20"/>
          <w:color w:val="auto"/>
        </w:rPr>
      </w:pPr>
      <w:r>
        <w:rPr>
          <w:rFonts w:ascii="Times New Roman" w:cs="Times New Roman" w:eastAsia="Times New Roman" w:hAnsi="Times New Roman"/>
          <w:sz w:val="14"/>
          <w:szCs w:val="14"/>
          <w:b w:val="1"/>
          <w:bCs w:val="1"/>
          <w:i w:val="1"/>
          <w:iCs w:val="1"/>
          <w:color w:val="231F20"/>
        </w:rPr>
        <w:t>We face and are currently subject to reviews, audits, and investigations under our licenses and/or contracts with federal and state government agencies and other payors, and these reviews, audits, and investigations could have adverse findings that may negatively impact our business.</w:t>
      </w:r>
    </w:p>
    <w:p>
      <w:pPr>
        <w:spacing w:after="0" w:line="134" w:lineRule="exact"/>
        <w:rPr>
          <w:sz w:val="20"/>
          <w:szCs w:val="20"/>
          <w:color w:val="auto"/>
        </w:rPr>
      </w:pPr>
    </w:p>
    <w:p>
      <w:pPr>
        <w:ind w:left="640" w:right="739" w:firstLine="351"/>
        <w:spacing w:after="0" w:line="261" w:lineRule="auto"/>
        <w:rPr>
          <w:sz w:val="20"/>
          <w:szCs w:val="20"/>
          <w:color w:val="auto"/>
        </w:rPr>
      </w:pPr>
      <w:r>
        <w:rPr>
          <w:rFonts w:ascii="Times New Roman" w:cs="Times New Roman" w:eastAsia="Times New Roman" w:hAnsi="Times New Roman"/>
          <w:sz w:val="14"/>
          <w:szCs w:val="14"/>
          <w:color w:val="231F20"/>
        </w:rPr>
        <w:t>As a result of our participation in the Medicare and Medicaid programs, we face and are currently subject to various governmental reviews, audits, and investigations to verify our compliance with these programs and applicable laws and regulations. An increasing level of governmental and private resources are being devoted to the investigation of allegations of fraud and abuse in the Medicare and Medicaid programs, and federal and state regulatory authorities are taking an increasingly strict view of the requirements imposed on healthcare providers by the Social Security Act, the Medicare and Medicaid programs, and other applicable laws. We are routinely subject to audits under various government programs, including the RAC program, the TPE program, and the UPIC program, in which CMS engages third-party firms to conduct extensive pre- and post-payment reviews of claims data and medical and other records to identify potential improper payments to healthcare providers under the Medicare program.</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3" w:name="page54"/>
    <w:bookmarkEnd w:id="5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231F20"/>
        </w:rPr>
        <w:t>In addition, each of our facilities and agencies must comply with required conditions of participation in the Medicare program. If we fail to meet the conditions of participation at a facility, we may receive a notice of deficiency from the applicable state surveyor. If that facility then fails to institute an acceptable plan of correction to remediate the deficiency within the correction period provided by the state surveyor, that care center could be terminated from the Medicare program or subjected to alternative sanctions. CMS may impose temporary management, direct a plan of correction, direct training, or impose payment suspensions and civil monetary penalties, in each case, upon providers who fail to comply with the conditions of participation. Termination of one or more of our facilities from the Medicare program for failure to satisfy the program’s conditions of participation, or the imposition of alternative sanctions, could disrupt operations, require significant attention by management, or have a material adverse effect on our reputation, business, financial condition, and results of operations.</w:t>
      </w:r>
    </w:p>
    <w:p>
      <w:pPr>
        <w:spacing w:after="0" w:line="63" w:lineRule="exact"/>
        <w:rPr>
          <w:sz w:val="20"/>
          <w:szCs w:val="20"/>
          <w:color w:val="auto"/>
        </w:rPr>
      </w:pPr>
    </w:p>
    <w:p>
      <w:pPr>
        <w:ind w:left="640" w:right="679" w:firstLine="351"/>
        <w:spacing w:after="0" w:line="257" w:lineRule="auto"/>
        <w:rPr>
          <w:sz w:val="20"/>
          <w:szCs w:val="20"/>
          <w:color w:val="auto"/>
        </w:rPr>
      </w:pPr>
      <w:r>
        <w:rPr>
          <w:rFonts w:ascii="Times New Roman" w:cs="Times New Roman" w:eastAsia="Times New Roman" w:hAnsi="Times New Roman"/>
          <w:sz w:val="14"/>
          <w:szCs w:val="14"/>
          <w:color w:val="231F20"/>
        </w:rPr>
        <w:t>In addition, we, like other healthcare providers, are subject to ongoing investigations by the U.S. Department of Health and Human Services Office of Inspector General, the United States Department of Justice, or DOJ, and State Attorneys General into the billing of services provided to Medicare and Medicaid patients, including whether such services were properly documented and billed, whether services provided were medically necessary, and general compliance with conditions of participation and conditions of payment in the Medicare and Medicaid programs. We are also subject to ongoing investigations by the Drug Enforcement Agency, or DEA, in our pharmacy operations. For example, a business we operate as Embrace Hospice is subject to an ongoing investigation, including by the DOJ and the DEA, of potential violations of the False Claims Act, Controlled Substances Act, and other laws, including allegations relating to hospice services that were not reasonable and medically necessary. While we believe our practices are compliant, the investigation continues to evolve and could become extensive and result in the government pursuing civil or criminal legal claims against us that may result in substantial liabilities. Private payors such as third-party insurance and managed care entities also often reserve the right to conduct audits. If billing errors are identified in the sample of reviewed claims, the billing error can be extrapolated to all claims filed which could result in a larger overpayment than originally identified in the sample of reviewed claims. Our costs to respond to and defend any such reviews, audits, and investigations are significant and are likely to increase in the current enforcement environment. These audits and investigations may require us to refund or retroactively adjust amounts that have been paid under the relevant government program or from other payors, and, depending on the findings, the resolution of these audits and investigations could require payment of significant recoupments and other monetary penalties. For example, we have been, and may continue to be, subject to audits and recoupments related to the adequacy of clinical documentation supporting claims submitted to the Medicare and Medicaid programs or other third-party payors. Although we provide education and training to the members of our workforce regarding improvements to clinical documentation and we are working with our vendors regarding system improvements, such measures may not be effective or implemented within the desired timeframes or at all, and we may be subject to additional audits in the future. Further, an adverse review, audit, or investigation could result in other adverse consequences, particularly if the underlying conduct is found to be pervasive or systemic. These consequences include: (1) state or federal agencies imposing significant fines, penalties, and other sanctions on us; (2) loss of our right to participate in the Medicare or Medicaid programs or one or more third-party payor networks; (3) indemnity claims asserted by patients and others for which we provide services; and (4) damage to our reputation in various markets, which could adversely affect our ability to attract patients and employees. If they were to occur, these consequences could have a material adverse effect on our business, financial condition, and results of operations.</w:t>
      </w:r>
    </w:p>
    <w:p>
      <w:pPr>
        <w:spacing w:after="0" w:line="2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231F20"/>
        </w:rPr>
        <w:t>Quality reporting requirements may negatively impact Medicare reimbursement.</w:t>
      </w:r>
    </w:p>
    <w:p>
      <w:pPr>
        <w:spacing w:after="0" w:line="187"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231F20"/>
        </w:rPr>
        <w:t>We are subject to certain reporting requirements, and if we fail to comply with those requirements, our future Medicare reimbursement could be impacted. In particular, the ACA directed the Secretary of HHS to establish quality reporting requirements for hospice programs. Failure to submit required quality data will result in a 2% reduction to the market basket percentage increase for that year. This quality reporting program is currently “pay-for-reporting,” meaning it is the act of submitting data that determines compliance with program requirements. Similarly, in the Calendar Year 2015 Home Health Final Rule, CMS proposed to establish a new “Pay-for-Reporting Performance Requirement” with which provider compliance with quality reporting program requirements can be measured. Home health agencies that do not submit quality measure data to CMS are subject to a 2% reduction in their annual home health payment update percentage. Currently, home health agencies are required to report prescribed quality assessment data for a minimum of 90% of all patients. The Improving Medicare Post-Acute Care Transformation Act of 2014, or the IMPACT Act, requires the submission of standardized data by home health agencies and other providers. Specifically, the IMPACT Act requires, among other significant activities, the reporting of standardized patient assessment data with regard to quality measures, resource use, and other measures. Failure to report data as required will subject providers to a 2% reduction in market basket prices then in effect.</w:t>
      </w:r>
    </w:p>
    <w:p>
      <w:pPr>
        <w:spacing w:after="0" w:line="63" w:lineRule="exact"/>
        <w:rPr>
          <w:sz w:val="20"/>
          <w:szCs w:val="20"/>
          <w:color w:val="auto"/>
        </w:rPr>
      </w:pPr>
    </w:p>
    <w:p>
      <w:pPr>
        <w:ind w:left="640" w:right="799" w:firstLine="351"/>
        <w:spacing w:after="0" w:line="274" w:lineRule="auto"/>
        <w:rPr>
          <w:sz w:val="20"/>
          <w:szCs w:val="20"/>
          <w:color w:val="auto"/>
        </w:rPr>
      </w:pPr>
      <w:r>
        <w:rPr>
          <w:rFonts w:ascii="Times New Roman" w:cs="Times New Roman" w:eastAsia="Times New Roman" w:hAnsi="Times New Roman"/>
          <w:sz w:val="14"/>
          <w:szCs w:val="14"/>
          <w:color w:val="231F20"/>
        </w:rPr>
        <w:t>There can be no assurance that we will continue to meet quality reporting requirements in the future which may result in us seeing a reduction in our Medicare reimbursements. We could also incur meaningful additional expenses in an effort to comply with additional and changing quality reporting requirements.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4" w:name="page55"/>
    <w:bookmarkEnd w:id="5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231F20"/>
        </w:rPr>
        <w:t>Risks Related to Our Indebtedness</w:t>
      </w:r>
    </w:p>
    <w:p>
      <w:pPr>
        <w:spacing w:after="0" w:line="181" w:lineRule="exact"/>
        <w:rPr>
          <w:sz w:val="20"/>
          <w:szCs w:val="20"/>
          <w:color w:val="auto"/>
        </w:rPr>
      </w:pPr>
    </w:p>
    <w:p>
      <w:pPr>
        <w:ind w:left="640" w:right="759"/>
        <w:spacing w:after="0" w:line="270" w:lineRule="auto"/>
        <w:rPr>
          <w:sz w:val="20"/>
          <w:szCs w:val="20"/>
          <w:color w:val="auto"/>
        </w:rPr>
      </w:pPr>
      <w:r>
        <w:rPr>
          <w:rFonts w:ascii="Times New Roman" w:cs="Times New Roman" w:eastAsia="Times New Roman" w:hAnsi="Times New Roman"/>
          <w:sz w:val="14"/>
          <w:szCs w:val="14"/>
          <w:b w:val="1"/>
          <w:bCs w:val="1"/>
          <w:i w:val="1"/>
          <w:iCs w:val="1"/>
          <w:color w:val="231F20"/>
        </w:rPr>
        <w:t>Our high level of indebtedness requires that we dedicate a substantial portion of our cash flows to debt service payments and reduces the funds that would otherwise be available for other general corporate purposes and other business opportunities, which could adversely affect our operating performance, growth, profitability and financial condition, which in turn could make it more difficult for us to generate cash flow sufficient to satisfy all of our obligations under our indebtedness.</w:t>
      </w:r>
    </w:p>
    <w:p>
      <w:pPr>
        <w:spacing w:after="0" w:line="139"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231F20"/>
        </w:rPr>
        <w:t xml:space="preserve">As of December 31, 2025, we had approximately $2,521.3 million outstanding under the First Lien Term Loan Facility. As of December 31, 2025, we had $475.0 million of borrowing capacity available under the Revolver as there were no borrowings under the Revolver or letters of credit outstanding, and $62.8 million of letters of credit outstanding under the LC Facility. On February 21, 2024, we used a portion of the net proceeds received from the IPO and the concurrent public offering by the Company of the 6.75% Tangible Equity Units (“TEUs”) to repay $343.3 million of the borrowings under the First Lien Term Loan Facility, and established a new Tranche B-4 Term Loan to refinance the remaining $2,566.0 million of First Lien Term Loan Facility borrowings. We also used a portion of the IPO and concurrent offering proceeds to repay all borrowings under the Second Lien Facility. See Note 6 “Debt and Derivatives” </w:t>
      </w:r>
      <w:r>
        <w:rPr>
          <w:rFonts w:ascii="Times New Roman" w:cs="Times New Roman" w:eastAsia="Times New Roman" w:hAnsi="Times New Roman"/>
          <w:sz w:val="14"/>
          <w:szCs w:val="14"/>
          <w:color w:val="000000"/>
        </w:rPr>
        <w:t>within the audited consolidated financial statements and related notes, included elsewhere in this Annual Report on Form</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10-K.</w:t>
      </w:r>
    </w:p>
    <w:p>
      <w:pPr>
        <w:spacing w:after="0" w:line="63" w:lineRule="exact"/>
        <w:rPr>
          <w:sz w:val="20"/>
          <w:szCs w:val="20"/>
          <w:color w:val="auto"/>
        </w:rPr>
      </w:pPr>
    </w:p>
    <w:p>
      <w:pPr>
        <w:ind w:left="640" w:right="699" w:firstLine="351"/>
        <w:spacing w:after="0" w:line="274" w:lineRule="auto"/>
        <w:rPr>
          <w:sz w:val="20"/>
          <w:szCs w:val="20"/>
          <w:color w:val="auto"/>
        </w:rPr>
      </w:pPr>
      <w:r>
        <w:rPr>
          <w:rFonts w:ascii="Times New Roman" w:cs="Times New Roman" w:eastAsia="Times New Roman" w:hAnsi="Times New Roman"/>
          <w:sz w:val="14"/>
          <w:szCs w:val="14"/>
          <w:color w:val="231F20"/>
        </w:rPr>
        <w:t>Our overall level of indebtedness requires that we dedicate a substantial portion of our cash flows to debt service payments. The First Lien Term Loan Facility requires quarterly principal and periodic cash interest payments through February 21, 2031. The Revolving Credit Facility requires periodic cash interest payments on outstanding amounts through June 30, 2028.</w:t>
      </w:r>
    </w:p>
    <w:p>
      <w:pPr>
        <w:spacing w:after="0" w:line="50" w:lineRule="exact"/>
        <w:rPr>
          <w:sz w:val="20"/>
          <w:szCs w:val="20"/>
          <w:color w:val="auto"/>
        </w:rPr>
      </w:pPr>
    </w:p>
    <w:p>
      <w:pPr>
        <w:ind w:left="640" w:right="799" w:firstLine="351"/>
        <w:spacing w:after="0" w:line="292" w:lineRule="auto"/>
        <w:rPr>
          <w:sz w:val="20"/>
          <w:szCs w:val="20"/>
          <w:color w:val="auto"/>
        </w:rPr>
      </w:pPr>
      <w:r>
        <w:rPr>
          <w:rFonts w:ascii="Times New Roman" w:cs="Times New Roman" w:eastAsia="Times New Roman" w:hAnsi="Times New Roman"/>
          <w:sz w:val="14"/>
          <w:szCs w:val="14"/>
          <w:color w:val="231F20"/>
        </w:rPr>
        <w:t>Our substantial indebtedness reduces the funds that would otherwise be available for operations, future business opportunities, and payments of our debt obligations and limits our ability to:</w:t>
      </w:r>
    </w:p>
    <w:p>
      <w:pPr>
        <w:spacing w:after="0" w:line="38" w:lineRule="exact"/>
        <w:rPr>
          <w:sz w:val="20"/>
          <w:szCs w:val="20"/>
          <w:color w:val="auto"/>
        </w:rPr>
      </w:pPr>
    </w:p>
    <w:p>
      <w:pPr>
        <w:ind w:left="1340" w:right="879" w:hanging="352"/>
        <w:spacing w:after="0" w:line="292" w:lineRule="auto"/>
        <w:tabs>
          <w:tab w:leader="none" w:pos="1340" w:val="left"/>
        </w:tabs>
        <w:numPr>
          <w:ilvl w:val="0"/>
          <w:numId w:val="19"/>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obtain additional financing, if necessary, for working capital and operations, or such financing may not be available on favorable terms;</w:t>
      </w:r>
    </w:p>
    <w:p>
      <w:pPr>
        <w:spacing w:after="0" w:line="37" w:lineRule="exact"/>
        <w:rPr>
          <w:rFonts w:ascii="Times New Roman" w:cs="Times New Roman" w:eastAsia="Times New Roman" w:hAnsi="Times New Roman"/>
          <w:sz w:val="14"/>
          <w:szCs w:val="14"/>
          <w:color w:val="231F20"/>
        </w:rPr>
      </w:pPr>
    </w:p>
    <w:p>
      <w:pPr>
        <w:ind w:left="1340" w:hanging="352"/>
        <w:spacing w:after="0"/>
        <w:tabs>
          <w:tab w:leader="none" w:pos="1340" w:val="left"/>
        </w:tabs>
        <w:numPr>
          <w:ilvl w:val="0"/>
          <w:numId w:val="19"/>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make needed capital expenditures;</w:t>
      </w:r>
    </w:p>
    <w:p>
      <w:pPr>
        <w:spacing w:after="0" w:line="96" w:lineRule="exact"/>
        <w:rPr>
          <w:rFonts w:ascii="Times New Roman" w:cs="Times New Roman" w:eastAsia="Times New Roman" w:hAnsi="Times New Roman"/>
          <w:sz w:val="14"/>
          <w:szCs w:val="14"/>
          <w:color w:val="231F20"/>
        </w:rPr>
      </w:pPr>
    </w:p>
    <w:p>
      <w:pPr>
        <w:ind w:left="1340" w:hanging="352"/>
        <w:spacing w:after="0"/>
        <w:tabs>
          <w:tab w:leader="none" w:pos="1340" w:val="left"/>
        </w:tabs>
        <w:numPr>
          <w:ilvl w:val="0"/>
          <w:numId w:val="19"/>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make strategic acquisitions or investments or enter into joint ventures;</w:t>
      </w:r>
    </w:p>
    <w:p>
      <w:pPr>
        <w:spacing w:after="0" w:line="96" w:lineRule="exact"/>
        <w:rPr>
          <w:rFonts w:ascii="Times New Roman" w:cs="Times New Roman" w:eastAsia="Times New Roman" w:hAnsi="Times New Roman"/>
          <w:sz w:val="14"/>
          <w:szCs w:val="14"/>
          <w:color w:val="231F20"/>
        </w:rPr>
      </w:pPr>
    </w:p>
    <w:p>
      <w:pPr>
        <w:ind w:left="1340" w:hanging="352"/>
        <w:spacing w:after="0"/>
        <w:tabs>
          <w:tab w:leader="none" w:pos="1340" w:val="left"/>
        </w:tabs>
        <w:numPr>
          <w:ilvl w:val="0"/>
          <w:numId w:val="19"/>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react to changes or withstand a future downturn in our business, our industries or the economy in general;</w:t>
      </w:r>
    </w:p>
    <w:p>
      <w:pPr>
        <w:spacing w:after="0" w:line="96" w:lineRule="exact"/>
        <w:rPr>
          <w:rFonts w:ascii="Times New Roman" w:cs="Times New Roman" w:eastAsia="Times New Roman" w:hAnsi="Times New Roman"/>
          <w:sz w:val="14"/>
          <w:szCs w:val="14"/>
          <w:color w:val="231F20"/>
        </w:rPr>
      </w:pPr>
    </w:p>
    <w:p>
      <w:pPr>
        <w:ind w:left="1340" w:hanging="352"/>
        <w:spacing w:after="0"/>
        <w:tabs>
          <w:tab w:leader="none" w:pos="1340" w:val="left"/>
        </w:tabs>
        <w:numPr>
          <w:ilvl w:val="0"/>
          <w:numId w:val="19"/>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meet budget targets and forecasts of future results;</w:t>
      </w:r>
    </w:p>
    <w:p>
      <w:pPr>
        <w:spacing w:after="0" w:line="96" w:lineRule="exact"/>
        <w:rPr>
          <w:rFonts w:ascii="Times New Roman" w:cs="Times New Roman" w:eastAsia="Times New Roman" w:hAnsi="Times New Roman"/>
          <w:sz w:val="14"/>
          <w:szCs w:val="14"/>
          <w:color w:val="231F20"/>
        </w:rPr>
      </w:pPr>
    </w:p>
    <w:p>
      <w:pPr>
        <w:ind w:left="1340" w:hanging="352"/>
        <w:spacing w:after="0"/>
        <w:tabs>
          <w:tab w:leader="none" w:pos="1340" w:val="left"/>
        </w:tabs>
        <w:numPr>
          <w:ilvl w:val="0"/>
          <w:numId w:val="19"/>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engage in business activities, including future opportunities that may be in our interest; and</w:t>
      </w:r>
    </w:p>
    <w:p>
      <w:pPr>
        <w:spacing w:after="0" w:line="96" w:lineRule="exact"/>
        <w:rPr>
          <w:rFonts w:ascii="Times New Roman" w:cs="Times New Roman" w:eastAsia="Times New Roman" w:hAnsi="Times New Roman"/>
          <w:sz w:val="14"/>
          <w:szCs w:val="14"/>
          <w:color w:val="231F20"/>
        </w:rPr>
      </w:pPr>
    </w:p>
    <w:p>
      <w:pPr>
        <w:ind w:left="1340" w:hanging="352"/>
        <w:spacing w:after="0"/>
        <w:tabs>
          <w:tab w:leader="none" w:pos="1340" w:val="left"/>
        </w:tabs>
        <w:numPr>
          <w:ilvl w:val="0"/>
          <w:numId w:val="19"/>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react to competitive pressures or compete with competitors with less debt.</w:t>
      </w:r>
    </w:p>
    <w:p>
      <w:pPr>
        <w:spacing w:after="0" w:line="183" w:lineRule="exact"/>
        <w:rPr>
          <w:sz w:val="20"/>
          <w:szCs w:val="20"/>
          <w:color w:val="auto"/>
        </w:rPr>
      </w:pPr>
    </w:p>
    <w:p>
      <w:pPr>
        <w:ind w:left="640" w:right="739" w:firstLine="351"/>
        <w:spacing w:after="0" w:line="292" w:lineRule="auto"/>
        <w:rPr>
          <w:sz w:val="20"/>
          <w:szCs w:val="20"/>
          <w:color w:val="auto"/>
        </w:rPr>
      </w:pPr>
      <w:r>
        <w:rPr>
          <w:rFonts w:ascii="Times New Roman" w:cs="Times New Roman" w:eastAsia="Times New Roman" w:hAnsi="Times New Roman"/>
          <w:sz w:val="14"/>
          <w:szCs w:val="14"/>
          <w:color w:val="231F20"/>
        </w:rPr>
        <w:t>These limitations could adversely affect our operating performance, growth, profitability, and financial condition, which would make it more difficult for us to generate cash flow sufficient to satisfy our obligations under our indebtedness.</w:t>
      </w:r>
    </w:p>
    <w:p>
      <w:pPr>
        <w:spacing w:after="0" w:line="38"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231F20"/>
        </w:rPr>
        <w:t>Our ability to make scheduled payments on our debt obligations also depends on our financial condition, results of operations, and capital resources, which are subject to, among other things: the business, financial, economic, industry, competitive, regulatory, and other factors discussed in these risk factors, and on other factors, some of which are beyond our control, including: the level of capital expenditures we make, including those for acquisitions, if any; our debt service requirements; fluctuations in our working capital needs; our ability to borrow funds and access capital markets; and restrictions on debt service payments and our ability to make working capital borrowings for debt service payments contained in our debt instruments.</w:t>
      </w:r>
    </w:p>
    <w:p>
      <w:pPr>
        <w:spacing w:after="0" w:line="58"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231F20"/>
        </w:rPr>
        <w:t>If we are unable to generate sufficient cash flow to permit us to make scheduled service payments on our debt, then we will be in default and holders of that debt and potentially certain of our other debt could declare all outstanding principal and interest to be due and payable. If our existing indebtedness were to be accelerated, there can be no assurance that we would have, or be able to obtain, sufficient funds to repay such indebtedness in full. In addition, upon the occurrence and continuance of an event of a default, the lenders under the Revolving Credit Facility could terminate their further commitments to loan money and our secured lenders under the First Lien Facilities could foreclose against the assets securing their borrowings, and we could be forced into bankruptcy or liquidation.</w:t>
      </w:r>
    </w:p>
    <w:p>
      <w:pPr>
        <w:spacing w:after="0" w:line="200" w:lineRule="exact"/>
        <w:rPr>
          <w:sz w:val="20"/>
          <w:szCs w:val="20"/>
          <w:color w:val="auto"/>
        </w:rPr>
      </w:pPr>
    </w:p>
    <w:p>
      <w:pPr>
        <w:spacing w:after="0" w:line="202" w:lineRule="exact"/>
        <w:rPr>
          <w:sz w:val="20"/>
          <w:szCs w:val="20"/>
          <w:color w:val="auto"/>
        </w:rPr>
      </w:pPr>
    </w:p>
    <w:p>
      <w:pPr>
        <w:ind w:left="640" w:right="71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Despite our high level of indebtedness, we may still be able to incur substantially more debt, which could further increase the risks to our financial condition described above.</w:t>
      </w:r>
    </w:p>
    <w:p>
      <w:pPr>
        <w:spacing w:after="0" w:line="120" w:lineRule="exact"/>
        <w:rPr>
          <w:sz w:val="20"/>
          <w:szCs w:val="20"/>
          <w:color w:val="auto"/>
        </w:rPr>
      </w:pPr>
    </w:p>
    <w:p>
      <w:pPr>
        <w:ind w:left="640" w:right="759" w:firstLine="351"/>
        <w:spacing w:after="0" w:line="292" w:lineRule="auto"/>
        <w:rPr>
          <w:sz w:val="20"/>
          <w:szCs w:val="20"/>
          <w:color w:val="auto"/>
        </w:rPr>
      </w:pPr>
      <w:r>
        <w:rPr>
          <w:rFonts w:ascii="Times New Roman" w:cs="Times New Roman" w:eastAsia="Times New Roman" w:hAnsi="Times New Roman"/>
          <w:sz w:val="14"/>
          <w:szCs w:val="14"/>
          <w:color w:val="231F20"/>
        </w:rPr>
        <w:t>Despite our high level of indebtedness, we may be able to incur significant additional indebtedness in the future, including off-balance sheet financings, trade credit, contractual obligations, and general and commercial liabilities. Although the credit agreements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5" w:name="page56"/>
    <w:bookmarkEnd w:id="5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right="759"/>
        <w:spacing w:after="0" w:line="263" w:lineRule="auto"/>
        <w:rPr>
          <w:sz w:val="20"/>
          <w:szCs w:val="20"/>
          <w:color w:val="auto"/>
        </w:rPr>
      </w:pPr>
      <w:r>
        <w:rPr>
          <w:rFonts w:ascii="Times New Roman" w:cs="Times New Roman" w:eastAsia="Times New Roman" w:hAnsi="Times New Roman"/>
          <w:sz w:val="14"/>
          <w:szCs w:val="14"/>
          <w:color w:val="231F20"/>
        </w:rPr>
        <w:t>governing the First Lien Facilities contain restrictions on the incurrence of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 indebtedness, and additionally we have further borrowing capacity under the Revolving Credit Facility. As of December 31, 2025, we had $475.0 million of borrowing capacity available under the Revolver as there were no borrowings under the Revolver or letters of credit outstanding, and $62.8 million of letters of credit outstanding under the LC Facility.</w:t>
      </w:r>
    </w:p>
    <w:p>
      <w:pPr>
        <w:spacing w:after="0" w:line="58"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231F20"/>
        </w:rPr>
        <w:t>We may be able to increase the commitments under the Revolving Credit Facility, subject to certain conditions, which would be secured indebtedness. We may also be able to increase the capacity under the First Lien Term Loan Facility, subject to certain conditions, which would be secured indebtedness. The addition of new debt to our current debt levels could further exacerbate the related risks to our financial condition that we now face.</w:t>
      </w:r>
    </w:p>
    <w:p>
      <w:pPr>
        <w:spacing w:after="0" w:line="222" w:lineRule="exact"/>
        <w:rPr>
          <w:sz w:val="20"/>
          <w:szCs w:val="20"/>
          <w:color w:val="auto"/>
        </w:rPr>
      </w:pPr>
    </w:p>
    <w:p>
      <w:pPr>
        <w:ind w:left="640" w:right="85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If we are unable to generate sufficient cash to service all of our indebtedness, we may be forced to take other actions to fund the satisfaction of our obligations under our indebtedness, which may not be successful.</w:t>
      </w:r>
    </w:p>
    <w:p>
      <w:pPr>
        <w:spacing w:after="0" w:line="120" w:lineRule="exact"/>
        <w:rPr>
          <w:sz w:val="20"/>
          <w:szCs w:val="20"/>
          <w:color w:val="auto"/>
        </w:rPr>
      </w:pPr>
    </w:p>
    <w:p>
      <w:pPr>
        <w:ind w:left="640" w:right="759" w:firstLine="351"/>
        <w:spacing w:after="0" w:line="260" w:lineRule="auto"/>
        <w:rPr>
          <w:sz w:val="20"/>
          <w:szCs w:val="20"/>
          <w:color w:val="auto"/>
        </w:rPr>
      </w:pPr>
      <w:r>
        <w:rPr>
          <w:rFonts w:ascii="Times New Roman" w:cs="Times New Roman" w:eastAsia="Times New Roman" w:hAnsi="Times New Roman"/>
          <w:sz w:val="14"/>
          <w:szCs w:val="14"/>
          <w:color w:val="231F20"/>
        </w:rPr>
        <w:t>If our cash flow is insufficient to fund our debt service obligations, we could face substantial liquidity problems and could be forced to reduce or delay investments and capital expenditures or to dispose of material assets or operations, raise additional debt or equity capital or restructure or refinance our indebtedness. However, we may not be able to implement any such alternative measures on commercially reasonable terms or at all and, even if successful, those alternative actions may not allow us to meet our scheduled debt service obligations. Even if new financing were available, it may be on terms that are less attractive to us than our then existing indebtedness or it may not be on terms that are acceptable to us. In addition, the credit agreements governing the First Lien Facilities restrict our ability to dispose of assets and use the proceeds from those dispositions and may also restrict our ability to raise debt or equity capital to be used to repay other indebtedness when it becomes due. Thus, we may not be able to consummate those dispositions or to obtain proceeds in an amount sufficient to meet any debt service obligations then due.</w:t>
      </w:r>
    </w:p>
    <w:p>
      <w:pPr>
        <w:spacing w:after="0" w:line="63" w:lineRule="exact"/>
        <w:rPr>
          <w:sz w:val="20"/>
          <w:szCs w:val="20"/>
          <w:color w:val="auto"/>
        </w:rPr>
      </w:pPr>
    </w:p>
    <w:p>
      <w:pPr>
        <w:ind w:left="640" w:right="719" w:firstLine="351"/>
        <w:spacing w:after="0" w:line="263" w:lineRule="auto"/>
        <w:rPr>
          <w:sz w:val="20"/>
          <w:szCs w:val="20"/>
          <w:color w:val="auto"/>
        </w:rPr>
      </w:pPr>
      <w:r>
        <w:rPr>
          <w:rFonts w:ascii="Times New Roman" w:cs="Times New Roman" w:eastAsia="Times New Roman" w:hAnsi="Times New Roman"/>
          <w:sz w:val="14"/>
          <w:szCs w:val="14"/>
          <w:color w:val="231F20"/>
        </w:rPr>
        <w:t>If we cannot generate sufficient cash flow to permit us to make scheduled payments on our debt, then we will be in default and holders of that debt could declare all outstanding principal and interest to be due and payable. If our existing indebtedness were to be accelerated, there can be no assurance that we would have, or be able to obtain, sufficient funds to repay such indebtedness in full. In addition, in the event of a default, the lenders under the Revolving Credit Facility could terminate their further commitments to loan money and our secured lenders under the First Lien Facility could foreclose against the assets securing their borrowings and we could be forced into bankruptcy or liquidation.</w:t>
      </w:r>
    </w:p>
    <w:p>
      <w:pPr>
        <w:spacing w:after="0" w:line="226" w:lineRule="exact"/>
        <w:rPr>
          <w:sz w:val="20"/>
          <w:szCs w:val="20"/>
          <w:color w:val="auto"/>
        </w:rPr>
      </w:pPr>
    </w:p>
    <w:p>
      <w:pPr>
        <w:ind w:left="640" w:right="89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The terms of our outstanding indebtedness may restrict our current and future operations, particularly our ability to respond to changes or to take certain actions.</w:t>
      </w:r>
    </w:p>
    <w:p>
      <w:pPr>
        <w:spacing w:after="0" w:line="120" w:lineRule="exact"/>
        <w:rPr>
          <w:sz w:val="20"/>
          <w:szCs w:val="20"/>
          <w:color w:val="auto"/>
        </w:rPr>
      </w:pPr>
    </w:p>
    <w:p>
      <w:pPr>
        <w:jc w:val="both"/>
        <w:ind w:left="640" w:right="919" w:firstLine="351"/>
        <w:spacing w:after="0" w:line="274" w:lineRule="auto"/>
        <w:rPr>
          <w:sz w:val="20"/>
          <w:szCs w:val="20"/>
          <w:color w:val="auto"/>
        </w:rPr>
      </w:pPr>
      <w:r>
        <w:rPr>
          <w:rFonts w:ascii="Times New Roman" w:cs="Times New Roman" w:eastAsia="Times New Roman" w:hAnsi="Times New Roman"/>
          <w:sz w:val="14"/>
          <w:szCs w:val="14"/>
          <w:color w:val="231F20"/>
        </w:rPr>
        <w:t>The credit agreements governing the First Lien Facilities contain restrictive covenants that impose significant operating and financial restrictions on us and may limit our ability to engage in acts that may be in our best interest, including restrictions on our ability to:</w:t>
      </w:r>
    </w:p>
    <w:p>
      <w:pPr>
        <w:spacing w:after="0" w:line="50" w:lineRule="exact"/>
        <w:rPr>
          <w:sz w:val="20"/>
          <w:szCs w:val="20"/>
          <w:color w:val="auto"/>
        </w:rPr>
      </w:pPr>
    </w:p>
    <w:p>
      <w:pPr>
        <w:ind w:left="1340" w:hanging="352"/>
        <w:spacing w:after="0"/>
        <w:tabs>
          <w:tab w:leader="none" w:pos="1340" w:val="left"/>
        </w:tabs>
        <w:numPr>
          <w:ilvl w:val="0"/>
          <w:numId w:val="2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incur additional indebtedness and guarantee indebtedness;</w:t>
      </w:r>
    </w:p>
    <w:p>
      <w:pPr>
        <w:spacing w:after="0" w:line="96" w:lineRule="exact"/>
        <w:rPr>
          <w:rFonts w:ascii="Times New Roman" w:cs="Times New Roman" w:eastAsia="Times New Roman" w:hAnsi="Times New Roman"/>
          <w:sz w:val="14"/>
          <w:szCs w:val="14"/>
          <w:color w:val="231F20"/>
        </w:rPr>
      </w:pPr>
    </w:p>
    <w:p>
      <w:pPr>
        <w:ind w:left="1340" w:hanging="352"/>
        <w:spacing w:after="0"/>
        <w:tabs>
          <w:tab w:leader="none" w:pos="1340" w:val="left"/>
        </w:tabs>
        <w:numPr>
          <w:ilvl w:val="0"/>
          <w:numId w:val="2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pay dividends or make other distributions in respect of, or repurchase or redeem, capital stock;</w:t>
      </w:r>
    </w:p>
    <w:p>
      <w:pPr>
        <w:spacing w:after="0" w:line="96" w:lineRule="exact"/>
        <w:rPr>
          <w:rFonts w:ascii="Times New Roman" w:cs="Times New Roman" w:eastAsia="Times New Roman" w:hAnsi="Times New Roman"/>
          <w:sz w:val="14"/>
          <w:szCs w:val="14"/>
          <w:color w:val="231F20"/>
        </w:rPr>
      </w:pPr>
    </w:p>
    <w:p>
      <w:pPr>
        <w:ind w:left="1340" w:hanging="352"/>
        <w:spacing w:after="0"/>
        <w:tabs>
          <w:tab w:leader="none" w:pos="1340" w:val="left"/>
        </w:tabs>
        <w:numPr>
          <w:ilvl w:val="0"/>
          <w:numId w:val="2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prepay, redeem, or repurchase certain debt;</w:t>
      </w:r>
    </w:p>
    <w:p>
      <w:pPr>
        <w:spacing w:after="0" w:line="96" w:lineRule="exact"/>
        <w:rPr>
          <w:rFonts w:ascii="Times New Roman" w:cs="Times New Roman" w:eastAsia="Times New Roman" w:hAnsi="Times New Roman"/>
          <w:sz w:val="14"/>
          <w:szCs w:val="14"/>
          <w:color w:val="231F20"/>
        </w:rPr>
      </w:pPr>
    </w:p>
    <w:p>
      <w:pPr>
        <w:ind w:left="1340" w:hanging="352"/>
        <w:spacing w:after="0"/>
        <w:tabs>
          <w:tab w:leader="none" w:pos="1340" w:val="left"/>
        </w:tabs>
        <w:numPr>
          <w:ilvl w:val="0"/>
          <w:numId w:val="2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make loans, investments, and other restricted payments;</w:t>
      </w:r>
    </w:p>
    <w:p>
      <w:pPr>
        <w:spacing w:after="0" w:line="96" w:lineRule="exact"/>
        <w:rPr>
          <w:rFonts w:ascii="Times New Roman" w:cs="Times New Roman" w:eastAsia="Times New Roman" w:hAnsi="Times New Roman"/>
          <w:sz w:val="14"/>
          <w:szCs w:val="14"/>
          <w:color w:val="231F20"/>
        </w:rPr>
      </w:pPr>
    </w:p>
    <w:p>
      <w:pPr>
        <w:ind w:left="1340" w:hanging="352"/>
        <w:spacing w:after="0"/>
        <w:tabs>
          <w:tab w:leader="none" w:pos="1340" w:val="left"/>
        </w:tabs>
        <w:numPr>
          <w:ilvl w:val="0"/>
          <w:numId w:val="2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sell or otherwise dispose of assets;</w:t>
      </w:r>
    </w:p>
    <w:p>
      <w:pPr>
        <w:spacing w:after="0" w:line="96" w:lineRule="exact"/>
        <w:rPr>
          <w:rFonts w:ascii="Times New Roman" w:cs="Times New Roman" w:eastAsia="Times New Roman" w:hAnsi="Times New Roman"/>
          <w:sz w:val="14"/>
          <w:szCs w:val="14"/>
          <w:color w:val="231F20"/>
        </w:rPr>
      </w:pPr>
    </w:p>
    <w:p>
      <w:pPr>
        <w:ind w:left="1340" w:hanging="352"/>
        <w:spacing w:after="0"/>
        <w:tabs>
          <w:tab w:leader="none" w:pos="1340" w:val="left"/>
        </w:tabs>
        <w:numPr>
          <w:ilvl w:val="0"/>
          <w:numId w:val="2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incur liens;</w:t>
      </w:r>
    </w:p>
    <w:p>
      <w:pPr>
        <w:spacing w:after="0" w:line="96" w:lineRule="exact"/>
        <w:rPr>
          <w:rFonts w:ascii="Times New Roman" w:cs="Times New Roman" w:eastAsia="Times New Roman" w:hAnsi="Times New Roman"/>
          <w:sz w:val="14"/>
          <w:szCs w:val="14"/>
          <w:color w:val="231F20"/>
        </w:rPr>
      </w:pPr>
    </w:p>
    <w:p>
      <w:pPr>
        <w:ind w:left="1340" w:hanging="352"/>
        <w:spacing w:after="0"/>
        <w:tabs>
          <w:tab w:leader="none" w:pos="1340" w:val="left"/>
        </w:tabs>
        <w:numPr>
          <w:ilvl w:val="0"/>
          <w:numId w:val="2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enter into transactions with affiliates;</w:t>
      </w:r>
    </w:p>
    <w:p>
      <w:pPr>
        <w:spacing w:after="0" w:line="96" w:lineRule="exact"/>
        <w:rPr>
          <w:rFonts w:ascii="Times New Roman" w:cs="Times New Roman" w:eastAsia="Times New Roman" w:hAnsi="Times New Roman"/>
          <w:sz w:val="14"/>
          <w:szCs w:val="14"/>
          <w:color w:val="231F20"/>
        </w:rPr>
      </w:pPr>
    </w:p>
    <w:p>
      <w:pPr>
        <w:ind w:left="1340" w:hanging="352"/>
        <w:spacing w:after="0"/>
        <w:tabs>
          <w:tab w:leader="none" w:pos="1340" w:val="left"/>
        </w:tabs>
        <w:numPr>
          <w:ilvl w:val="0"/>
          <w:numId w:val="2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alter the businesses we conduct;</w:t>
      </w:r>
    </w:p>
    <w:p>
      <w:pPr>
        <w:spacing w:after="0" w:line="96" w:lineRule="exact"/>
        <w:rPr>
          <w:rFonts w:ascii="Times New Roman" w:cs="Times New Roman" w:eastAsia="Times New Roman" w:hAnsi="Times New Roman"/>
          <w:sz w:val="14"/>
          <w:szCs w:val="14"/>
          <w:color w:val="231F20"/>
        </w:rPr>
      </w:pPr>
    </w:p>
    <w:p>
      <w:pPr>
        <w:ind w:left="1340" w:hanging="352"/>
        <w:spacing w:after="0"/>
        <w:tabs>
          <w:tab w:leader="none" w:pos="1340" w:val="left"/>
        </w:tabs>
        <w:numPr>
          <w:ilvl w:val="0"/>
          <w:numId w:val="2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enter into agreements restricting our subsidiaries’ ability to pay dividends; and</w:t>
      </w:r>
    </w:p>
    <w:p>
      <w:pPr>
        <w:spacing w:after="0" w:line="96" w:lineRule="exact"/>
        <w:rPr>
          <w:rFonts w:ascii="Times New Roman" w:cs="Times New Roman" w:eastAsia="Times New Roman" w:hAnsi="Times New Roman"/>
          <w:sz w:val="14"/>
          <w:szCs w:val="14"/>
          <w:color w:val="231F20"/>
        </w:rPr>
      </w:pPr>
    </w:p>
    <w:p>
      <w:pPr>
        <w:ind w:left="1340" w:hanging="352"/>
        <w:spacing w:after="0"/>
        <w:tabs>
          <w:tab w:leader="none" w:pos="1340" w:val="left"/>
        </w:tabs>
        <w:numPr>
          <w:ilvl w:val="0"/>
          <w:numId w:val="2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consolidate, merge, or sell all or substantially all of our assets.</w:t>
      </w:r>
    </w:p>
    <w:p>
      <w:pPr>
        <w:spacing w:after="0" w:line="183" w:lineRule="exact"/>
        <w:rPr>
          <w:sz w:val="20"/>
          <w:szCs w:val="20"/>
          <w:color w:val="auto"/>
        </w:rPr>
      </w:pPr>
    </w:p>
    <w:p>
      <w:pPr>
        <w:ind w:left="640" w:right="779" w:firstLine="351"/>
        <w:spacing w:after="0" w:line="292" w:lineRule="auto"/>
        <w:rPr>
          <w:sz w:val="20"/>
          <w:szCs w:val="20"/>
          <w:color w:val="auto"/>
        </w:rPr>
      </w:pPr>
      <w:r>
        <w:rPr>
          <w:rFonts w:ascii="Times New Roman" w:cs="Times New Roman" w:eastAsia="Times New Roman" w:hAnsi="Times New Roman"/>
          <w:sz w:val="14"/>
          <w:szCs w:val="14"/>
          <w:color w:val="231F20"/>
        </w:rPr>
        <w:t>Additionally, at certain times, the Revolving Credit Facility requires maintenance of a certain minimum fixed charge coverage ratio. Our ability to comply with the covenants and restrictions contained in our credit agreements may be affected by events beyond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6" w:name="page57"/>
    <w:bookmarkEnd w:id="5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right="919"/>
        <w:spacing w:after="0" w:line="292" w:lineRule="auto"/>
        <w:rPr>
          <w:sz w:val="20"/>
          <w:szCs w:val="20"/>
          <w:color w:val="auto"/>
        </w:rPr>
      </w:pPr>
      <w:r>
        <w:rPr>
          <w:rFonts w:ascii="Times New Roman" w:cs="Times New Roman" w:eastAsia="Times New Roman" w:hAnsi="Times New Roman"/>
          <w:sz w:val="14"/>
          <w:szCs w:val="14"/>
          <w:color w:val="231F20"/>
        </w:rPr>
        <w:t>our control. If market or other economic conditions deteriorate, our ability to comply with these covenants and restrictions may be impaired.</w:t>
      </w:r>
    </w:p>
    <w:p>
      <w:pPr>
        <w:spacing w:after="0" w:line="38"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231F20"/>
        </w:rPr>
        <w:t>A breach of the covenants under one of these agreements could result in an event of default under the applicable indebtedness, which, if not cured or waived, could have a material adverse effect on our business, results of operations, and financial condition. Such a default, if not cured or waived, may allow the creditors to accelerate the related debt principal and/or related interest payments and may result in the acceleration of any other debt to which a cross-acceleration or cross-default provision applies. If our existing indebtedness were to be accelerated, there can be no assurance that we would have, or be able to obtain, sufficient funds to repay such indebtedness in full. In addition, an event of default under the credit agreements governing the First Lien Facilities would permit the lenders under our Revolving Credit Facility to terminate all commitments to extend further credit under that facility. Furthermore, if we were unable to repay the amounts due and payable under the First Lien Facilities, those lenders could proceed against the collateral granted to them to secure that indebtedness, and we could be forced into bankruptcy or liquidation.</w:t>
      </w:r>
    </w:p>
    <w:p>
      <w:pPr>
        <w:spacing w:after="0" w:line="231" w:lineRule="exact"/>
        <w:rPr>
          <w:sz w:val="20"/>
          <w:szCs w:val="20"/>
          <w:color w:val="auto"/>
        </w:rPr>
      </w:pPr>
    </w:p>
    <w:p>
      <w:pPr>
        <w:ind w:left="640" w:right="125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Our variable rate indebtedness subjects us to interest rate risk, which could cause our debt service obligations to increase significantly.</w:t>
      </w:r>
    </w:p>
    <w:p>
      <w:pPr>
        <w:spacing w:after="0" w:line="120"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231F20"/>
        </w:rPr>
        <w:t>Borrowings under the First Lien Facilities are at variable rates of interest and expose us to interest rate risk. As of December 31, 2025, while $1.5 billion notional amount of our outstanding debt was fixed through interest rate swap agreements, the other $1.1 billion of our outstanding debt remained subject to variable rates of interest and the related risk. If interest rates increase, our debt service obligations on the variable rate indebtedness will increase even though the amount borrowed will remain the same, and our net income and operating cash flows, including cash available for servicing our indebtedness, will correspondingly decrease.</w:t>
      </w:r>
    </w:p>
    <w:p>
      <w:pPr>
        <w:spacing w:after="0" w:line="56"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231F20"/>
        </w:rPr>
        <w:t>The U.S. Federal Reserve Board significantly increased the federal funds rate in 2022 and 2023 and although it slightly reduced the federal funds rate in 2024 and continued to reduce the federal funds rate in 2025, may make further rate increases to combat inflation in the United States, which increased the borrowing costs on our variable rate debt and may increase the cost of any new debt we incur. Any further additional federal funds rate increases could in turn make our financing activities, including those related to our acquisition activity, more costly and limit our ability to refinance existing debt when it matures or pay higher interest rates upon refinancing and increase interest expense on refinanced indebtedness.</w:t>
      </w:r>
    </w:p>
    <w:p>
      <w:pPr>
        <w:spacing w:after="0" w:line="226" w:lineRule="exact"/>
        <w:rPr>
          <w:sz w:val="20"/>
          <w:szCs w:val="20"/>
          <w:color w:val="auto"/>
        </w:rPr>
      </w:pPr>
    </w:p>
    <w:p>
      <w:pPr>
        <w:ind w:left="640" w:right="67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If the financial institutions that are lenders under the Revolving Credit Facility fail to extend credit under the facility or reduce the borrowing base, our liquidity and results of operations may be adversely affected.</w:t>
      </w:r>
    </w:p>
    <w:p>
      <w:pPr>
        <w:spacing w:after="0" w:line="120" w:lineRule="exact"/>
        <w:rPr>
          <w:sz w:val="20"/>
          <w:szCs w:val="20"/>
          <w:color w:val="auto"/>
        </w:rPr>
      </w:pPr>
    </w:p>
    <w:p>
      <w:pPr>
        <w:ind w:left="640" w:right="819" w:firstLine="351"/>
        <w:spacing w:after="0" w:line="265" w:lineRule="auto"/>
        <w:rPr>
          <w:sz w:val="20"/>
          <w:szCs w:val="20"/>
          <w:color w:val="auto"/>
        </w:rPr>
      </w:pPr>
      <w:r>
        <w:rPr>
          <w:rFonts w:ascii="Times New Roman" w:cs="Times New Roman" w:eastAsia="Times New Roman" w:hAnsi="Times New Roman"/>
          <w:sz w:val="14"/>
          <w:szCs w:val="14"/>
          <w:color w:val="231F20"/>
        </w:rPr>
        <w:t>One of our sources of liquidity is the Revolving Credit Facility. Each financial institution that is a lender under the Revolving Credit Facility is responsible on a several but not joint basis for providing a portion of the loans to be made under the facility. If any participant or group of participants with a significant portion of the commitments under the Revolving Credit Facility fails to satisfy its or their respective obligations to extend credit under the facility and we are unable to find a replacement for such participant or participants on a timely basis (if at all), our liquidity may be adversely affected.</w:t>
      </w:r>
    </w:p>
    <w:p>
      <w:pPr>
        <w:spacing w:after="0" w:line="56" w:lineRule="exact"/>
        <w:rPr>
          <w:sz w:val="20"/>
          <w:szCs w:val="20"/>
          <w:color w:val="auto"/>
        </w:rPr>
      </w:pPr>
    </w:p>
    <w:p>
      <w:pPr>
        <w:ind w:left="640" w:right="1219" w:firstLine="351"/>
        <w:spacing w:after="0" w:line="292" w:lineRule="auto"/>
        <w:rPr>
          <w:sz w:val="20"/>
          <w:szCs w:val="20"/>
          <w:color w:val="auto"/>
        </w:rPr>
      </w:pPr>
      <w:r>
        <w:rPr>
          <w:rFonts w:ascii="Times New Roman" w:cs="Times New Roman" w:eastAsia="Times New Roman" w:hAnsi="Times New Roman"/>
          <w:sz w:val="14"/>
          <w:szCs w:val="14"/>
          <w:color w:val="231F20"/>
        </w:rPr>
        <w:t>In addition, the lenders under the Revolving Credit Facility may reduce the borrowing base under the facility in certain circumstances, which could adversely impact our liquidity and results of operations.</w:t>
      </w:r>
    </w:p>
    <w:p>
      <w:pPr>
        <w:spacing w:after="0" w:line="206" w:lineRule="exact"/>
        <w:rPr>
          <w:sz w:val="20"/>
          <w:szCs w:val="20"/>
          <w:color w:val="auto"/>
        </w:rPr>
      </w:pPr>
    </w:p>
    <w:p>
      <w:pPr>
        <w:jc w:val="both"/>
        <w:ind w:left="640" w:right="659"/>
        <w:spacing w:after="0" w:line="277" w:lineRule="auto"/>
        <w:rPr>
          <w:sz w:val="20"/>
          <w:szCs w:val="20"/>
          <w:color w:val="auto"/>
        </w:rPr>
      </w:pPr>
      <w:r>
        <w:rPr>
          <w:rFonts w:ascii="Times New Roman" w:cs="Times New Roman" w:eastAsia="Times New Roman" w:hAnsi="Times New Roman"/>
          <w:sz w:val="14"/>
          <w:szCs w:val="14"/>
          <w:b w:val="1"/>
          <w:bCs w:val="1"/>
          <w:i w:val="1"/>
          <w:iCs w:val="1"/>
          <w:color w:val="231F20"/>
        </w:rPr>
        <w:t>Our high level of indebtedness may hinder our ability to negotiate favorable terms with our suppliers, which could negatively impact our operating performance and, thus, could make it more difficult for us to generate cash flow sufficient to satisfy all of our obligations under our indebtedness.</w:t>
      </w:r>
    </w:p>
    <w:p>
      <w:pPr>
        <w:spacing w:after="0" w:line="134" w:lineRule="exact"/>
        <w:rPr>
          <w:sz w:val="20"/>
          <w:szCs w:val="20"/>
          <w:color w:val="auto"/>
        </w:rPr>
      </w:pPr>
    </w:p>
    <w:p>
      <w:pPr>
        <w:ind w:left="640" w:right="799" w:firstLine="351"/>
        <w:spacing w:after="0" w:line="260" w:lineRule="auto"/>
        <w:rPr>
          <w:sz w:val="20"/>
          <w:szCs w:val="20"/>
          <w:color w:val="auto"/>
        </w:rPr>
      </w:pPr>
      <w:r>
        <w:rPr>
          <w:rFonts w:ascii="Times New Roman" w:cs="Times New Roman" w:eastAsia="Times New Roman" w:hAnsi="Times New Roman"/>
          <w:sz w:val="14"/>
          <w:szCs w:val="14"/>
          <w:color w:val="231F20"/>
        </w:rPr>
        <w:t>Our high level of indebtedness may adversely affect our credit profile or rating, which may adversely affect our ability to negotiate favorable trade terms from our current or future suppliers, including pricing, payment, delivery, inventory, transportation, defective and marketing allowances, and other terms, and may increase our need to support pharmaceutical purchases with letters of credit. We may also be unable to negotiate favorable trade terms for our current or future service and non-pharmaceutical vendors, including vendors that assist us in critical aspects of the business such as transportation and logistics, supplies, professional services, insurance and risk management, procurement, marketing and advertising, operations, and information technology. This could negatively impact the profitability of our business and our ability to effectively compete against competitors. Thus, our high level of indebtedness could adversely affect the profitability of our business, which could make it more difficult for us to generate cash flow sufficient to satisfy our obligations under our indebtedness.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7" w:name="page58"/>
    <w:bookmarkEnd w:id="5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231F20"/>
        </w:rPr>
        <w:t>General Risk Factors</w:t>
      </w:r>
    </w:p>
    <w:p>
      <w:pPr>
        <w:spacing w:after="0" w:line="267" w:lineRule="exact"/>
        <w:rPr>
          <w:sz w:val="20"/>
          <w:szCs w:val="20"/>
          <w:color w:val="auto"/>
        </w:rPr>
      </w:pPr>
    </w:p>
    <w:p>
      <w:pPr>
        <w:ind w:left="640" w:right="75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We incur additional costs associated with the requirements of being a public company, and our management is required to devote substantial time to compliance adding complexity to running our business.</w:t>
      </w:r>
    </w:p>
    <w:p>
      <w:pPr>
        <w:spacing w:after="0" w:line="120"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231F20"/>
        </w:rPr>
        <w:t xml:space="preserve">As a public company, we incur significant legal, regulatory, finance, accounting, investor relations, insurance, and other expenses that we did not incur as a private company, including costs associated with public company governance and reporting requirements and costs of recruiting and retaining non-executive directors. We also incur costs associated with the Sarbanes-Oxley Act, and the Dodd-Frank Wall Street Reform and Consumer Protection Act, or the Dodd-Frank Act, and related rules implemented by the SEC and costs in connection with continued listing on Nasdaq. Additionally, we are no longer a </w:t>
      </w:r>
      <w:r>
        <w:rPr>
          <w:rFonts w:ascii="Times New Roman" w:cs="Times New Roman" w:eastAsia="Times New Roman" w:hAnsi="Times New Roman"/>
          <w:sz w:val="14"/>
          <w:szCs w:val="14"/>
          <w:color w:val="000000"/>
        </w:rPr>
        <w:t>“controlled company”</w:t>
      </w:r>
      <w:r>
        <w:rPr>
          <w:rFonts w:ascii="Times New Roman" w:cs="Times New Roman" w:eastAsia="Times New Roman" w:hAnsi="Times New Roman"/>
          <w:sz w:val="14"/>
          <w:szCs w:val="14"/>
          <w:color w:val="231F20"/>
        </w:rPr>
        <w:t xml:space="preserve"> under the rules of Nasdaq and as such are no longer eligible for certain governance exemptions under those rules. The expenses incurred by public companies generally for reporting and corporate governance purposes have been increasing. Our efforts to comply with these rules and regulations increase our legal and financial compliance costs and make some activities more time-consuming and costly. Our management devotes a substantial amount of time to ensure that we comply with all of these requirements, diverting the attention of management away from revenue-producing activities.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and the Units, fines, sanctions and other regulatory action, and potentially civil litigation.</w:t>
      </w:r>
    </w:p>
    <w:p>
      <w:pPr>
        <w:spacing w:after="0" w:line="235" w:lineRule="exact"/>
        <w:rPr>
          <w:sz w:val="20"/>
          <w:szCs w:val="20"/>
          <w:color w:val="auto"/>
        </w:rPr>
      </w:pPr>
    </w:p>
    <w:p>
      <w:pPr>
        <w:ind w:left="640" w:right="75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Failure to comply with requirements to design, implement, and maintain effective internal controls could have a material adverse effect on our business and stock price.</w:t>
      </w:r>
    </w:p>
    <w:p>
      <w:pPr>
        <w:spacing w:after="0" w:line="120" w:lineRule="exact"/>
        <w:rPr>
          <w:sz w:val="20"/>
          <w:szCs w:val="20"/>
          <w:color w:val="auto"/>
        </w:rPr>
      </w:pPr>
    </w:p>
    <w:p>
      <w:pPr>
        <w:ind w:left="640" w:right="679" w:firstLine="351"/>
        <w:spacing w:after="0" w:line="258" w:lineRule="auto"/>
        <w:rPr>
          <w:sz w:val="20"/>
          <w:szCs w:val="20"/>
          <w:color w:val="auto"/>
        </w:rPr>
      </w:pPr>
      <w:r>
        <w:rPr>
          <w:rFonts w:ascii="Times New Roman" w:cs="Times New Roman" w:eastAsia="Times New Roman" w:hAnsi="Times New Roman"/>
          <w:sz w:val="14"/>
          <w:szCs w:val="14"/>
          <w:color w:val="231F20"/>
        </w:rPr>
        <w:t>As a public company, we are subject to significant requirements for enhanced financial reporting and internal controls. We have made, and will continue to make, changes to our internal controls and procedures for financial reporting and accounting systems to meet our reporting obligations as a public company. The process of designing and implementing effective internal controls is a continuous effort that requires us to anticipate and react to changes in our business and the economic and regulatory environment, and to expend significant resources to maintain a system of internal controls that is adequate to satisfy our reporting obligations as a public company. The measures we take may not be sufficient to satisfy our obligations as a public company and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are required, pursuant to Section 404(a) of the Sarbanes-Oxley Act, or Section 404 to furnish a report by management on, among other things, the effectiveness of our internal control over financial reporting.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w:t>
      </w:r>
    </w:p>
    <w:p>
      <w:pPr>
        <w:spacing w:after="0" w:line="69" w:lineRule="exact"/>
        <w:rPr>
          <w:sz w:val="20"/>
          <w:szCs w:val="20"/>
          <w:color w:val="auto"/>
        </w:rPr>
      </w:pPr>
    </w:p>
    <w:p>
      <w:pPr>
        <w:ind w:left="640" w:right="759" w:firstLine="351"/>
        <w:spacing w:after="0" w:line="265" w:lineRule="auto"/>
        <w:rPr>
          <w:sz w:val="20"/>
          <w:szCs w:val="20"/>
          <w:color w:val="auto"/>
        </w:rPr>
      </w:pPr>
      <w:r>
        <w:rPr>
          <w:rFonts w:ascii="Times New Roman" w:cs="Times New Roman" w:eastAsia="Times New Roman" w:hAnsi="Times New Roman"/>
          <w:sz w:val="14"/>
          <w:szCs w:val="14"/>
          <w:color w:val="231F20"/>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us or our independent registered public accounting firm in connection with the issuance of their attestation report.</w:t>
      </w:r>
    </w:p>
    <w:p>
      <w:pPr>
        <w:spacing w:after="0" w:line="56"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231F20"/>
        </w:rPr>
        <w:t>Our testing, or the subsequent testing (if required) by our independent registered public accounting firm, may reveal deficiencies in our internal control over financial reporting that are deemed to be material weaknesses. Any material weaknesses could result in a material misstatement of our annual or quarterly consolidated financial statements or disclosures that may not be prevented or detected. If we are unable to successfully remediate any future material weaknesses in our internal control over financial reporting, or if we identify any material weaknesses, the accuracy and timing of our financial reporting may be adversely affected, we may be unable to maintain compliance with securities law requirements regarding timely filing of periodic reports in addition to Nasdaq listing requirements.</w:t>
      </w:r>
    </w:p>
    <w:p>
      <w:pPr>
        <w:spacing w:after="0" w:line="234" w:lineRule="exact"/>
        <w:rPr>
          <w:sz w:val="20"/>
          <w:szCs w:val="20"/>
          <w:color w:val="auto"/>
        </w:rPr>
      </w:pPr>
    </w:p>
    <w:p>
      <w:pPr>
        <w:ind w:left="640" w:right="719" w:firstLine="351"/>
        <w:spacing w:after="0" w:line="265" w:lineRule="auto"/>
        <w:rPr>
          <w:sz w:val="20"/>
          <w:szCs w:val="20"/>
          <w:color w:val="auto"/>
        </w:rPr>
      </w:pPr>
      <w:r>
        <w:rPr>
          <w:rFonts w:ascii="Times New Roman" w:cs="Times New Roman" w:eastAsia="Times New Roman" w:hAnsi="Times New Roman"/>
          <w:sz w:val="14"/>
          <w:szCs w:val="14"/>
          <w:color w:val="231F20"/>
        </w:rPr>
        <w:t>We may not be able to conclude on an ongoing basis that we have effective internal control over financial reporting in accordance with 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common stock.</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8" w:name="page59"/>
    <w:bookmarkEnd w:id="5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40" w:right="99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You may be diluted by the future issuance of additional common stock in connection with our incentive plans, acquisitions or otherwise.</w:t>
      </w:r>
    </w:p>
    <w:p>
      <w:pPr>
        <w:spacing w:after="0" w:line="120"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231F20"/>
        </w:rPr>
        <w:t>We have approximately 1.3 billion shares of common stock authorized but unissued. Our second amended and restated certificate of incorporation authorizes us to issue these shares of common stock, options, and other equity awards relating to common stock for the consideration and on the terms and conditions established by our board of directors in its sole discretion, whether in connection with acquisitions or otherwise. Issuances of common stock or voting preferred stock would reduce your influence over matters on which our stockholders vote, and, in the case of issuances of preferred stock, would likely result in your interest in us being subject to the prior rights of holders of that preferred stock, if any.</w:t>
      </w:r>
    </w:p>
    <w:p>
      <w:pPr>
        <w:spacing w:after="0" w:line="58" w:lineRule="exact"/>
        <w:rPr>
          <w:sz w:val="20"/>
          <w:szCs w:val="20"/>
          <w:color w:val="auto"/>
        </w:rPr>
      </w:pPr>
    </w:p>
    <w:p>
      <w:pPr>
        <w:ind w:left="640" w:right="799" w:firstLine="516"/>
        <w:spacing w:after="0" w:line="274" w:lineRule="auto"/>
        <w:rPr>
          <w:sz w:val="20"/>
          <w:szCs w:val="20"/>
          <w:color w:val="auto"/>
        </w:rPr>
      </w:pPr>
      <w:r>
        <w:rPr>
          <w:rFonts w:ascii="Times New Roman" w:cs="Times New Roman" w:eastAsia="Times New Roman" w:hAnsi="Times New Roman"/>
          <w:sz w:val="14"/>
          <w:szCs w:val="14"/>
          <w:color w:val="231F20"/>
        </w:rPr>
        <w:t>We have 3,584,759 Units outstanding, and each purchase contract that is a component of a Unit will settle automatically on the mandatory settlement date into between 3.2733 and 3.8461 shares of our common stock, subject to certain anti-dilution adjustments, which may result in dilution to investors.</w:t>
      </w:r>
    </w:p>
    <w:p>
      <w:pPr>
        <w:spacing w:after="0" w:line="50"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231F20"/>
        </w:rPr>
        <w:t>We have reserved, or will reserve in the future, shares for issuance under our 2024 Incentive Plan. Any common stock that we issue, including under our 2024 Incentive Plan, including the issuance of the New Equity Awards, or other equity incentive plans that we may adopt in the future, would dilute the percentage ownership held by our then-current investors. In the future, we may also issue our securities in connection with investments or acquisitions. The number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investors.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231F20"/>
        </w:rPr>
        <w:t>The Units may adversely affect the market price of our common stock.</w:t>
      </w:r>
    </w:p>
    <w:p>
      <w:pPr>
        <w:spacing w:after="0" w:line="187" w:lineRule="exact"/>
        <w:rPr>
          <w:sz w:val="20"/>
          <w:szCs w:val="20"/>
          <w:color w:val="auto"/>
        </w:rPr>
      </w:pPr>
    </w:p>
    <w:p>
      <w:pPr>
        <w:ind w:left="640" w:right="899" w:firstLine="351"/>
        <w:spacing w:after="0" w:line="292" w:lineRule="auto"/>
        <w:rPr>
          <w:sz w:val="20"/>
          <w:szCs w:val="20"/>
          <w:color w:val="auto"/>
        </w:rPr>
      </w:pPr>
      <w:r>
        <w:rPr>
          <w:rFonts w:ascii="Times New Roman" w:cs="Times New Roman" w:eastAsia="Times New Roman" w:hAnsi="Times New Roman"/>
          <w:sz w:val="14"/>
          <w:szCs w:val="14"/>
          <w:color w:val="231F20"/>
        </w:rPr>
        <w:t>The market price of our common stock is likely to be influenced by the Units. For example, the market price of our common stock could become more volatile and could be depressed by:</w:t>
      </w:r>
    </w:p>
    <w:p>
      <w:pPr>
        <w:spacing w:after="0" w:line="38" w:lineRule="exact"/>
        <w:rPr>
          <w:sz w:val="20"/>
          <w:szCs w:val="20"/>
          <w:color w:val="auto"/>
        </w:rPr>
      </w:pPr>
    </w:p>
    <w:p>
      <w:pPr>
        <w:ind w:left="1340" w:right="899" w:hanging="352"/>
        <w:spacing w:after="0" w:line="292" w:lineRule="auto"/>
        <w:tabs>
          <w:tab w:leader="none" w:pos="1340" w:val="left"/>
        </w:tabs>
        <w:numPr>
          <w:ilvl w:val="0"/>
          <w:numId w:val="2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investors’ anticipation of the potential resale in the market of a substantial number of additional shares of our common stock received upon settlement of the purchase contracts that are a component of the Units;</w:t>
      </w:r>
    </w:p>
    <w:p>
      <w:pPr>
        <w:spacing w:after="0" w:line="37" w:lineRule="exact"/>
        <w:rPr>
          <w:rFonts w:ascii="Times New Roman" w:cs="Times New Roman" w:eastAsia="Times New Roman" w:hAnsi="Times New Roman"/>
          <w:sz w:val="14"/>
          <w:szCs w:val="14"/>
          <w:color w:val="231F20"/>
        </w:rPr>
      </w:pPr>
    </w:p>
    <w:p>
      <w:pPr>
        <w:ind w:left="1340" w:right="739" w:hanging="352"/>
        <w:spacing w:after="0" w:line="292" w:lineRule="auto"/>
        <w:tabs>
          <w:tab w:leader="none" w:pos="1340" w:val="left"/>
        </w:tabs>
        <w:numPr>
          <w:ilvl w:val="0"/>
          <w:numId w:val="2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possible sales of our common stock by investors who view the Units as a more attractive means of equity participation in us than owning shares of our common stock; and</w:t>
      </w:r>
    </w:p>
    <w:p>
      <w:pPr>
        <w:spacing w:after="0" w:line="37" w:lineRule="exact"/>
        <w:rPr>
          <w:rFonts w:ascii="Times New Roman" w:cs="Times New Roman" w:eastAsia="Times New Roman" w:hAnsi="Times New Roman"/>
          <w:sz w:val="14"/>
          <w:szCs w:val="14"/>
          <w:color w:val="231F20"/>
        </w:rPr>
      </w:pPr>
    </w:p>
    <w:p>
      <w:pPr>
        <w:ind w:left="1340" w:hanging="352"/>
        <w:spacing w:after="0"/>
        <w:tabs>
          <w:tab w:leader="none" w:pos="1340" w:val="left"/>
        </w:tabs>
        <w:numPr>
          <w:ilvl w:val="0"/>
          <w:numId w:val="2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hedging or arbitrage trading activity that may develop involving the Units and our common stock.</w:t>
      </w: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231F20"/>
        </w:rPr>
        <w:t>Our ability to raise capital in the future may be limited.</w:t>
      </w:r>
    </w:p>
    <w:p>
      <w:pPr>
        <w:spacing w:after="0" w:line="187"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231F20"/>
        </w:rPr>
        <w:t>Our business and operations may consume resources faster than we anticipate. In the future, we may need to raise additional funds through the issuance of new equity securities, debt, or a combination of both. Additional financing may not be available on favorable terms or at all. If adequate funds are not available on acceptable terms, we may be unable to fund our capital requirements. If we issue new debt securities, the debt holders would have rights senior to holders of our common stock to make claims on our assets and the terms of any debt could restrict our operations, including our ability to pay dividends on our common stock. If we issue additional equity securities or securities convertible into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you bear the risk of our future securities offerings reducing the market price of our common stock and diluting your interest.</w:t>
      </w:r>
    </w:p>
    <w:p>
      <w:pPr>
        <w:spacing w:after="0" w:line="228" w:lineRule="exact"/>
        <w:rPr>
          <w:sz w:val="20"/>
          <w:szCs w:val="20"/>
          <w:color w:val="auto"/>
        </w:rPr>
      </w:pPr>
    </w:p>
    <w:p>
      <w:pPr>
        <w:ind w:left="640" w:right="99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Because we have no current plans to pay cash dividends on our common stock, you may not receive any return on investment unless you sell your common stock for a price greater than that which you paid for it.</w:t>
      </w:r>
    </w:p>
    <w:p>
      <w:pPr>
        <w:spacing w:after="0" w:line="120" w:lineRule="exact"/>
        <w:rPr>
          <w:sz w:val="20"/>
          <w:szCs w:val="20"/>
          <w:color w:val="auto"/>
        </w:rPr>
      </w:pPr>
    </w:p>
    <w:p>
      <w:pPr>
        <w:ind w:left="640" w:right="719" w:firstLine="351"/>
        <w:spacing w:after="0" w:line="262" w:lineRule="auto"/>
        <w:rPr>
          <w:sz w:val="20"/>
          <w:szCs w:val="20"/>
          <w:color w:val="auto"/>
        </w:rPr>
      </w:pPr>
      <w:r>
        <w:rPr>
          <w:rFonts w:ascii="Times New Roman" w:cs="Times New Roman" w:eastAsia="Times New Roman" w:hAnsi="Times New Roman"/>
          <w:sz w:val="14"/>
          <w:szCs w:val="14"/>
          <w:color w:val="231F20"/>
        </w:rPr>
        <w:t>We have no current plans to pay cash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and other indebtedness we may incur, and such other factors as our board of directors may deem relevant. As a result, you may not receive any return on an investment in our common stock unless you sell our common stock for a price greater than your purchase price.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9" w:name="page60"/>
    <w:bookmarkEnd w:id="5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40" w:right="105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BrightSpring Health Services, Inc. depends on its subsidiaries for cash to fund its operations and expenses, including future dividend payments, if any, and to meet its debt obligations.</w:t>
      </w:r>
    </w:p>
    <w:p>
      <w:pPr>
        <w:spacing w:after="0" w:line="120"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231F20"/>
        </w:rPr>
        <w:t>Our operations are conducted through our subsidiaries and our ability to generate cash to meet our debt service obligations (including the amortizing notes that are components of the Units) or to make future dividend payments, if any, is highly dependent on the earnings of,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 In addition, Delaware law may impose requirements that may restrict our ability to pay dividends to holders of our common stock.</w:t>
      </w:r>
    </w:p>
    <w:p>
      <w:pPr>
        <w:spacing w:after="0" w:line="226" w:lineRule="exact"/>
        <w:rPr>
          <w:sz w:val="20"/>
          <w:szCs w:val="20"/>
          <w:color w:val="auto"/>
        </w:rPr>
      </w:pPr>
    </w:p>
    <w:p>
      <w:pPr>
        <w:ind w:left="64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Future sales or issuances, or the perception of future sales or issuances, by us or our existing stockholders, or the settlement of the purchase contracts, could cause the market price for our common stock to decline.</w:t>
      </w:r>
    </w:p>
    <w:p>
      <w:pPr>
        <w:spacing w:after="0" w:line="120" w:lineRule="exact"/>
        <w:rPr>
          <w:sz w:val="20"/>
          <w:szCs w:val="20"/>
          <w:color w:val="auto"/>
        </w:rPr>
      </w:pPr>
    </w:p>
    <w:p>
      <w:pPr>
        <w:ind w:left="640" w:right="759" w:firstLine="351"/>
        <w:spacing w:after="0" w:line="265" w:lineRule="auto"/>
        <w:rPr>
          <w:sz w:val="20"/>
          <w:szCs w:val="20"/>
          <w:color w:val="auto"/>
        </w:rPr>
      </w:pPr>
      <w:r>
        <w:rPr>
          <w:rFonts w:ascii="Times New Roman" w:cs="Times New Roman" w:eastAsia="Times New Roman" w:hAnsi="Times New Roman"/>
          <w:sz w:val="14"/>
          <w:szCs w:val="14"/>
          <w:color w:val="231F20"/>
        </w:rPr>
        <w:t>The sale or issuance of substantial amounts of shares of our common stock or other securities convertible or exchangeable into shares of our common stock in the public market, or the settlement of the purchase contracts that are a component of the Units, or the perception that such sales or issuances could occur, including sales by our existing stockholders, could harm the prevailing market price of shares of our common stock. These sales or issuances, or the possibility that these sales or issuances may occur, also might make it more difficult for us to sell equity securities in the future at a time and at a price that we deem appropriate.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231F20"/>
        </w:rPr>
        <w:t>Anti-takeover provisions in our organizational documents could delay or prevent a change of control.</w:t>
      </w:r>
    </w:p>
    <w:p>
      <w:pPr>
        <w:spacing w:after="0" w:line="187"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231F20"/>
        </w:rPr>
        <w:t>Certain provisions of our second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231F20"/>
        </w:rPr>
        <w:t>These provisions provide for, among other things:</w:t>
      </w:r>
    </w:p>
    <w:p>
      <w:pPr>
        <w:spacing w:after="0" w:line="97" w:lineRule="exact"/>
        <w:rPr>
          <w:sz w:val="20"/>
          <w:szCs w:val="20"/>
          <w:color w:val="auto"/>
        </w:rPr>
      </w:pPr>
    </w:p>
    <w:p>
      <w:pPr>
        <w:ind w:left="1340" w:right="979" w:hanging="352"/>
        <w:spacing w:after="0" w:line="292" w:lineRule="auto"/>
        <w:tabs>
          <w:tab w:leader="none" w:pos="1340" w:val="left"/>
        </w:tabs>
        <w:numPr>
          <w:ilvl w:val="0"/>
          <w:numId w:val="22"/>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a classified board of directors, as a result of which our board of directors is divided into three classes, with each class serving for staggered three-year terms;</w:t>
      </w:r>
    </w:p>
    <w:p>
      <w:pPr>
        <w:spacing w:after="0" w:line="37" w:lineRule="exact"/>
        <w:rPr>
          <w:rFonts w:ascii="Times New Roman" w:cs="Times New Roman" w:eastAsia="Times New Roman" w:hAnsi="Times New Roman"/>
          <w:sz w:val="14"/>
          <w:szCs w:val="14"/>
          <w:color w:val="231F20"/>
        </w:rPr>
      </w:pPr>
    </w:p>
    <w:p>
      <w:pPr>
        <w:ind w:left="1340" w:hanging="352"/>
        <w:spacing w:after="0"/>
        <w:tabs>
          <w:tab w:leader="none" w:pos="1340" w:val="left"/>
        </w:tabs>
        <w:numPr>
          <w:ilvl w:val="0"/>
          <w:numId w:val="22"/>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ability of our board of directors to issue one or more series of preferred stock;</w:t>
      </w:r>
    </w:p>
    <w:p>
      <w:pPr>
        <w:spacing w:after="0" w:line="96" w:lineRule="exact"/>
        <w:rPr>
          <w:rFonts w:ascii="Times New Roman" w:cs="Times New Roman" w:eastAsia="Times New Roman" w:hAnsi="Times New Roman"/>
          <w:sz w:val="14"/>
          <w:szCs w:val="14"/>
          <w:color w:val="231F20"/>
        </w:rPr>
      </w:pPr>
    </w:p>
    <w:p>
      <w:pPr>
        <w:ind w:left="1340" w:right="879" w:hanging="352"/>
        <w:spacing w:after="0" w:line="292" w:lineRule="auto"/>
        <w:tabs>
          <w:tab w:leader="none" w:pos="1340" w:val="left"/>
        </w:tabs>
        <w:numPr>
          <w:ilvl w:val="0"/>
          <w:numId w:val="22"/>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advance notice requirements for nominations of directors by stockholders and for stockholders to include matters to be considered at our annual meetings; and</w:t>
      </w:r>
    </w:p>
    <w:p>
      <w:pPr>
        <w:spacing w:after="0" w:line="37" w:lineRule="exact"/>
        <w:rPr>
          <w:rFonts w:ascii="Times New Roman" w:cs="Times New Roman" w:eastAsia="Times New Roman" w:hAnsi="Times New Roman"/>
          <w:sz w:val="14"/>
          <w:szCs w:val="14"/>
          <w:color w:val="231F20"/>
        </w:rPr>
      </w:pPr>
    </w:p>
    <w:p>
      <w:pPr>
        <w:ind w:left="1340" w:hanging="352"/>
        <w:spacing w:after="0"/>
        <w:tabs>
          <w:tab w:leader="none" w:pos="1340" w:val="left"/>
        </w:tabs>
        <w:numPr>
          <w:ilvl w:val="0"/>
          <w:numId w:val="22"/>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certain limitations on convening special stockholder meetings;</w:t>
      </w:r>
    </w:p>
    <w:p>
      <w:pPr>
        <w:spacing w:after="0" w:line="96" w:lineRule="exact"/>
        <w:rPr>
          <w:rFonts w:ascii="Times New Roman" w:cs="Times New Roman" w:eastAsia="Times New Roman" w:hAnsi="Times New Roman"/>
          <w:sz w:val="14"/>
          <w:szCs w:val="14"/>
          <w:color w:val="231F20"/>
        </w:rPr>
      </w:pPr>
    </w:p>
    <w:p>
      <w:pPr>
        <w:ind w:left="1340" w:right="759" w:hanging="352"/>
        <w:spacing w:after="0" w:line="292" w:lineRule="auto"/>
        <w:tabs>
          <w:tab w:leader="none" w:pos="1340" w:val="left"/>
        </w:tabs>
        <w:numPr>
          <w:ilvl w:val="0"/>
          <w:numId w:val="22"/>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removal of directors only for cause and only upon the affirmative vote of the holders of at least 66 2/3% of the shares of common stock entitled to vote generally in the election of directors; and</w:t>
      </w:r>
    </w:p>
    <w:p>
      <w:pPr>
        <w:spacing w:after="0" w:line="37" w:lineRule="exact"/>
        <w:rPr>
          <w:rFonts w:ascii="Times New Roman" w:cs="Times New Roman" w:eastAsia="Times New Roman" w:hAnsi="Times New Roman"/>
          <w:sz w:val="14"/>
          <w:szCs w:val="14"/>
          <w:color w:val="231F20"/>
        </w:rPr>
      </w:pPr>
    </w:p>
    <w:p>
      <w:pPr>
        <w:ind w:left="1340" w:right="1079" w:hanging="352"/>
        <w:spacing w:after="0" w:line="292" w:lineRule="auto"/>
        <w:tabs>
          <w:tab w:leader="none" w:pos="1340" w:val="left"/>
        </w:tabs>
        <w:numPr>
          <w:ilvl w:val="0"/>
          <w:numId w:val="22"/>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that certain provisions may be amended only by the affirmative vote of at least 66 2/3% of shares of common stock entitled to vote generally in the election of directors.</w:t>
      </w:r>
    </w:p>
    <w:p>
      <w:pPr>
        <w:spacing w:after="0" w:line="38"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231F20"/>
        </w:rPr>
        <w:t>These anti-takeover provisions could make it more difficult for a third party to acquire us, even if the third party’s offer may be considered beneficial by many of our stockholders. These provisions also may have the effect of preventing changes in our board of directors and may make it more difficult to accomplish transactions that stockholders may otherwise deem to be in their best interests. As a result, our stockholders may be limited in their ability to obtain a premium for their shares.</w:t>
      </w:r>
    </w:p>
    <w:p>
      <w:pPr>
        <w:spacing w:after="0" w:line="222" w:lineRule="exact"/>
        <w:rPr>
          <w:sz w:val="20"/>
          <w:szCs w:val="20"/>
          <w:color w:val="auto"/>
        </w:rPr>
      </w:pPr>
    </w:p>
    <w:p>
      <w:pPr>
        <w:ind w:left="640" w:right="679"/>
        <w:spacing w:after="0" w:line="265" w:lineRule="auto"/>
        <w:rPr>
          <w:sz w:val="20"/>
          <w:szCs w:val="20"/>
          <w:color w:val="auto"/>
        </w:rPr>
      </w:pPr>
      <w:r>
        <w:rPr>
          <w:rFonts w:ascii="Times New Roman" w:cs="Times New Roman" w:eastAsia="Times New Roman" w:hAnsi="Times New Roman"/>
          <w:sz w:val="14"/>
          <w:szCs w:val="14"/>
          <w:b w:val="1"/>
          <w:bCs w:val="1"/>
          <w:i w:val="1"/>
          <w:iCs w:val="1"/>
          <w:color w:val="231F20"/>
        </w:rPr>
        <w:t>Our second amended and restated certificate of incorporation provides that the Court of Chancery of the State of Delaware (or if such court does not have jurisdiction, another state or the federal courts (as appropriate) located within the State of Delaware) will be the exclusive forum for substantially all disputes between us and our stockholders and the federal district courts will be the exclusive forum for Securities Act and Exchange Act claims, which could limit our stockholders’ ability to bring a suit in a different judicial forum than they may otherwise choose for disputes with us or our directors, officers, team members or stockholders.</w:t>
      </w:r>
    </w:p>
    <w:p>
      <w:pPr>
        <w:spacing w:after="0" w:line="318" w:lineRule="exact"/>
        <w:rPr>
          <w:sz w:val="20"/>
          <w:szCs w:val="20"/>
          <w:color w:val="auto"/>
        </w:rPr>
      </w:pPr>
    </w:p>
    <w:p>
      <w:pPr>
        <w:jc w:val="both"/>
        <w:ind w:left="640" w:right="779" w:firstLine="351"/>
        <w:spacing w:after="0" w:line="274" w:lineRule="auto"/>
        <w:rPr>
          <w:sz w:val="20"/>
          <w:szCs w:val="20"/>
          <w:color w:val="auto"/>
        </w:rPr>
      </w:pPr>
      <w:r>
        <w:rPr>
          <w:rFonts w:ascii="Times New Roman" w:cs="Times New Roman" w:eastAsia="Times New Roman" w:hAnsi="Times New Roman"/>
          <w:sz w:val="14"/>
          <w:szCs w:val="14"/>
          <w:color w:val="231F20"/>
        </w:rPr>
        <w:t>Our second amended and restated certificate of incorporation provides that unless we consent to the selection of an alternative forum, the Court of Chancery of the State of Delaware (or if such court does not have jurisdiction, another state or the federal courts (as appropriate) located within the State of Delaware) will, to the fullest extent permitted by law, be the sole and exclusive forum for</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0" w:name="page61"/>
    <w:bookmarkEnd w:id="6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right="679"/>
        <w:spacing w:after="0" w:line="259" w:lineRule="auto"/>
        <w:rPr>
          <w:sz w:val="20"/>
          <w:szCs w:val="20"/>
          <w:color w:val="auto"/>
        </w:rPr>
      </w:pPr>
      <w:r>
        <w:rPr>
          <w:rFonts w:ascii="Times New Roman" w:cs="Times New Roman" w:eastAsia="Times New Roman" w:hAnsi="Times New Roman"/>
          <w:sz w:val="14"/>
          <w:szCs w:val="14"/>
          <w:color w:val="231F20"/>
        </w:rPr>
        <w:t>any (i) derivative action or proceeding brought on behalf of our Company, (ii) action asserting a claim of breach of a fiduciary duty owed by any current or former director, officer, or other employee or stockholder of our Company to the Company or our stockholders, creditors, or other constituents, (iii) action asserting a claim against the Company or any current or former director or officer of the Company arising pursuant to any provision of the Delaware General Corporation Law, or the DGCL, or our second amended and restated certificate of incorporation or our amended and restated bylaws or as to which the DGCL confers jurisdiction on the Court of Chancery of the State of Delaware, or (iv) action asserting a claim governed by the internal affairs doctrine. Our second amended and restated certificate of incorporation also provides that, unless we consent in writing to the selection of an alternative forum, to the fullest extent permitted by law, the U.S. federal district courts will be the exclusive forum for the resolution of any complaint asserting a cause of action arising under the federal securities laws of the United States, including any claims under the Securities Act and the Securities Exchange Act of 1934, as amended, or the Exchange Act. However, Section 22 of the Securities Act creates concurrent jurisdiction for federal and state courts over all suits brought to enforce a duty or liability created by the Securities Act or the rules and regulations thereunder and accordingly, we cannot be certain that a court would enforce such provision.</w:t>
      </w:r>
    </w:p>
    <w:p>
      <w:pPr>
        <w:spacing w:after="0" w:line="231" w:lineRule="exact"/>
        <w:rPr>
          <w:sz w:val="20"/>
          <w:szCs w:val="20"/>
          <w:color w:val="auto"/>
        </w:rPr>
      </w:pPr>
    </w:p>
    <w:p>
      <w:pPr>
        <w:ind w:left="640" w:right="719"/>
        <w:spacing w:after="0" w:line="298" w:lineRule="auto"/>
        <w:rPr>
          <w:sz w:val="20"/>
          <w:szCs w:val="20"/>
          <w:color w:val="auto"/>
        </w:rPr>
      </w:pPr>
      <w:r>
        <w:rPr>
          <w:rFonts w:ascii="Times New Roman" w:cs="Times New Roman" w:eastAsia="Times New Roman" w:hAnsi="Times New Roman"/>
          <w:sz w:val="14"/>
          <w:szCs w:val="14"/>
          <w:b w:val="1"/>
          <w:bCs w:val="1"/>
          <w:i w:val="1"/>
          <w:iCs w:val="1"/>
          <w:color w:val="231F20"/>
        </w:rPr>
        <w:t>If tax laws change or we experience adverse outcomes resulting from examination of our tax returns or disagreements with taxing authorities, it could adversely affect our business, financial condition, and results of operations.</w:t>
      </w:r>
    </w:p>
    <w:p>
      <w:pPr>
        <w:spacing w:after="0" w:line="120" w:lineRule="exact"/>
        <w:rPr>
          <w:sz w:val="20"/>
          <w:szCs w:val="20"/>
          <w:color w:val="auto"/>
        </w:rPr>
      </w:pPr>
    </w:p>
    <w:p>
      <w:pPr>
        <w:ind w:left="640" w:right="779" w:firstLine="351"/>
        <w:spacing w:after="0" w:line="262" w:lineRule="auto"/>
        <w:rPr>
          <w:sz w:val="20"/>
          <w:szCs w:val="20"/>
          <w:color w:val="auto"/>
        </w:rPr>
      </w:pPr>
      <w:r>
        <w:rPr>
          <w:rFonts w:ascii="Times New Roman" w:cs="Times New Roman" w:eastAsia="Times New Roman" w:hAnsi="Times New Roman"/>
          <w:sz w:val="14"/>
          <w:szCs w:val="14"/>
          <w:color w:val="231F20"/>
        </w:rPr>
        <w:t>We are subject to federal, state, and local tax laws and regulations in the United States. The application and interpretation of these laws in different jurisdictions affect our operations in complex ways and are subject to change, and some changes may be retroactively applied. Our future effective tax rates and the value of our deferred tax assets could be adversely affected by changes in tax laws, including impacts of the One Big Beautiful Bill Act, enacted July 4, 2025. In addition, in August 2022, the IRA was signed into law. The IRA, among other things, includes a new 15% corporate minimum tax as well as a 1% excise tax on corporate stock repurchases, subject to certain exceptions. The United States is also actively considering changes to existing U.S. tax laws that, if enacted, could increase our tax obligations or require us to change the manner in which we operate our business.</w:t>
      </w:r>
    </w:p>
    <w:p>
      <w:pPr>
        <w:spacing w:after="0" w:line="59"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231F20"/>
        </w:rPr>
        <w:t>In addition, we are subject to the examination of our income and other tax returns by the Internal Revenue Service and other tax authorities. We regularly assess the likelihood of adverse outcomes resulting from such examinations to determine the adequacy of our provision for income taxes. Although we believe we have made appropriate provisions for taxes in the jurisdictions in which we operate, changes in the tax laws, or challenges from tax authorities under existing tax laws could adversely affect our business, financial condition, and results of operations.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None.</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Risk Management and Strategy</w:t>
      </w:r>
    </w:p>
    <w:p>
      <w:pPr>
        <w:spacing w:after="0" w:line="99" w:lineRule="exact"/>
        <w:rPr>
          <w:sz w:val="20"/>
          <w:szCs w:val="20"/>
          <w:color w:val="auto"/>
        </w:rPr>
      </w:pPr>
    </w:p>
    <w:p>
      <w:pPr>
        <w:ind w:left="640" w:right="819" w:firstLine="516"/>
        <w:spacing w:after="0" w:line="268" w:lineRule="auto"/>
        <w:rPr>
          <w:sz w:val="20"/>
          <w:szCs w:val="20"/>
          <w:color w:val="auto"/>
        </w:rPr>
      </w:pPr>
      <w:r>
        <w:rPr>
          <w:rFonts w:ascii="Times New Roman" w:cs="Times New Roman" w:eastAsia="Times New Roman" w:hAnsi="Times New Roman"/>
          <w:sz w:val="14"/>
          <w:szCs w:val="14"/>
          <w:color w:val="auto"/>
        </w:rPr>
        <w:t>We recognize the importance of identifying, assessing, and managing material risks associated with cybersecurity threats, which include, among other things, operational risks, intellectual property theft, fraud, extortion, harm to employees or patients, and violation of data privacy or security laws. We incorporate cybersecurity practices into our Enterprise Risk Management (ERM) approach, which is subject to oversight by our Board of Directors. Our cybersecurity policies and practices are aligned with relevant</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1" w:name="page62"/>
    <w:bookmarkEnd w:id="6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939"/>
        <w:spacing w:after="0" w:line="292" w:lineRule="auto"/>
        <w:rPr>
          <w:sz w:val="20"/>
          <w:szCs w:val="20"/>
          <w:color w:val="auto"/>
        </w:rPr>
      </w:pPr>
      <w:r>
        <w:rPr>
          <w:rFonts w:ascii="Times New Roman" w:cs="Times New Roman" w:eastAsia="Times New Roman" w:hAnsi="Times New Roman"/>
          <w:sz w:val="14"/>
          <w:szCs w:val="14"/>
          <w:color w:val="auto"/>
        </w:rPr>
        <w:t>industry standards and are designed to detect, prevent, contain, and respond to cybersecurity threats and incidents in a prompt and effective manner.</w:t>
      </w:r>
    </w:p>
    <w:p>
      <w:pPr>
        <w:spacing w:after="0" w:line="38" w:lineRule="exact"/>
        <w:rPr>
          <w:sz w:val="20"/>
          <w:szCs w:val="20"/>
          <w:color w:val="auto"/>
        </w:rPr>
      </w:pPr>
    </w:p>
    <w:p>
      <w:pPr>
        <w:ind w:left="640" w:right="899" w:firstLine="516"/>
        <w:spacing w:after="0" w:line="274" w:lineRule="auto"/>
        <w:rPr>
          <w:sz w:val="20"/>
          <w:szCs w:val="20"/>
          <w:color w:val="auto"/>
        </w:rPr>
      </w:pPr>
      <w:r>
        <w:rPr>
          <w:rFonts w:ascii="Times New Roman" w:cs="Times New Roman" w:eastAsia="Times New Roman" w:hAnsi="Times New Roman"/>
          <w:sz w:val="14"/>
          <w:szCs w:val="14"/>
          <w:color w:val="auto"/>
        </w:rPr>
        <w:t>Our cybersecurity risk management program is informed by prevailing security standards and is designed to provide a framework for evaluating and responding to cybersecurity risks. Key aspects of this risk management program include, but are not limited to:</w:t>
      </w:r>
    </w:p>
    <w:p>
      <w:pPr>
        <w:spacing w:after="0" w:line="50" w:lineRule="exact"/>
        <w:rPr>
          <w:sz w:val="20"/>
          <w:szCs w:val="20"/>
          <w:color w:val="auto"/>
        </w:rPr>
      </w:pPr>
    </w:p>
    <w:p>
      <w:pPr>
        <w:ind w:left="1340" w:hanging="352"/>
        <w:spacing w:after="0"/>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the source of a cybersecurity threat;</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Assessing the severity of a cybersecurity threat;</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Implementing cybersecurity countermeasures and mitigation strategies;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our employees with regular training on cybersecurity and the protection of our information systems;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and testing a business continuity and disaster recovery program;</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insurance coverage intended to address cybersecurity and data breach risks; and</w:t>
      </w:r>
    </w:p>
    <w:p>
      <w:pPr>
        <w:spacing w:after="0" w:line="96" w:lineRule="exact"/>
        <w:rPr>
          <w:rFonts w:ascii="Times New Roman" w:cs="Times New Roman" w:eastAsia="Times New Roman" w:hAnsi="Times New Roman"/>
          <w:sz w:val="14"/>
          <w:szCs w:val="14"/>
          <w:color w:val="auto"/>
        </w:rPr>
      </w:pPr>
    </w:p>
    <w:p>
      <w:pPr>
        <w:ind w:left="1340" w:right="859" w:hanging="352"/>
        <w:spacing w:after="0" w:line="292" w:lineRule="auto"/>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Informing and updating management and, as needed, the Audit Committee and our Board of Directors of cybersecurity incidents that may pose a significant risk for the business.</w:t>
      </w:r>
    </w:p>
    <w:p>
      <w:pPr>
        <w:spacing w:after="0" w:line="124" w:lineRule="exact"/>
        <w:rPr>
          <w:sz w:val="20"/>
          <w:szCs w:val="20"/>
          <w:color w:val="auto"/>
        </w:rPr>
      </w:pPr>
    </w:p>
    <w:p>
      <w:pPr>
        <w:ind w:left="640" w:right="779" w:firstLine="516"/>
        <w:spacing w:after="0" w:line="292" w:lineRule="auto"/>
        <w:rPr>
          <w:sz w:val="20"/>
          <w:szCs w:val="20"/>
          <w:color w:val="auto"/>
        </w:rPr>
      </w:pPr>
      <w:r>
        <w:rPr>
          <w:rFonts w:ascii="Times New Roman" w:cs="Times New Roman" w:eastAsia="Times New Roman" w:hAnsi="Times New Roman"/>
          <w:sz w:val="14"/>
          <w:szCs w:val="14"/>
          <w:color w:val="auto"/>
        </w:rPr>
        <w:t>Security events and data incidents are evaluated, ranked by severity, and prioritized for response and remediation. Incidents are evaluated to determine materiality, as well as operational and business impact, and reviewed for privacy impact.</w:t>
      </w:r>
    </w:p>
    <w:p>
      <w:pPr>
        <w:spacing w:after="0" w:line="38" w:lineRule="exact"/>
        <w:rPr>
          <w:sz w:val="20"/>
          <w:szCs w:val="20"/>
          <w:color w:val="auto"/>
        </w:rPr>
      </w:pPr>
    </w:p>
    <w:p>
      <w:pPr>
        <w:ind w:left="640" w:right="739" w:firstLine="516"/>
        <w:spacing w:after="0" w:line="265" w:lineRule="auto"/>
        <w:rPr>
          <w:sz w:val="20"/>
          <w:szCs w:val="20"/>
          <w:color w:val="auto"/>
        </w:rPr>
      </w:pPr>
      <w:r>
        <w:rPr>
          <w:rFonts w:ascii="Times New Roman" w:cs="Times New Roman" w:eastAsia="Times New Roman" w:hAnsi="Times New Roman"/>
          <w:sz w:val="14"/>
          <w:szCs w:val="14"/>
          <w:color w:val="auto"/>
        </w:rPr>
        <w:t>We deploy technical safeguards that are designed to protect our information systems, products, operations and sensitive information from cybersecurity threats. These include firewalls, intrusion prevention and detection systems, disaster recovery capabilities, malware and ransomware prevention, access controls, and data protection. We provide periodic training for all personnel regarding cybersecurity threats, with such training appropriate to the roles, responsibilities and access of the relevant Company personnel. Our policies require all workers to report any real or suspected cybersecurity events.</w:t>
      </w:r>
    </w:p>
    <w:p>
      <w:pPr>
        <w:spacing w:after="0" w:line="56" w:lineRule="exact"/>
        <w:rPr>
          <w:sz w:val="20"/>
          <w:szCs w:val="20"/>
          <w:color w:val="auto"/>
        </w:rPr>
      </w:pPr>
    </w:p>
    <w:p>
      <w:pPr>
        <w:ind w:left="640" w:right="719" w:firstLine="516"/>
        <w:spacing w:after="0" w:line="261" w:lineRule="auto"/>
        <w:rPr>
          <w:sz w:val="20"/>
          <w:szCs w:val="20"/>
          <w:color w:val="auto"/>
        </w:rPr>
      </w:pPr>
      <w:r>
        <w:rPr>
          <w:rFonts w:ascii="Times New Roman" w:cs="Times New Roman" w:eastAsia="Times New Roman" w:hAnsi="Times New Roman"/>
          <w:sz w:val="14"/>
          <w:szCs w:val="14"/>
          <w:color w:val="auto"/>
        </w:rPr>
        <w:t>Recognizing the complexity and evolving nature of cybersecurity threats, incidents and risks, we engage third-party experts, including cybersecurity consultants, to evaluate and support our risk management systems. We also rely on software support from third-party vendors to assist with evaluating, monitoring, and testing our information technology systems. These relationships enable us to leverage specialized knowledge and insights, to help ensure our cybersecurity strategies and processes remain effective. Our collaboration with these third parties includes regular audits, routine system monitoring, threat assessments, and consultation on potential security enhancements. We require third-party service providers with access to personal, confidential, or proprietary information to implement and maintain comprehensive cybersecurity practices consistent with applicable legal standards and industry best practices.</w:t>
      </w:r>
    </w:p>
    <w:p>
      <w:pPr>
        <w:spacing w:after="0" w:line="60" w:lineRule="exact"/>
        <w:rPr>
          <w:sz w:val="20"/>
          <w:szCs w:val="20"/>
          <w:color w:val="auto"/>
        </w:rPr>
      </w:pPr>
    </w:p>
    <w:p>
      <w:pPr>
        <w:ind w:left="640" w:right="679" w:firstLine="516"/>
        <w:spacing w:after="0" w:line="262" w:lineRule="auto"/>
        <w:rPr>
          <w:sz w:val="20"/>
          <w:szCs w:val="20"/>
          <w:color w:val="auto"/>
        </w:rPr>
      </w:pPr>
      <w:r>
        <w:rPr>
          <w:rFonts w:ascii="Times New Roman" w:cs="Times New Roman" w:eastAsia="Times New Roman" w:hAnsi="Times New Roman"/>
          <w:sz w:val="14"/>
          <w:szCs w:val="14"/>
          <w:color w:val="auto"/>
        </w:rPr>
        <w:t>As of the date of this Annual Report on Form 10-K, we are not aware of any cybersecurity incidents that have materially affected or are reasonably likely to materially affect the Company, including our business strategy, results of operations, or financial condition. For further discussion of the risks associated with cybersecurity incidents, as well as a description of an event that occurred in March 2023, see “Risk Factors—Risks Related to Our Business—Security breaches, loss of data, and other disruptions could compromise sensitive business or patient information, cause a loss of confidential patient data, employee data, personal information, or prevent access to critical information, and expose us to liability, litigation, and federal and state governmental inquiries and damage our reputation and brand.”</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Governance</w:t>
      </w:r>
    </w:p>
    <w:p>
      <w:pPr>
        <w:spacing w:after="0" w:line="99" w:lineRule="exact"/>
        <w:rPr>
          <w:sz w:val="20"/>
          <w:szCs w:val="20"/>
          <w:color w:val="auto"/>
        </w:rPr>
      </w:pPr>
    </w:p>
    <w:p>
      <w:pPr>
        <w:ind w:left="640" w:right="659" w:firstLine="516"/>
        <w:spacing w:after="0" w:line="262" w:lineRule="auto"/>
        <w:rPr>
          <w:sz w:val="20"/>
          <w:szCs w:val="20"/>
          <w:color w:val="auto"/>
        </w:rPr>
      </w:pPr>
      <w:r>
        <w:rPr>
          <w:rFonts w:ascii="Times New Roman" w:cs="Times New Roman" w:eastAsia="Times New Roman" w:hAnsi="Times New Roman"/>
          <w:sz w:val="14"/>
          <w:szCs w:val="14"/>
          <w:color w:val="auto"/>
        </w:rPr>
        <w:t>Our Board of Directors has overall oversight responsibility for our risk management, and delegates information security and related risk management oversight to the Audit Committee. The Audit Committee receives regular briefings on cybersecurity risks and risk management practices, including, for example, recent developments in the external cybersecurity threat landscape, evolving standards, vulnerability assessments, third-party and independent reviews, technological trends, as well as how management is addressing or mitigating those risks. The Audit Committee may also promptly receive information regarding any material cybersecurity incident that may occur, including any ongoing updates regarding the same. The Audit Committee periodically discusses our approach to cybersecurity risk management with our Chief Information Officer (CIO).</w:t>
      </w:r>
    </w:p>
    <w:p>
      <w:pPr>
        <w:spacing w:after="0" w:line="59" w:lineRule="exact"/>
        <w:rPr>
          <w:sz w:val="20"/>
          <w:szCs w:val="20"/>
          <w:color w:val="auto"/>
        </w:rPr>
      </w:pPr>
    </w:p>
    <w:p>
      <w:pPr>
        <w:ind w:left="640" w:right="679" w:firstLine="516"/>
        <w:spacing w:after="0" w:line="274" w:lineRule="auto"/>
        <w:rPr>
          <w:sz w:val="20"/>
          <w:szCs w:val="20"/>
          <w:color w:val="auto"/>
        </w:rPr>
      </w:pPr>
      <w:r>
        <w:rPr>
          <w:rFonts w:ascii="Times New Roman" w:cs="Times New Roman" w:eastAsia="Times New Roman" w:hAnsi="Times New Roman"/>
          <w:sz w:val="14"/>
          <w:szCs w:val="14"/>
          <w:color w:val="auto"/>
        </w:rPr>
        <w:t>Our CIO is a member of our executive management team who is principally responsible for overseeing our cybersecurity risk management program, in partnership with other business leaders across the Company. Our CIO has over twenty-five years of extensive experience in information technology and security, and works in coordination with other members of the management team,</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2" w:name="page63"/>
    <w:bookmarkEnd w:id="6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999"/>
        <w:spacing w:after="0" w:line="292" w:lineRule="auto"/>
        <w:rPr>
          <w:sz w:val="20"/>
          <w:szCs w:val="20"/>
          <w:color w:val="auto"/>
        </w:rPr>
      </w:pPr>
      <w:r>
        <w:rPr>
          <w:rFonts w:ascii="Times New Roman" w:cs="Times New Roman" w:eastAsia="Times New Roman" w:hAnsi="Times New Roman"/>
          <w:sz w:val="14"/>
          <w:szCs w:val="14"/>
          <w:color w:val="auto"/>
        </w:rPr>
        <w:t>including, among others, the Chief Financial Officer and Chief Compliance Officer and their designees. We believe our business leaders have the appropriate expertise, background, and depth of experience to manage risks arising from cybersecurity threats.</w:t>
      </w:r>
    </w:p>
    <w:p>
      <w:pPr>
        <w:spacing w:after="0" w:line="38" w:lineRule="exact"/>
        <w:rPr>
          <w:sz w:val="20"/>
          <w:szCs w:val="20"/>
          <w:color w:val="auto"/>
        </w:rPr>
      </w:pPr>
    </w:p>
    <w:p>
      <w:pPr>
        <w:ind w:left="640" w:right="679" w:firstLine="516"/>
        <w:spacing w:after="0" w:line="263" w:lineRule="auto"/>
        <w:rPr>
          <w:sz w:val="20"/>
          <w:szCs w:val="20"/>
          <w:color w:val="auto"/>
        </w:rPr>
      </w:pPr>
      <w:r>
        <w:rPr>
          <w:rFonts w:ascii="Times New Roman" w:cs="Times New Roman" w:eastAsia="Times New Roman" w:hAnsi="Times New Roman"/>
          <w:sz w:val="14"/>
          <w:szCs w:val="14"/>
          <w:color w:val="auto"/>
        </w:rPr>
        <w:t>Our CIO, along with leaders from our privacy and corporate compliance functions, collaborate to implement a program designed to manage our exposure to cybersecurity risks and to promptly respond to cybersecurity incidents. Prompt response to incidents is delivered by multi-disciplinary teams in accordance with our incident response plan. Through ongoing communications with these teams during incidents, the CIO monitors the triage, mitigation and remediation of cybersecurity incidents, and reports such incidents to executive management, the Audit Committee and other colleagues in accordance with our cybersecurity policies and procedures, as is appropriate.</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99"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Our principal executive offices are located in Louisville, Kentucky, where we lease approximately 100,000 square feet. We also own 2 properties and lease 849 properties in the United States and lease one property in Canada. Of the leased properties, approximately 76% are provider service properties and 24% are pharmacy locations. We consider these facilities to be suitable and adequate for the management and operations of our business. Our properties that are associated with the Community Living business are excluded from this Item 2 since those operations are excluded from continuing operations.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Legal Proceedings</w:t>
      </w:r>
    </w:p>
    <w:p>
      <w:pPr>
        <w:spacing w:after="0" w:line="99" w:lineRule="exact"/>
        <w:rPr>
          <w:sz w:val="20"/>
          <w:szCs w:val="20"/>
          <w:color w:val="auto"/>
        </w:rPr>
      </w:pPr>
    </w:p>
    <w:p>
      <w:pPr>
        <w:ind w:left="640" w:right="1099" w:firstLine="516"/>
        <w:spacing w:after="0" w:line="292" w:lineRule="auto"/>
        <w:rPr>
          <w:sz w:val="20"/>
          <w:szCs w:val="20"/>
          <w:color w:val="auto"/>
        </w:rPr>
      </w:pPr>
      <w:r>
        <w:rPr>
          <w:rFonts w:ascii="Times New Roman" w:cs="Times New Roman" w:eastAsia="Times New Roman" w:hAnsi="Times New Roman"/>
          <w:sz w:val="14"/>
          <w:szCs w:val="14"/>
          <w:color w:val="auto"/>
        </w:rPr>
        <w:t>See Note 15 "Commitments and Contingencies" within the audited consolidated financial statements and related notes included in this Annual Report on Form 10-K, which is incorporated herein by reference.</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Not applicable.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3" w:name="page64"/>
    <w:bookmarkEnd w:id="6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69" w:lineRule="exact"/>
        <w:rPr>
          <w:sz w:val="20"/>
          <w:szCs w:val="20"/>
          <w:color w:val="auto"/>
        </w:rPr>
      </w:pPr>
    </w:p>
    <w:p>
      <w:pPr>
        <w:ind w:left="640" w:right="959"/>
        <w:spacing w:after="0" w:line="449" w:lineRule="auto"/>
        <w:rPr>
          <w:sz w:val="20"/>
          <w:szCs w:val="20"/>
          <w:color w:val="auto"/>
        </w:rPr>
      </w:pPr>
      <w:r>
        <w:rPr>
          <w:rFonts w:ascii="Times New Roman" w:cs="Times New Roman" w:eastAsia="Times New Roman" w:hAnsi="Times New Roman"/>
          <w:sz w:val="14"/>
          <w:szCs w:val="14"/>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4"/>
          <w:szCs w:val="14"/>
          <w:b w:val="1"/>
          <w:bCs w:val="1"/>
          <w:i w:val="1"/>
          <w:iCs w:val="1"/>
          <w:color w:val="auto"/>
        </w:rPr>
        <w:t>Market Information</w:t>
      </w:r>
    </w:p>
    <w:p>
      <w:pPr>
        <w:spacing w:after="0" w:line="1" w:lineRule="exact"/>
        <w:rPr>
          <w:sz w:val="20"/>
          <w:szCs w:val="20"/>
          <w:color w:val="auto"/>
        </w:rPr>
      </w:pPr>
    </w:p>
    <w:p>
      <w:pPr>
        <w:ind w:left="640" w:right="659" w:firstLine="516"/>
        <w:spacing w:after="0" w:line="274" w:lineRule="auto"/>
        <w:rPr>
          <w:sz w:val="20"/>
          <w:szCs w:val="20"/>
          <w:color w:val="auto"/>
        </w:rPr>
      </w:pPr>
      <w:r>
        <w:rPr>
          <w:rFonts w:ascii="Times New Roman" w:cs="Times New Roman" w:eastAsia="Times New Roman" w:hAnsi="Times New Roman"/>
          <w:sz w:val="14"/>
          <w:szCs w:val="14"/>
          <w:color w:val="auto"/>
        </w:rPr>
        <w:t>BrightSpring’s common stock and 6.75% Tangible Equity Units began trading on the Nasdaq Global Select Market (Nasdaq), under the ticker symbol “BTSG” and “BTSGU”, respectively, on January 26, 2024. Prior to that date, there was no public market for our common stock or 6.75% Tangible Equity Units.</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Stockholders</w:t>
      </w:r>
    </w:p>
    <w:p>
      <w:pPr>
        <w:spacing w:after="0" w:line="101" w:lineRule="exact"/>
        <w:rPr>
          <w:sz w:val="20"/>
          <w:szCs w:val="20"/>
          <w:color w:val="auto"/>
        </w:rPr>
      </w:pPr>
    </w:p>
    <w:p>
      <w:pPr>
        <w:ind w:left="640" w:right="679" w:firstLine="516"/>
        <w:spacing w:after="0" w:line="268" w:lineRule="auto"/>
        <w:rPr>
          <w:sz w:val="20"/>
          <w:szCs w:val="20"/>
          <w:color w:val="auto"/>
        </w:rPr>
      </w:pPr>
      <w:r>
        <w:rPr>
          <w:rFonts w:ascii="Times New Roman" w:cs="Times New Roman" w:eastAsia="Times New Roman" w:hAnsi="Times New Roman"/>
          <w:sz w:val="14"/>
          <w:szCs w:val="14"/>
          <w:color w:val="auto"/>
        </w:rPr>
        <w:t>As of February 24, 2026, there were approximately 51 holders of our common stock. The actual number of stockholders of common stock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01" w:lineRule="exact"/>
        <w:rPr>
          <w:sz w:val="20"/>
          <w:szCs w:val="20"/>
          <w:color w:val="auto"/>
        </w:rPr>
      </w:pPr>
    </w:p>
    <w:p>
      <w:pPr>
        <w:ind w:left="640" w:right="659" w:firstLine="516"/>
        <w:spacing w:after="0" w:line="263" w:lineRule="auto"/>
        <w:rPr>
          <w:sz w:val="20"/>
          <w:szCs w:val="20"/>
          <w:color w:val="auto"/>
        </w:rPr>
      </w:pPr>
      <w:r>
        <w:rPr>
          <w:rFonts w:ascii="Times New Roman" w:cs="Times New Roman" w:eastAsia="Times New Roman" w:hAnsi="Times New Roman"/>
          <w:sz w:val="14"/>
          <w:szCs w:val="14"/>
          <w:color w:val="auto"/>
        </w:rPr>
        <w:t>We have no current plans to pay cash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our indenture governing the Notes and other indebtedness we may incur, and such other factors as our board of directors may deem relevant.</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Recent Sales of Unregistered Securities</w:t>
      </w:r>
    </w:p>
    <w:p>
      <w:pPr>
        <w:spacing w:after="0" w:line="101" w:lineRule="exact"/>
        <w:rPr>
          <w:sz w:val="20"/>
          <w:szCs w:val="20"/>
          <w:color w:val="auto"/>
        </w:rPr>
      </w:pPr>
    </w:p>
    <w:p>
      <w:pPr>
        <w:ind w:left="640" w:right="679" w:firstLine="516"/>
        <w:spacing w:after="0" w:line="292" w:lineRule="auto"/>
        <w:rPr>
          <w:sz w:val="20"/>
          <w:szCs w:val="20"/>
          <w:color w:val="auto"/>
        </w:rPr>
      </w:pPr>
      <w:r>
        <w:rPr>
          <w:rFonts w:ascii="Times New Roman" w:cs="Times New Roman" w:eastAsia="Times New Roman" w:hAnsi="Times New Roman"/>
          <w:sz w:val="14"/>
          <w:szCs w:val="14"/>
          <w:color w:val="auto"/>
        </w:rPr>
        <w:t>There were no sales of equity securities during the period covered by this Report that were not registered under the Securities Act and were not previously reported in a Quarterly Report on Form 10-Q or a Current Report on Form 8-K filed by the Company.</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Issuer Purchases of Equity Securities</w:t>
      </w:r>
    </w:p>
    <w:p>
      <w:pPr>
        <w:spacing w:after="0" w:line="10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The following table presents repurchases of shares of common stock completed during the three months ended December 31,</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2025 (in thousands, except per share amounts):</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3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160" w:type="dxa"/>
            <w:vAlign w:val="bottom"/>
          </w:tcPr>
          <w:p>
            <w:pPr>
              <w:spacing w:after="0"/>
              <w:rPr>
                <w:sz w:val="10"/>
                <w:szCs w:val="10"/>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Maximum Dollar Value</w:t>
            </w:r>
          </w:p>
        </w:tc>
        <w:tc>
          <w:tcPr>
            <w:tcW w:w="0" w:type="dxa"/>
            <w:vAlign w:val="bottom"/>
          </w:tcPr>
          <w:p>
            <w:pPr>
              <w:spacing w:after="0"/>
              <w:rPr>
                <w:sz w:val="1"/>
                <w:szCs w:val="1"/>
                <w:color w:val="auto"/>
              </w:rPr>
            </w:pPr>
          </w:p>
        </w:tc>
      </w:tr>
      <w:tr>
        <w:trPr>
          <w:trHeight w:val="118"/>
        </w:trPr>
        <w:tc>
          <w:tcPr>
            <w:tcW w:w="3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Shares Purchased</w:t>
            </w:r>
          </w:p>
        </w:tc>
        <w:tc>
          <w:tcPr>
            <w:tcW w:w="160" w:type="dxa"/>
            <w:vAlign w:val="bottom"/>
          </w:tcPr>
          <w:p>
            <w:pPr>
              <w:spacing w:after="0"/>
              <w:rPr>
                <w:sz w:val="10"/>
                <w:szCs w:val="10"/>
                <w:color w:val="auto"/>
              </w:rPr>
            </w:pPr>
          </w:p>
        </w:tc>
        <w:tc>
          <w:tcPr>
            <w:tcW w:w="132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1"/>
                <w:szCs w:val="11"/>
                <w:b w:val="1"/>
                <w:bCs w:val="1"/>
                <w:color w:val="auto"/>
              </w:rPr>
              <w:t>of Shares that May Yet</w:t>
            </w:r>
          </w:p>
        </w:tc>
        <w:tc>
          <w:tcPr>
            <w:tcW w:w="0" w:type="dxa"/>
            <w:vAlign w:val="bottom"/>
          </w:tcPr>
          <w:p>
            <w:pPr>
              <w:spacing w:after="0"/>
              <w:rPr>
                <w:sz w:val="1"/>
                <w:szCs w:val="1"/>
                <w:color w:val="auto"/>
              </w:rPr>
            </w:pPr>
          </w:p>
        </w:tc>
      </w:tr>
      <w:tr>
        <w:trPr>
          <w:trHeight w:val="118"/>
        </w:trPr>
        <w:tc>
          <w:tcPr>
            <w:tcW w:w="3020" w:type="dxa"/>
            <w:vAlign w:val="bottom"/>
          </w:tcPr>
          <w:p>
            <w:pPr>
              <w:spacing w:after="0"/>
              <w:rPr>
                <w:sz w:val="10"/>
                <w:szCs w:val="10"/>
                <w:color w:val="auto"/>
              </w:rPr>
            </w:pPr>
          </w:p>
        </w:tc>
        <w:tc>
          <w:tcPr>
            <w:tcW w:w="1100" w:type="dxa"/>
            <w:vAlign w:val="bottom"/>
            <w:vMerge w:val="restart"/>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Average Price</w:t>
            </w:r>
          </w:p>
        </w:tc>
        <w:tc>
          <w:tcPr>
            <w:tcW w:w="1060" w:type="dxa"/>
            <w:vAlign w:val="bottom"/>
            <w:gridSpan w:val="2"/>
          </w:tcPr>
          <w:p>
            <w:pPr>
              <w:jc w:val="center"/>
              <w:ind w:left="53"/>
              <w:spacing w:after="0" w:line="119" w:lineRule="exact"/>
              <w:rPr>
                <w:sz w:val="20"/>
                <w:szCs w:val="20"/>
                <w:color w:val="auto"/>
              </w:rPr>
            </w:pPr>
            <w:r>
              <w:rPr>
                <w:rFonts w:ascii="Times New Roman" w:cs="Times New Roman" w:eastAsia="Times New Roman" w:hAnsi="Times New Roman"/>
                <w:sz w:val="11"/>
                <w:szCs w:val="11"/>
                <w:b w:val="1"/>
                <w:bCs w:val="1"/>
                <w:color w:val="auto"/>
              </w:rPr>
              <w:t>as Part of Publicly</w:t>
            </w:r>
          </w:p>
        </w:tc>
        <w:tc>
          <w:tcPr>
            <w:tcW w:w="160" w:type="dxa"/>
            <w:vAlign w:val="bottom"/>
          </w:tcPr>
          <w:p>
            <w:pPr>
              <w:spacing w:after="0"/>
              <w:rPr>
                <w:sz w:val="10"/>
                <w:szCs w:val="10"/>
                <w:color w:val="auto"/>
              </w:rPr>
            </w:pPr>
          </w:p>
        </w:tc>
        <w:tc>
          <w:tcPr>
            <w:tcW w:w="132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be Purchased Under the</w:t>
            </w:r>
          </w:p>
        </w:tc>
        <w:tc>
          <w:tcPr>
            <w:tcW w:w="0" w:type="dxa"/>
            <w:vAlign w:val="bottom"/>
          </w:tcPr>
          <w:p>
            <w:pPr>
              <w:spacing w:after="0"/>
              <w:rPr>
                <w:sz w:val="1"/>
                <w:szCs w:val="1"/>
                <w:color w:val="auto"/>
              </w:rPr>
            </w:pPr>
          </w:p>
        </w:tc>
      </w:tr>
      <w:tr>
        <w:trPr>
          <w:trHeight w:val="116"/>
        </w:trPr>
        <w:tc>
          <w:tcPr>
            <w:tcW w:w="30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Announced Plans</w:t>
            </w:r>
          </w:p>
        </w:tc>
        <w:tc>
          <w:tcPr>
            <w:tcW w:w="160" w:type="dxa"/>
            <w:vAlign w:val="bottom"/>
          </w:tcPr>
          <w:p>
            <w:pPr>
              <w:spacing w:after="0"/>
              <w:rPr>
                <w:sz w:val="10"/>
                <w:szCs w:val="10"/>
                <w:color w:val="auto"/>
              </w:rPr>
            </w:pPr>
          </w:p>
        </w:tc>
        <w:tc>
          <w:tcPr>
            <w:tcW w:w="132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rPr>
              <w:t>Plans or Programs (in</w:t>
            </w:r>
          </w:p>
        </w:tc>
        <w:tc>
          <w:tcPr>
            <w:tcW w:w="0" w:type="dxa"/>
            <w:vAlign w:val="bottom"/>
          </w:tcPr>
          <w:p>
            <w:pPr>
              <w:spacing w:after="0"/>
              <w:rPr>
                <w:sz w:val="1"/>
                <w:szCs w:val="1"/>
                <w:color w:val="auto"/>
              </w:rPr>
            </w:pPr>
          </w:p>
        </w:tc>
      </w:tr>
      <w:tr>
        <w:trPr>
          <w:trHeight w:val="140"/>
        </w:trPr>
        <w:tc>
          <w:tcPr>
            <w:tcW w:w="3020" w:type="dxa"/>
            <w:vAlign w:val="bottom"/>
          </w:tcPr>
          <w:p>
            <w:pPr>
              <w:ind w:left="130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11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Shares Purchased</w:t>
            </w:r>
          </w:p>
        </w:tc>
        <w:tc>
          <w:tcPr>
            <w:tcW w:w="140" w:type="dxa"/>
            <w:vAlign w:val="bottom"/>
          </w:tcPr>
          <w:p>
            <w:pPr>
              <w:spacing w:after="0"/>
              <w:rPr>
                <w:sz w:val="12"/>
                <w:szCs w:val="12"/>
                <w:color w:val="auto"/>
              </w:rPr>
            </w:pPr>
          </w:p>
        </w:tc>
        <w:tc>
          <w:tcPr>
            <w:tcW w:w="940" w:type="dxa"/>
            <w:vAlign w:val="bottom"/>
            <w:tcBorders>
              <w:bottom w:val="single" w:sz="8" w:color="auto"/>
            </w:tcBorders>
            <w:gridSpan w:val="2"/>
          </w:tcPr>
          <w:p>
            <w:pPr>
              <w:jc w:val="right"/>
              <w:spacing w:after="0" w:line="140" w:lineRule="exact"/>
              <w:rPr>
                <w:sz w:val="20"/>
                <w:szCs w:val="20"/>
                <w:color w:val="auto"/>
              </w:rPr>
            </w:pPr>
            <w:r>
              <w:rPr>
                <w:rFonts w:ascii="Times New Roman" w:cs="Times New Roman" w:eastAsia="Times New Roman" w:hAnsi="Times New Roman"/>
                <w:sz w:val="11"/>
                <w:szCs w:val="11"/>
                <w:b w:val="1"/>
                <w:bCs w:val="1"/>
                <w:color w:val="auto"/>
              </w:rPr>
              <w:t xml:space="preserve">Paid Per Share </w:t>
            </w:r>
            <w:r>
              <w:rPr>
                <w:rFonts w:ascii="Times New Roman" w:cs="Times New Roman" w:eastAsia="Times New Roman" w:hAnsi="Times New Roman"/>
                <w:sz w:val="15"/>
                <w:szCs w:val="15"/>
                <w:b w:val="1"/>
                <w:bCs w:val="1"/>
                <w:color w:val="auto"/>
                <w:vertAlign w:val="superscript"/>
              </w:rPr>
              <w:t>(1)</w:t>
            </w:r>
          </w:p>
        </w:tc>
        <w:tc>
          <w:tcPr>
            <w:tcW w:w="140" w:type="dxa"/>
            <w:vAlign w:val="bottom"/>
          </w:tcPr>
          <w:p>
            <w:pPr>
              <w:spacing w:after="0"/>
              <w:rPr>
                <w:sz w:val="12"/>
                <w:szCs w:val="12"/>
                <w:color w:val="auto"/>
              </w:rPr>
            </w:pPr>
          </w:p>
        </w:tc>
        <w:tc>
          <w:tcPr>
            <w:tcW w:w="920" w:type="dxa"/>
            <w:vAlign w:val="bottom"/>
            <w:tcBorders>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1"/>
                <w:szCs w:val="11"/>
                <w:b w:val="1"/>
                <w:bCs w:val="1"/>
                <w:color w:val="auto"/>
                <w:w w:val="99"/>
              </w:rPr>
              <w:t xml:space="preserve">or Programs </w:t>
            </w:r>
            <w:r>
              <w:rPr>
                <w:rFonts w:ascii="Times New Roman" w:cs="Times New Roman" w:eastAsia="Times New Roman" w:hAnsi="Times New Roman"/>
                <w:sz w:val="15"/>
                <w:szCs w:val="15"/>
                <w:b w:val="1"/>
                <w:bCs w:val="1"/>
                <w:color w:val="auto"/>
                <w:w w:val="99"/>
                <w:vertAlign w:val="superscript"/>
              </w:rPr>
              <w:t>(2)</w:t>
            </w:r>
          </w:p>
        </w:tc>
        <w:tc>
          <w:tcPr>
            <w:tcW w:w="160" w:type="dxa"/>
            <w:vAlign w:val="bottom"/>
          </w:tcPr>
          <w:p>
            <w:pPr>
              <w:spacing w:after="0"/>
              <w:rPr>
                <w:sz w:val="12"/>
                <w:szCs w:val="12"/>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October 1, 2025 - October 31, 2025</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28.7820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November 1, 2025 - November 30, 2025</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32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3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December 1, 2025 - December 31, 2025</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43,173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60" w:type="dxa"/>
            <w:vAlign w:val="bottom"/>
          </w:tcPr>
          <w:p>
            <w:pPr>
              <w:spacing w:after="0"/>
              <w:rPr>
                <w:sz w:val="14"/>
                <w:szCs w:val="14"/>
                <w:color w:val="auto"/>
              </w:rPr>
            </w:pPr>
          </w:p>
        </w:tc>
        <w:tc>
          <w:tcPr>
            <w:tcW w:w="132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-135890</wp:posOffset>
            </wp:positionV>
            <wp:extent cx="4762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-135890</wp:posOffset>
            </wp:positionV>
            <wp:extent cx="4762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4387850</wp:posOffset>
            </wp:positionH>
            <wp:positionV relativeFrom="paragraph">
              <wp:posOffset>-135890</wp:posOffset>
            </wp:positionV>
            <wp:extent cx="4762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91" w:lineRule="exact"/>
        <w:rPr>
          <w:sz w:val="20"/>
          <w:szCs w:val="20"/>
          <w:color w:val="auto"/>
        </w:rPr>
      </w:pPr>
    </w:p>
    <w:p>
      <w:pPr>
        <w:ind w:left="980" w:right="899" w:hanging="342"/>
        <w:spacing w:after="0" w:line="292" w:lineRule="auto"/>
        <w:tabs>
          <w:tab w:leader="none" w:pos="9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price per share is equal to the price at which the underwriter purchased the shares from KKR Stockholder in the underwritten secondary offering that closed on October 22, 2025.</w:t>
      </w:r>
    </w:p>
    <w:p>
      <w:pPr>
        <w:spacing w:after="0" w:line="37" w:lineRule="exact"/>
        <w:rPr>
          <w:rFonts w:ascii="Times New Roman" w:cs="Times New Roman" w:eastAsia="Times New Roman" w:hAnsi="Times New Roman"/>
          <w:sz w:val="14"/>
          <w:szCs w:val="14"/>
          <w:color w:val="auto"/>
        </w:rPr>
      </w:pPr>
    </w:p>
    <w:p>
      <w:pPr>
        <w:ind w:left="980" w:right="659" w:hanging="342"/>
        <w:spacing w:after="0" w:line="268" w:lineRule="auto"/>
        <w:tabs>
          <w:tab w:leader="none" w:pos="9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October 2025, the Company announced the terms of the October 2025 secondary offering pursuant to which the Company concurrently repurchased from the underwriter 1,500,000 shares of common stock. As of December 31, 2025, the entire capacity available under this stock repurchase program had been utilized, and there is no remaining authorized repurchase capacity outstanding.</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Stock Performance Graph</w:t>
      </w:r>
    </w:p>
    <w:p>
      <w:pPr>
        <w:spacing w:after="0" w:line="187" w:lineRule="exact"/>
        <w:rPr>
          <w:sz w:val="20"/>
          <w:szCs w:val="20"/>
          <w:color w:val="auto"/>
        </w:rPr>
      </w:pPr>
    </w:p>
    <w:p>
      <w:pPr>
        <w:ind w:left="640" w:right="719"/>
        <w:spacing w:after="0" w:line="274" w:lineRule="auto"/>
        <w:rPr>
          <w:sz w:val="20"/>
          <w:szCs w:val="20"/>
          <w:color w:val="auto"/>
        </w:rPr>
      </w:pPr>
      <w:r>
        <w:rPr>
          <w:rFonts w:ascii="Times New Roman" w:cs="Times New Roman" w:eastAsia="Times New Roman" w:hAnsi="Times New Roman"/>
          <w:sz w:val="14"/>
          <w:szCs w:val="14"/>
          <w:color w:val="auto"/>
        </w:rPr>
        <w:t>The following performance graph compares the cumulative total return to shareholders on our common stock relative to the cumulative total returns of the S&amp;P 500 Index and S&amp;P 500 Health Care Services Select Industry Index, the Dow Jones US Industrial Average Index and the S&amp;P 500 Index for the period beginning with our IPO and ending December 31, 2025. The comparisons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4" w:name="page65"/>
    <w:bookmarkEnd w:id="6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right="679"/>
        <w:spacing w:after="0" w:line="292" w:lineRule="auto"/>
        <w:rPr>
          <w:sz w:val="20"/>
          <w:szCs w:val="20"/>
          <w:color w:val="auto"/>
        </w:rPr>
      </w:pPr>
      <w:r>
        <w:rPr>
          <w:rFonts w:ascii="Times New Roman" w:cs="Times New Roman" w:eastAsia="Times New Roman" w:hAnsi="Times New Roman"/>
          <w:sz w:val="14"/>
          <w:szCs w:val="14"/>
          <w:color w:val="auto"/>
        </w:rPr>
        <w:t>assume the investment of $100 on January 26, 2024 in our common stock and in each index, and the reinvestment of dividends, if any, when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87630</wp:posOffset>
            </wp:positionV>
            <wp:extent cx="4909820" cy="27482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09820" cy="2748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1/26/2024</w:t>
            </w:r>
          </w:p>
        </w:tc>
        <w:tc>
          <w:tcPr>
            <w:tcW w:w="160" w:type="dxa"/>
            <w:vAlign w:val="bottom"/>
          </w:tcPr>
          <w:p>
            <w:pPr>
              <w:spacing w:after="0"/>
              <w:rPr>
                <w:sz w:val="11"/>
                <w:szCs w:val="11"/>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3/28/2024</w:t>
            </w:r>
          </w:p>
        </w:tc>
        <w:tc>
          <w:tcPr>
            <w:tcW w:w="140" w:type="dxa"/>
            <w:vAlign w:val="bottom"/>
          </w:tcPr>
          <w:p>
            <w:pPr>
              <w:spacing w:after="0"/>
              <w:rPr>
                <w:sz w:val="11"/>
                <w:szCs w:val="11"/>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6/28/2024</w:t>
            </w:r>
          </w:p>
        </w:tc>
        <w:tc>
          <w:tcPr>
            <w:tcW w:w="140" w:type="dxa"/>
            <w:vAlign w:val="bottom"/>
          </w:tcPr>
          <w:p>
            <w:pPr>
              <w:spacing w:after="0"/>
              <w:rPr>
                <w:sz w:val="11"/>
                <w:szCs w:val="11"/>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9/30/2024</w:t>
            </w:r>
          </w:p>
        </w:tc>
        <w:tc>
          <w:tcPr>
            <w:tcW w:w="140" w:type="dxa"/>
            <w:vAlign w:val="bottom"/>
          </w:tcPr>
          <w:p>
            <w:pPr>
              <w:spacing w:after="0"/>
              <w:rPr>
                <w:sz w:val="11"/>
                <w:szCs w:val="11"/>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12/31/2024</w:t>
            </w:r>
          </w:p>
        </w:tc>
        <w:tc>
          <w:tcPr>
            <w:tcW w:w="160" w:type="dxa"/>
            <w:vAlign w:val="bottom"/>
          </w:tcPr>
          <w:p>
            <w:pPr>
              <w:spacing w:after="0"/>
              <w:rPr>
                <w:sz w:val="11"/>
                <w:szCs w:val="11"/>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3/31/2025</w:t>
            </w:r>
          </w:p>
        </w:tc>
        <w:tc>
          <w:tcPr>
            <w:tcW w:w="160" w:type="dxa"/>
            <w:vAlign w:val="bottom"/>
          </w:tcPr>
          <w:p>
            <w:pPr>
              <w:spacing w:after="0"/>
              <w:rPr>
                <w:sz w:val="11"/>
                <w:szCs w:val="11"/>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6/30/2025</w:t>
            </w:r>
          </w:p>
        </w:tc>
        <w:tc>
          <w:tcPr>
            <w:tcW w:w="160" w:type="dxa"/>
            <w:vAlign w:val="bottom"/>
          </w:tcPr>
          <w:p>
            <w:pPr>
              <w:spacing w:after="0"/>
              <w:rPr>
                <w:sz w:val="11"/>
                <w:szCs w:val="11"/>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9/30/2025</w:t>
            </w:r>
          </w:p>
        </w:tc>
        <w:tc>
          <w:tcPr>
            <w:tcW w:w="160" w:type="dxa"/>
            <w:vAlign w:val="bottom"/>
          </w:tcPr>
          <w:p>
            <w:pPr>
              <w:spacing w:after="0"/>
              <w:rPr>
                <w:sz w:val="11"/>
                <w:szCs w:val="11"/>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12/31/2025</w:t>
            </w:r>
          </w:p>
        </w:tc>
        <w:tc>
          <w:tcPr>
            <w:tcW w:w="80" w:type="dxa"/>
            <w:vAlign w:val="bottom"/>
          </w:tcPr>
          <w:p>
            <w:pPr>
              <w:spacing w:after="0"/>
              <w:rPr>
                <w:sz w:val="11"/>
                <w:szCs w:val="11"/>
                <w:color w:val="auto"/>
              </w:rPr>
            </w:pPr>
          </w:p>
        </w:tc>
      </w:tr>
      <w:tr>
        <w:trPr>
          <w:trHeight w:val="148"/>
        </w:trPr>
        <w:tc>
          <w:tcPr>
            <w:tcW w:w="1380" w:type="dxa"/>
            <w:vAlign w:val="bottom"/>
            <w:gridSpan w:val="2"/>
            <w:shd w:val="clear" w:color="auto" w:fill="CFF0FC"/>
          </w:tcPr>
          <w:p>
            <w:pPr>
              <w:spacing w:after="0" w:line="148" w:lineRule="exact"/>
              <w:rPr>
                <w:sz w:val="20"/>
                <w:szCs w:val="20"/>
                <w:color w:val="auto"/>
              </w:rPr>
            </w:pPr>
            <w:r>
              <w:rPr>
                <w:rFonts w:ascii="Times New Roman" w:cs="Times New Roman" w:eastAsia="Times New Roman" w:hAnsi="Times New Roman"/>
                <w:sz w:val="14"/>
                <w:szCs w:val="14"/>
                <w:color w:val="auto"/>
              </w:rPr>
              <w:t>BrightSpring Health</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100.00</w:t>
            </w:r>
          </w:p>
        </w:tc>
        <w:tc>
          <w:tcPr>
            <w:tcW w:w="260" w:type="dxa"/>
            <w:vAlign w:val="bottom"/>
            <w:gridSpan w:val="2"/>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98.82</w:t>
            </w:r>
          </w:p>
        </w:tc>
        <w:tc>
          <w:tcPr>
            <w:tcW w:w="260" w:type="dxa"/>
            <w:vAlign w:val="bottom"/>
            <w:gridSpan w:val="2"/>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103.27</w:t>
            </w:r>
          </w:p>
        </w:tc>
        <w:tc>
          <w:tcPr>
            <w:tcW w:w="260" w:type="dxa"/>
            <w:vAlign w:val="bottom"/>
            <w:gridSpan w:val="2"/>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133.45</w:t>
            </w:r>
          </w:p>
        </w:tc>
        <w:tc>
          <w:tcPr>
            <w:tcW w:w="300" w:type="dxa"/>
            <w:vAlign w:val="bottom"/>
            <w:gridSpan w:val="2"/>
            <w:shd w:val="clear" w:color="auto" w:fill="CFF0FC"/>
          </w:tcPr>
          <w:p>
            <w:pPr>
              <w:jc w:val="right"/>
              <w:ind w:right="23"/>
              <w:spacing w:after="0" w:line="148"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154.82</w:t>
            </w:r>
          </w:p>
        </w:tc>
        <w:tc>
          <w:tcPr>
            <w:tcW w:w="260" w:type="dxa"/>
            <w:vAlign w:val="bottom"/>
            <w:gridSpan w:val="2"/>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164.45</w:t>
            </w:r>
          </w:p>
        </w:tc>
        <w:tc>
          <w:tcPr>
            <w:tcW w:w="260" w:type="dxa"/>
            <w:vAlign w:val="bottom"/>
            <w:gridSpan w:val="2"/>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214.45</w:t>
            </w:r>
          </w:p>
        </w:tc>
        <w:tc>
          <w:tcPr>
            <w:tcW w:w="260" w:type="dxa"/>
            <w:vAlign w:val="bottom"/>
            <w:gridSpan w:val="2"/>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268.73</w:t>
            </w:r>
          </w:p>
        </w:tc>
        <w:tc>
          <w:tcPr>
            <w:tcW w:w="300" w:type="dxa"/>
            <w:vAlign w:val="bottom"/>
            <w:gridSpan w:val="2"/>
            <w:shd w:val="clear" w:color="auto" w:fill="CFF0FC"/>
          </w:tcPr>
          <w:p>
            <w:pPr>
              <w:jc w:val="right"/>
              <w:ind w:right="23"/>
              <w:spacing w:after="0" w:line="148"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340.45</w:t>
            </w:r>
          </w:p>
        </w:tc>
        <w:tc>
          <w:tcPr>
            <w:tcW w:w="80" w:type="dxa"/>
            <w:vAlign w:val="bottom"/>
            <w:shd w:val="clear" w:color="auto" w:fill="CFF0FC"/>
          </w:tcPr>
          <w:p>
            <w:pPr>
              <w:spacing w:after="0"/>
              <w:rPr>
                <w:sz w:val="12"/>
                <w:szCs w:val="12"/>
                <w:color w:val="auto"/>
              </w:rPr>
            </w:pPr>
          </w:p>
        </w:tc>
      </w:tr>
      <w:tr>
        <w:trPr>
          <w:trHeight w:val="187"/>
        </w:trPr>
        <w:tc>
          <w:tcPr>
            <w:tcW w:w="13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Services, Inc.</w:t>
            </w: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57"/>
        </w:trPr>
        <w:tc>
          <w:tcPr>
            <w:tcW w:w="54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S&amp;P 500</w:t>
            </w:r>
          </w:p>
        </w:tc>
        <w:tc>
          <w:tcPr>
            <w:tcW w:w="84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color w:val="auto"/>
              </w:rPr>
              <w:t>Index</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100.00</w:t>
            </w:r>
          </w:p>
        </w:tc>
        <w:tc>
          <w:tcPr>
            <w:tcW w:w="26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107.74</w:t>
            </w:r>
          </w:p>
        </w:tc>
        <w:tc>
          <w:tcPr>
            <w:tcW w:w="26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112.35</w:t>
            </w:r>
          </w:p>
        </w:tc>
        <w:tc>
          <w:tcPr>
            <w:tcW w:w="26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118.96</w:t>
            </w:r>
          </w:p>
        </w:tc>
        <w:tc>
          <w:tcPr>
            <w:tcW w:w="300" w:type="dxa"/>
            <w:vAlign w:val="bottom"/>
            <w:gridSpan w:val="2"/>
          </w:tcPr>
          <w:p>
            <w:pPr>
              <w:jc w:val="right"/>
              <w:ind w:right="23"/>
              <w:spacing w:after="0" w:line="157"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121.83</w:t>
            </w:r>
          </w:p>
        </w:tc>
        <w:tc>
          <w:tcPr>
            <w:tcW w:w="26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116.63</w:t>
            </w:r>
          </w:p>
        </w:tc>
        <w:tc>
          <w:tcPr>
            <w:tcW w:w="26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129.39</w:t>
            </w:r>
          </w:p>
        </w:tc>
        <w:tc>
          <w:tcPr>
            <w:tcW w:w="26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139.90</w:t>
            </w:r>
          </w:p>
        </w:tc>
        <w:tc>
          <w:tcPr>
            <w:tcW w:w="300" w:type="dxa"/>
            <w:vAlign w:val="bottom"/>
            <w:gridSpan w:val="2"/>
          </w:tcPr>
          <w:p>
            <w:pPr>
              <w:jc w:val="right"/>
              <w:ind w:right="23"/>
              <w:spacing w:after="0" w:line="157"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143.61</w:t>
            </w:r>
          </w:p>
        </w:tc>
        <w:tc>
          <w:tcPr>
            <w:tcW w:w="80" w:type="dxa"/>
            <w:vAlign w:val="bottom"/>
          </w:tcPr>
          <w:p>
            <w:pPr>
              <w:spacing w:after="0"/>
              <w:rPr>
                <w:sz w:val="13"/>
                <w:szCs w:val="13"/>
                <w:color w:val="auto"/>
              </w:rPr>
            </w:pPr>
          </w:p>
        </w:tc>
      </w:tr>
      <w:tr>
        <w:trPr>
          <w:trHeight w:val="186"/>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S&amp;P 500</w:t>
            </w: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Health Care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111.45</w:t>
            </w:r>
          </w:p>
        </w:tc>
        <w:tc>
          <w:tcPr>
            <w:tcW w:w="30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117.53</w:t>
            </w:r>
          </w:p>
        </w:tc>
        <w:tc>
          <w:tcPr>
            <w:tcW w:w="30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123.82</w:t>
            </w:r>
          </w:p>
        </w:tc>
        <w:tc>
          <w:tcPr>
            <w:tcW w:w="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-107950</wp:posOffset>
            </wp:positionV>
            <wp:extent cx="4909820" cy="3270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09820" cy="327025"/>
                    </a:xfrm>
                    <a:prstGeom prst="rect">
                      <a:avLst/>
                    </a:prstGeom>
                    <a:noFill/>
                  </pic:spPr>
                </pic:pic>
              </a:graphicData>
            </a:graphic>
          </wp:anchor>
        </w:drawing>
      </w:r>
    </w:p>
    <w:p>
      <w:pPr>
        <w:ind w:left="780"/>
        <w:spacing w:after="0"/>
        <w:rPr>
          <w:sz w:val="20"/>
          <w:szCs w:val="20"/>
          <w:color w:val="auto"/>
        </w:rPr>
      </w:pPr>
      <w:r>
        <w:rPr>
          <w:rFonts w:ascii="Times New Roman" w:cs="Times New Roman" w:eastAsia="Times New Roman" w:hAnsi="Times New Roman"/>
          <w:sz w:val="14"/>
          <w:szCs w:val="14"/>
          <w:color w:val="auto"/>
        </w:rPr>
        <w:t>Services Select</w:t>
      </w:r>
    </w:p>
    <w:p>
      <w:pPr>
        <w:spacing w:after="0" w:line="1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Industry Index</w:t>
      </w:r>
    </w:p>
    <w:p>
      <w:pPr>
        <w:spacing w:after="0" w:line="169" w:lineRule="exact"/>
        <w:rPr>
          <w:sz w:val="20"/>
          <w:szCs w:val="20"/>
          <w:color w:val="auto"/>
        </w:rPr>
      </w:pPr>
    </w:p>
    <w:p>
      <w:pPr>
        <w:ind w:left="640" w:right="739"/>
        <w:spacing w:after="0" w:line="265" w:lineRule="auto"/>
        <w:rPr>
          <w:sz w:val="20"/>
          <w:szCs w:val="20"/>
          <w:color w:val="auto"/>
        </w:rPr>
      </w:pPr>
      <w:r>
        <w:rPr>
          <w:rFonts w:ascii="Times New Roman" w:cs="Times New Roman" w:eastAsia="Times New Roman" w:hAnsi="Times New Roman"/>
          <w:sz w:val="14"/>
          <w:szCs w:val="14"/>
          <w:color w:val="auto"/>
        </w:rPr>
        <w:t>The stock performance graph above shall not be deemed to be “soliciting material” or to be “filed” with the U.S. Securities and Exchange Commission or subject to the liabilities of Section 18 under the Securities Exchange Act of 1934, as amended (the “Exchange Act”). In addition, it shall not be deemed incorporated by reference by any statement that incorporates this Annual Report on Form 10-K by reference into any filing under the Securities Act of 1933 (the “Securities Act”) or the Exchange Act, except to the extent that we specifically incorporate this information by reference.</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5" w:name="page66"/>
    <w:bookmarkEnd w:id="6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97" w:lineRule="exact"/>
        <w:rPr>
          <w:sz w:val="20"/>
          <w:szCs w:val="20"/>
          <w:color w:val="auto"/>
        </w:rPr>
      </w:pPr>
    </w:p>
    <w:p>
      <w:pPr>
        <w:ind w:left="640" w:right="699" w:firstLine="351"/>
        <w:spacing w:after="0" w:line="262" w:lineRule="auto"/>
        <w:rPr>
          <w:sz w:val="20"/>
          <w:szCs w:val="20"/>
          <w:color w:val="auto"/>
        </w:rPr>
      </w:pPr>
      <w:r>
        <w:rPr>
          <w:rFonts w:ascii="Times New Roman" w:cs="Times New Roman" w:eastAsia="Times New Roman" w:hAnsi="Times New Roman"/>
          <w:sz w:val="14"/>
          <w:szCs w:val="14"/>
          <w:i w:val="1"/>
          <w:iCs w:val="1"/>
          <w:color w:val="auto"/>
        </w:rPr>
        <w:t>The following discussion analyzes our financial condition and results of operations and should be read in conjunction with our consolidated financial statements and related notes included elsewhere in this Annual Report on Form 10-K. This discussion contains forward-looking statements that involve risks and uncertainties. See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“Risk Factors.” Factors that could cause or contribute to such difference are not limited to those identified in “Risk Factors.”</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9"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We are a leading home and community-based healthcare services platform, focused on delivering complementary pharmacy and provider services to complex patients. We have a differentiated approach to care delivery, with an integrated and scaled model that addresses critical services that the highest-need and highest-cost patients require. With a focus on Senior and Specialty patients, our platform provides pharmacy and provider services (both clinical and supportive care in nature) in lower-cost home and community settings largely to Medicare, Medicaid, and commercially-insured populations. Our presence spans all 50 states, we serve over 465,000 patients daily through our approximately 10,500 clinical providers and pharmacists, and our services make a profound impact in the lives and communities of the people we serve.</w:t>
      </w:r>
    </w:p>
    <w:p>
      <w:pPr>
        <w:spacing w:after="0" w:line="59"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We have built a significant presence and capability in delivering complementary and high-touch daily healthcare services and programs to complex patients in their homes and in communities in order to address their multiple health needs and requirements more completely, through two reportable segments: Pharmacy Solutions and Provider Services. In pharmacy, we leverage our national infrastructure to provide daily medication therapy management to various customer and patient types wherever they reside in the community, including home and in-clinic infusion patients, oncology and other specialty patients in their homes, residents of independent and senior living communities, people receiving hospice care, neuro and Behavioral clients’ and patients’ homes, residents of skilled nursing and rehabilitation facilities, hospital patients, and the homes of Seniors who are on a significant number of medications. Within provider services, we address the clinical and supportive care needs of Senior and Specialty populations, including neuro patients, primarily in their homes, as well as some clinic and community settings. Our clinical services consist of home health and hospice and rehab therapy, and our supportive care services address activities of daily living and social determinants of health as well. We also provide home-based primary care for patients in senior living communities, long-term care, and individual homes to directly manage and optimize patient outcomes and to enable value-based care. By providing these complementary and necessary services for complex patients, our care model is designed to address multiple patient needs and better integrate health services delivery to improve quality and patient experiences, while reducing overall costs.</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Discontinued Operations</w:t>
      </w:r>
    </w:p>
    <w:p>
      <w:pPr>
        <w:spacing w:after="0" w:line="185" w:lineRule="exact"/>
        <w:rPr>
          <w:sz w:val="20"/>
          <w:szCs w:val="20"/>
          <w:color w:val="auto"/>
        </w:rPr>
      </w:pPr>
    </w:p>
    <w:p>
      <w:pPr>
        <w:ind w:left="640" w:right="739" w:firstLine="516"/>
        <w:spacing w:after="0" w:line="260" w:lineRule="auto"/>
        <w:rPr>
          <w:sz w:val="20"/>
          <w:szCs w:val="20"/>
          <w:color w:val="auto"/>
        </w:rPr>
      </w:pPr>
      <w:r>
        <w:rPr>
          <w:rFonts w:ascii="Times New Roman" w:cs="Times New Roman" w:eastAsia="Times New Roman" w:hAnsi="Times New Roman"/>
          <w:sz w:val="14"/>
          <w:szCs w:val="14"/>
          <w:color w:val="auto"/>
        </w:rPr>
        <w:t>On January 17, 2025, the Company entered into a purchase agreement with National Mentor Holding, Inc. to divest our community living services, home and community based waiver programs, and intermediate care facilities (the “Community Living business”), for $835 million, subject to typical adjustments for working capital and other customary items. We expect the divestiture to close in the first fiscal quarter of 2026, subject to customary closing conditions. This transaction provides for continuity of important intellectual and developmental disability services while the Company focuses on a concentrated group of customers, patients and stakeholders in the future. We believe the Company’s streamlined service offerings will result in increased strategic focus, operational efficiencies, a refined payor mix, and greater clinical integration and business synergy across the Provider Services segment. The divestiture will also augment our expected Revenue and Adjusted EBITDA growth rates and maximize exposure to target growth markets that require the Company's needed and valuable solutions, such as home health, rehab, primary care, and hospice.</w:t>
      </w:r>
    </w:p>
    <w:p>
      <w:pPr>
        <w:spacing w:after="0" w:line="320" w:lineRule="exact"/>
        <w:rPr>
          <w:sz w:val="20"/>
          <w:szCs w:val="20"/>
          <w:color w:val="auto"/>
        </w:rPr>
      </w:pPr>
    </w:p>
    <w:p>
      <w:pPr>
        <w:ind w:left="640" w:right="699" w:firstLine="516"/>
        <w:spacing w:after="0" w:line="262" w:lineRule="auto"/>
        <w:rPr>
          <w:sz w:val="20"/>
          <w:szCs w:val="20"/>
          <w:color w:val="auto"/>
        </w:rPr>
      </w:pPr>
      <w:r>
        <w:rPr>
          <w:rFonts w:ascii="Times New Roman" w:cs="Times New Roman" w:eastAsia="Times New Roman" w:hAnsi="Times New Roman"/>
          <w:sz w:val="14"/>
          <w:szCs w:val="14"/>
          <w:color w:val="auto"/>
        </w:rPr>
        <w:t>The Company has determined the divestiture of the Community Living business represents a strategic shift that will have a major effect on its business and therefore met the criteria for classification as discontinued operations. As a result, the financial results of the Community Living business, which were previously reported as part of our Provider Services segment, have been classified as discontinued operations in the audited consolidated statements of operations, and its assets and liabilities have been classified as held for sale for all periods presented. Unless otherwise noted, amounts and disclosures throughout this Management’s Discussion and Analysis relate to our continuing operations. Refer to Part II, Item 8. Note 2 for additional information regarding discontinued operations.</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6" w:name="page67"/>
    <w:bookmarkEnd w:id="6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2025 Key Highlights</w:t>
      </w:r>
    </w:p>
    <w:p>
      <w:pPr>
        <w:spacing w:after="0" w:line="97" w:lineRule="exact"/>
        <w:rPr>
          <w:sz w:val="20"/>
          <w:szCs w:val="20"/>
          <w:color w:val="auto"/>
        </w:rPr>
      </w:pPr>
    </w:p>
    <w:p>
      <w:pPr>
        <w:ind w:left="1340" w:hanging="352"/>
        <w:spacing w:after="0"/>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Completed three acquisitions within our Provider Services segment</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Announced definitive agreement to divest the Community Living business</w:t>
      </w:r>
    </w:p>
    <w:p>
      <w:pPr>
        <w:spacing w:after="0" w:line="96" w:lineRule="exact"/>
        <w:rPr>
          <w:rFonts w:ascii="Times New Roman" w:cs="Times New Roman" w:eastAsia="Times New Roman" w:hAnsi="Times New Roman"/>
          <w:sz w:val="14"/>
          <w:szCs w:val="14"/>
          <w:color w:val="auto"/>
        </w:rPr>
      </w:pPr>
    </w:p>
    <w:p>
      <w:pPr>
        <w:ind w:left="1340" w:right="659" w:hanging="352"/>
        <w:spacing w:after="0" w:line="275" w:lineRule="auto"/>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Completed two underwritten secondary offerings of our common stock by affiliates of Kohlberg Kravis Roberts &amp; Co. L.P. and certain members of management, which were completed in June 2025 and October 2025. As a result of these offerings, we are no longer a “controlled company” within the meaning of the corporate governance standards of Nasdaq</w:t>
      </w:r>
    </w:p>
    <w:p>
      <w:pPr>
        <w:spacing w:after="0" w:line="48"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Repurchased 1,500,000 shares of common stock in connection with the October 2025 secondary offering</w:t>
      </w:r>
    </w:p>
    <w:p>
      <w:pPr>
        <w:spacing w:after="0" w:line="2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Financial Performance Highlights: Fiscal Year 2025 Compared to Fiscal Year 2024</w:t>
      </w:r>
    </w:p>
    <w:p>
      <w:pPr>
        <w:spacing w:after="0" w:line="97" w:lineRule="exact"/>
        <w:rPr>
          <w:sz w:val="20"/>
          <w:szCs w:val="20"/>
          <w:color w:val="auto"/>
        </w:rPr>
      </w:pPr>
    </w:p>
    <w:p>
      <w:pPr>
        <w:ind w:left="1340" w:hanging="352"/>
        <w:spacing w:after="0"/>
        <w:tabs>
          <w:tab w:leader="none" w:pos="134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Revenue grew by $2.8 billion, or 28.2%, to $12.9 billion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Pharmacy Solutions segment revenue grew by $2.7 billion, or 30.7%, to $11.4 billion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Provider Services segment revenue grew by $146.9 million, or 11.1%, to $1.5 billion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Net income increased by $173.7 million from a net loss of $68.9 million to net income of $104.8 million</w:t>
      </w:r>
    </w:p>
    <w:p>
      <w:pPr>
        <w:spacing w:after="0" w:line="101"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Adjusted EBITDA</w:t>
      </w:r>
      <w:r>
        <w:rPr>
          <w:rFonts w:ascii="Times New Roman" w:cs="Times New Roman" w:eastAsia="Times New Roman" w:hAnsi="Times New Roman"/>
          <w:sz w:val="19"/>
          <w:szCs w:val="19"/>
          <w:i w:val="1"/>
          <w:iCs w:val="1"/>
          <w:color w:val="auto"/>
          <w:vertAlign w:val="superscript"/>
        </w:rPr>
        <w:t>(1)</w:t>
      </w:r>
      <w:r>
        <w:rPr>
          <w:rFonts w:ascii="Times New Roman" w:cs="Times New Roman" w:eastAsia="Times New Roman" w:hAnsi="Times New Roman"/>
          <w:sz w:val="14"/>
          <w:szCs w:val="14"/>
          <w:i w:val="1"/>
          <w:iCs w:val="1"/>
          <w:color w:val="auto"/>
        </w:rPr>
        <w:t xml:space="preserve"> increased by $157.4 million, or 34.2%, to $617.6 million</w:t>
      </w:r>
    </w:p>
    <w:p>
      <w:pPr>
        <w:spacing w:after="0" w:line="55"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Pharmacy Solutions segment EBITDA grew by $148.8 million, or 37.7%, to $543.5 million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Provider Services segment EBITDA grew by $27.4 million, or 13.3%, to $232.7 million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Diluted income per share increased by $0.82 from diluted loss per share of $(0.34) to diluted income per share of $0.48</w:t>
      </w:r>
    </w:p>
    <w:p>
      <w:pPr>
        <w:spacing w:after="0" w:line="101"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Adjusted EPS </w:t>
      </w:r>
      <w:r>
        <w:rPr>
          <w:rFonts w:ascii="Times New Roman" w:cs="Times New Roman" w:eastAsia="Times New Roman" w:hAnsi="Times New Roman"/>
          <w:sz w:val="19"/>
          <w:szCs w:val="19"/>
          <w:i w:val="1"/>
          <w:iCs w:val="1"/>
          <w:color w:val="auto"/>
          <w:vertAlign w:val="superscript"/>
        </w:rPr>
        <w:t>(1)</w:t>
      </w:r>
      <w:r>
        <w:rPr>
          <w:rFonts w:ascii="Times New Roman" w:cs="Times New Roman" w:eastAsia="Times New Roman" w:hAnsi="Times New Roman"/>
          <w:sz w:val="14"/>
          <w:szCs w:val="14"/>
          <w:i w:val="1"/>
          <w:iCs w:val="1"/>
          <w:color w:val="auto"/>
        </w:rPr>
        <w:t xml:space="preserve"> increased by $0.65 from $0.35 to $1.00</w:t>
      </w:r>
    </w:p>
    <w:p>
      <w:pPr>
        <w:spacing w:after="0" w:line="240" w:lineRule="exact"/>
        <w:rPr>
          <w:rFonts w:ascii="Times New Roman" w:cs="Times New Roman" w:eastAsia="Times New Roman" w:hAnsi="Times New Roman"/>
          <w:sz w:val="14"/>
          <w:szCs w:val="14"/>
          <w:color w:val="auto"/>
        </w:rPr>
      </w:pPr>
    </w:p>
    <w:p>
      <w:pPr>
        <w:ind w:left="640" w:right="1119" w:hanging="2"/>
        <w:spacing w:after="0" w:line="226" w:lineRule="auto"/>
        <w:tabs>
          <w:tab w:leader="none" w:pos="787"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131E29"/>
        </w:rPr>
        <w:t>Reconciliation of GAAP to non-GAAP results is provided in the section “Non-GAAP Financial Measures” in Part II, Item 7 “Management’s Discussion and Analysis of Financial Condition and Results of Operations</w:t>
      </w:r>
      <w:r>
        <w:rPr>
          <w:rFonts w:ascii="Arial" w:cs="Arial" w:eastAsia="Arial" w:hAnsi="Arial"/>
          <w:sz w:val="11"/>
          <w:szCs w:val="11"/>
          <w:color w:val="131E29"/>
        </w:rPr>
        <w:t>”</w:t>
      </w:r>
    </w:p>
    <w:p>
      <w:pPr>
        <w:spacing w:after="0" w:line="2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Our Service Offerings</w:t>
      </w:r>
    </w:p>
    <w:p>
      <w:pPr>
        <w:spacing w:after="0" w:line="99" w:lineRule="exact"/>
        <w:rPr>
          <w:sz w:val="20"/>
          <w:szCs w:val="20"/>
          <w:color w:val="auto"/>
        </w:rPr>
      </w:pPr>
    </w:p>
    <w:p>
      <w:pPr>
        <w:ind w:left="640" w:right="779" w:firstLine="351"/>
        <w:spacing w:after="0" w:line="262" w:lineRule="auto"/>
        <w:rPr>
          <w:sz w:val="20"/>
          <w:szCs w:val="20"/>
          <w:color w:val="auto"/>
        </w:rPr>
      </w:pPr>
      <w:r>
        <w:rPr>
          <w:rFonts w:ascii="Times New Roman" w:cs="Times New Roman" w:eastAsia="Times New Roman" w:hAnsi="Times New Roman"/>
          <w:sz w:val="14"/>
          <w:szCs w:val="14"/>
          <w:color w:val="auto"/>
        </w:rPr>
        <w:t>We are one of the largest independent providers of home and community-based health services in the United States, delivering both pharmacy and provider services. We believe our high-quality and complementary health services offerings address significant and important patient and stakeholder needs. We enhance patient outcomes through the delivery and coordination of high-quality services that high-need, high-cost patients require. Our services are principally delivered in patient-preferred and lower-cost settings and often over longer periods of time, given the chronic nature of the patient conditions that we address. We believe our breadth of service capabilities and proven outcomes position us as a provider of choice for patients, families, referral sources, customers, and payors. We deliver services through two reportable segments: Pharmacy Solutions and Provider Services.</w:t>
      </w:r>
    </w:p>
    <w:p>
      <w:pPr>
        <w:spacing w:after="0" w:line="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The following table summarizes the revenues generated by each of our reportable segments for the most recent two years: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42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 in millions)</w:t>
            </w:r>
          </w:p>
        </w:tc>
        <w:tc>
          <w:tcPr>
            <w:tcW w:w="9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6"/>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8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42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3"/>
          </w:tcPr>
          <w:p>
            <w:pPr>
              <w:jc w:val="right"/>
              <w:ind w:right="4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3"/>
          </w:tcPr>
          <w:p>
            <w:pPr>
              <w:jc w:val="right"/>
              <w:ind w:right="4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174"/>
              <w:spacing w:after="0" w:line="109" w:lineRule="exact"/>
              <w:rPr>
                <w:sz w:val="20"/>
                <w:szCs w:val="20"/>
                <w:color w:val="auto"/>
              </w:rPr>
            </w:pPr>
            <w:r>
              <w:rPr>
                <w:rFonts w:ascii="Times New Roman" w:cs="Times New Roman" w:eastAsia="Times New Roman" w:hAnsi="Times New Roman"/>
                <w:sz w:val="11"/>
                <w:szCs w:val="11"/>
                <w:b w:val="1"/>
                <w:bCs w:val="1"/>
                <w:color w:val="auto"/>
              </w:rPr>
              <w:t>Revenue</w:t>
            </w: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ind w:left="40"/>
              <w:spacing w:after="0" w:line="109" w:lineRule="exact"/>
              <w:rPr>
                <w:sz w:val="20"/>
                <w:szCs w:val="20"/>
                <w:color w:val="auto"/>
              </w:rPr>
            </w:pPr>
            <w:r>
              <w:rPr>
                <w:rFonts w:ascii="Times New Roman" w:cs="Times New Roman" w:eastAsia="Times New Roman" w:hAnsi="Times New Roman"/>
                <w:sz w:val="11"/>
                <w:szCs w:val="11"/>
                <w:b w:val="1"/>
                <w:bCs w:val="1"/>
                <w:color w:val="auto"/>
              </w:rPr>
              <w:t>% of Revenue</w:t>
            </w:r>
          </w:p>
        </w:tc>
        <w:tc>
          <w:tcPr>
            <w:tcW w:w="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194"/>
              <w:spacing w:after="0" w:line="109" w:lineRule="exact"/>
              <w:rPr>
                <w:sz w:val="20"/>
                <w:szCs w:val="20"/>
                <w:color w:val="auto"/>
              </w:rPr>
            </w:pPr>
            <w:r>
              <w:rPr>
                <w:rFonts w:ascii="Times New Roman" w:cs="Times New Roman" w:eastAsia="Times New Roman" w:hAnsi="Times New Roman"/>
                <w:sz w:val="11"/>
                <w:szCs w:val="11"/>
                <w:b w:val="1"/>
                <w:bCs w:val="1"/>
                <w:color w:val="auto"/>
              </w:rPr>
              <w:t>Revenue</w:t>
            </w: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ind w:left="40"/>
              <w:spacing w:after="0" w:line="109" w:lineRule="exact"/>
              <w:rPr>
                <w:sz w:val="20"/>
                <w:szCs w:val="20"/>
                <w:color w:val="auto"/>
              </w:rPr>
            </w:pPr>
            <w:r>
              <w:rPr>
                <w:rFonts w:ascii="Times New Roman" w:cs="Times New Roman" w:eastAsia="Times New Roman" w:hAnsi="Times New Roman"/>
                <w:sz w:val="11"/>
                <w:szCs w:val="11"/>
                <w:b w:val="1"/>
                <w:bCs w:val="1"/>
                <w:color w:val="auto"/>
              </w:rPr>
              <w:t>% of Revenue</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Pharmacy Solutions</w:t>
            </w:r>
          </w:p>
        </w:tc>
        <w:tc>
          <w:tcPr>
            <w:tcW w:w="10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11,445.8</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88.7%</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8,754.3</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86.9%</w:t>
            </w:r>
          </w:p>
        </w:tc>
        <w:tc>
          <w:tcPr>
            <w:tcW w:w="0" w:type="dxa"/>
            <w:vAlign w:val="bottom"/>
          </w:tcPr>
          <w:p>
            <w:pPr>
              <w:spacing w:after="0"/>
              <w:rPr>
                <w:sz w:val="1"/>
                <w:szCs w:val="1"/>
                <w:color w:val="auto"/>
              </w:rPr>
            </w:pPr>
          </w:p>
        </w:tc>
      </w:tr>
      <w:tr>
        <w:trPr>
          <w:trHeight w:val="172"/>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Provider Services</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11.3%</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20"/>
        </w:trPr>
        <w:tc>
          <w:tcPr>
            <w:tcW w:w="24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Consolidated BrightSpring</w:t>
            </w:r>
          </w:p>
        </w:tc>
        <w:tc>
          <w:tcPr>
            <w:tcW w:w="9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20" w:type="dxa"/>
            <w:vAlign w:val="bottom"/>
            <w:vMerge w:val="continue"/>
            <w:shd w:val="clear" w:color="auto" w:fill="CFF0FC"/>
          </w:tcPr>
          <w:p>
            <w:pPr>
              <w:spacing w:after="0"/>
              <w:rPr>
                <w:sz w:val="15"/>
                <w:szCs w:val="15"/>
                <w:color w:val="auto"/>
              </w:rPr>
            </w:pPr>
          </w:p>
        </w:tc>
        <w:tc>
          <w:tcPr>
            <w:tcW w:w="90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12,910.6</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10,072.2</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24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3091815</wp:posOffset>
            </wp:positionH>
            <wp:positionV relativeFrom="paragraph">
              <wp:posOffset>-19685</wp:posOffset>
            </wp:positionV>
            <wp:extent cx="4762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3091815</wp:posOffset>
            </wp:positionH>
            <wp:positionV relativeFrom="paragraph">
              <wp:posOffset>-6350</wp:posOffset>
            </wp:positionV>
            <wp:extent cx="4762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3091815</wp:posOffset>
            </wp:positionH>
            <wp:positionV relativeFrom="paragraph">
              <wp:posOffset>-135890</wp:posOffset>
            </wp:positionV>
            <wp:extent cx="4762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3787775</wp:posOffset>
            </wp:positionH>
            <wp:positionV relativeFrom="paragraph">
              <wp:posOffset>-19685</wp:posOffset>
            </wp:positionV>
            <wp:extent cx="8890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3787775</wp:posOffset>
            </wp:positionH>
            <wp:positionV relativeFrom="paragraph">
              <wp:posOffset>-6350</wp:posOffset>
            </wp:positionV>
            <wp:extent cx="8890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3787775</wp:posOffset>
            </wp:positionH>
            <wp:positionV relativeFrom="paragraph">
              <wp:posOffset>-135890</wp:posOffset>
            </wp:positionV>
            <wp:extent cx="8890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4523740</wp:posOffset>
            </wp:positionH>
            <wp:positionV relativeFrom="paragraph">
              <wp:posOffset>-19685</wp:posOffset>
            </wp:positionV>
            <wp:extent cx="4762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4523740</wp:posOffset>
            </wp:positionH>
            <wp:positionV relativeFrom="paragraph">
              <wp:posOffset>-6350</wp:posOffset>
            </wp:positionV>
            <wp:extent cx="4762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4523740</wp:posOffset>
            </wp:positionH>
            <wp:positionV relativeFrom="paragraph">
              <wp:posOffset>-135890</wp:posOffset>
            </wp:positionV>
            <wp:extent cx="4762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-19685</wp:posOffset>
            </wp:positionV>
            <wp:extent cx="8890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-6350</wp:posOffset>
            </wp:positionV>
            <wp:extent cx="8890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-135890</wp:posOffset>
            </wp:positionV>
            <wp:extent cx="8890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0" cy="6985"/>
                    </a:xfrm>
                    <a:prstGeom prst="rect">
                      <a:avLst/>
                    </a:prstGeom>
                    <a:noFill/>
                  </pic:spPr>
                </pic:pic>
              </a:graphicData>
            </a:graphic>
          </wp:anchor>
        </w:drawing>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Pharmacy Solutions</w:t>
      </w:r>
    </w:p>
    <w:p>
      <w:pPr>
        <w:spacing w:after="0" w:line="101"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opportunistically provide pharmacy services when and where demanded and as required to customers and patients in their homes and communities, often in coordination with our provider services. The Company filled over 43 million prescriptions in 2025 from over 175 pharmacies across all 50 states, with services delivered to approximately 6,600 customer locations, approximately 73,000 individual or group homes, and over 410,000 patients, all through over 4,500 unique customer and payor contracts. Our leading pharmacy support across customer and patient settings is achieved through a focus on medication availability and reliability, cost containment, customer staff and patient support programs, clinical and regulatory education and support, and leading customer service. Infusion and Specialty Pharmacy prescriptions and Home and Community Pharmacy prescriptions have grown at more than 27% and 3%, respectively, from December 2024 to December 2025. We have a unique opportunity to increasingly provide more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7" w:name="page68"/>
    <w:bookmarkEnd w:id="6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1019"/>
        <w:spacing w:after="0" w:line="274" w:lineRule="auto"/>
        <w:rPr>
          <w:sz w:val="20"/>
          <w:szCs w:val="20"/>
          <w:color w:val="auto"/>
        </w:rPr>
      </w:pPr>
      <w:r>
        <w:rPr>
          <w:rFonts w:ascii="Times New Roman" w:cs="Times New Roman" w:eastAsia="Times New Roman" w:hAnsi="Times New Roman"/>
          <w:sz w:val="14"/>
          <w:szCs w:val="14"/>
          <w:color w:val="auto"/>
        </w:rPr>
        <w:t>pharmacy services in the future to provider patients and patients transitioning across settings of care. Almost every one of the Company’s patients who receive provider services from us have a significant medication support need given their polypharmacy profile, which we have the opportunity to further address.</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Infusion and Specialty Pharmacy</w:t>
      </w:r>
    </w:p>
    <w:p>
      <w:pPr>
        <w:spacing w:after="0" w:line="99"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We provide infused, injectable, and oral medication services in the home and clinic focused on pharmaceutical therapies that require expert administration and high-touch clinical services to patients by our pharmacists, registered nursing staff, and patient support teams. Infusion therapy services are a specialty form of pharmaceuticals that involve the intravenous administration of higher-cost, specially-handled medications that treat a wide range of acute and chronic health conditions, including, for example, infections, auto-immune illnesses, oncology, multiple sclerosis, hemophilia, and nutritional deficiencies. Oral and injectable medication therapies for complex disease management treat oncology, neurology, dermatology, cardiology, immunology, inflammatory, rare and orphan, and other conditions. Within oncology, as one of the leading independent specialty pharmacies in the United States, our services encompass clinical coordination, patient education, protocol compliance, patient assistance with insurance access and outside funding, and timely delivery of medication. Our certified oncology pharmacists are available 24/7 to provide support for patients and caregivers while working in close coordination with their physicians.</w:t>
      </w:r>
    </w:p>
    <w:p>
      <w:pPr>
        <w:spacing w:after="0" w:line="60" w:lineRule="exact"/>
        <w:rPr>
          <w:sz w:val="20"/>
          <w:szCs w:val="20"/>
          <w:color w:val="auto"/>
        </w:rPr>
      </w:pPr>
    </w:p>
    <w:p>
      <w:pPr>
        <w:ind w:left="640" w:right="759" w:firstLine="351"/>
        <w:spacing w:after="0" w:line="268" w:lineRule="auto"/>
        <w:rPr>
          <w:sz w:val="20"/>
          <w:szCs w:val="20"/>
          <w:color w:val="auto"/>
        </w:rPr>
      </w:pPr>
      <w:r>
        <w:rPr>
          <w:rFonts w:ascii="Times New Roman" w:cs="Times New Roman" w:eastAsia="Times New Roman" w:hAnsi="Times New Roman"/>
          <w:sz w:val="14"/>
          <w:szCs w:val="14"/>
          <w:color w:val="auto"/>
        </w:rPr>
        <w:t>As a result of our unique capabilities in serving pharmaceutical manufacturers and biotech companies, we have exclusive or preferred relationships in specialty oncology drugs, as manufacturers select our pharmacy – exclusively or as part of a group of a few other pharmacies – to distribute and support their therapies in the market. We currently have 149 limited distribution oncology drugs in the market, with an additional 18 in the pipeline still to launch over the next 12 to 18 months.</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Home and Community Pharmacy</w:t>
      </w:r>
    </w:p>
    <w:p>
      <w:pPr>
        <w:spacing w:after="0" w:line="99" w:lineRule="exact"/>
        <w:rPr>
          <w:sz w:val="20"/>
          <w:szCs w:val="20"/>
          <w:color w:val="auto"/>
        </w:rPr>
      </w:pPr>
    </w:p>
    <w:p>
      <w:pPr>
        <w:ind w:left="640" w:right="699" w:firstLine="351"/>
        <w:spacing w:after="0" w:line="262" w:lineRule="auto"/>
        <w:rPr>
          <w:sz w:val="20"/>
          <w:szCs w:val="20"/>
          <w:color w:val="auto"/>
        </w:rPr>
      </w:pPr>
      <w:r>
        <w:rPr>
          <w:rFonts w:ascii="Times New Roman" w:cs="Times New Roman" w:eastAsia="Times New Roman" w:hAnsi="Times New Roman"/>
          <w:sz w:val="14"/>
          <w:szCs w:val="14"/>
          <w:color w:val="auto"/>
        </w:rPr>
        <w:t>Our home and community-based pharmacy solutions ensure that medications are accessible and clinically supported for patients outside of retail pharmacies. The Company’s footprint of pharmacies covers all 50 states with a localized model that features “white-glove” and customized programs and allows for faster response times and a better customer and patient experience. We service customer locations typically multiple times a day and 24/7 as needed, within a radius of approximately 100 miles of a pharmacy location. Our pharmacy services are all customized to specific settings and patients among the Senior and Specialty populations served, for example whether a patient receiving our medications is in a senior living community, a behavioral group home, or a hospice patient in their own home.</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Provider Services</w:t>
      </w:r>
    </w:p>
    <w:p>
      <w:pPr>
        <w:spacing w:after="0" w:line="101" w:lineRule="exact"/>
        <w:rPr>
          <w:sz w:val="20"/>
          <w:szCs w:val="20"/>
          <w:color w:val="auto"/>
        </w:rPr>
      </w:pPr>
    </w:p>
    <w:p>
      <w:pPr>
        <w:ind w:left="640" w:right="719" w:firstLine="351"/>
        <w:spacing w:after="0" w:line="261" w:lineRule="auto"/>
        <w:rPr>
          <w:sz w:val="20"/>
          <w:szCs w:val="20"/>
          <w:color w:val="auto"/>
        </w:rPr>
      </w:pPr>
      <w:r>
        <w:rPr>
          <w:rFonts w:ascii="Times New Roman" w:cs="Times New Roman" w:eastAsia="Times New Roman" w:hAnsi="Times New Roman"/>
          <w:sz w:val="14"/>
          <w:szCs w:val="14"/>
          <w:color w:val="auto"/>
        </w:rPr>
        <w:t>We deliver a variety of impactful and valuable provider services to high-need, chronic, and complex patients in home and community settings. These services consist of clinical and supportive care to approximately 16,000 Senior and Specialty populations, with both census for Home Health Care services specifically, and rehab hours served, having grown approximately 9% and 12% from December 2024 to December 2025, respectively. While the clinical services that we provide have demonstrated attractive volume growth over the past several years, supportive care services have also demonstrated stability and growth due to the valuable nature of these services that address activities of daily living and social determinants of health. Many of our provider patients also receive their pharmacy services through the Company, which helps to optimize their pharmacy and medication care and needs, simplify their experience, and improve their satisfaction.</w:t>
      </w:r>
    </w:p>
    <w:p>
      <w:pPr>
        <w:spacing w:after="0" w:line="60" w:lineRule="exact"/>
        <w:rPr>
          <w:sz w:val="20"/>
          <w:szCs w:val="20"/>
          <w:color w:val="auto"/>
        </w:rPr>
      </w:pPr>
    </w:p>
    <w:p>
      <w:pPr>
        <w:ind w:left="640" w:right="839" w:firstLine="516"/>
        <w:spacing w:after="0" w:line="261" w:lineRule="auto"/>
        <w:rPr>
          <w:sz w:val="20"/>
          <w:szCs w:val="20"/>
          <w:color w:val="auto"/>
        </w:rPr>
      </w:pPr>
      <w:r>
        <w:rPr>
          <w:rFonts w:ascii="Times New Roman" w:cs="Times New Roman" w:eastAsia="Times New Roman" w:hAnsi="Times New Roman"/>
          <w:sz w:val="14"/>
          <w:szCs w:val="14"/>
          <w:color w:val="auto"/>
        </w:rPr>
        <w:t>Subsequent to the divestiture of the Community Living business, we believe the Company’s streamlined service offerings will result in increased strategic focus, operational efficiencies, a refined payer mix, and greater clinical integration and business synergy across the Provider Services segment. The divestiture will also augment the Company’s expected Revenue and Adjusted EBITDA growth rates and maximize exposure to target growth markets that require the Company's needed and valuable solutions, such as home health, rehab, primary care, and hospice. The Company has determined the divestiture of the Community Living business represents a strategic shift that will have a major effect on its business and therefore met the criteria for classification as discontinued operations. The results of operations of Community Living are excluded from continuing operations in the Company's results of operations for the years ended December 31, 2025 and 2024.</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Home Health Care</w:t>
      </w:r>
    </w:p>
    <w:p>
      <w:pPr>
        <w:spacing w:after="0" w:line="99"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We provide patient-centric, highly skilled, and compassionate clinical care to Seniors and others in their homes. For Seniors and other patients recovering from surgery or illness or living with chronic diseases, we provide clinical home health care in the home. We also provide physical, emotional, and spiritual comfort and support primarily for Senior patients with terminal illnesses and their families through our hospice services. Like patients receiving home health care, our interdisciplinary hospice teams tailor individualized plans for patients and their families based on a comprehensive understanding of their needs. Our hospice patients require important daily pharmacy support, which we deliver through our pharmacy services. Additionally, for Seniors and others who require supportive care and activities of daily living support that address social determinants of health, including dietary and nutrition management and cognitive and social engagement, among others, we offer these daily or weekly services.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8" w:name="page69"/>
    <w:bookmarkEnd w:id="6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are continuing to build out specialized and different primary care capabilities through our home-based primary care medical home model and platform, which we view as central to the future of optimizing patient management, including patient experiences, outcomes, and cost. Home-based primary care is more patient-centered and incorporates patients’ specific objectives and goals by pro-actively addressing gaps in care and triaging health events in-place when possible, thus mitigating avoidable emergency room visits and hospitalizations. Home-based primary care coordinates care and resources for patients in pulling together previously disparate information and contact points into one place for more coordinated and informed patient care.</w:t>
      </w:r>
    </w:p>
    <w:p>
      <w:pPr>
        <w:spacing w:after="0" w:line="58"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In addition to many of our provider patients also receiving their pharmacy services from the Company, our patients often receive multiple in-home provider services from the Company to improve outcomes, including home-based primary care and home health or hospice and transitions from home health to hospice. As more of our patients utilize the multiple needed services that they require and we provide, we pro-actively monitor patients and deploy triage tools through our Clinical (Nursing) Hub to address risks and optimize quality outcomes in real-time, particularly for higher risk patients. Within the Clinical (Nursing) Hub, we centralize on-call and tele-triage, perform high-risk patient monitoring and intervention, conduct “Aftercare” patient calls, and manage care coordination opportunities across the enterprise.</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Rehab Care</w:t>
      </w:r>
    </w:p>
    <w:p>
      <w:pPr>
        <w:spacing w:after="0" w:line="99" w:lineRule="exact"/>
        <w:rPr>
          <w:sz w:val="20"/>
          <w:szCs w:val="20"/>
          <w:color w:val="auto"/>
        </w:rPr>
      </w:pPr>
    </w:p>
    <w:p>
      <w:pPr>
        <w:ind w:left="640" w:right="839" w:firstLine="351"/>
        <w:spacing w:after="0" w:line="268" w:lineRule="auto"/>
        <w:rPr>
          <w:sz w:val="20"/>
          <w:szCs w:val="20"/>
          <w:color w:val="auto"/>
        </w:rPr>
      </w:pPr>
      <w:r>
        <w:rPr>
          <w:rFonts w:ascii="Times New Roman" w:cs="Times New Roman" w:eastAsia="Times New Roman" w:hAnsi="Times New Roman"/>
          <w:sz w:val="14"/>
          <w:szCs w:val="14"/>
          <w:color w:val="auto"/>
        </w:rPr>
        <w:t>Our Rehab Care services provide highly-skilled patient-centric clinical care to Senior and Specialty clients and patients living with age-related acute or chronic conditions, or recovering from a catastrophic neuro event (ABI/TBI or stroke) requiring intensive therapy. These services support individuals of all ages who need various forms of expert clinical care and therapy, including ABA therapies.</w:t>
      </w:r>
    </w:p>
    <w:p>
      <w:pPr>
        <w:spacing w:after="0" w:line="54" w:lineRule="exact"/>
        <w:rPr>
          <w:sz w:val="20"/>
          <w:szCs w:val="20"/>
          <w:color w:val="auto"/>
        </w:rPr>
      </w:pPr>
    </w:p>
    <w:p>
      <w:pPr>
        <w:ind w:left="640" w:right="739" w:firstLine="351"/>
        <w:spacing w:after="0" w:line="267" w:lineRule="auto"/>
        <w:rPr>
          <w:sz w:val="20"/>
          <w:szCs w:val="20"/>
          <w:color w:val="auto"/>
        </w:rPr>
      </w:pPr>
      <w:r>
        <w:rPr>
          <w:rFonts w:ascii="Times New Roman" w:cs="Times New Roman" w:eastAsia="Times New Roman" w:hAnsi="Times New Roman"/>
          <w:sz w:val="14"/>
          <w:szCs w:val="14"/>
          <w:color w:val="auto"/>
        </w:rPr>
        <w:t>We provide specialized, highly-skilled, and custom-designed rehabilitation services, including physical, speech and occupational therapy and ABA, for clients and patients of all ages with a range of injuries and conditions, including brain and spinal cord injuries, stroke, pediatric neuro conditions, and autism. Our programs are principally administered in individuals’ homes and are predominantly based on individual support and clinical care plans designed to encourage greater independence and manage medical conditions.</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Personal Care</w:t>
      </w:r>
    </w:p>
    <w:p>
      <w:pPr>
        <w:spacing w:after="0" w:line="99" w:lineRule="exact"/>
        <w:rPr>
          <w:sz w:val="20"/>
          <w:szCs w:val="20"/>
          <w:color w:val="auto"/>
        </w:rPr>
      </w:pPr>
    </w:p>
    <w:p>
      <w:pPr>
        <w:ind w:left="640" w:right="779" w:firstLine="322"/>
        <w:spacing w:after="0" w:line="268" w:lineRule="auto"/>
        <w:rPr>
          <w:sz w:val="20"/>
          <w:szCs w:val="20"/>
          <w:color w:val="auto"/>
        </w:rPr>
      </w:pPr>
      <w:r>
        <w:rPr>
          <w:rFonts w:ascii="Times New Roman" w:cs="Times New Roman" w:eastAsia="Times New Roman" w:hAnsi="Times New Roman"/>
          <w:sz w:val="14"/>
          <w:szCs w:val="14"/>
          <w:color w:val="auto"/>
        </w:rPr>
        <w:t>Our Personal Care services provide home care support that assist with activities of daily living. These services allow Seniors who require long-term care and assistance with activities of daily living to maintain their independence at home with their families. These supportive care activities address social determinants of health, including dietary and nutrition management and cognitive and social engagement, among others, and we offer these daily or weekly services.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Locations of Operations</w:t>
      </w:r>
    </w:p>
    <w:p>
      <w:pPr>
        <w:spacing w:after="0" w:line="99" w:lineRule="exact"/>
        <w:rPr>
          <w:sz w:val="20"/>
          <w:szCs w:val="20"/>
          <w:color w:val="auto"/>
        </w:rPr>
      </w:pPr>
    </w:p>
    <w:p>
      <w:pPr>
        <w:ind w:left="640" w:right="899" w:firstLine="351"/>
        <w:spacing w:after="0" w:line="292" w:lineRule="auto"/>
        <w:rPr>
          <w:sz w:val="20"/>
          <w:szCs w:val="20"/>
          <w:color w:val="auto"/>
        </w:rPr>
      </w:pPr>
      <w:r>
        <w:rPr>
          <w:rFonts w:ascii="Times New Roman" w:cs="Times New Roman" w:eastAsia="Times New Roman" w:hAnsi="Times New Roman"/>
          <w:sz w:val="14"/>
          <w:szCs w:val="14"/>
          <w:color w:val="auto"/>
        </w:rPr>
        <w:t>We are headquartered in Louisville, Kentucky with operations in all 50 states and Canada. We deliver a higher proportion of services in select regions with favorable demographics and regulatory environments.</w:t>
      </w:r>
    </w:p>
    <w:p>
      <w:pPr>
        <w:spacing w:after="0" w:line="38" w:lineRule="exact"/>
        <w:rPr>
          <w:sz w:val="20"/>
          <w:szCs w:val="20"/>
          <w:color w:val="auto"/>
        </w:rPr>
      </w:pPr>
    </w:p>
    <w:p>
      <w:pPr>
        <w:ind w:left="640" w:right="879" w:firstLine="351"/>
        <w:spacing w:after="0" w:line="292" w:lineRule="auto"/>
        <w:rPr>
          <w:sz w:val="20"/>
          <w:szCs w:val="20"/>
          <w:color w:val="auto"/>
        </w:rPr>
      </w:pPr>
      <w:r>
        <w:rPr>
          <w:rFonts w:ascii="Times New Roman" w:cs="Times New Roman" w:eastAsia="Times New Roman" w:hAnsi="Times New Roman"/>
          <w:sz w:val="14"/>
          <w:szCs w:val="14"/>
          <w:color w:val="auto"/>
        </w:rPr>
        <w:t>We serve patients from and across approximately 7,700 offices, customer locations and group homes, as well as serving approximately 330,000 patients in their own homes, every day with co-location of our pharmacy and provider services in 40 states.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Payor Mix</w:t>
      </w:r>
    </w:p>
    <w:p>
      <w:pPr>
        <w:spacing w:after="0" w:line="99" w:lineRule="exact"/>
        <w:rPr>
          <w:sz w:val="20"/>
          <w:szCs w:val="20"/>
          <w:color w:val="auto"/>
        </w:rPr>
      </w:pPr>
    </w:p>
    <w:p>
      <w:pPr>
        <w:ind w:left="640" w:right="879" w:firstLine="351"/>
        <w:spacing w:after="0" w:line="263" w:lineRule="auto"/>
        <w:rPr>
          <w:sz w:val="20"/>
          <w:szCs w:val="20"/>
          <w:color w:val="auto"/>
        </w:rPr>
      </w:pPr>
      <w:r>
        <w:rPr>
          <w:rFonts w:ascii="Times New Roman" w:cs="Times New Roman" w:eastAsia="Times New Roman" w:hAnsi="Times New Roman"/>
          <w:sz w:val="14"/>
          <w:szCs w:val="14"/>
          <w:color w:val="auto"/>
        </w:rPr>
        <w:t>We are characterized by payor diversification across our platform. Our payors are principally federal, state, and local governmental agencies, commercial insurance, private, and other payors. No payor represents more than 35% of our revenue in the aggregate for the years ended December 31, 2025 and 2024. Additionally, our Medicaid payors can be further broken down across each individual state with our top 10 Medicaid states representing 6% of total Company revenue for the years ended December 31, 2025 and 2024. The federal, state, and local programs under which we operate are subject to legislative and budgetary changes that can influence reimbursement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9" w:name="page70"/>
    <w:bookmarkEnd w:id="6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231F20"/>
        </w:rPr>
        <w:t xml:space="preserve">The following tables set forth revenue by payor type </w:t>
      </w:r>
      <w:r>
        <w:rPr>
          <w:rFonts w:ascii="Times New Roman" w:cs="Times New Roman" w:eastAsia="Times New Roman" w:hAnsi="Times New Roman"/>
          <w:sz w:val="14"/>
          <w:szCs w:val="14"/>
          <w:color w:val="000000"/>
        </w:rPr>
        <w:t>for the years ended December 31, 2025 and 2024</w:t>
      </w:r>
      <w:r>
        <w:rPr>
          <w:rFonts w:ascii="Times New Roman" w:cs="Times New Roman" w:eastAsia="Times New Roman" w:hAnsi="Times New Roman"/>
          <w:sz w:val="14"/>
          <w:szCs w:val="14"/>
          <w:color w:val="231F20"/>
        </w:rPr>
        <w:t xml:space="preserve"> (in millions):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32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 in millions)</w:t>
            </w: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6"/>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8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320" w:type="dxa"/>
            <w:vAlign w:val="bottom"/>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3"/>
          </w:tcPr>
          <w:p>
            <w:pPr>
              <w:jc w:val="right"/>
              <w:ind w:right="4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3"/>
          </w:tcPr>
          <w:p>
            <w:pPr>
              <w:jc w:val="right"/>
              <w:ind w:right="4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3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171"/>
              <w:spacing w:after="0" w:line="109" w:lineRule="exact"/>
              <w:rPr>
                <w:sz w:val="20"/>
                <w:szCs w:val="20"/>
                <w:color w:val="auto"/>
              </w:rPr>
            </w:pPr>
            <w:r>
              <w:rPr>
                <w:rFonts w:ascii="Times New Roman" w:cs="Times New Roman" w:eastAsia="Times New Roman" w:hAnsi="Times New Roman"/>
                <w:sz w:val="11"/>
                <w:szCs w:val="11"/>
                <w:b w:val="1"/>
                <w:bCs w:val="1"/>
                <w:color w:val="auto"/>
              </w:rPr>
              <w:t>Revenue</w:t>
            </w: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ind w:left="40"/>
              <w:spacing w:after="0" w:line="109" w:lineRule="exact"/>
              <w:rPr>
                <w:sz w:val="20"/>
                <w:szCs w:val="20"/>
                <w:color w:val="auto"/>
              </w:rPr>
            </w:pPr>
            <w:r>
              <w:rPr>
                <w:rFonts w:ascii="Times New Roman" w:cs="Times New Roman" w:eastAsia="Times New Roman" w:hAnsi="Times New Roman"/>
                <w:sz w:val="11"/>
                <w:szCs w:val="11"/>
                <w:b w:val="1"/>
                <w:bCs w:val="1"/>
                <w:color w:val="auto"/>
              </w:rPr>
              <w:t>% of Revenue</w:t>
            </w:r>
          </w:p>
        </w:tc>
        <w:tc>
          <w:tcPr>
            <w:tcW w:w="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191"/>
              <w:spacing w:after="0" w:line="109" w:lineRule="exact"/>
              <w:rPr>
                <w:sz w:val="20"/>
                <w:szCs w:val="20"/>
                <w:color w:val="auto"/>
              </w:rPr>
            </w:pPr>
            <w:r>
              <w:rPr>
                <w:rFonts w:ascii="Times New Roman" w:cs="Times New Roman" w:eastAsia="Times New Roman" w:hAnsi="Times New Roman"/>
                <w:sz w:val="11"/>
                <w:szCs w:val="11"/>
                <w:b w:val="1"/>
                <w:bCs w:val="1"/>
                <w:color w:val="auto"/>
              </w:rPr>
              <w:t>Revenue</w:t>
            </w: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ind w:left="40"/>
              <w:spacing w:after="0" w:line="109" w:lineRule="exact"/>
              <w:rPr>
                <w:sz w:val="20"/>
                <w:szCs w:val="20"/>
                <w:color w:val="auto"/>
              </w:rPr>
            </w:pPr>
            <w:r>
              <w:rPr>
                <w:rFonts w:ascii="Times New Roman" w:cs="Times New Roman" w:eastAsia="Times New Roman" w:hAnsi="Times New Roman"/>
                <w:sz w:val="11"/>
                <w:szCs w:val="11"/>
                <w:b w:val="1"/>
                <w:bCs w:val="1"/>
                <w:color w:val="auto"/>
              </w:rPr>
              <w:t>% of Revenue</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Commercial insurance</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3,303.3</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25.6%</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2,528.1</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172"/>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Medicaid</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11.6%</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72"/>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Medicare Part A</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1,094.3</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8.4%</w:t>
            </w: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999.6</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72"/>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Medicare Part B</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0.6%</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2"/>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Medicare Part C</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2,413.1</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18.7%</w:t>
            </w: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1,665.0</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72"/>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Medicare Part D</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4,097.8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31.7%</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172"/>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Private &amp; other</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424.1</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3.4%</w:t>
            </w: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415.1</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0"/>
        </w:trPr>
        <w:tc>
          <w:tcPr>
            <w:tcW w:w="3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20" w:type="dxa"/>
            <w:vAlign w:val="bottom"/>
          </w:tcPr>
          <w:p>
            <w:pPr>
              <w:spacing w:after="0"/>
              <w:rPr>
                <w:sz w:val="14"/>
                <w:szCs w:val="14"/>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12,910.6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10,072.2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3091815</wp:posOffset>
            </wp:positionH>
            <wp:positionV relativeFrom="paragraph">
              <wp:posOffset>-135890</wp:posOffset>
            </wp:positionV>
            <wp:extent cx="4762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3787775</wp:posOffset>
            </wp:positionH>
            <wp:positionV relativeFrom="paragraph">
              <wp:posOffset>-135890</wp:posOffset>
            </wp:positionV>
            <wp:extent cx="8890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4523740</wp:posOffset>
            </wp:positionH>
            <wp:positionV relativeFrom="paragraph">
              <wp:posOffset>-135890</wp:posOffset>
            </wp:positionV>
            <wp:extent cx="4762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-135890</wp:posOffset>
            </wp:positionV>
            <wp:extent cx="8890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0" cy="6985"/>
                    </a:xfrm>
                    <a:prstGeom prst="rect">
                      <a:avLst/>
                    </a:prstGeom>
                    <a:noFill/>
                  </pic:spPr>
                </pic:pic>
              </a:graphicData>
            </a:graphic>
          </wp:anchor>
        </w:drawing>
      </w:r>
    </w:p>
    <w:p>
      <w:pPr>
        <w:spacing w:after="0" w:line="191" w:lineRule="exact"/>
        <w:rPr>
          <w:sz w:val="20"/>
          <w:szCs w:val="20"/>
          <w:color w:val="auto"/>
        </w:rPr>
      </w:pPr>
    </w:p>
    <w:p>
      <w:pPr>
        <w:ind w:left="640" w:right="759" w:firstLine="351"/>
        <w:spacing w:after="0" w:line="292" w:lineRule="auto"/>
        <w:rPr>
          <w:sz w:val="20"/>
          <w:szCs w:val="20"/>
          <w:color w:val="auto"/>
        </w:rPr>
      </w:pPr>
      <w:r>
        <w:rPr>
          <w:rFonts w:ascii="Times New Roman" w:cs="Times New Roman" w:eastAsia="Times New Roman" w:hAnsi="Times New Roman"/>
          <w:sz w:val="14"/>
          <w:szCs w:val="14"/>
          <w:color w:val="auto"/>
        </w:rPr>
        <w:t>We provide our services across all 50 states and Canada, with our top 10 states of operations comprising 53% and 47% of total Company revenue for the years ended December 31, 2025, and 2024 respectively.</w:t>
      </w:r>
    </w:p>
    <w:p>
      <w:pPr>
        <w:spacing w:after="0" w:line="124" w:lineRule="exact"/>
        <w:rPr>
          <w:sz w:val="20"/>
          <w:szCs w:val="20"/>
          <w:color w:val="auto"/>
        </w:rPr>
      </w:pPr>
    </w:p>
    <w:p>
      <w:pPr>
        <w:ind w:left="640" w:right="679" w:firstLine="516"/>
        <w:spacing w:after="0" w:line="292" w:lineRule="auto"/>
        <w:rPr>
          <w:sz w:val="20"/>
          <w:szCs w:val="20"/>
          <w:color w:val="auto"/>
        </w:rPr>
      </w:pPr>
      <w:r>
        <w:rPr>
          <w:rFonts w:ascii="Times New Roman" w:cs="Times New Roman" w:eastAsia="Times New Roman" w:hAnsi="Times New Roman"/>
          <w:sz w:val="14"/>
          <w:szCs w:val="14"/>
          <w:color w:val="auto"/>
        </w:rPr>
        <w:t>The following tables summarize the percentage of revenue generated by each payor type for each of our service offerings and reportable segments:</w:t>
      </w:r>
    </w:p>
    <w:p>
      <w:pPr>
        <w:spacing w:after="0" w:line="211" w:lineRule="exact"/>
        <w:rPr>
          <w:sz w:val="20"/>
          <w:szCs w:val="20"/>
          <w:color w:val="auto"/>
        </w:rPr>
      </w:pPr>
    </w:p>
    <w:tbl>
      <w:tblPr>
        <w:tblLayout w:type="fixed"/>
        <w:tblInd w:w="640" w:type="dxa"/>
        <w:tblCellMar>
          <w:top w:w="0" w:type="dxa"/>
          <w:left w:w="0" w:type="dxa"/>
          <w:bottom w:w="0" w:type="dxa"/>
          <w:right w:w="0" w:type="dxa"/>
        </w:tblCellMar>
      </w:tblPr>
      <w:tr>
        <w:trPr>
          <w:trHeight w:val="131"/>
        </w:trPr>
        <w:tc>
          <w:tcPr>
            <w:tcW w:w="18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1"/>
                <w:szCs w:val="11"/>
                <w:b w:val="1"/>
                <w:bCs w:val="1"/>
                <w:color w:val="auto"/>
                <w:w w:val="95"/>
              </w:rPr>
              <w:t>For the Year Ended December 31, 2025</w:t>
            </w:r>
          </w:p>
        </w:tc>
        <w:tc>
          <w:tcPr>
            <w:tcW w:w="5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96"/>
        </w:trPr>
        <w:tc>
          <w:tcPr>
            <w:tcW w:w="1880" w:type="dxa"/>
            <w:vAlign w:val="bottom"/>
          </w:tcPr>
          <w:p>
            <w:pPr>
              <w:spacing w:after="0"/>
              <w:rPr>
                <w:sz w:val="8"/>
                <w:szCs w:val="8"/>
                <w:color w:val="auto"/>
              </w:rPr>
            </w:pPr>
          </w:p>
        </w:tc>
        <w:tc>
          <w:tcPr>
            <w:tcW w:w="840" w:type="dxa"/>
            <w:vAlign w:val="bottom"/>
            <w:gridSpan w:val="3"/>
          </w:tcPr>
          <w:p>
            <w:pPr>
              <w:jc w:val="center"/>
              <w:ind w:right="160"/>
              <w:spacing w:after="0" w:line="96" w:lineRule="exact"/>
              <w:rPr>
                <w:sz w:val="20"/>
                <w:szCs w:val="20"/>
                <w:color w:val="auto"/>
              </w:rPr>
            </w:pPr>
            <w:r>
              <w:rPr>
                <w:rFonts w:ascii="Times New Roman" w:cs="Times New Roman" w:eastAsia="Times New Roman" w:hAnsi="Times New Roman"/>
                <w:sz w:val="11"/>
                <w:szCs w:val="11"/>
                <w:b w:val="1"/>
                <w:bCs w:val="1"/>
                <w:color w:val="auto"/>
                <w:w w:val="96"/>
              </w:rPr>
              <w:t>Commercial</w:t>
            </w: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gridSpan w:val="2"/>
          </w:tcPr>
          <w:p>
            <w:pPr>
              <w:ind w:left="20"/>
              <w:spacing w:after="0" w:line="96" w:lineRule="exact"/>
              <w:rPr>
                <w:sz w:val="20"/>
                <w:szCs w:val="20"/>
                <w:color w:val="auto"/>
              </w:rPr>
            </w:pPr>
            <w:r>
              <w:rPr>
                <w:rFonts w:ascii="Times New Roman" w:cs="Times New Roman" w:eastAsia="Times New Roman" w:hAnsi="Times New Roman"/>
                <w:sz w:val="11"/>
                <w:szCs w:val="11"/>
                <w:b w:val="1"/>
                <w:bCs w:val="1"/>
                <w:color w:val="auto"/>
              </w:rPr>
              <w:t>Medicare</w:t>
            </w:r>
          </w:p>
        </w:tc>
        <w:tc>
          <w:tcPr>
            <w:tcW w:w="720" w:type="dxa"/>
            <w:vAlign w:val="bottom"/>
            <w:gridSpan w:val="2"/>
          </w:tcPr>
          <w:p>
            <w:pPr>
              <w:jc w:val="right"/>
              <w:ind w:right="260"/>
              <w:spacing w:after="0" w:line="96" w:lineRule="exact"/>
              <w:rPr>
                <w:sz w:val="20"/>
                <w:szCs w:val="20"/>
                <w:color w:val="auto"/>
              </w:rPr>
            </w:pPr>
            <w:r>
              <w:rPr>
                <w:rFonts w:ascii="Times New Roman" w:cs="Times New Roman" w:eastAsia="Times New Roman" w:hAnsi="Times New Roman"/>
                <w:sz w:val="11"/>
                <w:szCs w:val="11"/>
                <w:b w:val="1"/>
                <w:bCs w:val="1"/>
                <w:color w:val="auto"/>
                <w:w w:val="98"/>
              </w:rPr>
              <w:t>Medicare</w:t>
            </w:r>
          </w:p>
        </w:tc>
        <w:tc>
          <w:tcPr>
            <w:tcW w:w="720" w:type="dxa"/>
            <w:vAlign w:val="bottom"/>
            <w:gridSpan w:val="2"/>
          </w:tcPr>
          <w:p>
            <w:pPr>
              <w:jc w:val="right"/>
              <w:ind w:right="260"/>
              <w:spacing w:after="0" w:line="96" w:lineRule="exact"/>
              <w:rPr>
                <w:sz w:val="20"/>
                <w:szCs w:val="20"/>
                <w:color w:val="auto"/>
              </w:rPr>
            </w:pPr>
            <w:r>
              <w:rPr>
                <w:rFonts w:ascii="Times New Roman" w:cs="Times New Roman" w:eastAsia="Times New Roman" w:hAnsi="Times New Roman"/>
                <w:sz w:val="11"/>
                <w:szCs w:val="11"/>
                <w:b w:val="1"/>
                <w:bCs w:val="1"/>
                <w:color w:val="auto"/>
                <w:w w:val="98"/>
              </w:rPr>
              <w:t>Medicare</w:t>
            </w:r>
          </w:p>
        </w:tc>
        <w:tc>
          <w:tcPr>
            <w:tcW w:w="720" w:type="dxa"/>
            <w:vAlign w:val="bottom"/>
            <w:gridSpan w:val="2"/>
          </w:tcPr>
          <w:p>
            <w:pPr>
              <w:jc w:val="right"/>
              <w:ind w:right="260"/>
              <w:spacing w:after="0" w:line="96" w:lineRule="exact"/>
              <w:rPr>
                <w:sz w:val="20"/>
                <w:szCs w:val="20"/>
                <w:color w:val="auto"/>
              </w:rPr>
            </w:pPr>
            <w:r>
              <w:rPr>
                <w:rFonts w:ascii="Times New Roman" w:cs="Times New Roman" w:eastAsia="Times New Roman" w:hAnsi="Times New Roman"/>
                <w:sz w:val="11"/>
                <w:szCs w:val="11"/>
                <w:b w:val="1"/>
                <w:bCs w:val="1"/>
                <w:color w:val="auto"/>
                <w:w w:val="98"/>
              </w:rPr>
              <w:t>Medicare</w:t>
            </w:r>
          </w:p>
        </w:tc>
        <w:tc>
          <w:tcPr>
            <w:tcW w:w="720" w:type="dxa"/>
            <w:vAlign w:val="bottom"/>
            <w:gridSpan w:val="2"/>
          </w:tcPr>
          <w:p>
            <w:pPr>
              <w:jc w:val="center"/>
              <w:ind w:right="240"/>
              <w:spacing w:after="0" w:line="96" w:lineRule="exact"/>
              <w:rPr>
                <w:sz w:val="20"/>
                <w:szCs w:val="20"/>
                <w:color w:val="auto"/>
              </w:rPr>
            </w:pPr>
            <w:r>
              <w:rPr>
                <w:rFonts w:ascii="Times New Roman" w:cs="Times New Roman" w:eastAsia="Times New Roman" w:hAnsi="Times New Roman"/>
                <w:sz w:val="11"/>
                <w:szCs w:val="11"/>
                <w:b w:val="1"/>
                <w:bCs w:val="1"/>
                <w:color w:val="auto"/>
                <w:w w:val="95"/>
              </w:rPr>
              <w:t>Private &amp;</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1880" w:type="dxa"/>
            <w:vAlign w:val="bottom"/>
          </w:tcPr>
          <w:p>
            <w:pPr>
              <w:spacing w:after="0"/>
              <w:rPr>
                <w:sz w:val="11"/>
                <w:szCs w:val="11"/>
                <w:color w:val="auto"/>
              </w:rPr>
            </w:pPr>
          </w:p>
        </w:tc>
        <w:tc>
          <w:tcPr>
            <w:tcW w:w="7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insurance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86"/>
              </w:rPr>
              <w:t>Medicaid</w:t>
            </w:r>
          </w:p>
        </w:tc>
        <w:tc>
          <w:tcPr>
            <w:tcW w:w="260" w:type="dxa"/>
            <w:vAlign w:val="bottom"/>
          </w:tcPr>
          <w:p>
            <w:pPr>
              <w:spacing w:after="0"/>
              <w:rPr>
                <w:sz w:val="11"/>
                <w:szCs w:val="11"/>
                <w:color w:val="auto"/>
              </w:rPr>
            </w:pPr>
          </w:p>
        </w:tc>
        <w:tc>
          <w:tcPr>
            <w:tcW w:w="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Part A</w:t>
            </w:r>
          </w:p>
        </w:tc>
        <w:tc>
          <w:tcPr>
            <w:tcW w:w="240" w:type="dxa"/>
            <w:vAlign w:val="bottom"/>
          </w:tcPr>
          <w:p>
            <w:pPr>
              <w:spacing w:after="0"/>
              <w:rPr>
                <w:sz w:val="11"/>
                <w:szCs w:val="11"/>
                <w:color w:val="auto"/>
              </w:rPr>
            </w:pPr>
          </w:p>
        </w:tc>
        <w:tc>
          <w:tcPr>
            <w:tcW w:w="4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Part B</w:t>
            </w:r>
          </w:p>
        </w:tc>
        <w:tc>
          <w:tcPr>
            <w:tcW w:w="240" w:type="dxa"/>
            <w:vAlign w:val="bottom"/>
          </w:tcPr>
          <w:p>
            <w:pPr>
              <w:spacing w:after="0"/>
              <w:rPr>
                <w:sz w:val="11"/>
                <w:szCs w:val="11"/>
                <w:color w:val="auto"/>
              </w:rPr>
            </w:pPr>
          </w:p>
        </w:tc>
        <w:tc>
          <w:tcPr>
            <w:tcW w:w="4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Part C</w:t>
            </w:r>
          </w:p>
        </w:tc>
        <w:tc>
          <w:tcPr>
            <w:tcW w:w="240" w:type="dxa"/>
            <w:vAlign w:val="bottom"/>
          </w:tcPr>
          <w:p>
            <w:pPr>
              <w:spacing w:after="0"/>
              <w:rPr>
                <w:sz w:val="11"/>
                <w:szCs w:val="11"/>
                <w:color w:val="auto"/>
              </w:rPr>
            </w:pPr>
          </w:p>
        </w:tc>
        <w:tc>
          <w:tcPr>
            <w:tcW w:w="5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Part D</w:t>
            </w:r>
          </w:p>
        </w:tc>
        <w:tc>
          <w:tcPr>
            <w:tcW w:w="220" w:type="dxa"/>
            <w:vAlign w:val="bottom"/>
          </w:tcPr>
          <w:p>
            <w:pPr>
              <w:spacing w:after="0"/>
              <w:rPr>
                <w:sz w:val="11"/>
                <w:szCs w:val="11"/>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other</w:t>
            </w:r>
          </w:p>
        </w:tc>
        <w:tc>
          <w:tcPr>
            <w:tcW w:w="220" w:type="dxa"/>
            <w:vAlign w:val="bottom"/>
          </w:tcPr>
          <w:p>
            <w:pPr>
              <w:spacing w:after="0"/>
              <w:rPr>
                <w:sz w:val="11"/>
                <w:szCs w:val="11"/>
                <w:color w:val="auto"/>
              </w:rPr>
            </w:pPr>
          </w:p>
        </w:tc>
        <w:tc>
          <w:tcPr>
            <w:tcW w:w="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20" w:type="dxa"/>
            <w:vAlign w:val="bottom"/>
          </w:tcPr>
          <w:p>
            <w:pPr>
              <w:spacing w:after="0"/>
              <w:rPr>
                <w:sz w:val="11"/>
                <w:szCs w:val="11"/>
                <w:color w:val="auto"/>
              </w:rPr>
            </w:pPr>
          </w:p>
        </w:tc>
      </w:tr>
      <w:tr>
        <w:trPr>
          <w:trHeight w:val="109"/>
        </w:trPr>
        <w:tc>
          <w:tcPr>
            <w:tcW w:w="188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Infusion and Specialty Pharmacy</w:t>
            </w:r>
          </w:p>
        </w:tc>
        <w:tc>
          <w:tcPr>
            <w:tcW w:w="840" w:type="dxa"/>
            <w:vAlign w:val="bottom"/>
            <w:gridSpan w:val="3"/>
            <w:shd w:val="clear" w:color="auto" w:fill="CFF0FC"/>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21.4%</w:t>
            </w:r>
          </w:p>
        </w:tc>
        <w:tc>
          <w:tcPr>
            <w:tcW w:w="780" w:type="dxa"/>
            <w:vAlign w:val="bottom"/>
            <w:tcBorders>
              <w:right w:val="single" w:sz="8" w:color="CFF0FC"/>
            </w:tcBorders>
            <w:gridSpan w:val="3"/>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6.6%</w:t>
            </w:r>
          </w:p>
        </w:tc>
        <w:tc>
          <w:tcPr>
            <w:tcW w:w="720" w:type="dxa"/>
            <w:vAlign w:val="bottom"/>
            <w:tcBorders>
              <w:right w:val="single" w:sz="8" w:color="CFF0FC"/>
            </w:tcBorders>
            <w:gridSpan w:val="2"/>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0.0%</w:t>
            </w:r>
          </w:p>
        </w:tc>
        <w:tc>
          <w:tcPr>
            <w:tcW w:w="720" w:type="dxa"/>
            <w:vAlign w:val="bottom"/>
            <w:tcBorders>
              <w:right w:val="single" w:sz="8" w:color="CFF0FC"/>
            </w:tcBorders>
            <w:gridSpan w:val="2"/>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0.6%</w:t>
            </w:r>
          </w:p>
        </w:tc>
        <w:tc>
          <w:tcPr>
            <w:tcW w:w="720" w:type="dxa"/>
            <w:vAlign w:val="bottom"/>
            <w:tcBorders>
              <w:right w:val="single" w:sz="8" w:color="CFF0FC"/>
            </w:tcBorders>
            <w:gridSpan w:val="2"/>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17.6%</w:t>
            </w:r>
          </w:p>
        </w:tc>
        <w:tc>
          <w:tcPr>
            <w:tcW w:w="720" w:type="dxa"/>
            <w:vAlign w:val="bottom"/>
            <w:tcBorders>
              <w:right w:val="single" w:sz="8" w:color="CFF0FC"/>
            </w:tcBorders>
            <w:gridSpan w:val="2"/>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23.3%</w:t>
            </w:r>
          </w:p>
        </w:tc>
        <w:tc>
          <w:tcPr>
            <w:tcW w:w="720" w:type="dxa"/>
            <w:vAlign w:val="bottom"/>
            <w:tcBorders>
              <w:right w:val="single" w:sz="8" w:color="CFF0FC"/>
            </w:tcBorders>
            <w:gridSpan w:val="2"/>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1.0%</w:t>
            </w:r>
          </w:p>
        </w:tc>
        <w:tc>
          <w:tcPr>
            <w:tcW w:w="640" w:type="dxa"/>
            <w:vAlign w:val="bottom"/>
            <w:gridSpan w:val="2"/>
            <w:shd w:val="clear" w:color="auto" w:fill="CFF0FC"/>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70.5%</w:t>
            </w:r>
          </w:p>
        </w:tc>
      </w:tr>
      <w:tr>
        <w:trPr>
          <w:trHeight w:val="118"/>
        </w:trPr>
        <w:tc>
          <w:tcPr>
            <w:tcW w:w="18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Home and Community Pharmacy</w:t>
            </w:r>
          </w:p>
        </w:tc>
        <w:tc>
          <w:tcPr>
            <w:tcW w:w="840" w:type="dxa"/>
            <w:vAlign w:val="bottom"/>
            <w:gridSpan w:val="3"/>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2.7%</w:t>
            </w:r>
          </w:p>
        </w:tc>
        <w:tc>
          <w:tcPr>
            <w:tcW w:w="780" w:type="dxa"/>
            <w:vAlign w:val="bottom"/>
            <w:gridSpan w:val="3"/>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1.9%</w:t>
            </w:r>
          </w:p>
        </w:tc>
        <w:tc>
          <w:tcPr>
            <w:tcW w:w="72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4.4%</w:t>
            </w:r>
          </w:p>
        </w:tc>
        <w:tc>
          <w:tcPr>
            <w:tcW w:w="72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2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2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8.4%</w:t>
            </w:r>
          </w:p>
        </w:tc>
        <w:tc>
          <w:tcPr>
            <w:tcW w:w="72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0.8%</w:t>
            </w:r>
          </w:p>
        </w:tc>
        <w:tc>
          <w:tcPr>
            <w:tcW w:w="64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18.2%</w:t>
            </w:r>
          </w:p>
        </w:tc>
      </w:tr>
      <w:tr>
        <w:trPr>
          <w:trHeight w:val="20"/>
        </w:trPr>
        <w:tc>
          <w:tcPr>
            <w:tcW w:w="1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9"/>
        </w:trPr>
        <w:tc>
          <w:tcPr>
            <w:tcW w:w="1880" w:type="dxa"/>
            <w:vAlign w:val="bottom"/>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b w:val="1"/>
                <w:bCs w:val="1"/>
                <w:color w:val="auto"/>
              </w:rPr>
              <w:t>Pharmacy Solutions</w:t>
            </w:r>
          </w:p>
        </w:tc>
        <w:tc>
          <w:tcPr>
            <w:tcW w:w="840" w:type="dxa"/>
            <w:vAlign w:val="bottom"/>
            <w:gridSpan w:val="3"/>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24.1%</w:t>
            </w:r>
          </w:p>
        </w:tc>
        <w:tc>
          <w:tcPr>
            <w:tcW w:w="780" w:type="dxa"/>
            <w:vAlign w:val="bottom"/>
            <w:tcBorders>
              <w:right w:val="single" w:sz="8" w:color="CFF0FC"/>
            </w:tcBorders>
            <w:gridSpan w:val="3"/>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8.5%</w:t>
            </w:r>
          </w:p>
        </w:tc>
        <w:tc>
          <w:tcPr>
            <w:tcW w:w="72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4.4%</w:t>
            </w:r>
          </w:p>
        </w:tc>
        <w:tc>
          <w:tcPr>
            <w:tcW w:w="72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0.6%</w:t>
            </w:r>
          </w:p>
        </w:tc>
        <w:tc>
          <w:tcPr>
            <w:tcW w:w="72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17.6%</w:t>
            </w:r>
          </w:p>
        </w:tc>
        <w:tc>
          <w:tcPr>
            <w:tcW w:w="72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31.7%</w:t>
            </w:r>
          </w:p>
        </w:tc>
        <w:tc>
          <w:tcPr>
            <w:tcW w:w="72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1.8%</w:t>
            </w:r>
          </w:p>
        </w:tc>
        <w:tc>
          <w:tcPr>
            <w:tcW w:w="640" w:type="dxa"/>
            <w:vAlign w:val="bottom"/>
            <w:gridSpan w:val="2"/>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88.7%</w:t>
            </w:r>
          </w:p>
        </w:tc>
      </w:tr>
      <w:tr>
        <w:trPr>
          <w:trHeight w:val="118"/>
        </w:trPr>
        <w:tc>
          <w:tcPr>
            <w:tcW w:w="18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Home Health Care</w:t>
            </w:r>
          </w:p>
        </w:tc>
        <w:tc>
          <w:tcPr>
            <w:tcW w:w="840" w:type="dxa"/>
            <w:vAlign w:val="bottom"/>
            <w:gridSpan w:val="3"/>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0.2%</w:t>
            </w:r>
          </w:p>
        </w:tc>
        <w:tc>
          <w:tcPr>
            <w:tcW w:w="780" w:type="dxa"/>
            <w:vAlign w:val="bottom"/>
            <w:gridSpan w:val="3"/>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0.3%</w:t>
            </w:r>
          </w:p>
        </w:tc>
        <w:tc>
          <w:tcPr>
            <w:tcW w:w="72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4.0%</w:t>
            </w:r>
          </w:p>
        </w:tc>
        <w:tc>
          <w:tcPr>
            <w:tcW w:w="72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2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1.1%</w:t>
            </w:r>
          </w:p>
        </w:tc>
        <w:tc>
          <w:tcPr>
            <w:tcW w:w="72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0.3%</w:t>
            </w:r>
          </w:p>
        </w:tc>
        <w:tc>
          <w:tcPr>
            <w:tcW w:w="64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5.9%</w:t>
            </w:r>
          </w:p>
        </w:tc>
      </w:tr>
      <w:tr>
        <w:trPr>
          <w:trHeight w:val="118"/>
        </w:trPr>
        <w:tc>
          <w:tcPr>
            <w:tcW w:w="18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Rehab Care</w:t>
            </w:r>
          </w:p>
        </w:tc>
        <w:tc>
          <w:tcPr>
            <w:tcW w:w="840" w:type="dxa"/>
            <w:vAlign w:val="bottom"/>
            <w:gridSpan w:val="3"/>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1.2%</w:t>
            </w:r>
          </w:p>
        </w:tc>
        <w:tc>
          <w:tcPr>
            <w:tcW w:w="780" w:type="dxa"/>
            <w:vAlign w:val="bottom"/>
            <w:tcBorders>
              <w:right w:val="single" w:sz="8" w:color="CFF0FC"/>
            </w:tcBorders>
            <w:gridSpan w:val="3"/>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0.7%</w:t>
            </w:r>
          </w:p>
        </w:tc>
        <w:tc>
          <w:tcPr>
            <w:tcW w:w="720" w:type="dxa"/>
            <w:vAlign w:val="bottom"/>
            <w:tcBorders>
              <w:right w:val="single" w:sz="8" w:color="CFF0FC"/>
            </w:tcBorders>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CFF0FC"/>
            </w:tcBorders>
            <w:gridSpan w:val="2"/>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20" w:type="dxa"/>
            <w:vAlign w:val="bottom"/>
            <w:tcBorders>
              <w:right w:val="single" w:sz="8" w:color="CFF0FC"/>
            </w:tcBorders>
            <w:gridSpan w:val="2"/>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20" w:type="dxa"/>
            <w:vAlign w:val="bottom"/>
            <w:tcBorders>
              <w:right w:val="single" w:sz="8" w:color="CFF0FC"/>
            </w:tcBorders>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CFF0FC"/>
            </w:tcBorders>
            <w:gridSpan w:val="2"/>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0.4%</w:t>
            </w:r>
          </w:p>
        </w:tc>
        <w:tc>
          <w:tcPr>
            <w:tcW w:w="64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2.3%</w:t>
            </w:r>
          </w:p>
        </w:tc>
      </w:tr>
      <w:tr>
        <w:trPr>
          <w:trHeight w:val="118"/>
        </w:trPr>
        <w:tc>
          <w:tcPr>
            <w:tcW w:w="18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Personal Care</w:t>
            </w:r>
          </w:p>
        </w:tc>
        <w:tc>
          <w:tcPr>
            <w:tcW w:w="840" w:type="dxa"/>
            <w:vAlign w:val="bottom"/>
            <w:gridSpan w:val="3"/>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0.1%</w:t>
            </w:r>
          </w:p>
        </w:tc>
        <w:tc>
          <w:tcPr>
            <w:tcW w:w="780" w:type="dxa"/>
            <w:vAlign w:val="bottom"/>
            <w:gridSpan w:val="3"/>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2.1%</w:t>
            </w:r>
          </w:p>
        </w:tc>
        <w:tc>
          <w:tcPr>
            <w:tcW w:w="72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0.9%</w:t>
            </w:r>
          </w:p>
        </w:tc>
        <w:tc>
          <w:tcPr>
            <w:tcW w:w="64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3.1%</w:t>
            </w:r>
          </w:p>
        </w:tc>
      </w:tr>
      <w:tr>
        <w:trPr>
          <w:trHeight w:val="20"/>
        </w:trPr>
        <w:tc>
          <w:tcPr>
            <w:tcW w:w="1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9"/>
        </w:trPr>
        <w:tc>
          <w:tcPr>
            <w:tcW w:w="1880" w:type="dxa"/>
            <w:vAlign w:val="bottom"/>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b w:val="1"/>
                <w:bCs w:val="1"/>
                <w:color w:val="auto"/>
              </w:rPr>
              <w:t>Provider Services</w:t>
            </w:r>
          </w:p>
        </w:tc>
        <w:tc>
          <w:tcPr>
            <w:tcW w:w="840" w:type="dxa"/>
            <w:vAlign w:val="bottom"/>
            <w:gridSpan w:val="3"/>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1.5%</w:t>
            </w:r>
          </w:p>
        </w:tc>
        <w:tc>
          <w:tcPr>
            <w:tcW w:w="780" w:type="dxa"/>
            <w:vAlign w:val="bottom"/>
            <w:tcBorders>
              <w:right w:val="single" w:sz="8" w:color="CFF0FC"/>
            </w:tcBorders>
            <w:gridSpan w:val="3"/>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3.1%</w:t>
            </w:r>
          </w:p>
        </w:tc>
        <w:tc>
          <w:tcPr>
            <w:tcW w:w="72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4.0%</w:t>
            </w:r>
          </w:p>
        </w:tc>
        <w:tc>
          <w:tcPr>
            <w:tcW w:w="72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0.0%</w:t>
            </w:r>
          </w:p>
        </w:tc>
        <w:tc>
          <w:tcPr>
            <w:tcW w:w="72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1.1%</w:t>
            </w:r>
          </w:p>
        </w:tc>
        <w:tc>
          <w:tcPr>
            <w:tcW w:w="720" w:type="dxa"/>
            <w:vAlign w:val="bottom"/>
            <w:tcBorders>
              <w:right w:val="single" w:sz="8" w:color="CFF0FC"/>
            </w:tcBorders>
            <w:gridSpan w:val="2"/>
            <w:shd w:val="clear" w:color="auto" w:fill="CFF0FC"/>
          </w:tcPr>
          <w:p>
            <w:pPr>
              <w:jc w:val="right"/>
              <w:ind w:right="200"/>
              <w:spacing w:after="0" w:line="109" w:lineRule="exact"/>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1.6%</w:t>
            </w:r>
          </w:p>
        </w:tc>
        <w:tc>
          <w:tcPr>
            <w:tcW w:w="640" w:type="dxa"/>
            <w:vAlign w:val="bottom"/>
            <w:gridSpan w:val="2"/>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11.3%</w:t>
            </w:r>
          </w:p>
        </w:tc>
      </w:tr>
      <w:tr>
        <w:trPr>
          <w:trHeight w:val="20"/>
        </w:trPr>
        <w:tc>
          <w:tcPr>
            <w:tcW w:w="18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09"/>
        </w:trPr>
        <w:tc>
          <w:tcPr>
            <w:tcW w:w="1880" w:type="dxa"/>
            <w:vAlign w:val="bottom"/>
          </w:tcPr>
          <w:p>
            <w:pPr>
              <w:ind w:left="280"/>
              <w:spacing w:after="0" w:line="109" w:lineRule="exact"/>
              <w:rPr>
                <w:sz w:val="20"/>
                <w:szCs w:val="20"/>
                <w:color w:val="auto"/>
              </w:rPr>
            </w:pPr>
            <w:r>
              <w:rPr>
                <w:rFonts w:ascii="Times New Roman" w:cs="Times New Roman" w:eastAsia="Times New Roman" w:hAnsi="Times New Roman"/>
                <w:sz w:val="11"/>
                <w:szCs w:val="11"/>
                <w:b w:val="1"/>
                <w:bCs w:val="1"/>
                <w:color w:val="auto"/>
              </w:rPr>
              <w:t>Consolidated BrightSpring</w:t>
            </w:r>
          </w:p>
        </w:tc>
        <w:tc>
          <w:tcPr>
            <w:tcW w:w="840" w:type="dxa"/>
            <w:vAlign w:val="bottom"/>
            <w:gridSpan w:val="3"/>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25.6%</w:t>
            </w:r>
          </w:p>
        </w:tc>
        <w:tc>
          <w:tcPr>
            <w:tcW w:w="780" w:type="dxa"/>
            <w:vAlign w:val="bottom"/>
            <w:gridSpan w:val="3"/>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11.6%</w:t>
            </w:r>
          </w:p>
        </w:tc>
        <w:tc>
          <w:tcPr>
            <w:tcW w:w="72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8.4%</w:t>
            </w:r>
          </w:p>
        </w:tc>
        <w:tc>
          <w:tcPr>
            <w:tcW w:w="72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0.6%</w:t>
            </w:r>
          </w:p>
        </w:tc>
        <w:tc>
          <w:tcPr>
            <w:tcW w:w="72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18.7%</w:t>
            </w:r>
          </w:p>
        </w:tc>
        <w:tc>
          <w:tcPr>
            <w:tcW w:w="72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31.7%</w:t>
            </w:r>
          </w:p>
        </w:tc>
        <w:tc>
          <w:tcPr>
            <w:tcW w:w="72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3.4%</w:t>
            </w:r>
          </w:p>
        </w:tc>
        <w:tc>
          <w:tcPr>
            <w:tcW w:w="640" w:type="dxa"/>
            <w:vAlign w:val="bottom"/>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100.0%</w:t>
            </w:r>
          </w:p>
        </w:tc>
      </w:tr>
      <w:tr>
        <w:trPr>
          <w:trHeight w:val="20"/>
        </w:trPr>
        <w:tc>
          <w:tcPr>
            <w:tcW w:w="18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2"/>
        </w:trPr>
        <w:tc>
          <w:tcPr>
            <w:tcW w:w="188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1"/>
                <w:szCs w:val="11"/>
                <w:b w:val="1"/>
                <w:bCs w:val="1"/>
                <w:color w:val="auto"/>
                <w:w w:val="95"/>
              </w:rPr>
              <w:t>For the Year Ended December 31, 2024</w:t>
            </w:r>
          </w:p>
        </w:tc>
        <w:tc>
          <w:tcPr>
            <w:tcW w:w="5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96"/>
        </w:trPr>
        <w:tc>
          <w:tcPr>
            <w:tcW w:w="1880" w:type="dxa"/>
            <w:vAlign w:val="bottom"/>
          </w:tcPr>
          <w:p>
            <w:pPr>
              <w:spacing w:after="0"/>
              <w:rPr>
                <w:sz w:val="8"/>
                <w:szCs w:val="8"/>
                <w:color w:val="auto"/>
              </w:rPr>
            </w:pPr>
          </w:p>
        </w:tc>
        <w:tc>
          <w:tcPr>
            <w:tcW w:w="840" w:type="dxa"/>
            <w:vAlign w:val="bottom"/>
            <w:gridSpan w:val="3"/>
          </w:tcPr>
          <w:p>
            <w:pPr>
              <w:jc w:val="center"/>
              <w:ind w:right="240"/>
              <w:spacing w:after="0" w:line="96" w:lineRule="exact"/>
              <w:rPr>
                <w:sz w:val="20"/>
                <w:szCs w:val="20"/>
                <w:color w:val="auto"/>
              </w:rPr>
            </w:pPr>
            <w:r>
              <w:rPr>
                <w:rFonts w:ascii="Times New Roman" w:cs="Times New Roman" w:eastAsia="Times New Roman" w:hAnsi="Times New Roman"/>
                <w:sz w:val="11"/>
                <w:szCs w:val="11"/>
                <w:b w:val="1"/>
                <w:bCs w:val="1"/>
                <w:color w:val="auto"/>
                <w:w w:val="96"/>
              </w:rPr>
              <w:t>Commercial</w:t>
            </w: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b w:val="1"/>
                <w:bCs w:val="1"/>
                <w:color w:val="auto"/>
              </w:rPr>
              <w:t>Medicare</w:t>
            </w:r>
          </w:p>
        </w:tc>
        <w:tc>
          <w:tcPr>
            <w:tcW w:w="720" w:type="dxa"/>
            <w:vAlign w:val="bottom"/>
            <w:gridSpan w:val="2"/>
          </w:tcPr>
          <w:p>
            <w:pPr>
              <w:jc w:val="right"/>
              <w:ind w:right="320"/>
              <w:spacing w:after="0" w:line="96" w:lineRule="exact"/>
              <w:rPr>
                <w:sz w:val="20"/>
                <w:szCs w:val="20"/>
                <w:color w:val="auto"/>
              </w:rPr>
            </w:pPr>
            <w:r>
              <w:rPr>
                <w:rFonts w:ascii="Times New Roman" w:cs="Times New Roman" w:eastAsia="Times New Roman" w:hAnsi="Times New Roman"/>
                <w:sz w:val="11"/>
                <w:szCs w:val="11"/>
                <w:b w:val="1"/>
                <w:bCs w:val="1"/>
                <w:color w:val="auto"/>
                <w:w w:val="85"/>
              </w:rPr>
              <w:t>Medicare</w:t>
            </w:r>
          </w:p>
        </w:tc>
        <w:tc>
          <w:tcPr>
            <w:tcW w:w="720" w:type="dxa"/>
            <w:vAlign w:val="bottom"/>
            <w:gridSpan w:val="2"/>
          </w:tcPr>
          <w:p>
            <w:pPr>
              <w:jc w:val="right"/>
              <w:ind w:right="300"/>
              <w:spacing w:after="0" w:line="96" w:lineRule="exact"/>
              <w:rPr>
                <w:sz w:val="20"/>
                <w:szCs w:val="20"/>
                <w:color w:val="auto"/>
              </w:rPr>
            </w:pPr>
            <w:r>
              <w:rPr>
                <w:rFonts w:ascii="Times New Roman" w:cs="Times New Roman" w:eastAsia="Times New Roman" w:hAnsi="Times New Roman"/>
                <w:sz w:val="11"/>
                <w:szCs w:val="11"/>
                <w:b w:val="1"/>
                <w:bCs w:val="1"/>
                <w:color w:val="auto"/>
                <w:w w:val="89"/>
              </w:rPr>
              <w:t>Medicare</w:t>
            </w:r>
          </w:p>
        </w:tc>
        <w:tc>
          <w:tcPr>
            <w:tcW w:w="720" w:type="dxa"/>
            <w:vAlign w:val="bottom"/>
            <w:gridSpan w:val="2"/>
          </w:tcPr>
          <w:p>
            <w:pPr>
              <w:jc w:val="right"/>
              <w:ind w:right="300"/>
              <w:spacing w:after="0" w:line="96" w:lineRule="exact"/>
              <w:rPr>
                <w:sz w:val="20"/>
                <w:szCs w:val="20"/>
                <w:color w:val="auto"/>
              </w:rPr>
            </w:pPr>
            <w:r>
              <w:rPr>
                <w:rFonts w:ascii="Times New Roman" w:cs="Times New Roman" w:eastAsia="Times New Roman" w:hAnsi="Times New Roman"/>
                <w:sz w:val="11"/>
                <w:szCs w:val="11"/>
                <w:b w:val="1"/>
                <w:bCs w:val="1"/>
                <w:color w:val="auto"/>
                <w:w w:val="89"/>
              </w:rPr>
              <w:t>Medicare</w:t>
            </w:r>
          </w:p>
        </w:tc>
        <w:tc>
          <w:tcPr>
            <w:tcW w:w="720" w:type="dxa"/>
            <w:vAlign w:val="bottom"/>
            <w:gridSpan w:val="2"/>
          </w:tcPr>
          <w:p>
            <w:pPr>
              <w:jc w:val="right"/>
              <w:ind w:right="260"/>
              <w:spacing w:after="0" w:line="96" w:lineRule="exact"/>
              <w:rPr>
                <w:sz w:val="20"/>
                <w:szCs w:val="20"/>
                <w:color w:val="auto"/>
              </w:rPr>
            </w:pPr>
            <w:r>
              <w:rPr>
                <w:rFonts w:ascii="Times New Roman" w:cs="Times New Roman" w:eastAsia="Times New Roman" w:hAnsi="Times New Roman"/>
                <w:sz w:val="11"/>
                <w:szCs w:val="11"/>
                <w:b w:val="1"/>
                <w:bCs w:val="1"/>
                <w:color w:val="auto"/>
                <w:w w:val="95"/>
              </w:rPr>
              <w:t>Private &amp;</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1880" w:type="dxa"/>
            <w:vAlign w:val="bottom"/>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insurance</w:t>
            </w:r>
          </w:p>
        </w:tc>
        <w:tc>
          <w:tcPr>
            <w:tcW w:w="200" w:type="dxa"/>
            <w:vAlign w:val="bottom"/>
            <w:gridSpan w:val="2"/>
          </w:tcPr>
          <w:p>
            <w:pPr>
              <w:spacing w:after="0"/>
              <w:rPr>
                <w:sz w:val="11"/>
                <w:szCs w:val="11"/>
                <w:color w:val="auto"/>
              </w:rPr>
            </w:pPr>
          </w:p>
        </w:tc>
        <w:tc>
          <w:tcPr>
            <w:tcW w:w="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w w:val="99"/>
              </w:rPr>
              <w:t>Medicaid</w:t>
            </w:r>
          </w:p>
        </w:tc>
        <w:tc>
          <w:tcPr>
            <w:tcW w:w="260" w:type="dxa"/>
            <w:vAlign w:val="bottom"/>
          </w:tcPr>
          <w:p>
            <w:pPr>
              <w:spacing w:after="0"/>
              <w:rPr>
                <w:sz w:val="11"/>
                <w:szCs w:val="11"/>
                <w:color w:val="auto"/>
              </w:rPr>
            </w:pPr>
          </w:p>
        </w:tc>
        <w:tc>
          <w:tcPr>
            <w:tcW w:w="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Part A</w:t>
            </w:r>
          </w:p>
        </w:tc>
        <w:tc>
          <w:tcPr>
            <w:tcW w:w="240" w:type="dxa"/>
            <w:vAlign w:val="bottom"/>
          </w:tcPr>
          <w:p>
            <w:pPr>
              <w:spacing w:after="0"/>
              <w:rPr>
                <w:sz w:val="11"/>
                <w:szCs w:val="11"/>
                <w:color w:val="auto"/>
              </w:rPr>
            </w:pPr>
          </w:p>
        </w:tc>
        <w:tc>
          <w:tcPr>
            <w:tcW w:w="4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Part B</w:t>
            </w:r>
          </w:p>
        </w:tc>
        <w:tc>
          <w:tcPr>
            <w:tcW w:w="240" w:type="dxa"/>
            <w:vAlign w:val="bottom"/>
          </w:tcPr>
          <w:p>
            <w:pPr>
              <w:spacing w:after="0"/>
              <w:rPr>
                <w:sz w:val="11"/>
                <w:szCs w:val="11"/>
                <w:color w:val="auto"/>
              </w:rPr>
            </w:pPr>
          </w:p>
        </w:tc>
        <w:tc>
          <w:tcPr>
            <w:tcW w:w="4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Part C</w:t>
            </w:r>
          </w:p>
        </w:tc>
        <w:tc>
          <w:tcPr>
            <w:tcW w:w="240" w:type="dxa"/>
            <w:vAlign w:val="bottom"/>
          </w:tcPr>
          <w:p>
            <w:pPr>
              <w:spacing w:after="0"/>
              <w:rPr>
                <w:sz w:val="11"/>
                <w:szCs w:val="11"/>
                <w:color w:val="auto"/>
              </w:rPr>
            </w:pPr>
          </w:p>
        </w:tc>
        <w:tc>
          <w:tcPr>
            <w:tcW w:w="5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Part D</w:t>
            </w:r>
          </w:p>
        </w:tc>
        <w:tc>
          <w:tcPr>
            <w:tcW w:w="220" w:type="dxa"/>
            <w:vAlign w:val="bottom"/>
          </w:tcPr>
          <w:p>
            <w:pPr>
              <w:spacing w:after="0"/>
              <w:rPr>
                <w:sz w:val="11"/>
                <w:szCs w:val="11"/>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20" w:type="dxa"/>
            <w:vAlign w:val="bottom"/>
          </w:tcPr>
          <w:p>
            <w:pPr>
              <w:spacing w:after="0"/>
              <w:rPr>
                <w:sz w:val="11"/>
                <w:szCs w:val="11"/>
                <w:color w:val="auto"/>
              </w:rPr>
            </w:pPr>
          </w:p>
        </w:tc>
        <w:tc>
          <w:tcPr>
            <w:tcW w:w="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20" w:type="dxa"/>
            <w:vAlign w:val="bottom"/>
          </w:tcPr>
          <w:p>
            <w:pPr>
              <w:spacing w:after="0"/>
              <w:rPr>
                <w:sz w:val="11"/>
                <w:szCs w:val="11"/>
                <w:color w:val="auto"/>
              </w:rPr>
            </w:pPr>
          </w:p>
        </w:tc>
      </w:tr>
      <w:tr>
        <w:trPr>
          <w:trHeight w:val="109"/>
        </w:trPr>
        <w:tc>
          <w:tcPr>
            <w:tcW w:w="188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Infusion and Specialty Pharmacy</w:t>
            </w:r>
          </w:p>
        </w:tc>
        <w:tc>
          <w:tcPr>
            <w:tcW w:w="840" w:type="dxa"/>
            <w:vAlign w:val="bottom"/>
            <w:gridSpan w:val="3"/>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20.5%</w:t>
            </w:r>
          </w:p>
        </w:tc>
        <w:tc>
          <w:tcPr>
            <w:tcW w:w="780" w:type="dxa"/>
            <w:vAlign w:val="bottom"/>
            <w:tcBorders>
              <w:right w:val="single" w:sz="8" w:color="CFF0FC"/>
            </w:tcBorders>
            <w:gridSpan w:val="3"/>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1"/>
                <w:szCs w:val="11"/>
                <w:color w:val="auto"/>
              </w:rPr>
              <w:t>5.9%</w:t>
            </w:r>
          </w:p>
        </w:tc>
        <w:tc>
          <w:tcPr>
            <w:tcW w:w="720" w:type="dxa"/>
            <w:vAlign w:val="bottom"/>
            <w:tcBorders>
              <w:right w:val="single" w:sz="8" w:color="CFF0FC"/>
            </w:tcBorders>
            <w:gridSpan w:val="2"/>
            <w:shd w:val="clear" w:color="auto" w:fill="CFF0FC"/>
          </w:tcPr>
          <w:p>
            <w:pPr>
              <w:ind w:left="320"/>
              <w:spacing w:after="0" w:line="109" w:lineRule="exact"/>
              <w:rPr>
                <w:sz w:val="20"/>
                <w:szCs w:val="20"/>
                <w:color w:val="auto"/>
              </w:rPr>
            </w:pPr>
            <w:r>
              <w:rPr>
                <w:rFonts w:ascii="Times New Roman" w:cs="Times New Roman" w:eastAsia="Times New Roman" w:hAnsi="Times New Roman"/>
                <w:sz w:val="11"/>
                <w:szCs w:val="11"/>
                <w:color w:val="auto"/>
              </w:rPr>
              <w:t>0.0%</w:t>
            </w:r>
          </w:p>
        </w:tc>
        <w:tc>
          <w:tcPr>
            <w:tcW w:w="720" w:type="dxa"/>
            <w:vAlign w:val="bottom"/>
            <w:tcBorders>
              <w:right w:val="single" w:sz="8" w:color="CFF0FC"/>
            </w:tcBorders>
            <w:gridSpan w:val="2"/>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1"/>
                <w:szCs w:val="11"/>
                <w:color w:val="auto"/>
              </w:rPr>
              <w:t>0.7%</w:t>
            </w:r>
          </w:p>
        </w:tc>
        <w:tc>
          <w:tcPr>
            <w:tcW w:w="720" w:type="dxa"/>
            <w:vAlign w:val="bottom"/>
            <w:tcBorders>
              <w:right w:val="single" w:sz="8" w:color="CFF0FC"/>
            </w:tcBorders>
            <w:gridSpan w:val="2"/>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color w:val="auto"/>
              </w:rPr>
              <w:t>15.4%</w:t>
            </w:r>
          </w:p>
        </w:tc>
        <w:tc>
          <w:tcPr>
            <w:tcW w:w="720" w:type="dxa"/>
            <w:vAlign w:val="bottom"/>
            <w:tcBorders>
              <w:right w:val="single" w:sz="8" w:color="CFF0FC"/>
            </w:tcBorders>
            <w:gridSpan w:val="2"/>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color w:val="auto"/>
              </w:rPr>
              <w:t>21.4%</w:t>
            </w:r>
          </w:p>
        </w:tc>
        <w:tc>
          <w:tcPr>
            <w:tcW w:w="720" w:type="dxa"/>
            <w:vAlign w:val="bottom"/>
            <w:tcBorders>
              <w:right w:val="single" w:sz="8" w:color="CFF0FC"/>
            </w:tcBorders>
            <w:gridSpan w:val="2"/>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color w:val="auto"/>
              </w:rPr>
              <w:t>0.9%</w:t>
            </w:r>
          </w:p>
        </w:tc>
        <w:tc>
          <w:tcPr>
            <w:tcW w:w="640" w:type="dxa"/>
            <w:vAlign w:val="bottom"/>
            <w:gridSpan w:val="2"/>
            <w:shd w:val="clear" w:color="auto" w:fill="CFF0FC"/>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64.8%</w:t>
            </w:r>
          </w:p>
        </w:tc>
      </w:tr>
      <w:tr>
        <w:trPr>
          <w:trHeight w:val="118"/>
        </w:trPr>
        <w:tc>
          <w:tcPr>
            <w:tcW w:w="18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Home and Community Pharmacy</w:t>
            </w:r>
          </w:p>
        </w:tc>
        <w:tc>
          <w:tcPr>
            <w:tcW w:w="840" w:type="dxa"/>
            <w:vAlign w:val="bottom"/>
            <w:gridSpan w:val="3"/>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2.9%</w:t>
            </w:r>
          </w:p>
        </w:tc>
        <w:tc>
          <w:tcPr>
            <w:tcW w:w="780" w:type="dxa"/>
            <w:vAlign w:val="bottom"/>
            <w:gridSpan w:val="3"/>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2.3%</w:t>
            </w:r>
          </w:p>
        </w:tc>
        <w:tc>
          <w:tcPr>
            <w:tcW w:w="720" w:type="dxa"/>
            <w:vAlign w:val="bottom"/>
            <w:gridSpan w:val="2"/>
          </w:tcPr>
          <w:p>
            <w:pPr>
              <w:ind w:left="320"/>
              <w:spacing w:after="0" w:line="119" w:lineRule="exact"/>
              <w:rPr>
                <w:sz w:val="20"/>
                <w:szCs w:val="20"/>
                <w:color w:val="auto"/>
              </w:rPr>
            </w:pPr>
            <w:r>
              <w:rPr>
                <w:rFonts w:ascii="Times New Roman" w:cs="Times New Roman" w:eastAsia="Times New Roman" w:hAnsi="Times New Roman"/>
                <w:sz w:val="11"/>
                <w:szCs w:val="11"/>
                <w:color w:val="auto"/>
              </w:rPr>
              <w:t>5.4%</w:t>
            </w:r>
          </w:p>
        </w:tc>
        <w:tc>
          <w:tcPr>
            <w:tcW w:w="72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2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2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10.4%</w:t>
            </w:r>
          </w:p>
        </w:tc>
        <w:tc>
          <w:tcPr>
            <w:tcW w:w="7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1.1%</w:t>
            </w:r>
          </w:p>
        </w:tc>
        <w:tc>
          <w:tcPr>
            <w:tcW w:w="64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22.1%</w:t>
            </w:r>
          </w:p>
        </w:tc>
      </w:tr>
      <w:tr>
        <w:trPr>
          <w:trHeight w:val="20"/>
        </w:trPr>
        <w:tc>
          <w:tcPr>
            <w:tcW w:w="1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9"/>
        </w:trPr>
        <w:tc>
          <w:tcPr>
            <w:tcW w:w="1880" w:type="dxa"/>
            <w:vAlign w:val="bottom"/>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b w:val="1"/>
                <w:bCs w:val="1"/>
                <w:color w:val="auto"/>
              </w:rPr>
              <w:t>Pharmacy Solutions</w:t>
            </w:r>
          </w:p>
        </w:tc>
        <w:tc>
          <w:tcPr>
            <w:tcW w:w="840" w:type="dxa"/>
            <w:vAlign w:val="bottom"/>
            <w:gridSpan w:val="3"/>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23.4%</w:t>
            </w:r>
          </w:p>
        </w:tc>
        <w:tc>
          <w:tcPr>
            <w:tcW w:w="780" w:type="dxa"/>
            <w:vAlign w:val="bottom"/>
            <w:tcBorders>
              <w:right w:val="single" w:sz="8" w:color="CFF0FC"/>
            </w:tcBorders>
            <w:gridSpan w:val="3"/>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1"/>
                <w:szCs w:val="11"/>
                <w:b w:val="1"/>
                <w:bCs w:val="1"/>
                <w:color w:val="auto"/>
              </w:rPr>
              <w:t>8.2%</w:t>
            </w:r>
          </w:p>
        </w:tc>
        <w:tc>
          <w:tcPr>
            <w:tcW w:w="720" w:type="dxa"/>
            <w:vAlign w:val="bottom"/>
            <w:tcBorders>
              <w:right w:val="single" w:sz="8" w:color="CFF0FC"/>
            </w:tcBorders>
            <w:gridSpan w:val="2"/>
            <w:shd w:val="clear" w:color="auto" w:fill="CFF0FC"/>
          </w:tcPr>
          <w:p>
            <w:pPr>
              <w:ind w:left="320"/>
              <w:spacing w:after="0" w:line="109" w:lineRule="exact"/>
              <w:rPr>
                <w:sz w:val="20"/>
                <w:szCs w:val="20"/>
                <w:color w:val="auto"/>
              </w:rPr>
            </w:pPr>
            <w:r>
              <w:rPr>
                <w:rFonts w:ascii="Times New Roman" w:cs="Times New Roman" w:eastAsia="Times New Roman" w:hAnsi="Times New Roman"/>
                <w:sz w:val="11"/>
                <w:szCs w:val="11"/>
                <w:b w:val="1"/>
                <w:bCs w:val="1"/>
                <w:color w:val="auto"/>
              </w:rPr>
              <w:t>5.4%</w:t>
            </w:r>
          </w:p>
        </w:tc>
        <w:tc>
          <w:tcPr>
            <w:tcW w:w="720" w:type="dxa"/>
            <w:vAlign w:val="bottom"/>
            <w:tcBorders>
              <w:right w:val="single" w:sz="8" w:color="CFF0FC"/>
            </w:tcBorders>
            <w:gridSpan w:val="2"/>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0.7%</w:t>
            </w:r>
          </w:p>
        </w:tc>
        <w:tc>
          <w:tcPr>
            <w:tcW w:w="720" w:type="dxa"/>
            <w:vAlign w:val="bottom"/>
            <w:tcBorders>
              <w:right w:val="single" w:sz="8" w:color="CFF0FC"/>
            </w:tcBorders>
            <w:gridSpan w:val="2"/>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15.4%</w:t>
            </w:r>
          </w:p>
        </w:tc>
        <w:tc>
          <w:tcPr>
            <w:tcW w:w="720" w:type="dxa"/>
            <w:vAlign w:val="bottom"/>
            <w:tcBorders>
              <w:right w:val="single" w:sz="8" w:color="CFF0FC"/>
            </w:tcBorders>
            <w:gridSpan w:val="2"/>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31.8%</w:t>
            </w:r>
          </w:p>
        </w:tc>
        <w:tc>
          <w:tcPr>
            <w:tcW w:w="720" w:type="dxa"/>
            <w:vAlign w:val="bottom"/>
            <w:tcBorders>
              <w:right w:val="single" w:sz="8" w:color="CFF0FC"/>
            </w:tcBorders>
            <w:gridSpan w:val="2"/>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2.0%</w:t>
            </w:r>
          </w:p>
        </w:tc>
        <w:tc>
          <w:tcPr>
            <w:tcW w:w="640" w:type="dxa"/>
            <w:vAlign w:val="bottom"/>
            <w:gridSpan w:val="2"/>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86.9%</w:t>
            </w:r>
          </w:p>
        </w:tc>
      </w:tr>
      <w:tr>
        <w:trPr>
          <w:trHeight w:val="118"/>
        </w:trPr>
        <w:tc>
          <w:tcPr>
            <w:tcW w:w="18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Home Health Care</w:t>
            </w:r>
          </w:p>
        </w:tc>
        <w:tc>
          <w:tcPr>
            <w:tcW w:w="840" w:type="dxa"/>
            <w:vAlign w:val="bottom"/>
            <w:gridSpan w:val="3"/>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0.3%</w:t>
            </w:r>
          </w:p>
        </w:tc>
        <w:tc>
          <w:tcPr>
            <w:tcW w:w="780" w:type="dxa"/>
            <w:vAlign w:val="bottom"/>
            <w:gridSpan w:val="3"/>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0.3%</w:t>
            </w:r>
          </w:p>
        </w:tc>
        <w:tc>
          <w:tcPr>
            <w:tcW w:w="720" w:type="dxa"/>
            <w:vAlign w:val="bottom"/>
            <w:gridSpan w:val="2"/>
          </w:tcPr>
          <w:p>
            <w:pPr>
              <w:ind w:left="320"/>
              <w:spacing w:after="0" w:line="119" w:lineRule="exact"/>
              <w:rPr>
                <w:sz w:val="20"/>
                <w:szCs w:val="20"/>
                <w:color w:val="auto"/>
              </w:rPr>
            </w:pPr>
            <w:r>
              <w:rPr>
                <w:rFonts w:ascii="Times New Roman" w:cs="Times New Roman" w:eastAsia="Times New Roman" w:hAnsi="Times New Roman"/>
                <w:sz w:val="11"/>
                <w:szCs w:val="11"/>
                <w:color w:val="auto"/>
              </w:rPr>
              <w:t>4.5%</w:t>
            </w:r>
          </w:p>
        </w:tc>
        <w:tc>
          <w:tcPr>
            <w:tcW w:w="72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0.3%</w:t>
            </w:r>
          </w:p>
        </w:tc>
        <w:tc>
          <w:tcPr>
            <w:tcW w:w="72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1.2%</w:t>
            </w:r>
          </w:p>
        </w:tc>
        <w:tc>
          <w:tcPr>
            <w:tcW w:w="720" w:type="dxa"/>
            <w:vAlign w:val="bottom"/>
            <w:gridSpan w:val="2"/>
          </w:tcPr>
          <w:p>
            <w:pPr>
              <w:jc w:val="right"/>
              <w:ind w:right="2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64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6.6%</w:t>
            </w:r>
          </w:p>
        </w:tc>
      </w:tr>
      <w:tr>
        <w:trPr>
          <w:trHeight w:val="118"/>
        </w:trPr>
        <w:tc>
          <w:tcPr>
            <w:tcW w:w="18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Rehab Care</w:t>
            </w:r>
          </w:p>
        </w:tc>
        <w:tc>
          <w:tcPr>
            <w:tcW w:w="840" w:type="dxa"/>
            <w:vAlign w:val="bottom"/>
            <w:gridSpan w:val="3"/>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1.3%</w:t>
            </w:r>
          </w:p>
        </w:tc>
        <w:tc>
          <w:tcPr>
            <w:tcW w:w="780" w:type="dxa"/>
            <w:vAlign w:val="bottom"/>
            <w:tcBorders>
              <w:right w:val="single" w:sz="8" w:color="CFF0FC"/>
            </w:tcBorders>
            <w:gridSpan w:val="3"/>
            <w:shd w:val="clear" w:color="auto" w:fill="CFF0FC"/>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0.6%</w:t>
            </w:r>
          </w:p>
        </w:tc>
        <w:tc>
          <w:tcPr>
            <w:tcW w:w="720" w:type="dxa"/>
            <w:vAlign w:val="bottom"/>
            <w:tcBorders>
              <w:right w:val="single" w:sz="8" w:color="CFF0FC"/>
            </w:tcBorders>
            <w:gridSpan w:val="2"/>
            <w:shd w:val="clear" w:color="auto" w:fill="CFF0FC"/>
          </w:tcPr>
          <w:p>
            <w:pPr>
              <w:ind w:left="32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20" w:type="dxa"/>
            <w:vAlign w:val="bottom"/>
            <w:tcBorders>
              <w:right w:val="single" w:sz="8" w:color="CFF0FC"/>
            </w:tcBorders>
            <w:gridSpan w:val="2"/>
            <w:shd w:val="clear" w:color="auto" w:fill="CFF0FC"/>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20" w:type="dxa"/>
            <w:vAlign w:val="bottom"/>
            <w:tcBorders>
              <w:right w:val="single" w:sz="8" w:color="CFF0FC"/>
            </w:tcBorders>
            <w:gridSpan w:val="2"/>
            <w:shd w:val="clear" w:color="auto" w:fill="CFF0FC"/>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20" w:type="dxa"/>
            <w:vAlign w:val="bottom"/>
            <w:tcBorders>
              <w:right w:val="single" w:sz="8" w:color="CFF0FC"/>
            </w:tcBorders>
            <w:gridSpan w:val="2"/>
            <w:shd w:val="clear" w:color="auto" w:fill="CFF0FC"/>
          </w:tcPr>
          <w:p>
            <w:pPr>
              <w:jc w:val="right"/>
              <w:ind w:right="2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CFF0FC"/>
            </w:tcBorders>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0.8%</w:t>
            </w:r>
          </w:p>
        </w:tc>
        <w:tc>
          <w:tcPr>
            <w:tcW w:w="64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2.7%</w:t>
            </w:r>
          </w:p>
        </w:tc>
      </w:tr>
      <w:tr>
        <w:trPr>
          <w:trHeight w:val="118"/>
        </w:trPr>
        <w:tc>
          <w:tcPr>
            <w:tcW w:w="18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Personal Care</w:t>
            </w:r>
          </w:p>
        </w:tc>
        <w:tc>
          <w:tcPr>
            <w:tcW w:w="840" w:type="dxa"/>
            <w:vAlign w:val="bottom"/>
            <w:gridSpan w:val="3"/>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0.1%</w:t>
            </w:r>
          </w:p>
        </w:tc>
        <w:tc>
          <w:tcPr>
            <w:tcW w:w="780" w:type="dxa"/>
            <w:vAlign w:val="bottom"/>
            <w:gridSpan w:val="3"/>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2.4%</w:t>
            </w:r>
          </w:p>
        </w:tc>
        <w:tc>
          <w:tcPr>
            <w:tcW w:w="720" w:type="dxa"/>
            <w:vAlign w:val="bottom"/>
            <w:gridSpan w:val="2"/>
          </w:tcPr>
          <w:p>
            <w:pPr>
              <w:ind w:left="32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2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2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20" w:type="dxa"/>
            <w:vAlign w:val="bottom"/>
            <w:gridSpan w:val="2"/>
          </w:tcPr>
          <w:p>
            <w:pPr>
              <w:jc w:val="right"/>
              <w:ind w:right="2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1.3%</w:t>
            </w:r>
          </w:p>
        </w:tc>
        <w:tc>
          <w:tcPr>
            <w:tcW w:w="64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3.8%</w:t>
            </w:r>
          </w:p>
        </w:tc>
      </w:tr>
      <w:tr>
        <w:trPr>
          <w:trHeight w:val="20"/>
        </w:trPr>
        <w:tc>
          <w:tcPr>
            <w:tcW w:w="1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9"/>
        </w:trPr>
        <w:tc>
          <w:tcPr>
            <w:tcW w:w="1880" w:type="dxa"/>
            <w:vAlign w:val="bottom"/>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b w:val="1"/>
                <w:bCs w:val="1"/>
                <w:color w:val="auto"/>
              </w:rPr>
              <w:t>Provider Services</w:t>
            </w:r>
          </w:p>
        </w:tc>
        <w:tc>
          <w:tcPr>
            <w:tcW w:w="840" w:type="dxa"/>
            <w:vAlign w:val="bottom"/>
            <w:gridSpan w:val="3"/>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1.7%</w:t>
            </w:r>
          </w:p>
        </w:tc>
        <w:tc>
          <w:tcPr>
            <w:tcW w:w="780" w:type="dxa"/>
            <w:vAlign w:val="bottom"/>
            <w:tcBorders>
              <w:right w:val="single" w:sz="8" w:color="CFF0FC"/>
            </w:tcBorders>
            <w:gridSpan w:val="3"/>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1"/>
                <w:szCs w:val="11"/>
                <w:b w:val="1"/>
                <w:bCs w:val="1"/>
                <w:color w:val="auto"/>
              </w:rPr>
              <w:t>3.3%</w:t>
            </w:r>
          </w:p>
        </w:tc>
        <w:tc>
          <w:tcPr>
            <w:tcW w:w="720" w:type="dxa"/>
            <w:vAlign w:val="bottom"/>
            <w:tcBorders>
              <w:right w:val="single" w:sz="8" w:color="CFF0FC"/>
            </w:tcBorders>
            <w:gridSpan w:val="2"/>
            <w:shd w:val="clear" w:color="auto" w:fill="CFF0FC"/>
          </w:tcPr>
          <w:p>
            <w:pPr>
              <w:ind w:left="320"/>
              <w:spacing w:after="0" w:line="109" w:lineRule="exact"/>
              <w:rPr>
                <w:sz w:val="20"/>
                <w:szCs w:val="20"/>
                <w:color w:val="auto"/>
              </w:rPr>
            </w:pPr>
            <w:r>
              <w:rPr>
                <w:rFonts w:ascii="Times New Roman" w:cs="Times New Roman" w:eastAsia="Times New Roman" w:hAnsi="Times New Roman"/>
                <w:sz w:val="11"/>
                <w:szCs w:val="11"/>
                <w:b w:val="1"/>
                <w:bCs w:val="1"/>
                <w:color w:val="auto"/>
              </w:rPr>
              <w:t>4.5%</w:t>
            </w:r>
          </w:p>
        </w:tc>
        <w:tc>
          <w:tcPr>
            <w:tcW w:w="720" w:type="dxa"/>
            <w:vAlign w:val="bottom"/>
            <w:tcBorders>
              <w:right w:val="single" w:sz="8" w:color="CFF0FC"/>
            </w:tcBorders>
            <w:gridSpan w:val="2"/>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0.3%</w:t>
            </w:r>
          </w:p>
        </w:tc>
        <w:tc>
          <w:tcPr>
            <w:tcW w:w="720" w:type="dxa"/>
            <w:vAlign w:val="bottom"/>
            <w:tcBorders>
              <w:right w:val="single" w:sz="8" w:color="CFF0FC"/>
            </w:tcBorders>
            <w:gridSpan w:val="2"/>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1.2%</w:t>
            </w:r>
          </w:p>
        </w:tc>
        <w:tc>
          <w:tcPr>
            <w:tcW w:w="720" w:type="dxa"/>
            <w:vAlign w:val="bottom"/>
            <w:tcBorders>
              <w:right w:val="single" w:sz="8" w:color="CFF0FC"/>
            </w:tcBorders>
            <w:gridSpan w:val="2"/>
            <w:shd w:val="clear" w:color="auto" w:fill="CFF0FC"/>
          </w:tcPr>
          <w:p>
            <w:pPr>
              <w:jc w:val="right"/>
              <w:ind w:right="24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CFF0FC"/>
            </w:tcBorders>
            <w:gridSpan w:val="2"/>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2.1%</w:t>
            </w:r>
          </w:p>
        </w:tc>
        <w:tc>
          <w:tcPr>
            <w:tcW w:w="640" w:type="dxa"/>
            <w:vAlign w:val="bottom"/>
            <w:gridSpan w:val="2"/>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13.1%</w:t>
            </w:r>
          </w:p>
        </w:tc>
      </w:tr>
      <w:tr>
        <w:trPr>
          <w:trHeight w:val="20"/>
        </w:trPr>
        <w:tc>
          <w:tcPr>
            <w:tcW w:w="18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09"/>
        </w:trPr>
        <w:tc>
          <w:tcPr>
            <w:tcW w:w="1880" w:type="dxa"/>
            <w:vAlign w:val="bottom"/>
          </w:tcPr>
          <w:p>
            <w:pPr>
              <w:ind w:left="280"/>
              <w:spacing w:after="0" w:line="109" w:lineRule="exact"/>
              <w:rPr>
                <w:sz w:val="20"/>
                <w:szCs w:val="20"/>
                <w:color w:val="auto"/>
              </w:rPr>
            </w:pPr>
            <w:r>
              <w:rPr>
                <w:rFonts w:ascii="Times New Roman" w:cs="Times New Roman" w:eastAsia="Times New Roman" w:hAnsi="Times New Roman"/>
                <w:sz w:val="11"/>
                <w:szCs w:val="11"/>
                <w:b w:val="1"/>
                <w:bCs w:val="1"/>
                <w:color w:val="auto"/>
              </w:rPr>
              <w:t>Consolidated BrightSpring</w:t>
            </w:r>
          </w:p>
        </w:tc>
        <w:tc>
          <w:tcPr>
            <w:tcW w:w="840" w:type="dxa"/>
            <w:vAlign w:val="bottom"/>
            <w:gridSpan w:val="3"/>
          </w:tcPr>
          <w:p>
            <w:pPr>
              <w:jc w:val="right"/>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25.1%</w:t>
            </w:r>
          </w:p>
        </w:tc>
        <w:tc>
          <w:tcPr>
            <w:tcW w:w="780" w:type="dxa"/>
            <w:vAlign w:val="bottom"/>
            <w:gridSpan w:val="3"/>
          </w:tcPr>
          <w:p>
            <w:pPr>
              <w:jc w:val="right"/>
              <w:ind w:right="160"/>
              <w:spacing w:after="0" w:line="109" w:lineRule="exact"/>
              <w:rPr>
                <w:sz w:val="20"/>
                <w:szCs w:val="20"/>
                <w:color w:val="auto"/>
              </w:rPr>
            </w:pPr>
            <w:r>
              <w:rPr>
                <w:rFonts w:ascii="Times New Roman" w:cs="Times New Roman" w:eastAsia="Times New Roman" w:hAnsi="Times New Roman"/>
                <w:sz w:val="11"/>
                <w:szCs w:val="11"/>
                <w:b w:val="1"/>
                <w:bCs w:val="1"/>
                <w:color w:val="auto"/>
              </w:rPr>
              <w:t>11.5%</w:t>
            </w:r>
          </w:p>
        </w:tc>
        <w:tc>
          <w:tcPr>
            <w:tcW w:w="720" w:type="dxa"/>
            <w:vAlign w:val="bottom"/>
            <w:gridSpan w:val="2"/>
          </w:tcPr>
          <w:p>
            <w:pPr>
              <w:ind w:left="320"/>
              <w:spacing w:after="0" w:line="109" w:lineRule="exact"/>
              <w:rPr>
                <w:sz w:val="20"/>
                <w:szCs w:val="20"/>
                <w:color w:val="auto"/>
              </w:rPr>
            </w:pPr>
            <w:r>
              <w:rPr>
                <w:rFonts w:ascii="Times New Roman" w:cs="Times New Roman" w:eastAsia="Times New Roman" w:hAnsi="Times New Roman"/>
                <w:sz w:val="11"/>
                <w:szCs w:val="11"/>
                <w:b w:val="1"/>
                <w:bCs w:val="1"/>
                <w:color w:val="auto"/>
              </w:rPr>
              <w:t>9.9%</w:t>
            </w:r>
          </w:p>
        </w:tc>
        <w:tc>
          <w:tcPr>
            <w:tcW w:w="72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1.0%</w:t>
            </w:r>
          </w:p>
        </w:tc>
        <w:tc>
          <w:tcPr>
            <w:tcW w:w="72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16.6%</w:t>
            </w:r>
          </w:p>
        </w:tc>
        <w:tc>
          <w:tcPr>
            <w:tcW w:w="720" w:type="dxa"/>
            <w:vAlign w:val="bottom"/>
            <w:gridSpan w:val="2"/>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31.8%</w:t>
            </w:r>
          </w:p>
        </w:tc>
        <w:tc>
          <w:tcPr>
            <w:tcW w:w="720" w:type="dxa"/>
            <w:vAlign w:val="bottom"/>
            <w:gridSpan w:val="2"/>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4.1%</w:t>
            </w:r>
          </w:p>
        </w:tc>
        <w:tc>
          <w:tcPr>
            <w:tcW w:w="640" w:type="dxa"/>
            <w:vAlign w:val="bottom"/>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100.0%</w:t>
            </w:r>
          </w:p>
        </w:tc>
      </w:tr>
      <w:tr>
        <w:trPr>
          <w:trHeight w:val="20"/>
        </w:trPr>
        <w:tc>
          <w:tcPr>
            <w:tcW w:w="18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2055495</wp:posOffset>
            </wp:positionH>
            <wp:positionV relativeFrom="paragraph">
              <wp:posOffset>-1090295</wp:posOffset>
            </wp:positionV>
            <wp:extent cx="7493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2505710</wp:posOffset>
            </wp:positionH>
            <wp:positionV relativeFrom="paragraph">
              <wp:posOffset>-1090295</wp:posOffset>
            </wp:positionV>
            <wp:extent cx="7493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-1090295</wp:posOffset>
            </wp:positionV>
            <wp:extent cx="7493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-1090295</wp:posOffset>
            </wp:positionV>
            <wp:extent cx="7493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3876040</wp:posOffset>
            </wp:positionH>
            <wp:positionV relativeFrom="paragraph">
              <wp:posOffset>-1090295</wp:posOffset>
            </wp:positionV>
            <wp:extent cx="7493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4333240</wp:posOffset>
            </wp:positionH>
            <wp:positionV relativeFrom="paragraph">
              <wp:posOffset>-1090295</wp:posOffset>
            </wp:positionV>
            <wp:extent cx="7493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4789805</wp:posOffset>
            </wp:positionH>
            <wp:positionV relativeFrom="paragraph">
              <wp:posOffset>-1090295</wp:posOffset>
            </wp:positionV>
            <wp:extent cx="7493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-1090295</wp:posOffset>
            </wp:positionV>
            <wp:extent cx="7493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2007870</wp:posOffset>
            </wp:positionH>
            <wp:positionV relativeFrom="paragraph">
              <wp:posOffset>-101600</wp:posOffset>
            </wp:positionV>
            <wp:extent cx="7493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-101600</wp:posOffset>
            </wp:positionV>
            <wp:extent cx="7493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-101600</wp:posOffset>
            </wp:positionV>
            <wp:extent cx="7493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-101600</wp:posOffset>
            </wp:positionV>
            <wp:extent cx="7493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3848735</wp:posOffset>
            </wp:positionH>
            <wp:positionV relativeFrom="paragraph">
              <wp:posOffset>-101600</wp:posOffset>
            </wp:positionV>
            <wp:extent cx="7493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-101600</wp:posOffset>
            </wp:positionV>
            <wp:extent cx="7493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4776470</wp:posOffset>
            </wp:positionH>
            <wp:positionV relativeFrom="paragraph">
              <wp:posOffset>-101600</wp:posOffset>
            </wp:positionV>
            <wp:extent cx="7493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-101600</wp:posOffset>
            </wp:positionV>
            <wp:extent cx="7493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4930" cy="6985"/>
                    </a:xfrm>
                    <a:prstGeom prst="rect">
                      <a:avLst/>
                    </a:prstGeom>
                    <a:noFill/>
                  </pic:spPr>
                </pic:pic>
              </a:graphicData>
            </a:graphic>
          </wp:anchor>
        </w:drawing>
      </w:r>
    </w:p>
    <w:p>
      <w:pPr>
        <w:spacing w:after="0" w:line="137" w:lineRule="exact"/>
        <w:rPr>
          <w:sz w:val="20"/>
          <w:szCs w:val="20"/>
          <w:color w:val="auto"/>
        </w:rPr>
      </w:pPr>
    </w:p>
    <w:p>
      <w:pPr>
        <w:ind w:left="640" w:right="919" w:firstLine="516"/>
        <w:spacing w:after="0" w:line="292" w:lineRule="auto"/>
        <w:rPr>
          <w:sz w:val="20"/>
          <w:szCs w:val="20"/>
          <w:color w:val="auto"/>
        </w:rPr>
      </w:pPr>
      <w:r>
        <w:rPr>
          <w:rFonts w:ascii="Times New Roman" w:cs="Times New Roman" w:eastAsia="Times New Roman" w:hAnsi="Times New Roman"/>
          <w:sz w:val="14"/>
          <w:szCs w:val="14"/>
          <w:color w:val="auto"/>
        </w:rPr>
        <w:t>See Note 3 of the audited consolidated financial statements and related notes in this Form 10-K for information regarding revenue by payor type for each reportable segment for the years ended December 31, 2025 and 2024.</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Trends and Other Factors Affecting Business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Continued Growth of our Pharmacy Solutions Patient Populations</w:t>
      </w:r>
    </w:p>
    <w:p>
      <w:pPr>
        <w:spacing w:after="0" w:line="101"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We focus on providing health-dependent medications in a timely and well-supported manner to our patients receiving pharmacy solutions in their home and community-based settings. Our pharmacy services are primarily delivered directly to patients in their place of residence, home, or stay, and sometimes in a clinic setting. Our high-need Senior and Specialty patients depend on closely and expertly managed daily medication regimens that are supported by pharmacist and nurse consultants whom are available in a timely and 24/7 manner. According to industry reports, pharmacy solutions delivered to and tailored for the home environment, such as home infusion services, oncology services, and daily medication management services in the home, will continue to grow faster than the overall and general pharmacy market. Each of the end markets that these home and community-based pharmacy services supply and support are growing at attractive rates, and the lack of appropriate pharmacy medication management and resulting non-adherence among complex and polypharmacy patients in homes are significant contributors to ER visits, hospitalizations and increased costs.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0" w:name="page71"/>
    <w:bookmarkEnd w:id="7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We have continued to expand our pharmacy capabilities to serve this need. Overall, our pharmacy has grown patient census and prescriptions by 4% over the past year. We are a leading independent pharmacy provider in our respective pharmacy patient markets, and we expect to continue to increase our share. Our growth in serving numerous patient types has been well into the double digits, including home infusion patients, specialty oncology patients, behavioral patients, in-home Seniors, and hospice patients.</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Continued Growth of our Provider Services Patient Populations</w:t>
      </w:r>
    </w:p>
    <w:p>
      <w:pPr>
        <w:spacing w:after="0" w:line="101"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Our Provider Services segment focuses on delivering high-touch and coordinated services to medically complex Senior and Specialty patients in the home and community-based settings where they live. As the baby boomer population ages, Seniors, who comprise a significant majority of our patients, will represent a higher percentage of the overall population. The U.S. Census Bureau projects that the U.S. population aged 65 and over will grow substantially from 15% of the population in 2016 to 21% of the population by 2030, and the population size of people over age 85 is expected to double by 2040, according to the Administration for Community Living. Given the proven value proposition of home-based health services, we believe patients will increasingly seek treatment and referral sources and payors will increasingly support treatment in homes more often than in higher cost, less convenient, higher acuity institutional settings. Home health care can reduce 365-day post-discharge costs by more than $6,000 per patient, and as healthcare spending rises, home health care can improve the continuity of care while reducing overall costs. In addition, advancements in medical technology have allowed providers to expand access points and the breadth of services available in the home.</w:t>
      </w:r>
    </w:p>
    <w:p>
      <w:pPr>
        <w:spacing w:after="0" w:line="60"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The vast majority of patients we serve in our provider businesses are served in the home, and we have purposefully continued to expand our service offering and footprint to serve patients in this lower cost setting. Over the past five years we built upon supportive care services to patients, as we have meaningfully expanded our footprint of highly clinical and expert services to home health, rehabilitation, and hospice patients to address a large national healthcare need and more completely and better serve Senior and Specialty patients in the home as evidenced by continued census growth within the Provider Services segment. Our complementary services that address the multiple needs of these patient populations will increasingly provide integrated care opportunities to provide more complete and better coordinated services to patients across health settings and stages.</w:t>
      </w:r>
    </w:p>
    <w:p>
      <w:pPr>
        <w:spacing w:after="0" w:line="59"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As noted earlier, the Company announced the entry into a purchase agreement in January 2025 with respect to the expected sale of our Community Living business, which is expected to close in the first fiscal quarter of 2026, subject to customary closing conditions. The sale of this business will represent a strategic shift from our services to Behavioral populations. After closing, our focus will be primarily on Seniors and Specialty patients receiving neuro rehab.</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Stable Reimbursement Environment Across our Portfolio of Businesses</w:t>
      </w:r>
    </w:p>
    <w:p>
      <w:pPr>
        <w:spacing w:after="0" w:line="101"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Our revenue is dependent upon our contracts and relationships with payors for our “must-serve” patient populations. We partner with a large and diverse set of payor groups nationally and in each of our markets to form provider networks and to lower the overall cost of care. We structure our payor contracts to help both providers and payors achieve their objectives in a mutually aligned manner. Maintaining, supporting, and both deepening and increasing the number of these contracts and relationships, particularly as we continue to grow market share and enter new markets, is important for our long-term success.</w:t>
      </w:r>
    </w:p>
    <w:p>
      <w:pPr>
        <w:spacing w:after="0" w:line="56"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We have observed relatively stable reimbursement rates from government and commercial payors in our pharmacy and provider services over a number of years, particularly for services provided to high-need, medically complex populations. Due to the medical necessity of our services, which are lower cost than healthcare services provided in other settings and reduce ER, hospital and institutional facility utilization, we have a history of reimbursement stability across our lines of business.</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Culture of Quality and Compliance and Consistent Operations Execution</w:t>
      </w:r>
    </w:p>
    <w:p>
      <w:pPr>
        <w:spacing w:after="0" w:line="101" w:lineRule="exact"/>
        <w:rPr>
          <w:sz w:val="20"/>
          <w:szCs w:val="20"/>
          <w:color w:val="auto"/>
        </w:rPr>
      </w:pPr>
    </w:p>
    <w:p>
      <w:pPr>
        <w:ind w:left="640" w:right="739" w:firstLine="351"/>
        <w:spacing w:after="0" w:line="263" w:lineRule="auto"/>
        <w:rPr>
          <w:sz w:val="20"/>
          <w:szCs w:val="20"/>
          <w:color w:val="auto"/>
        </w:rPr>
      </w:pPr>
      <w:r>
        <w:rPr>
          <w:rFonts w:ascii="Times New Roman" w:cs="Times New Roman" w:eastAsia="Times New Roman" w:hAnsi="Times New Roman"/>
          <w:sz w:val="14"/>
          <w:szCs w:val="14"/>
          <w:color w:val="auto"/>
        </w:rPr>
        <w:t>Quality and compliance are central to our strategies and mission. We have demonstrated leading and excellent service and customer/patient/family satisfaction scores across the organization, as referenced in prior and other sections of this Annual Report on Form 10-K. In addition to quality and compliance resources and programs in field operations, we invest in people, training, auditing, signature programs, accreditations, advocacy, and technologies to support quality, compliance, and safety as part of our “Quality First” framework. We have demonstrated consistently high and often leading marks for service levels, satisfaction scores, and quality metrics in our industries.</w:t>
      </w:r>
    </w:p>
    <w:p>
      <w:pPr>
        <w:spacing w:after="0" w:line="58"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For example, across our pharmacies we achieve 99.99% order accuracy and 99.34% order completeness, “excellent” and “world class” NPS, a 94% satisfaction rating from infusion patients, and a reduction in hospitalizations with CCRx, while also driving savings through medication adherence and therapeutic interchanges. We achieve 100% patient satisfaction in our outpatient rehab services, and we achieve an 87% overall rating of care in hospice (compared to the national average of 81%), hospitalizations 35% lower than the national average in our home-based primary care, and four stars (out of five) in the CAHPS home health patient survey ratings. 91% of our home health branches have a STAR rating of 4 or higher. Our complex Behavioral clients, often with three or more comorbidities and requiring eight or more medications, are still able to spend 360 days a year at home on average. We believe that we are positioned to identify potential medical problems and avoid adverse events due to our highly proximate position to patients and attentive care protocols, as evidenced by these quality metrics.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1" w:name="page72"/>
    <w:bookmarkEnd w:id="7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779" w:firstLine="351"/>
        <w:spacing w:after="0" w:line="268" w:lineRule="auto"/>
        <w:rPr>
          <w:sz w:val="20"/>
          <w:szCs w:val="20"/>
          <w:color w:val="auto"/>
        </w:rPr>
      </w:pPr>
      <w:r>
        <w:rPr>
          <w:rFonts w:ascii="Times New Roman" w:cs="Times New Roman" w:eastAsia="Times New Roman" w:hAnsi="Times New Roman"/>
          <w:sz w:val="14"/>
          <w:szCs w:val="14"/>
          <w:color w:val="auto"/>
        </w:rPr>
        <w:t>Operational excellence is also an ongoing focus at the Company, including how we collect and share key metrics, hold operational reviews, audit, conduct training, deploy expert support resources, execute on corrective and preventative actions, and implement continuous improvement initiatives across the organization. We have continued to make investments in automation, data, and technology systems to support enhanced workflows, further scale, and future growth across service lines.</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Ability to Build De Novo Locations</w:t>
      </w:r>
    </w:p>
    <w:p>
      <w:pPr>
        <w:spacing w:after="0" w:line="101"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have a proven ability to augment growth of existing operations by expanding our presence and opening new locations – in both of our operating segments in Pharmacy Solutions and Provider Services – across geographies with consistent ramp-up in performance after site opening. We believe our platform can continue to build further scale nationally, adding density to additional and targeted key markets as a lever to facilitate maximum pharmacy and provider services overlap, integrated and value-based care, and growth. The Company’s geographic and operations scale and platform of complementary segments and service lines provides us with access to more de novo opportunities to consider and prioritize.</w:t>
      </w:r>
    </w:p>
    <w:p>
      <w:pPr>
        <w:spacing w:after="0" w:line="58" w:lineRule="exact"/>
        <w:rPr>
          <w:sz w:val="20"/>
          <w:szCs w:val="20"/>
          <w:color w:val="auto"/>
        </w:rPr>
      </w:pPr>
    </w:p>
    <w:p>
      <w:pPr>
        <w:ind w:left="640" w:right="739" w:firstLine="351"/>
        <w:spacing w:after="0" w:line="261" w:lineRule="auto"/>
        <w:rPr>
          <w:sz w:val="20"/>
          <w:szCs w:val="20"/>
          <w:color w:val="auto"/>
        </w:rPr>
      </w:pPr>
      <w:r>
        <w:rPr>
          <w:rFonts w:ascii="Times New Roman" w:cs="Times New Roman" w:eastAsia="Times New Roman" w:hAnsi="Times New Roman"/>
          <w:sz w:val="14"/>
          <w:szCs w:val="14"/>
          <w:color w:val="auto"/>
        </w:rPr>
        <w:t>Since January 1, 2018, we have opened 150 de novo offices (branches/agencies) and clinics in new locations across our pharmacy and provider services (not including offices divested as a part of the sale of the Community Living business). In 2025, we opened 7 de novo offices. We typically identify and open new locations within proximity of an existing location as we leverage existing market knowledge and presence to expand in target markets, regions, and states. Our internal support resources in real estate, purchasing, IT, credentialing, payor contracting, HR, and sales and marketing, along with our PMO, help to support and manage de novos from start to opening. We expect to continue to selectively and strategically expand our footprint within the United States and extend our service offerings to our patients and for customers, referral sources, and payors, and we believe de novo investments facilitate more integrated care capability and are a meaningful organic growth driver for the Company.</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Ability to Facilitate Integrated Care</w:t>
      </w:r>
    </w:p>
    <w:p>
      <w:pPr>
        <w:spacing w:after="0" w:line="101"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Our operating model consists of complementary pharmacy and provider services that high-need Senior and Specialty populations require, and it is designed to increasingly coordinate, manage, and serve patients across our various needs and settings over time, leading to improved patient, family, physician, and referral source satisfaction, improved payor experiences, and better outcomes. Our performance and potential to drive increased service volume for increased patient and health outcomes impact is driven partly by our appeal with our patients, families, customers, referral sources, and payors to provide multiple integrated care services – either in the same setting at the same time or across settings and stages of health – within our collection of pharmacy solutions and provider services and differentiated overall capabilities.</w:t>
      </w:r>
    </w:p>
    <w:p>
      <w:pPr>
        <w:spacing w:after="0" w:line="59" w:lineRule="exact"/>
        <w:rPr>
          <w:sz w:val="20"/>
          <w:szCs w:val="20"/>
          <w:color w:val="auto"/>
        </w:rPr>
      </w:pPr>
    </w:p>
    <w:p>
      <w:pPr>
        <w:ind w:left="640" w:right="739" w:firstLine="351"/>
        <w:spacing w:after="0" w:line="261" w:lineRule="auto"/>
        <w:rPr>
          <w:sz w:val="20"/>
          <w:szCs w:val="20"/>
          <w:color w:val="auto"/>
        </w:rPr>
      </w:pPr>
      <w:r>
        <w:rPr>
          <w:rFonts w:ascii="Times New Roman" w:cs="Times New Roman" w:eastAsia="Times New Roman" w:hAnsi="Times New Roman"/>
          <w:sz w:val="14"/>
          <w:szCs w:val="14"/>
          <w:color w:val="auto"/>
        </w:rPr>
        <w:t>We provide multiple pharmacy and provider services to approximately 8,100 patients today, and we believe that there are substantially more opportunities to deliver more integrated care, given the hundreds of thousands of patients we serve and a similar number of patients discharging from customers annually. Value-add, beneficial, and multiple integrated care opportunities exist for our customer base and all Senior and Specialty patient populations and not only across pharmacy and provider services, but also within each segment. Within the pharmacy services, CCRx is aimed at providing medication risk and therapy management continuously and longitudinally post discharge from hospitals and skilled nursing customers. Within the provider services, patients often transition from home health to hospice services and can receive therapy and supportive care services concurrent with each other and with home health and hospice.</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Aligning to Value-Based Care Reimbursement Models with Innovative Solutions</w:t>
      </w:r>
    </w:p>
    <w:p>
      <w:pPr>
        <w:spacing w:after="0" w:line="101"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The scale and depth of our complementary platform of diverse yet related customer and patient services – that complex patients require – positions us at the forefront with governmental and commercial payors who are increasingly seeking ways to expand value-based reimbursement models. Our high-quality services that are delivered in home and community-based and patient and family-preferred settings at lower comparable costs are well-positioned for the long-term, and we continue to add wraparound care management capabilities and offerings to our core services. In addition to our large Medicare and Medicaid beneficiary populations, we have a large number of non-governmental payor contracts across the organization today, which both diversifies our payor mix, and provides for additional value-based opportunities and partnerships.</w:t>
      </w:r>
    </w:p>
    <w:p>
      <w:pPr>
        <w:spacing w:after="0" w:line="59" w:lineRule="exact"/>
        <w:rPr>
          <w:sz w:val="20"/>
          <w:szCs w:val="20"/>
          <w:color w:val="auto"/>
        </w:rPr>
      </w:pPr>
    </w:p>
    <w:p>
      <w:pPr>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 Company’s focused build out of its (i) Home-Based Primary Care, transitional care programs, and in-home medication therapy management (CCRx), and (ii) Clinical (Nursing) Hub, are key enablers to coordinate base pharmacy and provider services and drive improved quality and lower costs for value-based care constructs.</w:t>
      </w:r>
    </w:p>
    <w:p>
      <w:pPr>
        <w:spacing w:after="0" w:line="50" w:lineRule="exact"/>
        <w:rPr>
          <w:sz w:val="20"/>
          <w:szCs w:val="20"/>
          <w:color w:val="auto"/>
        </w:rPr>
      </w:pPr>
    </w:p>
    <w:p>
      <w:pPr>
        <w:jc w:val="both"/>
        <w:ind w:left="640" w:right="819" w:firstLine="351"/>
        <w:spacing w:after="0" w:line="274" w:lineRule="auto"/>
        <w:rPr>
          <w:sz w:val="20"/>
          <w:szCs w:val="20"/>
          <w:color w:val="auto"/>
        </w:rPr>
      </w:pPr>
      <w:r>
        <w:rPr>
          <w:rFonts w:ascii="Times New Roman" w:cs="Times New Roman" w:eastAsia="Times New Roman" w:hAnsi="Times New Roman"/>
          <w:sz w:val="14"/>
          <w:szCs w:val="14"/>
          <w:color w:val="auto"/>
        </w:rPr>
        <w:t>In addition to numerous payor contracts that feature reimbursement incentives, in the past year the Company has entered into several ACO arrangements to participate in shared savings from its attributed primary care patients and other ACO partnerships and contract as a preferred provider.</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2" w:name="page73"/>
    <w:bookmarkEnd w:id="7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Factors Affecting Results of Operations and Comparability</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Acquisitions</w:t>
      </w:r>
    </w:p>
    <w:p>
      <w:pPr>
        <w:spacing w:after="0" w:line="187" w:lineRule="exact"/>
        <w:rPr>
          <w:sz w:val="20"/>
          <w:szCs w:val="20"/>
          <w:color w:val="auto"/>
        </w:rPr>
      </w:pPr>
    </w:p>
    <w:p>
      <w:pPr>
        <w:ind w:left="640" w:right="739" w:firstLine="516"/>
        <w:spacing w:after="0" w:line="292" w:lineRule="auto"/>
        <w:rPr>
          <w:sz w:val="20"/>
          <w:szCs w:val="20"/>
          <w:color w:val="auto"/>
        </w:rPr>
      </w:pPr>
      <w:r>
        <w:rPr>
          <w:rFonts w:ascii="Times New Roman" w:cs="Times New Roman" w:eastAsia="Times New Roman" w:hAnsi="Times New Roman"/>
          <w:sz w:val="14"/>
          <w:szCs w:val="14"/>
          <w:color w:val="auto"/>
        </w:rPr>
        <w:t>In addition to organic growth, we have grown through acquisitions that have deepened and expanded our presence in current markets and facilitated entry into attractive adjacent markets.</w:t>
      </w:r>
    </w:p>
    <w:p>
      <w:pPr>
        <w:spacing w:after="0" w:line="38" w:lineRule="exact"/>
        <w:rPr>
          <w:sz w:val="20"/>
          <w:szCs w:val="20"/>
          <w:color w:val="auto"/>
        </w:rPr>
      </w:pPr>
    </w:p>
    <w:p>
      <w:pPr>
        <w:ind w:left="640" w:right="699" w:firstLine="516"/>
        <w:spacing w:after="0" w:line="292" w:lineRule="auto"/>
        <w:rPr>
          <w:sz w:val="20"/>
          <w:szCs w:val="20"/>
          <w:color w:val="auto"/>
        </w:rPr>
      </w:pPr>
      <w:r>
        <w:rPr>
          <w:rFonts w:ascii="Times New Roman" w:cs="Times New Roman" w:eastAsia="Times New Roman" w:hAnsi="Times New Roman"/>
          <w:sz w:val="14"/>
          <w:szCs w:val="14"/>
          <w:color w:val="auto"/>
        </w:rPr>
        <w:t>During the years ended December 31, 2024 and 2025, we completed eight and three acquisitions for aggregate consideration, net of cash acquired, for these acquisitions of approximately $110.6 million and $247.0 million, respectively.</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Discontinued Operations</w:t>
      </w:r>
    </w:p>
    <w:p>
      <w:pPr>
        <w:spacing w:after="0" w:line="187" w:lineRule="exact"/>
        <w:rPr>
          <w:sz w:val="20"/>
          <w:szCs w:val="20"/>
          <w:color w:val="auto"/>
        </w:rPr>
      </w:pPr>
    </w:p>
    <w:p>
      <w:pPr>
        <w:ind w:left="640" w:right="819" w:firstLine="516"/>
        <w:spacing w:after="0" w:line="265" w:lineRule="auto"/>
        <w:rPr>
          <w:sz w:val="20"/>
          <w:szCs w:val="20"/>
          <w:color w:val="auto"/>
        </w:rPr>
      </w:pPr>
      <w:r>
        <w:rPr>
          <w:rFonts w:ascii="Times New Roman" w:cs="Times New Roman" w:eastAsia="Times New Roman" w:hAnsi="Times New Roman"/>
          <w:sz w:val="14"/>
          <w:szCs w:val="14"/>
          <w:color w:val="auto"/>
        </w:rPr>
        <w:t>On January 17, 2025, the Company entered into a definitive agreement to sell its Community Living business to National Mentor Holdings, Inc., for $835.0 million in cash upon closing, subject to certain post-closing adjustments. We entered into the transaction in order to streamline our service offerings and further focus on the senior and specialty populations. The transaction is currently expected to close in the first fiscal quarter of 2026, subject to receipt of customary regulatory approvals and satisfaction of other closing conditions.</w:t>
      </w:r>
    </w:p>
    <w:p>
      <w:pPr>
        <w:spacing w:after="0" w:line="56" w:lineRule="exact"/>
        <w:rPr>
          <w:sz w:val="20"/>
          <w:szCs w:val="20"/>
          <w:color w:val="auto"/>
        </w:rPr>
      </w:pPr>
    </w:p>
    <w:p>
      <w:pPr>
        <w:ind w:left="640" w:right="659" w:firstLine="516"/>
        <w:spacing w:after="0" w:line="261" w:lineRule="auto"/>
        <w:rPr>
          <w:sz w:val="20"/>
          <w:szCs w:val="20"/>
          <w:color w:val="auto"/>
        </w:rPr>
      </w:pPr>
      <w:r>
        <w:rPr>
          <w:rFonts w:ascii="Times New Roman" w:cs="Times New Roman" w:eastAsia="Times New Roman" w:hAnsi="Times New Roman"/>
          <w:sz w:val="14"/>
          <w:szCs w:val="14"/>
          <w:color w:val="auto"/>
        </w:rPr>
        <w:t>The Company has determined the divestiture of the Community Living business represents a strategic shift that will have a major effect on its business and has concluded the criteria for classification as discontinued operations were met during the first fiscal quarter of 2025. Accordingly, the Community Living business is reported as discontinued operations in accordance with Accounting Standards Codification (“ASC”) 205-20, Discontinued Operations. The related assets and liabilities of the Community Living business are classified as assets and liabilities held for sale in the accompanying consolidated balance sheets, and the results of operations from the Community Living business are classified as discontinued operations in the consolidated statements of operations. Applicable amounts in prior years have been recast to conform to this discontinued operations presentation. The Community Living business was historically presented as a part of the Provider Services reportable segment.</w:t>
      </w:r>
    </w:p>
    <w:p>
      <w:pPr>
        <w:spacing w:after="0" w:line="60" w:lineRule="exact"/>
        <w:rPr>
          <w:sz w:val="20"/>
          <w:szCs w:val="20"/>
          <w:color w:val="auto"/>
        </w:rPr>
      </w:pPr>
    </w:p>
    <w:p>
      <w:pPr>
        <w:ind w:left="640" w:right="779" w:firstLine="516"/>
        <w:spacing w:after="0" w:line="292" w:lineRule="auto"/>
        <w:rPr>
          <w:sz w:val="20"/>
          <w:szCs w:val="20"/>
          <w:color w:val="auto"/>
        </w:rPr>
      </w:pPr>
      <w:r>
        <w:rPr>
          <w:rFonts w:ascii="Times New Roman" w:cs="Times New Roman" w:eastAsia="Times New Roman" w:hAnsi="Times New Roman"/>
          <w:sz w:val="14"/>
          <w:szCs w:val="14"/>
          <w:color w:val="auto"/>
        </w:rPr>
        <w:t>See Note 2 “Discontinued Operations” within the consolidated financial statements and related notes, included elsewhere in this Form 10-K.</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Legal Costs and Settlements Accrual</w:t>
      </w:r>
    </w:p>
    <w:p>
      <w:pPr>
        <w:spacing w:after="0" w:line="101" w:lineRule="exact"/>
        <w:rPr>
          <w:sz w:val="20"/>
          <w:szCs w:val="20"/>
          <w:color w:val="auto"/>
        </w:rPr>
      </w:pPr>
    </w:p>
    <w:p>
      <w:pPr>
        <w:ind w:left="640" w:right="719" w:firstLine="351"/>
        <w:spacing w:after="0" w:line="263" w:lineRule="auto"/>
        <w:rPr>
          <w:sz w:val="20"/>
          <w:szCs w:val="20"/>
          <w:color w:val="auto"/>
        </w:rPr>
      </w:pPr>
      <w:r>
        <w:rPr>
          <w:rFonts w:ascii="Times New Roman" w:cs="Times New Roman" w:eastAsia="Times New Roman" w:hAnsi="Times New Roman"/>
          <w:sz w:val="14"/>
          <w:szCs w:val="14"/>
          <w:color w:val="auto"/>
        </w:rPr>
        <w:t>In November 2023, the Company agreed to settle the Silver matter without admitting liability. On May 29, 2024, the parties entered into a final settlement agreement, which was approved by both the United States Department of Justice and the District Court. The total financial impact of the settlement was $120.0 million; $110.0 million of the settlement was paid in 2024, and the remaining $10.0 million was paid in 2025. The District Court entered an order dismissing the Silver action in its entirety, with prejudice, on July 3, 2024. See Note 15 “Commitments and Contingencies” within the audited consolidated financial statements and related notes, included elsewhere in this Annual Report on Form 10-K.</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97" w:lineRule="exact"/>
        <w:rPr>
          <w:sz w:val="20"/>
          <w:szCs w:val="20"/>
          <w:color w:val="auto"/>
        </w:rPr>
      </w:pPr>
    </w:p>
    <w:p>
      <w:pPr>
        <w:ind w:left="640" w:right="759" w:firstLine="351"/>
        <w:spacing w:after="0" w:line="266" w:lineRule="auto"/>
        <w:rPr>
          <w:sz w:val="20"/>
          <w:szCs w:val="20"/>
          <w:color w:val="auto"/>
        </w:rPr>
      </w:pPr>
      <w:r>
        <w:rPr>
          <w:rFonts w:ascii="Times New Roman" w:cs="Times New Roman" w:eastAsia="Times New Roman" w:hAnsi="Times New Roman"/>
          <w:sz w:val="14"/>
          <w:szCs w:val="14"/>
          <w:i w:val="1"/>
          <w:iCs w:val="1"/>
          <w:color w:val="auto"/>
        </w:rPr>
        <w:t>Revenues</w:t>
      </w:r>
      <w:r>
        <w:rPr>
          <w:rFonts w:ascii="Times New Roman" w:cs="Times New Roman" w:eastAsia="Times New Roman" w:hAnsi="Times New Roman"/>
          <w:sz w:val="14"/>
          <w:szCs w:val="14"/>
          <w:color w:val="auto"/>
        </w:rPr>
        <w:t>. The Company recognizes the amount of revenue to which it expects to be entitled for the transfer of promised goods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services to customers. For transactions involving the transfer of goods, revenues are primarily recognized when the customer obtains control of the products sold, which is generally upon shipment or delivery, depending on the delivery terms specified in the sales agreement. For transactions exclusively involving provision of services, revenues are recognized over time based on an appropriate measure of progress.</w:t>
      </w:r>
    </w:p>
    <w:p>
      <w:pPr>
        <w:spacing w:after="0" w:line="53" w:lineRule="exact"/>
        <w:rPr>
          <w:sz w:val="20"/>
          <w:szCs w:val="20"/>
          <w:color w:val="auto"/>
        </w:rPr>
      </w:pPr>
    </w:p>
    <w:p>
      <w:pPr>
        <w:ind w:left="640" w:right="779" w:firstLine="351"/>
        <w:spacing w:after="0" w:line="266" w:lineRule="auto"/>
        <w:rPr>
          <w:sz w:val="20"/>
          <w:szCs w:val="20"/>
          <w:color w:val="auto"/>
        </w:rPr>
      </w:pPr>
      <w:r>
        <w:rPr>
          <w:rFonts w:ascii="Times New Roman" w:cs="Times New Roman" w:eastAsia="Times New Roman" w:hAnsi="Times New Roman"/>
          <w:sz w:val="14"/>
          <w:szCs w:val="14"/>
          <w:i w:val="1"/>
          <w:iCs w:val="1"/>
          <w:color w:val="auto"/>
        </w:rPr>
        <w:t>Cost of Goods and Cost of Services</w:t>
      </w:r>
      <w:r>
        <w:rPr>
          <w:rFonts w:ascii="Times New Roman" w:cs="Times New Roman" w:eastAsia="Times New Roman" w:hAnsi="Times New Roman"/>
          <w:sz w:val="14"/>
          <w:szCs w:val="14"/>
          <w:color w:val="auto"/>
        </w:rPr>
        <w:t>. We classify expenses directly related to providing goods and services,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depreciation and amortization, as cost of goods and cost of services. Direct costs and expenses primarily include cost of drugs, net of rebates, salaries and benefits for direct care and service professionals, contracted labor costs, insurance costs, transportation costs for clients requiring services, certain client expenses such as food, supplies and medicine, residential occupancy expenses, which primarily comprise rent and utilities, and other miscellaneous direct goods or service-related expenses.</w:t>
      </w:r>
    </w:p>
    <w:p>
      <w:pPr>
        <w:spacing w:after="0" w:line="53" w:lineRule="exact"/>
        <w:rPr>
          <w:sz w:val="20"/>
          <w:szCs w:val="20"/>
          <w:color w:val="auto"/>
        </w:rPr>
      </w:pPr>
    </w:p>
    <w:p>
      <w:pPr>
        <w:ind w:left="640" w:right="819" w:firstLine="351"/>
        <w:spacing w:after="0" w:line="266" w:lineRule="auto"/>
        <w:rPr>
          <w:sz w:val="20"/>
          <w:szCs w:val="20"/>
          <w:color w:val="auto"/>
        </w:rPr>
      </w:pPr>
      <w:r>
        <w:rPr>
          <w:rFonts w:ascii="Times New Roman" w:cs="Times New Roman" w:eastAsia="Times New Roman" w:hAnsi="Times New Roman"/>
          <w:sz w:val="14"/>
          <w:szCs w:val="14"/>
          <w:i w:val="1"/>
          <w:iCs w:val="1"/>
          <w:color w:val="auto"/>
        </w:rPr>
        <w:t>Selling, General, and Administrative Expenses</w:t>
      </w:r>
      <w:r>
        <w:rPr>
          <w:rFonts w:ascii="Times New Roman" w:cs="Times New Roman" w:eastAsia="Times New Roman" w:hAnsi="Times New Roman"/>
          <w:sz w:val="14"/>
          <w:szCs w:val="14"/>
          <w:color w:val="auto"/>
        </w:rPr>
        <w:t>. Selling, general, and administrative expenses consist of expenses incurred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support of our operations and administrative functions and include labor costs, such as salaries, bonuses, commissions, benefits, and travel-related expenses, distribution expenses, facilities rental costs, third-party revenue cycle management costs, and corporate support costs including finance, information technology, legal costs and settlements, human resources, procurement, and other administrative costs.</w:t>
      </w:r>
    </w:p>
    <w:p>
      <w:pPr>
        <w:spacing w:after="0" w:line="53" w:lineRule="exact"/>
        <w:rPr>
          <w:sz w:val="20"/>
          <w:szCs w:val="20"/>
          <w:color w:val="auto"/>
        </w:rPr>
      </w:pPr>
    </w:p>
    <w:p>
      <w:pPr>
        <w:ind w:left="640" w:right="759" w:firstLine="351"/>
        <w:spacing w:after="0" w:line="295" w:lineRule="auto"/>
        <w:rPr>
          <w:sz w:val="20"/>
          <w:szCs w:val="20"/>
          <w:color w:val="auto"/>
        </w:rPr>
      </w:pPr>
      <w:r>
        <w:rPr>
          <w:rFonts w:ascii="Times New Roman" w:cs="Times New Roman" w:eastAsia="Times New Roman" w:hAnsi="Times New Roman"/>
          <w:sz w:val="14"/>
          <w:szCs w:val="14"/>
          <w:i w:val="1"/>
          <w:iCs w:val="1"/>
          <w:color w:val="auto"/>
        </w:rPr>
        <w:t xml:space="preserve">Loss on Extinguishment of Debt. </w:t>
      </w:r>
      <w:r>
        <w:rPr>
          <w:rFonts w:ascii="Times New Roman" w:cs="Times New Roman" w:eastAsia="Times New Roman" w:hAnsi="Times New Roman"/>
          <w:sz w:val="14"/>
          <w:szCs w:val="14"/>
          <w:color w:val="auto"/>
        </w:rPr>
        <w:t>Loss on extinguishment of debt reflects the write-off of unamortized debt issuance costs upon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early repayment of our Second Lien Facility.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3" w:name="page74"/>
    <w:bookmarkEnd w:id="7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40" w:right="799" w:firstLine="351"/>
        <w:spacing w:after="0" w:line="269" w:lineRule="auto"/>
        <w:rPr>
          <w:sz w:val="20"/>
          <w:szCs w:val="20"/>
          <w:color w:val="auto"/>
        </w:rPr>
      </w:pPr>
      <w:r>
        <w:rPr>
          <w:rFonts w:ascii="Times New Roman" w:cs="Times New Roman" w:eastAsia="Times New Roman" w:hAnsi="Times New Roman"/>
          <w:sz w:val="14"/>
          <w:szCs w:val="14"/>
          <w:i w:val="1"/>
          <w:iCs w:val="1"/>
          <w:color w:val="auto"/>
        </w:rPr>
        <w:t>Interest Expense, net</w:t>
      </w:r>
      <w:r>
        <w:rPr>
          <w:rFonts w:ascii="Times New Roman" w:cs="Times New Roman" w:eastAsia="Times New Roman" w:hAnsi="Times New Roman"/>
          <w:sz w:val="14"/>
          <w:szCs w:val="14"/>
          <w:color w:val="auto"/>
        </w:rPr>
        <w:t>. Interest expense, net includes interest paid on and debt service costs associated with our various debt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instruments, including our First Lien Facilities, and the amortization of related deferred financing fees, which are amortized over the term of the respective credit agreement. Interest expense, net also includes the portion of the gain or loss on our interest rate swap agreements that is reclassified into earnings.</w:t>
      </w:r>
    </w:p>
    <w:p>
      <w:pPr>
        <w:spacing w:after="0" w:line="51" w:lineRule="exact"/>
        <w:rPr>
          <w:sz w:val="20"/>
          <w:szCs w:val="20"/>
          <w:color w:val="auto"/>
        </w:rPr>
      </w:pPr>
    </w:p>
    <w:p>
      <w:pPr>
        <w:ind w:left="640" w:right="839" w:firstLine="351"/>
        <w:spacing w:after="0" w:line="275" w:lineRule="auto"/>
        <w:rPr>
          <w:sz w:val="20"/>
          <w:szCs w:val="20"/>
          <w:color w:val="auto"/>
        </w:rPr>
      </w:pPr>
      <w:r>
        <w:rPr>
          <w:rFonts w:ascii="Times New Roman" w:cs="Times New Roman" w:eastAsia="Times New Roman" w:hAnsi="Times New Roman"/>
          <w:sz w:val="14"/>
          <w:szCs w:val="14"/>
          <w:i w:val="1"/>
          <w:iCs w:val="1"/>
          <w:color w:val="auto"/>
        </w:rPr>
        <w:t>Income Tax Expense (Benefit)</w:t>
      </w:r>
      <w:r>
        <w:rPr>
          <w:rFonts w:ascii="Times New Roman" w:cs="Times New Roman" w:eastAsia="Times New Roman" w:hAnsi="Times New Roman"/>
          <w:sz w:val="14"/>
          <w:szCs w:val="14"/>
          <w:color w:val="auto"/>
        </w:rPr>
        <w:t>. Our provision for income taxes is based on permanent book/tax differences and statutory tax</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rates in the various jurisdictions in which we operate. Significant estimates and judgments are required in determining the provision for income taxes.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9" w:lineRule="exact"/>
        <w:rPr>
          <w:sz w:val="20"/>
          <w:szCs w:val="20"/>
          <w:color w:val="auto"/>
        </w:rPr>
      </w:pPr>
    </w:p>
    <w:p>
      <w:pPr>
        <w:ind w:left="640" w:right="659" w:firstLine="516"/>
        <w:spacing w:after="0" w:line="263" w:lineRule="auto"/>
        <w:rPr>
          <w:sz w:val="20"/>
          <w:szCs w:val="20"/>
          <w:color w:val="auto"/>
        </w:rPr>
      </w:pPr>
      <w:r>
        <w:rPr>
          <w:rFonts w:ascii="Times New Roman" w:cs="Times New Roman" w:eastAsia="Times New Roman" w:hAnsi="Times New Roman"/>
          <w:sz w:val="14"/>
          <w:szCs w:val="14"/>
          <w:color w:val="auto"/>
        </w:rPr>
        <w:t>This section of this Annual Report on Form 10-K generally discusses the years ended December 31, 2025 and 2024 and year-over-year comparisons between the years ended December 31, 2025 and 2024. For information regarding our results of operations for the year ended December 31, 2024 compared to the year ended December 31, 2023, refer to Exhibit 99.1 of our Current Report on Form 8-K, filed with the SEC on June 10, 2025, which contains retrospective revisions for the changes resulting from the discontinued operations, where applicable, to Item 7. Management’s Discussion and Analysis of Financial Condition and Results of Operations in our previously filed Annual Report on Form 10-K.</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u w:val="single" w:color="auto"/>
          <w:color w:val="auto"/>
        </w:rPr>
        <w:t>Consolidated Results of Operations</w:t>
      </w:r>
    </w:p>
    <w:p>
      <w:pPr>
        <w:spacing w:after="0" w:line="180"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68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 in thousands)</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gridSpan w:val="7"/>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6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vMerge w:val="restart"/>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vMerge w:val="restart"/>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Change</w:t>
            </w:r>
          </w:p>
        </w:tc>
        <w:tc>
          <w:tcPr>
            <w:tcW w:w="6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tcPr>
          <w:p>
            <w:pPr>
              <w:jc w:val="right"/>
              <w:ind w:right="380"/>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600" w:type="dxa"/>
            <w:vAlign w:val="bottom"/>
          </w:tcPr>
          <w:p>
            <w:pPr>
              <w:jc w:val="right"/>
              <w:ind w:right="169"/>
              <w:spacing w:after="0" w:line="109"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10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Products</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11,445,777</w:t>
            </w:r>
          </w:p>
        </w:tc>
        <w:tc>
          <w:tcPr>
            <w:tcW w:w="3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8,754,282</w:t>
            </w:r>
          </w:p>
        </w:tc>
        <w:tc>
          <w:tcPr>
            <w:tcW w:w="180" w:type="dxa"/>
            <w:vAlign w:val="bottom"/>
          </w:tcPr>
          <w:p>
            <w:pPr>
              <w:spacing w:after="0"/>
              <w:rPr>
                <w:sz w:val="14"/>
                <w:szCs w:val="14"/>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2,691,495</w:t>
            </w:r>
          </w:p>
        </w:tc>
        <w:tc>
          <w:tcPr>
            <w:tcW w:w="1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1,464,787</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1,317,932</w:t>
            </w:r>
          </w:p>
        </w:tc>
        <w:tc>
          <w:tcPr>
            <w:tcW w:w="18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146,855</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12,910,564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10,072,214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2,838,350</w:t>
            </w:r>
          </w:p>
        </w:tc>
        <w:tc>
          <w:tcPr>
            <w:tcW w:w="1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goods</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10,507,431</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8,008,501</w:t>
            </w:r>
          </w:p>
        </w:tc>
        <w:tc>
          <w:tcPr>
            <w:tcW w:w="18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2,498,930</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885,356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797,286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88,070</w:t>
            </w:r>
          </w:p>
        </w:tc>
        <w:tc>
          <w:tcPr>
            <w:tcW w:w="1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1,517,777</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1,266,427</w:t>
            </w:r>
          </w:p>
        </w:tc>
        <w:tc>
          <w:tcPr>
            <w:tcW w:w="18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251,350</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1,222,525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1,158,473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64,052</w:t>
            </w:r>
          </w:p>
        </w:tc>
        <w:tc>
          <w:tcPr>
            <w:tcW w:w="1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295,252</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107,954</w:t>
            </w:r>
          </w:p>
        </w:tc>
        <w:tc>
          <w:tcPr>
            <w:tcW w:w="18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187,298</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173.5%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(12,726)</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157,311</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190,546</w:t>
            </w:r>
          </w:p>
        </w:tc>
        <w:tc>
          <w:tcPr>
            <w:tcW w:w="18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(33,235)</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Income (loss) from continuing operations before income taxes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137,941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(95,318)</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233,259</w:t>
            </w:r>
          </w:p>
        </w:tc>
        <w:tc>
          <w:tcPr>
            <w:tcW w:w="14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33,145</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(26,387)</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59,532</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 from continuing operations</w:t>
            </w:r>
          </w:p>
        </w:tc>
        <w:tc>
          <w:tcPr>
            <w:tcW w:w="1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104,796</w:t>
            </w:r>
          </w:p>
        </w:tc>
        <w:tc>
          <w:tcPr>
            <w:tcW w:w="1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(68,931)</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173,727</w:t>
            </w:r>
          </w:p>
        </w:tc>
        <w:tc>
          <w:tcPr>
            <w:tcW w:w="14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660" w:type="dxa"/>
            <w:vAlign w:val="bottom"/>
            <w:shd w:val="clear" w:color="auto" w:fill="CFF0FC"/>
          </w:tcPr>
          <w:p>
            <w:pPr>
              <w:spacing w:after="0" w:line="163" w:lineRule="exact"/>
              <w:rPr>
                <w:sz w:val="20"/>
                <w:szCs w:val="20"/>
                <w:color w:val="auto"/>
              </w:rPr>
            </w:pPr>
            <w:r>
              <w:rPr>
                <w:rFonts w:ascii="Times New Roman" w:cs="Times New Roman" w:eastAsia="Times New Roman" w:hAnsi="Times New Roman"/>
                <w:sz w:val="14"/>
                <w:szCs w:val="14"/>
                <w:color w:val="auto"/>
              </w:rPr>
              <w:t xml:space="preserve">Adjusted EBITDA </w:t>
            </w:r>
            <w:r>
              <w:rPr>
                <w:rFonts w:ascii="Times New Roman" w:cs="Times New Roman" w:eastAsia="Times New Roman" w:hAnsi="Times New Roman"/>
                <w:sz w:val="18"/>
                <w:szCs w:val="18"/>
                <w:color w:val="auto"/>
                <w:vertAlign w:val="superscript"/>
              </w:rPr>
              <w:t>(1)</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617,570</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460,220</w:t>
            </w:r>
          </w:p>
        </w:tc>
        <w:tc>
          <w:tcPr>
            <w:tcW w:w="18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157,350</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-1356360</wp:posOffset>
            </wp:positionV>
            <wp:extent cx="4762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-1356360</wp:posOffset>
            </wp:positionV>
            <wp:extent cx="4762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-1356360</wp:posOffset>
            </wp:positionV>
            <wp:extent cx="4762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-1356360</wp:posOffset>
            </wp:positionV>
            <wp:extent cx="11620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-456565</wp:posOffset>
            </wp:positionV>
            <wp:extent cx="4762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-456565</wp:posOffset>
            </wp:positionV>
            <wp:extent cx="4762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-456565</wp:posOffset>
            </wp:positionV>
            <wp:extent cx="4762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-456565</wp:posOffset>
            </wp:positionV>
            <wp:extent cx="11620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-231140</wp:posOffset>
            </wp:positionV>
            <wp:extent cx="4762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-231140</wp:posOffset>
            </wp:positionV>
            <wp:extent cx="4762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-231140</wp:posOffset>
            </wp:positionV>
            <wp:extent cx="4762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-231140</wp:posOffset>
            </wp:positionV>
            <wp:extent cx="11620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6205" cy="6985"/>
                    </a:xfrm>
                    <a:prstGeom prst="rect">
                      <a:avLst/>
                    </a:prstGeom>
                    <a:noFill/>
                  </pic:spPr>
                </pic:pic>
              </a:graphicData>
            </a:graphic>
          </wp:anchor>
        </w:drawing>
      </w:r>
    </w:p>
    <w:p>
      <w:pPr>
        <w:spacing w:after="0" w:line="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1"/>
          <w:szCs w:val="11"/>
          <w:i w:val="1"/>
          <w:iCs w:val="1"/>
          <w:color w:val="auto"/>
        </w:rPr>
        <w:t>* n.m.: not meaningful</w:t>
      </w:r>
    </w:p>
    <w:p>
      <w:pPr>
        <w:spacing w:after="0" w:line="93" w:lineRule="exact"/>
        <w:rPr>
          <w:sz w:val="20"/>
          <w:szCs w:val="20"/>
          <w:color w:val="auto"/>
        </w:rPr>
      </w:pPr>
    </w:p>
    <w:p>
      <w:pPr>
        <w:ind w:left="640" w:right="1119" w:hanging="2"/>
        <w:spacing w:after="0" w:line="226" w:lineRule="auto"/>
        <w:tabs>
          <w:tab w:leader="none" w:pos="787"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131E29"/>
        </w:rPr>
        <w:t>Reconciliation of GAAP to non-GAAP results is provided in the section “Non-GAAP Financial Measures” in Part II, Item 7 “Management’s Discussion and Analysis of Financial Condition and Results of Operations</w:t>
      </w:r>
      <w:r>
        <w:rPr>
          <w:rFonts w:ascii="Arial" w:cs="Arial" w:eastAsia="Arial" w:hAnsi="Arial"/>
          <w:sz w:val="11"/>
          <w:szCs w:val="11"/>
          <w:color w:val="131E29"/>
        </w:rPr>
        <w:t>”</w:t>
      </w:r>
    </w:p>
    <w:p>
      <w:pPr>
        <w:spacing w:after="0" w:line="158" w:lineRule="exact"/>
        <w:rPr>
          <w:sz w:val="20"/>
          <w:szCs w:val="20"/>
          <w:color w:val="auto"/>
        </w:rPr>
      </w:pPr>
    </w:p>
    <w:p>
      <w:pPr>
        <w:ind w:left="640" w:right="859" w:firstLine="351"/>
        <w:spacing w:after="0" w:line="292" w:lineRule="auto"/>
        <w:rPr>
          <w:sz w:val="20"/>
          <w:szCs w:val="20"/>
          <w:color w:val="auto"/>
        </w:rPr>
      </w:pPr>
      <w:r>
        <w:rPr>
          <w:rFonts w:ascii="Times New Roman" w:cs="Times New Roman" w:eastAsia="Times New Roman" w:hAnsi="Times New Roman"/>
          <w:sz w:val="14"/>
          <w:szCs w:val="14"/>
          <w:color w:val="auto"/>
        </w:rPr>
        <w:t>The following discussion of our results of operations should be read in conjunction with the foregoing table summarizing our consolidated results of operations.</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9" w:lineRule="exact"/>
        <w:rPr>
          <w:sz w:val="20"/>
          <w:szCs w:val="20"/>
          <w:color w:val="auto"/>
        </w:rPr>
      </w:pPr>
    </w:p>
    <w:p>
      <w:pPr>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Revenues were $12,910.6 million for the year ended December 31, 2025, as compared with $10,072.2 million for the year ended December 31, 2024, an increase of $2,838.4 million or 28.2%. The increase resulted from growth in our Pharmacy Solutions and Provider Services segments. See additional discussion in “—Segment Results of Operations” below.</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Cost of Goods</w:t>
      </w:r>
    </w:p>
    <w:p>
      <w:pPr>
        <w:spacing w:after="0" w:line="99" w:lineRule="exact"/>
        <w:rPr>
          <w:sz w:val="20"/>
          <w:szCs w:val="20"/>
          <w:color w:val="auto"/>
        </w:rPr>
      </w:pPr>
    </w:p>
    <w:p>
      <w:pPr>
        <w:jc w:val="both"/>
        <w:ind w:left="640" w:right="859" w:firstLine="351"/>
        <w:spacing w:after="0" w:line="274" w:lineRule="auto"/>
        <w:rPr>
          <w:sz w:val="20"/>
          <w:szCs w:val="20"/>
          <w:color w:val="auto"/>
        </w:rPr>
      </w:pPr>
      <w:r>
        <w:rPr>
          <w:rFonts w:ascii="Times New Roman" w:cs="Times New Roman" w:eastAsia="Times New Roman" w:hAnsi="Times New Roman"/>
          <w:sz w:val="14"/>
          <w:szCs w:val="14"/>
          <w:color w:val="auto"/>
        </w:rPr>
        <w:t>Cost of goods was $10,507.4 million for the year ended December 31, 2025, as compared with $8,008.5 million for the year ended December 31, 2024, an increase of $2,498.9 million or 31.2%. The increase resulted from an increase in Pharmacy Solutions cost of goods. See additional discussion in “—Segment Results of Operations” below.</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4" w:name="page75"/>
    <w:bookmarkEnd w:id="7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Cost of Services</w:t>
      </w:r>
    </w:p>
    <w:p>
      <w:pPr>
        <w:spacing w:after="0" w:line="99" w:lineRule="exact"/>
        <w:rPr>
          <w:sz w:val="20"/>
          <w:szCs w:val="20"/>
          <w:color w:val="auto"/>
        </w:rPr>
      </w:pPr>
    </w:p>
    <w:p>
      <w:pPr>
        <w:ind w:left="640" w:right="719" w:firstLine="351"/>
        <w:spacing w:after="0" w:line="274" w:lineRule="auto"/>
        <w:rPr>
          <w:sz w:val="20"/>
          <w:szCs w:val="20"/>
          <w:color w:val="auto"/>
        </w:rPr>
      </w:pPr>
      <w:r>
        <w:rPr>
          <w:rFonts w:ascii="Times New Roman" w:cs="Times New Roman" w:eastAsia="Times New Roman" w:hAnsi="Times New Roman"/>
          <w:sz w:val="14"/>
          <w:szCs w:val="14"/>
          <w:color w:val="auto"/>
        </w:rPr>
        <w:t>Cost of services was $885.4 million for the year ended December 31, 2025, as compared with $797.3 million for the year ended December 31, 2024, an increase of $88.1 million or 11.0%. The increase resulted from an increase in Provider Services cost of services. See additional discussion in “—Segment Results of Operations” below.</w:t>
      </w:r>
    </w:p>
    <w:p>
      <w:pPr>
        <w:spacing w:after="0" w:line="1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Selling, general, and administrative expenses were $1,222.5 million for the year ended December 31, 2025, as compared with</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$1,158.5 million for the year ended December 31, 2024, an increase of $64.1 million or 5.5%. The increase primarily resulted from the</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following segment activity and factors:</w:t>
      </w:r>
    </w:p>
    <w:p>
      <w:pPr>
        <w:spacing w:after="0" w:line="83" w:lineRule="exact"/>
        <w:rPr>
          <w:sz w:val="20"/>
          <w:szCs w:val="20"/>
          <w:color w:val="auto"/>
        </w:rPr>
      </w:pPr>
    </w:p>
    <w:p>
      <w:pPr>
        <w:jc w:val="both"/>
        <w:ind w:left="1340" w:right="839" w:hanging="352"/>
        <w:spacing w:after="0" w:line="274"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$74.0 million, or 6.4%, on consolidated 2024 selling, general, and administrative expenses, as a result of growth in our Pharmacy Solutions and Provider Services segments. See additional discussion in “—Segment Results of Operations” below;</w:t>
      </w:r>
    </w:p>
    <w:p>
      <w:pPr>
        <w:spacing w:after="0" w:line="50" w:lineRule="exact"/>
        <w:rPr>
          <w:rFonts w:ascii="Times New Roman" w:cs="Times New Roman" w:eastAsia="Times New Roman" w:hAnsi="Times New Roman"/>
          <w:sz w:val="14"/>
          <w:szCs w:val="14"/>
          <w:color w:val="auto"/>
        </w:rPr>
      </w:pPr>
    </w:p>
    <w:p>
      <w:pPr>
        <w:ind w:left="1340" w:right="699" w:hanging="352"/>
        <w:spacing w:after="0" w:line="292"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$12.8 million, or 1.1%, on consolidated 2024 selling, general, and administrative expenses, as a result of an increase in other operational expenses year-over-year; offset by,</w:t>
      </w:r>
    </w:p>
    <w:p>
      <w:pPr>
        <w:spacing w:after="0" w:line="37" w:lineRule="exact"/>
        <w:rPr>
          <w:rFonts w:ascii="Times New Roman" w:cs="Times New Roman" w:eastAsia="Times New Roman" w:hAnsi="Times New Roman"/>
          <w:sz w:val="14"/>
          <w:szCs w:val="14"/>
          <w:color w:val="auto"/>
        </w:rPr>
      </w:pPr>
    </w:p>
    <w:p>
      <w:pPr>
        <w:ind w:left="1340" w:right="699" w:hanging="352"/>
        <w:spacing w:after="0" w:line="274"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of $22.7 million, or 2.0%, on consolidated 2024 selling, general, and administrative expenses, as a result of the termination fees incurred at the time of the IPO Offerings in connection with the termination of our Monitoring Agreement for which there is no comparable expense in 2025.</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Interest Expense, net</w:t>
      </w:r>
    </w:p>
    <w:p>
      <w:pPr>
        <w:spacing w:after="0" w:line="99"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Interest expense, net was $157.3 million for the year ended December 31, 2025, as compared with $190.5 million for the year ended December 31, 2024, a decrease of $33.2 million or 17.4%. The decrease primarily resulted from a decrease in both the variable-rate and applicable margin for the year ended December 31, 2025 as compared to the prior periods and lower outstanding term debt as compared to the prior period, offset by a $20.1 million decrease in interest income related to cash flow hedges of interest rate risk.</w:t>
      </w:r>
    </w:p>
    <w:p>
      <w:pPr>
        <w:spacing w:after="0" w:line="1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Income Tax Expense (Benefit)</w:t>
      </w:r>
    </w:p>
    <w:p>
      <w:pPr>
        <w:spacing w:after="0" w:line="99"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Income tax expense was $33.1 million for the year ended December 31, 2025, as compared with an income tax benefit of $26.4 million for the year ended December 31, 2024, an increase in the income tax expense of $59.5 million. The increase in the income tax expense is primarily driven by the increase in pre-tax book income for the year ended December 31, 2025 as compared to the year ended December 31, 2024, and a decrease in the effective tax rate for the year ended December 31, 2025 of 24.0% compared to 27.7% for the year ended December 31, 2024. The decrease in the effective tax rate is primarily as a result of $4.9 million in tax benefits resulting from the net impact of the recognition of excess tax benefits from stock-based compensation partially offset by limitations on the deductibility of certain executive compensation as a percentage of estimated pre-tax book income for the year ended December 31, 2025. In addition, the discrete tax benefit related to the Silver matter increased the effective tax rate on pre-tax book loss for the year ended December 31, 2024. See Note 15 "Commitments and Contingencies" within the consolidated financial statements and related notes, included elsewhere in this Annual Report on Form 10-K.</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Net Income (Loss)</w:t>
      </w:r>
    </w:p>
    <w:p>
      <w:pPr>
        <w:spacing w:after="0" w:line="99"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Net income was $104.8 million for the year ended December 31, 2025, as compared with a net loss of $68.9 million for the year ended December 31, 2024, an increase of $173.7 million. The increase in net income is primarily attributable to the increase in gross profit and the aforementioned decrease in interest expense, net, and loss on extinguishment of debt, partially offset by an increase in selling, general, and administrative expenses and income tax expense (benefit).</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 xml:space="preserve">Adjusted EBITDA </w:t>
      </w:r>
      <w:r>
        <w:rPr>
          <w:rFonts w:ascii="Times New Roman" w:cs="Times New Roman" w:eastAsia="Times New Roman" w:hAnsi="Times New Roman"/>
          <w:sz w:val="19"/>
          <w:szCs w:val="19"/>
          <w:i w:val="1"/>
          <w:iCs w:val="1"/>
          <w:color w:val="auto"/>
          <w:vertAlign w:val="superscript"/>
        </w:rPr>
        <w:t>(1)</w:t>
      </w:r>
    </w:p>
    <w:p>
      <w:pPr>
        <w:spacing w:after="0" w:line="47" w:lineRule="exact"/>
        <w:rPr>
          <w:sz w:val="20"/>
          <w:szCs w:val="20"/>
          <w:color w:val="auto"/>
        </w:rPr>
      </w:pPr>
    </w:p>
    <w:p>
      <w:pPr>
        <w:ind w:left="640" w:right="919" w:firstLine="351"/>
        <w:spacing w:after="0" w:line="274" w:lineRule="auto"/>
        <w:rPr>
          <w:sz w:val="20"/>
          <w:szCs w:val="20"/>
          <w:color w:val="auto"/>
        </w:rPr>
      </w:pPr>
      <w:r>
        <w:rPr>
          <w:rFonts w:ascii="Times New Roman" w:cs="Times New Roman" w:eastAsia="Times New Roman" w:hAnsi="Times New Roman"/>
          <w:sz w:val="14"/>
          <w:szCs w:val="14"/>
          <w:color w:val="auto"/>
        </w:rPr>
        <w:t>Adjusted EBITDA was $617.6 million for the year ended December 31, 2025, as compared with $460.2 million for the year ended December 31, 2024, an increase of $157.4 million or 34.2%. The increase primarily resulted from the following segment activity and factors:</w:t>
      </w:r>
    </w:p>
    <w:p>
      <w:pPr>
        <w:spacing w:after="0" w:line="50" w:lineRule="exact"/>
        <w:rPr>
          <w:sz w:val="20"/>
          <w:szCs w:val="20"/>
          <w:color w:val="auto"/>
        </w:rPr>
      </w:pPr>
    </w:p>
    <w:p>
      <w:pPr>
        <w:jc w:val="both"/>
        <w:ind w:left="1340" w:right="739" w:hanging="352"/>
        <w:spacing w:after="0" w:line="274" w:lineRule="auto"/>
        <w:tabs>
          <w:tab w:leader="none" w:pos="134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$176.2 million, or 38.3%, on consolidated 2024 Adjusted EBITDA, as a result of growth in our Pharmacy Solutions and Provider Services segments. See additional discussion in “—Segment Results of Operations” below; offset by</w:t>
      </w:r>
    </w:p>
    <w:p>
      <w:pPr>
        <w:spacing w:after="0" w:line="50" w:lineRule="exact"/>
        <w:rPr>
          <w:rFonts w:ascii="Times New Roman" w:cs="Times New Roman" w:eastAsia="Times New Roman" w:hAnsi="Times New Roman"/>
          <w:sz w:val="14"/>
          <w:szCs w:val="14"/>
          <w:color w:val="auto"/>
        </w:rPr>
      </w:pPr>
    </w:p>
    <w:p>
      <w:pPr>
        <w:ind w:left="1340" w:right="819" w:hanging="352"/>
        <w:spacing w:after="0" w:line="292" w:lineRule="auto"/>
        <w:tabs>
          <w:tab w:leader="none" w:pos="134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of $18.8 million, or 4.1%, on consolidated 2024 Adjusted EBITDA, as a result of increases in investments in information technology and positions to support growth within the business.</w:t>
      </w:r>
    </w:p>
    <w:p>
      <w:pPr>
        <w:spacing w:after="0" w:line="48" w:lineRule="exact"/>
        <w:rPr>
          <w:rFonts w:ascii="Times New Roman" w:cs="Times New Roman" w:eastAsia="Times New Roman" w:hAnsi="Times New Roman"/>
          <w:sz w:val="14"/>
          <w:szCs w:val="14"/>
          <w:color w:val="auto"/>
        </w:rPr>
      </w:pPr>
    </w:p>
    <w:p>
      <w:pPr>
        <w:ind w:left="640" w:right="1119" w:hanging="2"/>
        <w:spacing w:after="0" w:line="226" w:lineRule="auto"/>
        <w:tabs>
          <w:tab w:leader="none" w:pos="787"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131E29"/>
        </w:rPr>
        <w:t>Reconciliation of GAAP to non-GAAP results is provided in the section “Non-GAAP Financial Measures” in Part II, Item 7 “Management’s Discussion and Analysis of Financial Condition and Results of Operations</w:t>
      </w:r>
      <w:r>
        <w:rPr>
          <w:rFonts w:ascii="Arial" w:cs="Arial" w:eastAsia="Arial" w:hAnsi="Arial"/>
          <w:sz w:val="11"/>
          <w:szCs w:val="11"/>
          <w:color w:val="131E29"/>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5" w:name="page76"/>
    <w:bookmarkEnd w:id="7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u w:val="single" w:color="auto"/>
          <w:color w:val="auto"/>
        </w:rPr>
        <w:t>Segment Results of Operations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Pharmacy Solutions Segment</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sets forth, for the years indicated, our segment results of operations.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 in thousands, except Business Metrics)</w:t>
            </w:r>
          </w:p>
        </w:tc>
        <w:tc>
          <w:tcPr>
            <w:tcW w:w="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center"/>
              <w:ind w:left="272"/>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7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84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gridSpan w:val="5"/>
          </w:tcPr>
          <w:p>
            <w:pPr>
              <w:jc w:val="center"/>
              <w:ind w:right="600"/>
              <w:spacing w:after="0" w:line="109" w:lineRule="exact"/>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7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vMerge w:val="restart"/>
          </w:tcPr>
          <w:p>
            <w:pPr>
              <w:jc w:val="right"/>
              <w:ind w:right="37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restart"/>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gridSpan w:val="2"/>
          </w:tcPr>
          <w:p>
            <w:pPr>
              <w:ind w:left="520"/>
              <w:spacing w:after="0" w:line="109" w:lineRule="exact"/>
              <w:rPr>
                <w:sz w:val="20"/>
                <w:szCs w:val="20"/>
                <w:color w:val="auto"/>
              </w:rPr>
            </w:pPr>
            <w:r>
              <w:rPr>
                <w:rFonts w:ascii="Times New Roman" w:cs="Times New Roman" w:eastAsia="Times New Roman" w:hAnsi="Times New Roman"/>
                <w:sz w:val="11"/>
                <w:szCs w:val="11"/>
                <w:b w:val="1"/>
                <w:bCs w:val="1"/>
                <w:color w:val="auto"/>
              </w:rPr>
              <w:t>Change</w:t>
            </w:r>
          </w:p>
        </w:tc>
        <w:tc>
          <w:tcPr>
            <w:tcW w:w="7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71"/>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9"/>
                <w:szCs w:val="9"/>
                <w:color w:val="auto"/>
              </w:rPr>
            </w:pPr>
          </w:p>
        </w:tc>
        <w:tc>
          <w:tcPr>
            <w:tcW w:w="780" w:type="dxa"/>
            <w:vAlign w:val="bottom"/>
            <w:tcBorders>
              <w:bottom w:val="single" w:sz="8" w:color="auto"/>
            </w:tcBorders>
          </w:tcPr>
          <w:p>
            <w:pPr>
              <w:jc w:val="right"/>
              <w:ind w:right="270"/>
              <w:spacing w:after="0" w:line="109"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820" w:type="dxa"/>
            <w:vAlign w:val="bottom"/>
            <w:shd w:val="clear" w:color="auto" w:fill="CCEFFC"/>
          </w:tcPr>
          <w:p>
            <w:pPr>
              <w:spacing w:after="0"/>
              <w:rPr>
                <w:sz w:val="20"/>
                <w:szCs w:val="20"/>
                <w:color w:val="auto"/>
              </w:rPr>
            </w:pPr>
            <w:r>
              <w:rPr>
                <w:rFonts w:ascii="Times New Roman" w:cs="Times New Roman" w:eastAsia="Times New Roman" w:hAnsi="Times New Roman"/>
                <w:sz w:val="14"/>
                <w:szCs w:val="14"/>
                <w:color w:val="auto"/>
              </w:rPr>
              <w:t>Revenues</w:t>
            </w:r>
          </w:p>
        </w:tc>
        <w:tc>
          <w:tcPr>
            <w:tcW w:w="480" w:type="dxa"/>
            <w:vAlign w:val="bottom"/>
            <w:gridSpan w:val="2"/>
            <w:shd w:val="clear" w:color="auto" w:fill="CCEF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FFC"/>
          </w:tcPr>
          <w:p>
            <w:pPr>
              <w:jc w:val="right"/>
              <w:spacing w:after="0"/>
              <w:rPr>
                <w:sz w:val="20"/>
                <w:szCs w:val="20"/>
                <w:color w:val="auto"/>
              </w:rPr>
            </w:pPr>
            <w:r>
              <w:rPr>
                <w:rFonts w:ascii="Times New Roman" w:cs="Times New Roman" w:eastAsia="Times New Roman" w:hAnsi="Times New Roman"/>
                <w:sz w:val="14"/>
                <w:szCs w:val="14"/>
                <w:color w:val="auto"/>
              </w:rPr>
              <w:t>11,445,777</w:t>
            </w:r>
          </w:p>
        </w:tc>
        <w:tc>
          <w:tcPr>
            <w:tcW w:w="280" w:type="dxa"/>
            <w:vAlign w:val="bottom"/>
            <w:gridSpan w:val="2"/>
            <w:shd w:val="clear" w:color="auto" w:fill="CCEF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FFC"/>
          </w:tcPr>
          <w:p>
            <w:pPr>
              <w:jc w:val="right"/>
              <w:spacing w:after="0"/>
              <w:rPr>
                <w:sz w:val="20"/>
                <w:szCs w:val="20"/>
                <w:color w:val="auto"/>
              </w:rPr>
            </w:pPr>
            <w:r>
              <w:rPr>
                <w:rFonts w:ascii="Times New Roman" w:cs="Times New Roman" w:eastAsia="Times New Roman" w:hAnsi="Times New Roman"/>
                <w:sz w:val="14"/>
                <w:szCs w:val="14"/>
                <w:color w:val="auto"/>
              </w:rPr>
              <w:t>8,754,282</w:t>
            </w:r>
          </w:p>
        </w:tc>
        <w:tc>
          <w:tcPr>
            <w:tcW w:w="460" w:type="dxa"/>
            <w:vAlign w:val="bottom"/>
            <w:gridSpan w:val="2"/>
            <w:shd w:val="clear" w:color="auto" w:fill="CCEFFC"/>
          </w:tcPr>
          <w:p>
            <w:pPr>
              <w:jc w:val="right"/>
              <w:ind w:right="16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FFC"/>
          </w:tcPr>
          <w:p>
            <w:pPr>
              <w:jc w:val="right"/>
              <w:spacing w:after="0"/>
              <w:rPr>
                <w:sz w:val="20"/>
                <w:szCs w:val="20"/>
                <w:color w:val="auto"/>
              </w:rPr>
            </w:pPr>
            <w:r>
              <w:rPr>
                <w:rFonts w:ascii="Times New Roman" w:cs="Times New Roman" w:eastAsia="Times New Roman" w:hAnsi="Times New Roman"/>
                <w:sz w:val="14"/>
                <w:szCs w:val="14"/>
                <w:color w:val="auto"/>
              </w:rPr>
              <w:t>2,691,495</w:t>
            </w:r>
          </w:p>
        </w:tc>
        <w:tc>
          <w:tcPr>
            <w:tcW w:w="160" w:type="dxa"/>
            <w:vAlign w:val="bottom"/>
            <w:shd w:val="clear" w:color="auto" w:fill="CCEFFC"/>
          </w:tcPr>
          <w:p>
            <w:pPr>
              <w:spacing w:after="0"/>
              <w:rPr>
                <w:sz w:val="14"/>
                <w:szCs w:val="14"/>
                <w:color w:val="auto"/>
              </w:rPr>
            </w:pPr>
          </w:p>
        </w:tc>
        <w:tc>
          <w:tcPr>
            <w:tcW w:w="920" w:type="dxa"/>
            <w:vAlign w:val="bottom"/>
            <w:gridSpan w:val="2"/>
            <w:shd w:val="clear" w:color="auto" w:fill="CCEFFC"/>
          </w:tcPr>
          <w:p>
            <w:pPr>
              <w:jc w:val="right"/>
              <w:ind w:right="40"/>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Cost of goods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10,507,431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8,008,501</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2,498,930</w:t>
            </w:r>
          </w:p>
        </w:tc>
        <w:tc>
          <w:tcPr>
            <w:tcW w:w="16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2820" w:type="dxa"/>
            <w:vAlign w:val="bottom"/>
            <w:shd w:val="clear" w:color="auto" w:fill="CCEF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shd w:val="clear" w:color="auto" w:fill="CCEFFC"/>
          </w:tcPr>
          <w:p>
            <w:pPr>
              <w:spacing w:after="0"/>
              <w:rPr>
                <w:sz w:val="14"/>
                <w:szCs w:val="14"/>
                <w:color w:val="auto"/>
              </w:rPr>
            </w:pPr>
          </w:p>
        </w:tc>
        <w:tc>
          <w:tcPr>
            <w:tcW w:w="240" w:type="dxa"/>
            <w:vAlign w:val="bottom"/>
            <w:shd w:val="clear" w:color="auto" w:fill="CCEFFC"/>
          </w:tcPr>
          <w:p>
            <w:pPr>
              <w:spacing w:after="0"/>
              <w:rPr>
                <w:sz w:val="14"/>
                <w:szCs w:val="14"/>
                <w:color w:val="auto"/>
              </w:rPr>
            </w:pPr>
          </w:p>
        </w:tc>
        <w:tc>
          <w:tcPr>
            <w:tcW w:w="840" w:type="dxa"/>
            <w:vAlign w:val="bottom"/>
            <w:shd w:val="clear" w:color="auto" w:fill="CCEFFC"/>
          </w:tcPr>
          <w:p>
            <w:pPr>
              <w:jc w:val="right"/>
              <w:spacing w:after="0"/>
              <w:rPr>
                <w:sz w:val="20"/>
                <w:szCs w:val="20"/>
                <w:color w:val="auto"/>
              </w:rPr>
            </w:pPr>
            <w:r>
              <w:rPr>
                <w:rFonts w:ascii="Times New Roman" w:cs="Times New Roman" w:eastAsia="Times New Roman" w:hAnsi="Times New Roman"/>
                <w:sz w:val="14"/>
                <w:szCs w:val="14"/>
                <w:color w:val="auto"/>
              </w:rPr>
              <w:t>938,346</w:t>
            </w:r>
          </w:p>
        </w:tc>
        <w:tc>
          <w:tcPr>
            <w:tcW w:w="180" w:type="dxa"/>
            <w:vAlign w:val="bottom"/>
            <w:shd w:val="clear" w:color="auto" w:fill="CCEFFC"/>
          </w:tcPr>
          <w:p>
            <w:pPr>
              <w:spacing w:after="0"/>
              <w:rPr>
                <w:sz w:val="14"/>
                <w:szCs w:val="14"/>
                <w:color w:val="auto"/>
              </w:rPr>
            </w:pPr>
          </w:p>
        </w:tc>
        <w:tc>
          <w:tcPr>
            <w:tcW w:w="100" w:type="dxa"/>
            <w:vAlign w:val="bottom"/>
            <w:shd w:val="clear" w:color="auto" w:fill="CCEFFC"/>
          </w:tcPr>
          <w:p>
            <w:pPr>
              <w:spacing w:after="0"/>
              <w:rPr>
                <w:sz w:val="14"/>
                <w:szCs w:val="14"/>
                <w:color w:val="auto"/>
              </w:rPr>
            </w:pPr>
          </w:p>
        </w:tc>
        <w:tc>
          <w:tcPr>
            <w:tcW w:w="980" w:type="dxa"/>
            <w:vAlign w:val="bottom"/>
            <w:shd w:val="clear" w:color="auto" w:fill="CCEFFC"/>
          </w:tcPr>
          <w:p>
            <w:pPr>
              <w:jc w:val="right"/>
              <w:spacing w:after="0"/>
              <w:rPr>
                <w:sz w:val="20"/>
                <w:szCs w:val="20"/>
                <w:color w:val="auto"/>
              </w:rPr>
            </w:pPr>
            <w:r>
              <w:rPr>
                <w:rFonts w:ascii="Times New Roman" w:cs="Times New Roman" w:eastAsia="Times New Roman" w:hAnsi="Times New Roman"/>
                <w:sz w:val="14"/>
                <w:szCs w:val="14"/>
                <w:color w:val="auto"/>
              </w:rPr>
              <w:t>745,781</w:t>
            </w:r>
          </w:p>
        </w:tc>
        <w:tc>
          <w:tcPr>
            <w:tcW w:w="180" w:type="dxa"/>
            <w:vAlign w:val="bottom"/>
            <w:shd w:val="clear" w:color="auto" w:fill="CCEFFC"/>
          </w:tcPr>
          <w:p>
            <w:pPr>
              <w:spacing w:after="0"/>
              <w:rPr>
                <w:sz w:val="14"/>
                <w:szCs w:val="14"/>
                <w:color w:val="auto"/>
              </w:rPr>
            </w:pPr>
          </w:p>
        </w:tc>
        <w:tc>
          <w:tcPr>
            <w:tcW w:w="280" w:type="dxa"/>
            <w:vAlign w:val="bottom"/>
            <w:shd w:val="clear" w:color="auto" w:fill="CCEFFC"/>
          </w:tcPr>
          <w:p>
            <w:pPr>
              <w:spacing w:after="0"/>
              <w:rPr>
                <w:sz w:val="14"/>
                <w:szCs w:val="14"/>
                <w:color w:val="auto"/>
              </w:rPr>
            </w:pPr>
          </w:p>
        </w:tc>
        <w:tc>
          <w:tcPr>
            <w:tcW w:w="780" w:type="dxa"/>
            <w:vAlign w:val="bottom"/>
            <w:shd w:val="clear" w:color="auto" w:fill="CCEFFC"/>
          </w:tcPr>
          <w:p>
            <w:pPr>
              <w:jc w:val="right"/>
              <w:spacing w:after="0"/>
              <w:rPr>
                <w:sz w:val="20"/>
                <w:szCs w:val="20"/>
                <w:color w:val="auto"/>
              </w:rPr>
            </w:pPr>
            <w:r>
              <w:rPr>
                <w:rFonts w:ascii="Times New Roman" w:cs="Times New Roman" w:eastAsia="Times New Roman" w:hAnsi="Times New Roman"/>
                <w:sz w:val="14"/>
                <w:szCs w:val="14"/>
                <w:color w:val="auto"/>
              </w:rPr>
              <w:t>192,565</w:t>
            </w:r>
          </w:p>
        </w:tc>
        <w:tc>
          <w:tcPr>
            <w:tcW w:w="160" w:type="dxa"/>
            <w:vAlign w:val="bottom"/>
            <w:shd w:val="clear" w:color="auto" w:fill="CCEFFC"/>
          </w:tcPr>
          <w:p>
            <w:pPr>
              <w:spacing w:after="0"/>
              <w:rPr>
                <w:sz w:val="14"/>
                <w:szCs w:val="14"/>
                <w:color w:val="auto"/>
              </w:rPr>
            </w:pPr>
          </w:p>
        </w:tc>
        <w:tc>
          <w:tcPr>
            <w:tcW w:w="920" w:type="dxa"/>
            <w:vAlign w:val="bottom"/>
            <w:gridSpan w:val="2"/>
            <w:shd w:val="clear" w:color="auto" w:fill="CCEFFC"/>
          </w:tcPr>
          <w:p>
            <w:pPr>
              <w:jc w:val="right"/>
              <w:ind w:right="40"/>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502,042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462,219</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39,823</w:t>
            </w:r>
          </w:p>
        </w:tc>
        <w:tc>
          <w:tcPr>
            <w:tcW w:w="16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vMerge w:val="restart"/>
            <w:shd w:val="clear" w:color="auto" w:fill="CCEFFC"/>
          </w:tcPr>
          <w:p>
            <w:pPr>
              <w:spacing w:after="0"/>
              <w:rPr>
                <w:sz w:val="20"/>
                <w:szCs w:val="20"/>
                <w:color w:val="auto"/>
              </w:rPr>
            </w:pPr>
            <w:r>
              <w:rPr>
                <w:rFonts w:ascii="Times New Roman" w:cs="Times New Roman" w:eastAsia="Times New Roman" w:hAnsi="Times New Roman"/>
                <w:sz w:val="14"/>
                <w:szCs w:val="14"/>
                <w:color w:val="auto"/>
              </w:rPr>
              <w:t>Segment operating income</w:t>
            </w:r>
          </w:p>
        </w:tc>
        <w:tc>
          <w:tcPr>
            <w:tcW w:w="240" w:type="dxa"/>
            <w:vAlign w:val="bottom"/>
            <w:vMerge w:val="restart"/>
            <w:shd w:val="clear" w:color="auto" w:fill="CCEF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F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F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F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F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20" w:type="dxa"/>
            <w:vAlign w:val="bottom"/>
            <w:vMerge w:val="continue"/>
            <w:shd w:val="clear" w:color="auto" w:fill="CCEFFC"/>
          </w:tcPr>
          <w:p>
            <w:pPr>
              <w:spacing w:after="0"/>
              <w:rPr>
                <w:sz w:val="14"/>
                <w:szCs w:val="14"/>
                <w:color w:val="auto"/>
              </w:rPr>
            </w:pPr>
          </w:p>
        </w:tc>
        <w:tc>
          <w:tcPr>
            <w:tcW w:w="240" w:type="dxa"/>
            <w:vAlign w:val="bottom"/>
            <w:vMerge w:val="continue"/>
            <w:shd w:val="clear" w:color="auto" w:fill="CCEFFC"/>
          </w:tcPr>
          <w:p>
            <w:pPr>
              <w:spacing w:after="0"/>
              <w:rPr>
                <w:sz w:val="14"/>
                <w:szCs w:val="14"/>
                <w:color w:val="auto"/>
              </w:rPr>
            </w:pPr>
          </w:p>
        </w:tc>
        <w:tc>
          <w:tcPr>
            <w:tcW w:w="240" w:type="dxa"/>
            <w:vAlign w:val="bottom"/>
            <w:shd w:val="clear" w:color="auto" w:fill="CCEF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FFC"/>
          </w:tcPr>
          <w:p>
            <w:pPr>
              <w:jc w:val="right"/>
              <w:spacing w:after="0"/>
              <w:rPr>
                <w:sz w:val="20"/>
                <w:szCs w:val="20"/>
                <w:color w:val="auto"/>
              </w:rPr>
            </w:pPr>
            <w:r>
              <w:rPr>
                <w:rFonts w:ascii="Times New Roman" w:cs="Times New Roman" w:eastAsia="Times New Roman" w:hAnsi="Times New Roman"/>
                <w:sz w:val="14"/>
                <w:szCs w:val="14"/>
                <w:color w:val="auto"/>
              </w:rPr>
              <w:t>436,304</w:t>
            </w:r>
          </w:p>
        </w:tc>
        <w:tc>
          <w:tcPr>
            <w:tcW w:w="180" w:type="dxa"/>
            <w:vAlign w:val="bottom"/>
            <w:vMerge w:val="continue"/>
            <w:shd w:val="clear" w:color="auto" w:fill="CCEFFC"/>
          </w:tcPr>
          <w:p>
            <w:pPr>
              <w:spacing w:after="0"/>
              <w:rPr>
                <w:sz w:val="14"/>
                <w:szCs w:val="14"/>
                <w:color w:val="auto"/>
              </w:rPr>
            </w:pPr>
          </w:p>
        </w:tc>
        <w:tc>
          <w:tcPr>
            <w:tcW w:w="100" w:type="dxa"/>
            <w:vAlign w:val="bottom"/>
            <w:shd w:val="clear" w:color="auto" w:fill="CCEF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FFC"/>
          </w:tcPr>
          <w:p>
            <w:pPr>
              <w:jc w:val="right"/>
              <w:spacing w:after="0"/>
              <w:rPr>
                <w:sz w:val="20"/>
                <w:szCs w:val="20"/>
                <w:color w:val="auto"/>
              </w:rPr>
            </w:pPr>
            <w:r>
              <w:rPr>
                <w:rFonts w:ascii="Times New Roman" w:cs="Times New Roman" w:eastAsia="Times New Roman" w:hAnsi="Times New Roman"/>
                <w:sz w:val="14"/>
                <w:szCs w:val="14"/>
                <w:color w:val="auto"/>
              </w:rPr>
              <w:t>283,562</w:t>
            </w:r>
          </w:p>
        </w:tc>
        <w:tc>
          <w:tcPr>
            <w:tcW w:w="180" w:type="dxa"/>
            <w:vAlign w:val="bottom"/>
            <w:vMerge w:val="continue"/>
            <w:shd w:val="clear" w:color="auto" w:fill="CCEFFC"/>
          </w:tcPr>
          <w:p>
            <w:pPr>
              <w:spacing w:after="0"/>
              <w:rPr>
                <w:sz w:val="14"/>
                <w:szCs w:val="14"/>
                <w:color w:val="auto"/>
              </w:rPr>
            </w:pPr>
          </w:p>
        </w:tc>
        <w:tc>
          <w:tcPr>
            <w:tcW w:w="280" w:type="dxa"/>
            <w:vAlign w:val="bottom"/>
            <w:shd w:val="clear" w:color="auto" w:fill="CCEFFC"/>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FFC"/>
          </w:tcPr>
          <w:p>
            <w:pPr>
              <w:jc w:val="right"/>
              <w:spacing w:after="0"/>
              <w:rPr>
                <w:sz w:val="20"/>
                <w:szCs w:val="20"/>
                <w:color w:val="auto"/>
              </w:rPr>
            </w:pPr>
            <w:r>
              <w:rPr>
                <w:rFonts w:ascii="Times New Roman" w:cs="Times New Roman" w:eastAsia="Times New Roman" w:hAnsi="Times New Roman"/>
                <w:sz w:val="14"/>
                <w:szCs w:val="14"/>
                <w:color w:val="auto"/>
              </w:rPr>
              <w:t>152,742</w:t>
            </w:r>
          </w:p>
        </w:tc>
        <w:tc>
          <w:tcPr>
            <w:tcW w:w="160" w:type="dxa"/>
            <w:vAlign w:val="bottom"/>
            <w:shd w:val="clear" w:color="auto" w:fill="CCEFFC"/>
          </w:tcPr>
          <w:p>
            <w:pPr>
              <w:spacing w:after="0"/>
              <w:rPr>
                <w:sz w:val="14"/>
                <w:szCs w:val="14"/>
                <w:color w:val="auto"/>
              </w:rPr>
            </w:pPr>
          </w:p>
        </w:tc>
        <w:tc>
          <w:tcPr>
            <w:tcW w:w="920" w:type="dxa"/>
            <w:vAlign w:val="bottom"/>
            <w:gridSpan w:val="2"/>
            <w:shd w:val="clear" w:color="auto" w:fill="CCEFFC"/>
          </w:tcPr>
          <w:p>
            <w:pPr>
              <w:jc w:val="right"/>
              <w:ind w:right="40"/>
              <w:spacing w:after="0"/>
              <w:rPr>
                <w:sz w:val="20"/>
                <w:szCs w:val="20"/>
                <w:color w:val="auto"/>
              </w:rPr>
            </w:pPr>
            <w:r>
              <w:rPr>
                <w:rFonts w:ascii="Times New Roman" w:cs="Times New Roman" w:eastAsia="Times New Roman" w:hAnsi="Times New Roman"/>
                <w:sz w:val="14"/>
                <w:szCs w:val="14"/>
                <w:color w:val="auto"/>
              </w:rPr>
              <w:t>53.9%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20" w:type="dxa"/>
            <w:vAlign w:val="bottom"/>
            <w:shd w:val="clear" w:color="auto" w:fill="CCEFFC"/>
          </w:tcPr>
          <w:p>
            <w:pPr>
              <w:spacing w:after="0" w:line="20" w:lineRule="exact"/>
              <w:rPr>
                <w:sz w:val="1"/>
                <w:szCs w:val="1"/>
                <w:color w:val="auto"/>
              </w:rPr>
            </w:pPr>
          </w:p>
        </w:tc>
        <w:tc>
          <w:tcPr>
            <w:tcW w:w="240" w:type="dxa"/>
            <w:vAlign w:val="bottom"/>
            <w:shd w:val="clear" w:color="auto" w:fill="CCEF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F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F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F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F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Segment EBITDA</w:t>
            </w:r>
          </w:p>
        </w:tc>
        <w:tc>
          <w:tcPr>
            <w:tcW w:w="24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543,502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394,665</w:t>
            </w:r>
          </w:p>
        </w:tc>
        <w:tc>
          <w:tcPr>
            <w:tcW w:w="460" w:type="dxa"/>
            <w:vAlign w:val="bottom"/>
            <w:gridSpan w:val="2"/>
          </w:tcPr>
          <w:p>
            <w:pPr>
              <w:jc w:val="right"/>
              <w:ind w:right="16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148,837</w:t>
            </w:r>
          </w:p>
        </w:tc>
        <w:tc>
          <w:tcPr>
            <w:tcW w:w="16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2820" w:type="dxa"/>
            <w:vAlign w:val="bottom"/>
            <w:shd w:val="clear" w:color="auto" w:fill="CCEFFC"/>
          </w:tcPr>
          <w:p>
            <w:pPr>
              <w:spacing w:after="0"/>
              <w:rPr>
                <w:sz w:val="12"/>
                <w:szCs w:val="12"/>
                <w:color w:val="auto"/>
              </w:rPr>
            </w:pPr>
          </w:p>
        </w:tc>
        <w:tc>
          <w:tcPr>
            <w:tcW w:w="240" w:type="dxa"/>
            <w:vAlign w:val="bottom"/>
            <w:shd w:val="clear" w:color="auto" w:fill="CCEFFC"/>
          </w:tcPr>
          <w:p>
            <w:pPr>
              <w:spacing w:after="0"/>
              <w:rPr>
                <w:sz w:val="12"/>
                <w:szCs w:val="12"/>
                <w:color w:val="auto"/>
              </w:rPr>
            </w:pPr>
          </w:p>
        </w:tc>
        <w:tc>
          <w:tcPr>
            <w:tcW w:w="240" w:type="dxa"/>
            <w:vAlign w:val="bottom"/>
            <w:shd w:val="clear" w:color="auto" w:fill="CCEFFC"/>
          </w:tcPr>
          <w:p>
            <w:pPr>
              <w:spacing w:after="0"/>
              <w:rPr>
                <w:sz w:val="12"/>
                <w:szCs w:val="12"/>
                <w:color w:val="auto"/>
              </w:rPr>
            </w:pPr>
          </w:p>
        </w:tc>
        <w:tc>
          <w:tcPr>
            <w:tcW w:w="840" w:type="dxa"/>
            <w:vAlign w:val="bottom"/>
            <w:shd w:val="clear" w:color="auto" w:fill="CCEFFC"/>
          </w:tcPr>
          <w:p>
            <w:pPr>
              <w:spacing w:after="0"/>
              <w:rPr>
                <w:sz w:val="12"/>
                <w:szCs w:val="12"/>
                <w:color w:val="auto"/>
              </w:rPr>
            </w:pPr>
          </w:p>
        </w:tc>
        <w:tc>
          <w:tcPr>
            <w:tcW w:w="180" w:type="dxa"/>
            <w:vAlign w:val="bottom"/>
            <w:shd w:val="clear" w:color="auto" w:fill="CCEFFC"/>
          </w:tcPr>
          <w:p>
            <w:pPr>
              <w:spacing w:after="0"/>
              <w:rPr>
                <w:sz w:val="12"/>
                <w:szCs w:val="12"/>
                <w:color w:val="auto"/>
              </w:rPr>
            </w:pPr>
          </w:p>
        </w:tc>
        <w:tc>
          <w:tcPr>
            <w:tcW w:w="100" w:type="dxa"/>
            <w:vAlign w:val="bottom"/>
            <w:shd w:val="clear" w:color="auto" w:fill="CCEFFC"/>
          </w:tcPr>
          <w:p>
            <w:pPr>
              <w:spacing w:after="0"/>
              <w:rPr>
                <w:sz w:val="12"/>
                <w:szCs w:val="12"/>
                <w:color w:val="auto"/>
              </w:rPr>
            </w:pPr>
          </w:p>
        </w:tc>
        <w:tc>
          <w:tcPr>
            <w:tcW w:w="980" w:type="dxa"/>
            <w:vAlign w:val="bottom"/>
            <w:shd w:val="clear" w:color="auto" w:fill="CCEFFC"/>
          </w:tcPr>
          <w:p>
            <w:pPr>
              <w:spacing w:after="0"/>
              <w:rPr>
                <w:sz w:val="12"/>
                <w:szCs w:val="12"/>
                <w:color w:val="auto"/>
              </w:rPr>
            </w:pPr>
          </w:p>
        </w:tc>
        <w:tc>
          <w:tcPr>
            <w:tcW w:w="180" w:type="dxa"/>
            <w:vAlign w:val="bottom"/>
            <w:shd w:val="clear" w:color="auto" w:fill="CCEFFC"/>
          </w:tcPr>
          <w:p>
            <w:pPr>
              <w:spacing w:after="0"/>
              <w:rPr>
                <w:sz w:val="12"/>
                <w:szCs w:val="12"/>
                <w:color w:val="auto"/>
              </w:rPr>
            </w:pPr>
          </w:p>
        </w:tc>
        <w:tc>
          <w:tcPr>
            <w:tcW w:w="280" w:type="dxa"/>
            <w:vAlign w:val="bottom"/>
            <w:shd w:val="clear" w:color="auto" w:fill="CCEFFC"/>
          </w:tcPr>
          <w:p>
            <w:pPr>
              <w:spacing w:after="0"/>
              <w:rPr>
                <w:sz w:val="12"/>
                <w:szCs w:val="12"/>
                <w:color w:val="auto"/>
              </w:rPr>
            </w:pPr>
          </w:p>
        </w:tc>
        <w:tc>
          <w:tcPr>
            <w:tcW w:w="780" w:type="dxa"/>
            <w:vAlign w:val="bottom"/>
            <w:shd w:val="clear" w:color="auto" w:fill="CCEFFC"/>
          </w:tcPr>
          <w:p>
            <w:pPr>
              <w:spacing w:after="0"/>
              <w:rPr>
                <w:sz w:val="12"/>
                <w:szCs w:val="12"/>
                <w:color w:val="auto"/>
              </w:rPr>
            </w:pPr>
          </w:p>
        </w:tc>
        <w:tc>
          <w:tcPr>
            <w:tcW w:w="160" w:type="dxa"/>
            <w:vAlign w:val="bottom"/>
            <w:shd w:val="clear" w:color="auto" w:fill="CCEFFC"/>
          </w:tcPr>
          <w:p>
            <w:pPr>
              <w:spacing w:after="0"/>
              <w:rPr>
                <w:sz w:val="12"/>
                <w:szCs w:val="12"/>
                <w:color w:val="auto"/>
              </w:rPr>
            </w:pPr>
          </w:p>
        </w:tc>
        <w:tc>
          <w:tcPr>
            <w:tcW w:w="780" w:type="dxa"/>
            <w:vAlign w:val="bottom"/>
            <w:shd w:val="clear" w:color="auto" w:fill="CCEFFC"/>
          </w:tcPr>
          <w:p>
            <w:pPr>
              <w:spacing w:after="0"/>
              <w:rPr>
                <w:sz w:val="12"/>
                <w:szCs w:val="12"/>
                <w:color w:val="auto"/>
              </w:rPr>
            </w:pPr>
          </w:p>
        </w:tc>
        <w:tc>
          <w:tcPr>
            <w:tcW w:w="140" w:type="dxa"/>
            <w:vAlign w:val="bottom"/>
            <w:shd w:val="clear" w:color="auto" w:fill="CCEFFC"/>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Business Metrics: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20" w:type="dxa"/>
            <w:vAlign w:val="bottom"/>
            <w:shd w:val="clear" w:color="auto" w:fill="CCEFFC"/>
          </w:tcPr>
          <w:p>
            <w:pPr>
              <w:ind w:left="120"/>
              <w:spacing w:after="0"/>
              <w:rPr>
                <w:sz w:val="20"/>
                <w:szCs w:val="20"/>
                <w:color w:val="auto"/>
              </w:rPr>
            </w:pPr>
            <w:r>
              <w:rPr>
                <w:rFonts w:ascii="Times New Roman" w:cs="Times New Roman" w:eastAsia="Times New Roman" w:hAnsi="Times New Roman"/>
                <w:sz w:val="14"/>
                <w:szCs w:val="14"/>
                <w:color w:val="auto"/>
              </w:rPr>
              <w:t>Prescriptions dispensed</w:t>
            </w:r>
          </w:p>
        </w:tc>
        <w:tc>
          <w:tcPr>
            <w:tcW w:w="240" w:type="dxa"/>
            <w:vAlign w:val="bottom"/>
            <w:shd w:val="clear" w:color="auto" w:fill="CCEFFC"/>
          </w:tcPr>
          <w:p>
            <w:pPr>
              <w:spacing w:after="0"/>
              <w:rPr>
                <w:sz w:val="14"/>
                <w:szCs w:val="14"/>
                <w:color w:val="auto"/>
              </w:rPr>
            </w:pPr>
          </w:p>
        </w:tc>
        <w:tc>
          <w:tcPr>
            <w:tcW w:w="240" w:type="dxa"/>
            <w:vAlign w:val="bottom"/>
            <w:shd w:val="clear" w:color="auto" w:fill="CCEFFC"/>
          </w:tcPr>
          <w:p>
            <w:pPr>
              <w:spacing w:after="0"/>
              <w:rPr>
                <w:sz w:val="14"/>
                <w:szCs w:val="14"/>
                <w:color w:val="auto"/>
              </w:rPr>
            </w:pPr>
          </w:p>
        </w:tc>
        <w:tc>
          <w:tcPr>
            <w:tcW w:w="840" w:type="dxa"/>
            <w:vAlign w:val="bottom"/>
            <w:shd w:val="clear" w:color="auto" w:fill="CCEFFC"/>
          </w:tcPr>
          <w:p>
            <w:pPr>
              <w:jc w:val="right"/>
              <w:spacing w:after="0"/>
              <w:rPr>
                <w:sz w:val="20"/>
                <w:szCs w:val="20"/>
                <w:color w:val="auto"/>
              </w:rPr>
            </w:pPr>
            <w:r>
              <w:rPr>
                <w:rFonts w:ascii="Times New Roman" w:cs="Times New Roman" w:eastAsia="Times New Roman" w:hAnsi="Times New Roman"/>
                <w:sz w:val="14"/>
                <w:szCs w:val="14"/>
                <w:color w:val="auto"/>
              </w:rPr>
              <w:t>43,367,072</w:t>
            </w:r>
          </w:p>
        </w:tc>
        <w:tc>
          <w:tcPr>
            <w:tcW w:w="180" w:type="dxa"/>
            <w:vAlign w:val="bottom"/>
            <w:shd w:val="clear" w:color="auto" w:fill="CCEFFC"/>
          </w:tcPr>
          <w:p>
            <w:pPr>
              <w:spacing w:after="0"/>
              <w:rPr>
                <w:sz w:val="14"/>
                <w:szCs w:val="14"/>
                <w:color w:val="auto"/>
              </w:rPr>
            </w:pPr>
          </w:p>
        </w:tc>
        <w:tc>
          <w:tcPr>
            <w:tcW w:w="100" w:type="dxa"/>
            <w:vAlign w:val="bottom"/>
            <w:shd w:val="clear" w:color="auto" w:fill="CCEFFC"/>
          </w:tcPr>
          <w:p>
            <w:pPr>
              <w:spacing w:after="0"/>
              <w:rPr>
                <w:sz w:val="14"/>
                <w:szCs w:val="14"/>
                <w:color w:val="auto"/>
              </w:rPr>
            </w:pPr>
          </w:p>
        </w:tc>
        <w:tc>
          <w:tcPr>
            <w:tcW w:w="980" w:type="dxa"/>
            <w:vAlign w:val="bottom"/>
            <w:shd w:val="clear" w:color="auto" w:fill="CCEFFC"/>
          </w:tcPr>
          <w:p>
            <w:pPr>
              <w:jc w:val="right"/>
              <w:spacing w:after="0"/>
              <w:rPr>
                <w:sz w:val="20"/>
                <w:szCs w:val="20"/>
                <w:color w:val="auto"/>
              </w:rPr>
            </w:pPr>
            <w:r>
              <w:rPr>
                <w:rFonts w:ascii="Times New Roman" w:cs="Times New Roman" w:eastAsia="Times New Roman" w:hAnsi="Times New Roman"/>
                <w:sz w:val="14"/>
                <w:szCs w:val="14"/>
                <w:color w:val="auto"/>
              </w:rPr>
              <w:t>41,816,584</w:t>
            </w:r>
          </w:p>
        </w:tc>
        <w:tc>
          <w:tcPr>
            <w:tcW w:w="180" w:type="dxa"/>
            <w:vAlign w:val="bottom"/>
            <w:shd w:val="clear" w:color="auto" w:fill="CCEFFC"/>
          </w:tcPr>
          <w:p>
            <w:pPr>
              <w:spacing w:after="0"/>
              <w:rPr>
                <w:sz w:val="14"/>
                <w:szCs w:val="14"/>
                <w:color w:val="auto"/>
              </w:rPr>
            </w:pPr>
          </w:p>
        </w:tc>
        <w:tc>
          <w:tcPr>
            <w:tcW w:w="280" w:type="dxa"/>
            <w:vAlign w:val="bottom"/>
            <w:shd w:val="clear" w:color="auto" w:fill="CCEFFC"/>
          </w:tcPr>
          <w:p>
            <w:pPr>
              <w:spacing w:after="0"/>
              <w:rPr>
                <w:sz w:val="14"/>
                <w:szCs w:val="14"/>
                <w:color w:val="auto"/>
              </w:rPr>
            </w:pPr>
          </w:p>
        </w:tc>
        <w:tc>
          <w:tcPr>
            <w:tcW w:w="780" w:type="dxa"/>
            <w:vAlign w:val="bottom"/>
            <w:shd w:val="clear" w:color="auto" w:fill="CCEFFC"/>
          </w:tcPr>
          <w:p>
            <w:pPr>
              <w:jc w:val="right"/>
              <w:spacing w:after="0"/>
              <w:rPr>
                <w:sz w:val="20"/>
                <w:szCs w:val="20"/>
                <w:color w:val="auto"/>
              </w:rPr>
            </w:pPr>
            <w:r>
              <w:rPr>
                <w:rFonts w:ascii="Times New Roman" w:cs="Times New Roman" w:eastAsia="Times New Roman" w:hAnsi="Times New Roman"/>
                <w:sz w:val="14"/>
                <w:szCs w:val="14"/>
                <w:color w:val="auto"/>
              </w:rPr>
              <w:t>1,550,488</w:t>
            </w:r>
          </w:p>
        </w:tc>
        <w:tc>
          <w:tcPr>
            <w:tcW w:w="160" w:type="dxa"/>
            <w:vAlign w:val="bottom"/>
            <w:shd w:val="clear" w:color="auto" w:fill="CCEFFC"/>
          </w:tcPr>
          <w:p>
            <w:pPr>
              <w:spacing w:after="0"/>
              <w:rPr>
                <w:sz w:val="14"/>
                <w:szCs w:val="14"/>
                <w:color w:val="auto"/>
              </w:rPr>
            </w:pPr>
          </w:p>
        </w:tc>
        <w:tc>
          <w:tcPr>
            <w:tcW w:w="920" w:type="dxa"/>
            <w:vAlign w:val="bottom"/>
            <w:gridSpan w:val="2"/>
            <w:shd w:val="clear" w:color="auto" w:fill="CCEFFC"/>
          </w:tcPr>
          <w:p>
            <w:pPr>
              <w:jc w:val="right"/>
              <w:ind w:right="40"/>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Revenue per script</w:t>
            </w:r>
          </w:p>
        </w:tc>
        <w:tc>
          <w:tcPr>
            <w:tcW w:w="4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263.93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209.35</w:t>
            </w:r>
          </w:p>
        </w:tc>
        <w:tc>
          <w:tcPr>
            <w:tcW w:w="460" w:type="dxa"/>
            <w:vAlign w:val="bottom"/>
            <w:gridSpan w:val="2"/>
          </w:tcPr>
          <w:p>
            <w:pPr>
              <w:jc w:val="right"/>
              <w:ind w:right="16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54.58</w:t>
            </w:r>
          </w:p>
        </w:tc>
        <w:tc>
          <w:tcPr>
            <w:tcW w:w="16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20" w:type="dxa"/>
            <w:vAlign w:val="bottom"/>
            <w:shd w:val="clear" w:color="auto" w:fill="CCEFFC"/>
          </w:tcPr>
          <w:p>
            <w:pPr>
              <w:ind w:left="120"/>
              <w:spacing w:after="0"/>
              <w:rPr>
                <w:sz w:val="20"/>
                <w:szCs w:val="20"/>
                <w:color w:val="auto"/>
              </w:rPr>
            </w:pPr>
            <w:r>
              <w:rPr>
                <w:rFonts w:ascii="Times New Roman" w:cs="Times New Roman" w:eastAsia="Times New Roman" w:hAnsi="Times New Roman"/>
                <w:sz w:val="14"/>
                <w:szCs w:val="14"/>
                <w:color w:val="auto"/>
              </w:rPr>
              <w:t>Gross profit per script</w:t>
            </w:r>
          </w:p>
        </w:tc>
        <w:tc>
          <w:tcPr>
            <w:tcW w:w="480" w:type="dxa"/>
            <w:vAlign w:val="bottom"/>
            <w:gridSpan w:val="2"/>
            <w:shd w:val="clear" w:color="auto" w:fill="CCEF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FFC"/>
          </w:tcPr>
          <w:p>
            <w:pPr>
              <w:jc w:val="right"/>
              <w:spacing w:after="0"/>
              <w:rPr>
                <w:sz w:val="20"/>
                <w:szCs w:val="20"/>
                <w:color w:val="auto"/>
              </w:rPr>
            </w:pPr>
            <w:r>
              <w:rPr>
                <w:rFonts w:ascii="Times New Roman" w:cs="Times New Roman" w:eastAsia="Times New Roman" w:hAnsi="Times New Roman"/>
                <w:sz w:val="14"/>
                <w:szCs w:val="14"/>
                <w:color w:val="auto"/>
              </w:rPr>
              <w:t>21.64</w:t>
            </w:r>
          </w:p>
        </w:tc>
        <w:tc>
          <w:tcPr>
            <w:tcW w:w="280" w:type="dxa"/>
            <w:vAlign w:val="bottom"/>
            <w:gridSpan w:val="2"/>
            <w:shd w:val="clear" w:color="auto" w:fill="CCEF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FFC"/>
          </w:tcPr>
          <w:p>
            <w:pPr>
              <w:jc w:val="right"/>
              <w:spacing w:after="0"/>
              <w:rPr>
                <w:sz w:val="20"/>
                <w:szCs w:val="20"/>
                <w:color w:val="auto"/>
              </w:rPr>
            </w:pPr>
            <w:r>
              <w:rPr>
                <w:rFonts w:ascii="Times New Roman" w:cs="Times New Roman" w:eastAsia="Times New Roman" w:hAnsi="Times New Roman"/>
                <w:sz w:val="14"/>
                <w:szCs w:val="14"/>
                <w:color w:val="auto"/>
              </w:rPr>
              <w:t>17.83</w:t>
            </w:r>
          </w:p>
        </w:tc>
        <w:tc>
          <w:tcPr>
            <w:tcW w:w="460" w:type="dxa"/>
            <w:vAlign w:val="bottom"/>
            <w:gridSpan w:val="2"/>
            <w:shd w:val="clear" w:color="auto" w:fill="CCEFFC"/>
          </w:tcPr>
          <w:p>
            <w:pPr>
              <w:jc w:val="right"/>
              <w:ind w:right="16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FFC"/>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60" w:type="dxa"/>
            <w:vAlign w:val="bottom"/>
            <w:shd w:val="clear" w:color="auto" w:fill="CCEFFC"/>
          </w:tcPr>
          <w:p>
            <w:pPr>
              <w:spacing w:after="0"/>
              <w:rPr>
                <w:sz w:val="14"/>
                <w:szCs w:val="14"/>
                <w:color w:val="auto"/>
              </w:rPr>
            </w:pPr>
          </w:p>
        </w:tc>
        <w:tc>
          <w:tcPr>
            <w:tcW w:w="920" w:type="dxa"/>
            <w:vAlign w:val="bottom"/>
            <w:gridSpan w:val="2"/>
            <w:shd w:val="clear" w:color="auto" w:fill="CCEFFC"/>
          </w:tcPr>
          <w:p>
            <w:pPr>
              <w:jc w:val="right"/>
              <w:ind w:right="40"/>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-809625</wp:posOffset>
            </wp:positionV>
            <wp:extent cx="73025" cy="147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3829050</wp:posOffset>
            </wp:positionH>
            <wp:positionV relativeFrom="paragraph">
              <wp:posOffset>-809625</wp:posOffset>
            </wp:positionV>
            <wp:extent cx="73025" cy="147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025" cy="14795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-809625</wp:posOffset>
            </wp:positionV>
            <wp:extent cx="73025" cy="147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025" cy="147955"/>
                    </a:xfrm>
                    <a:prstGeom prst="rect">
                      <a:avLst/>
                    </a:prstGeom>
                    <a:noFill/>
                  </pic:spPr>
                </pic:pic>
              </a:graphicData>
            </a:graphic>
          </wp:anchor>
        </w:drawing>
      </w:r>
    </w:p>
    <w:p>
      <w:pPr>
        <w:spacing w:after="0" w:line="3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9" w:lineRule="exact"/>
        <w:rPr>
          <w:sz w:val="20"/>
          <w:szCs w:val="20"/>
          <w:color w:val="auto"/>
        </w:rPr>
      </w:pPr>
    </w:p>
    <w:p>
      <w:pPr>
        <w:ind w:left="640" w:right="719" w:firstLine="351"/>
        <w:spacing w:after="0" w:line="261" w:lineRule="auto"/>
        <w:rPr>
          <w:sz w:val="20"/>
          <w:szCs w:val="20"/>
          <w:color w:val="auto"/>
        </w:rPr>
      </w:pPr>
      <w:r>
        <w:rPr>
          <w:rFonts w:ascii="Times New Roman" w:cs="Times New Roman" w:eastAsia="Times New Roman" w:hAnsi="Times New Roman"/>
          <w:sz w:val="14"/>
          <w:szCs w:val="14"/>
          <w:color w:val="auto"/>
        </w:rPr>
        <w:t>Revenues were $11,445.8 million for the year ended December 31, 2025, as compared with $8,754.3 million for the year ended December 31, 2024, an increase of $2,691.5 million or 30.7%. The increase primarily resulted from an increase in revenue per prescription dispensed, as well as volume growth in prescriptions dispensed across and within Pharmacy Solutions segment. Revenue attributable to Infusion and Specialty Pharmacy was $9,095.9 million for the year ended December 31, 2025, as compared with $6,526.0 million for the year ended December 31, 2024, an increase of $2,569.9 million or 39.4% attributable to an increase in prescriptions dispensed on certain specialty branded drugs. Revenue attributable to Home and Community Pharmacy was $2,349.9 million for the year ended December 31, 2025, as compared with $2,228.3 million for the year ended December 31, 2024, an increase of $121.6 million or 5.5% attributable to mix changes in prescriptions dispensed.</w:t>
      </w:r>
    </w:p>
    <w:p>
      <w:pPr>
        <w:spacing w:after="0" w:line="60" w:lineRule="exact"/>
        <w:rPr>
          <w:sz w:val="20"/>
          <w:szCs w:val="20"/>
          <w:color w:val="auto"/>
        </w:rPr>
      </w:pPr>
    </w:p>
    <w:p>
      <w:pPr>
        <w:ind w:left="640" w:right="1079" w:firstLine="351"/>
        <w:spacing w:after="0" w:line="292" w:lineRule="auto"/>
        <w:rPr>
          <w:sz w:val="20"/>
          <w:szCs w:val="20"/>
          <w:color w:val="auto"/>
        </w:rPr>
      </w:pPr>
      <w:r>
        <w:rPr>
          <w:rFonts w:ascii="Times New Roman" w:cs="Times New Roman" w:eastAsia="Times New Roman" w:hAnsi="Times New Roman"/>
          <w:sz w:val="14"/>
          <w:szCs w:val="14"/>
          <w:color w:val="auto"/>
        </w:rPr>
        <w:t>The increase in revenue per prescription dispensed is due to mix changes year-over-year and a greater relative increase in volume growth in certain specialty brand drugs, which carry a higher revenue per prescription dispensed.</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Cost of Goods</w:t>
      </w:r>
    </w:p>
    <w:p>
      <w:pPr>
        <w:spacing w:after="0" w:line="99" w:lineRule="exact"/>
        <w:rPr>
          <w:sz w:val="20"/>
          <w:szCs w:val="20"/>
          <w:color w:val="auto"/>
        </w:rPr>
      </w:pPr>
    </w:p>
    <w:p>
      <w:pPr>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Cost of goods was $10,507.4 million for the year ended December 31, 2025, as compared with $8,008.5 million for the year ended December 31, 2024, an increase of $2,498.9 million or 31.2%. The increase primarily resulted from the aforementioned revenue growth in the period as well as an increase in cost per prescription dispensed as a result of mix shift.</w:t>
      </w:r>
    </w:p>
    <w:p>
      <w:pPr>
        <w:spacing w:after="0" w:line="50" w:lineRule="exact"/>
        <w:rPr>
          <w:sz w:val="20"/>
          <w:szCs w:val="20"/>
          <w:color w:val="auto"/>
        </w:rPr>
      </w:pPr>
    </w:p>
    <w:p>
      <w:pPr>
        <w:ind w:left="640" w:right="699" w:firstLine="351"/>
        <w:spacing w:after="0" w:line="271" w:lineRule="auto"/>
        <w:rPr>
          <w:sz w:val="20"/>
          <w:szCs w:val="20"/>
          <w:color w:val="auto"/>
        </w:rPr>
      </w:pPr>
      <w:r>
        <w:rPr>
          <w:rFonts w:ascii="Times New Roman" w:cs="Times New Roman" w:eastAsia="Times New Roman" w:hAnsi="Times New Roman"/>
          <w:sz w:val="14"/>
          <w:szCs w:val="14"/>
          <w:color w:val="auto"/>
        </w:rPr>
        <w:t>Gross profit was $938.3 million for the year ended December 31, 2025, as compared with $745.8 million for the year ended December 31, 2024, an increase of $192.6 million or 25.8%. The increase primarily resulted from the aforementioned revenue growth in the period, primarily the result of outsized volume growth as well as mix in certain specialty branded drugs, which have lower margins.</w:t>
      </w:r>
    </w:p>
    <w:p>
      <w:pPr>
        <w:spacing w:after="0" w:line="228"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Gross profit margin for the year ended December 31, 2025 was 8.2% compared to 8.5% for the year ended December 31, 2024. The decrease in gross profit margin is due to mix shift in the Pharmacy Solutions segment with greater relative volume growth in Infusion and Specialty Pharmacy, along with product-level mix shifts, rate changes, and an increase in the fulfillment cost per script in Home and Community Pharmacy.</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Selling, general, and administrative expenses were $502.0 million for the year ended December 31, 2025, as compared with</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$462.2 million for the year ended December 31, 2024, an increase of $39.8 million or 8.6%. The increase primarily resulted from the</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aforementioned revenue growth in the period with selling, general, and administrative expenses growing less than the volume growth</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rate and demonstrating economies of scale.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6" w:name="page77"/>
    <w:bookmarkEnd w:id="7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Segment EBITDA</w:t>
      </w:r>
    </w:p>
    <w:p>
      <w:pPr>
        <w:spacing w:after="0" w:line="99"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Segment EBITDA was $543.5 million for the year ended December 31, 2025, as compared with $394.7 million for the year ended December 31, 2024, an increase of $148.8 million or 37.7%. The increase primarily resulted from the aforementioned revenue and gross profit growth in the period. See Note 17 “Segment Information” to our audited consolidated financial statements and related notes included elsewhere in this Annual Report on Form 10-K for further discussion.</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Provider Services Segment</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sets forth, for the years indicated, our segment results of operations.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 in thousands, except Business Metrics)</w:t>
            </w: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gridSpan w:val="6"/>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7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340" w:type="dxa"/>
            <w:vAlign w:val="bottom"/>
            <w:gridSpan w:val="2"/>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gridSpan w:val="6"/>
          </w:tcPr>
          <w:p>
            <w:pPr>
              <w:jc w:val="center"/>
              <w:ind w:right="540"/>
              <w:spacing w:after="0" w:line="109" w:lineRule="exact"/>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vMerge w:val="restart"/>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vMerge w:val="restart"/>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gridSpan w:val="3"/>
          </w:tcPr>
          <w:p>
            <w:pPr>
              <w:ind w:left="660"/>
              <w:spacing w:after="0" w:line="109" w:lineRule="exact"/>
              <w:rPr>
                <w:sz w:val="20"/>
                <w:szCs w:val="20"/>
                <w:color w:val="auto"/>
              </w:rPr>
            </w:pPr>
            <w:r>
              <w:rPr>
                <w:rFonts w:ascii="Times New Roman" w:cs="Times New Roman" w:eastAsia="Times New Roman" w:hAnsi="Times New Roman"/>
                <w:sz w:val="11"/>
                <w:szCs w:val="11"/>
                <w:b w:val="1"/>
                <w:bCs w:val="1"/>
                <w:color w:val="auto"/>
              </w:rPr>
              <w:t>Change</w:t>
            </w: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191"/>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370"/>
              <w:spacing w:after="0" w:line="109"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1,464,787</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1,317,932</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146,855</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885,356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797,286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88,070</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579,431</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520,646</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58,785</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374,256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340,034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34,222</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Segment operating income</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205,175</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180,612</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24,563</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Segment EBITDA</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232,654</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205,287</w:t>
            </w:r>
          </w:p>
        </w:tc>
        <w:tc>
          <w:tcPr>
            <w:tcW w:w="1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27,367</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3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Business Metrics:</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Home Health Care average daily census</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31,135</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28,532</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2,603</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Rehab Care persons served</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Personal Care persons served</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16,079</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15,879</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-681355</wp:posOffset>
            </wp:positionV>
            <wp:extent cx="4762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-681355</wp:posOffset>
            </wp:positionV>
            <wp:extent cx="4762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4523740</wp:posOffset>
            </wp:positionH>
            <wp:positionV relativeFrom="paragraph">
              <wp:posOffset>-681355</wp:posOffset>
            </wp:positionV>
            <wp:extent cx="4762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-681355</wp:posOffset>
            </wp:positionV>
            <wp:extent cx="8890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0" cy="6985"/>
                    </a:xfrm>
                    <a:prstGeom prst="rect">
                      <a:avLst/>
                    </a:prstGeom>
                    <a:noFill/>
                  </pic:spPr>
                </pic:pic>
              </a:graphicData>
            </a:graphic>
          </wp:anchor>
        </w:drawing>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9" w:lineRule="exact"/>
        <w:rPr>
          <w:sz w:val="20"/>
          <w:szCs w:val="20"/>
          <w:color w:val="auto"/>
        </w:rPr>
      </w:pPr>
    </w:p>
    <w:p>
      <w:pPr>
        <w:ind w:left="640" w:right="739" w:firstLine="351"/>
        <w:spacing w:after="0" w:line="261" w:lineRule="auto"/>
        <w:rPr>
          <w:sz w:val="20"/>
          <w:szCs w:val="20"/>
          <w:color w:val="auto"/>
        </w:rPr>
      </w:pPr>
      <w:r>
        <w:rPr>
          <w:rFonts w:ascii="Times New Roman" w:cs="Times New Roman" w:eastAsia="Times New Roman" w:hAnsi="Times New Roman"/>
          <w:sz w:val="14"/>
          <w:szCs w:val="14"/>
          <w:color w:val="auto"/>
        </w:rPr>
        <w:t>Revenues were $1,464.8 million for the year ended December 31, 2025, as compared with $1,317.9 million for the year ended December 31, 2024, an increase of $146.9 million or 11.1%. The increase primarily resulted from volume growth as well as rate increases received during the period. Revenue attributable to Home Health Care was $767.9 million for the year ended December 31, 2025, as compared with $655.4 million for the year ended December 31, 2024, an increase of $112.5 million or 17.2%. Revenue attributable to Rehab Care was $294.7 million for the year ended December 31, 2025, as compared with $276.6 million for the year ended December 31, 2024, an increase of $18.1 million or 6.5%. Revenue attributable to Personal Care was $402.2 million for the year ended December 31, 2025, as compared with $385.9 million for the year ended December 31, 2024, an increase of $16.3 million or 4.2%.</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Cost of Services</w:t>
      </w:r>
    </w:p>
    <w:p>
      <w:pPr>
        <w:spacing w:after="0" w:line="99" w:lineRule="exact"/>
        <w:rPr>
          <w:sz w:val="20"/>
          <w:szCs w:val="20"/>
          <w:color w:val="auto"/>
        </w:rPr>
      </w:pPr>
    </w:p>
    <w:p>
      <w:pPr>
        <w:jc w:val="both"/>
        <w:ind w:left="640" w:right="719" w:firstLine="351"/>
        <w:spacing w:after="0" w:line="274" w:lineRule="auto"/>
        <w:rPr>
          <w:sz w:val="20"/>
          <w:szCs w:val="20"/>
          <w:color w:val="auto"/>
        </w:rPr>
      </w:pPr>
      <w:r>
        <w:rPr>
          <w:rFonts w:ascii="Times New Roman" w:cs="Times New Roman" w:eastAsia="Times New Roman" w:hAnsi="Times New Roman"/>
          <w:sz w:val="14"/>
          <w:szCs w:val="14"/>
          <w:color w:val="auto"/>
        </w:rPr>
        <w:t>Cost of services was $885.4 million for the year ended December 31, 2025, as compared with $797.3 million for the year ended December 31, 2024, an increase of $88.1 million or 11.0%. The increase primarily resulted from the aforementioned revenue growth and included operational improvements resulting in lower cost of services increases compared to revenue growth.</w:t>
      </w:r>
    </w:p>
    <w:p>
      <w:pPr>
        <w:spacing w:after="0" w:line="50" w:lineRule="exact"/>
        <w:rPr>
          <w:sz w:val="20"/>
          <w:szCs w:val="20"/>
          <w:color w:val="auto"/>
        </w:rPr>
      </w:pPr>
    </w:p>
    <w:p>
      <w:pPr>
        <w:jc w:val="both"/>
        <w:ind w:left="640" w:right="779" w:firstLine="516"/>
        <w:spacing w:after="0" w:line="274" w:lineRule="auto"/>
        <w:rPr>
          <w:sz w:val="20"/>
          <w:szCs w:val="20"/>
          <w:color w:val="auto"/>
        </w:rPr>
      </w:pPr>
      <w:r>
        <w:rPr>
          <w:rFonts w:ascii="Times New Roman" w:cs="Times New Roman" w:eastAsia="Times New Roman" w:hAnsi="Times New Roman"/>
          <w:sz w:val="14"/>
          <w:szCs w:val="14"/>
          <w:color w:val="auto"/>
        </w:rPr>
        <w:t>Gross profit was $579.4 million for the year ended December 31, 2025, as compared with $520.6 million for the year ended December 31, 2024, an increase of $58.8 million or 11.3%. The increase primarily resulted from the aforementioned revenue growth and cost of services improvements in the period.</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Selling, general, and administrative expenses were $374.3 million for the year ended December 31, 2025, as compared with</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$340.0 million for the year ended December 31, 2024, an increase of $34.2 million or 10.1%. The increase primarily resulted from the</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aforementioned revenue growth in the period with selling, general, and administrative expenses growing less than the volume growth</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rate and demonstrating economies of scale.</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Segment EBITDA</w:t>
      </w:r>
    </w:p>
    <w:p>
      <w:pPr>
        <w:spacing w:after="0" w:line="99" w:lineRule="exact"/>
        <w:rPr>
          <w:sz w:val="20"/>
          <w:szCs w:val="20"/>
          <w:color w:val="auto"/>
        </w:rPr>
      </w:pPr>
    </w:p>
    <w:p>
      <w:pPr>
        <w:ind w:left="640" w:right="839" w:firstLine="351"/>
        <w:spacing w:after="0" w:line="292" w:lineRule="auto"/>
        <w:rPr>
          <w:sz w:val="20"/>
          <w:szCs w:val="20"/>
          <w:color w:val="auto"/>
        </w:rPr>
      </w:pPr>
      <w:r>
        <w:rPr>
          <w:rFonts w:ascii="Times New Roman" w:cs="Times New Roman" w:eastAsia="Times New Roman" w:hAnsi="Times New Roman"/>
          <w:sz w:val="14"/>
          <w:szCs w:val="14"/>
          <w:color w:val="auto"/>
        </w:rPr>
        <w:t>Segment EBITDA was $232.7 million for the year ended December 31, 2025, as compared with $205.3 million for the year ended December 31, 2024, an increase of $27.4 million or 13.3%. The increase primarily resulted from the aforementioned revenue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7" w:name="page78"/>
    <w:bookmarkEnd w:id="7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919"/>
        <w:spacing w:after="0" w:line="292" w:lineRule="auto"/>
        <w:rPr>
          <w:sz w:val="20"/>
          <w:szCs w:val="20"/>
          <w:color w:val="auto"/>
        </w:rPr>
      </w:pPr>
      <w:r>
        <w:rPr>
          <w:rFonts w:ascii="Times New Roman" w:cs="Times New Roman" w:eastAsia="Times New Roman" w:hAnsi="Times New Roman"/>
          <w:sz w:val="14"/>
          <w:szCs w:val="14"/>
          <w:color w:val="auto"/>
        </w:rPr>
        <w:t>growth and operational improvements impacting cost of services. See Note 17 “Segment Information” to our audited consolidated financial statements and related notes included elsewhere in this Annual Report on Form 10-K for further discussion.</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99" w:lineRule="exact"/>
        <w:rPr>
          <w:sz w:val="20"/>
          <w:szCs w:val="20"/>
          <w:color w:val="auto"/>
        </w:rPr>
      </w:pPr>
    </w:p>
    <w:p>
      <w:pPr>
        <w:ind w:left="640" w:right="799" w:firstLine="351"/>
        <w:spacing w:after="0" w:line="268" w:lineRule="auto"/>
        <w:rPr>
          <w:sz w:val="20"/>
          <w:szCs w:val="20"/>
          <w:color w:val="auto"/>
        </w:rPr>
      </w:pPr>
      <w:r>
        <w:rPr>
          <w:rFonts w:ascii="Times New Roman" w:cs="Times New Roman" w:eastAsia="Times New Roman" w:hAnsi="Times New Roman"/>
          <w:sz w:val="14"/>
          <w:szCs w:val="14"/>
          <w:color w:val="auto"/>
        </w:rPr>
        <w:t>In addition to our results of operations prepared in accordance with U.S. GAAP, which we have discussed above, we also evaluate our financial performance using EBITDA, Adjusted EBITDA, and Adjusted EPS. These non-GAAP financial measures are not intended to replace financial performance measures determined in accordance with U.S. GAAP, such as net income (loss) and diluted EPS. Rather, we present EBITDA, Adjusted EBITDA, and Adjusted EPS as supplemental measures of our performance.</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EBITDA, Adjusted EBITDA, and Adjusted EPS</w:t>
      </w:r>
    </w:p>
    <w:p>
      <w:pPr>
        <w:spacing w:after="0" w:line="99" w:lineRule="exact"/>
        <w:rPr>
          <w:sz w:val="20"/>
          <w:szCs w:val="20"/>
          <w:color w:val="auto"/>
        </w:rPr>
      </w:pPr>
    </w:p>
    <w:p>
      <w:pPr>
        <w:ind w:left="640" w:right="739" w:firstLine="351"/>
        <w:spacing w:after="0" w:line="259" w:lineRule="auto"/>
        <w:rPr>
          <w:sz w:val="20"/>
          <w:szCs w:val="20"/>
          <w:color w:val="auto"/>
        </w:rPr>
      </w:pPr>
      <w:r>
        <w:rPr>
          <w:rFonts w:ascii="Times New Roman" w:cs="Times New Roman" w:eastAsia="Times New Roman" w:hAnsi="Times New Roman"/>
          <w:sz w:val="14"/>
          <w:szCs w:val="14"/>
          <w:color w:val="auto"/>
        </w:rPr>
        <w:t>The following are key financial metrics and, when used in conjunction with U.S. GAAP measures, we believe they provide useful information for evaluating our core business performance, enable comparison of financial results across periods, and allow for greater transparency with respect to key metrics used by management for financial and operational decision-making. We define EBITDA as net income (loss) before income tax expense (benefit), interest expense, net, and depreciation and amortization. Adjusted EBITDA and Adjusted EPS exclude certain other items that are either non-recurring, infrequent, non-cash, unusual, or items deemed by management to not be indicative of the performance of our core operations, including non-cash, share-based compensation; acquisition, integration, and transaction-related costs; restructuring and divestiture-related and other costs; legal and settlement costs associated with certain historical matters for PharMerica; significant projects; and management fees. In determining which adjustments are made to arrive at Adjusted EBITDA and Adjusted EPS, management considers both (1) certain non-recurring, infrequent, non-cash, or unusual items, which can vary significantly from year to year, as well as (2) certain other items that may be recurring, frequent, or settled in cash but which management does not believe are indicative of our core operating performance. The financial measure calculated under U.S. GAAP which is most directly comparable to Adjusted EBITDA is net income (loss). The financial measure calculated under U.S. GAAP which is most directly comparable to Adjusted EPS is diluted EPS.</w:t>
      </w:r>
    </w:p>
    <w:p>
      <w:pPr>
        <w:spacing w:after="0" w:line="61"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We have historically incurred substantial acquisition, integration, and transaction-related costs. The underlying acquisition activities take place over a defined timeframe, have distinct project timelines, and are incremental to activities and costs that arise in the ordinary course of our business. Therefore, we have excluded these costs from our Adjusted EBITDA and Adjusted EPS because it provides management a normalized view of our core, ongoing operations after integrating our acquired companies.</w:t>
      </w:r>
    </w:p>
    <w:p>
      <w:pPr>
        <w:spacing w:after="0" w:line="54"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The legal costs and settlements adjustment represents defense costs associated with certain PharMerica litigation matters, all of which were finalized in 2024, that commenced prior to KKR Stockholder’s and Walgreen Stockholder’s acquisition of PharMerica in December 2017, as well as settlement costs associated with the Silver matter, which settled in November 2023. We have excluded defense costs associated with these PharMerica litigation matters from our Adjusted EBITDA and Adjusted EPS due to the magnitude of these cases and the costs attributable to them, the timing of the commencement of the cases and the fact that no similar cases have been brought against the Company since the acquisition of PharMerica, and the fact that these cases are unlike our routine legal and regulatory proceedings that we see in the normal course of business. Further, we have excluded settlement costs associated with the Silver matter from our Adjusted EBITDA and Adjusted EPS due to the magnitude of the case and the costs attributable to it, as well as the fact that the Silver matter is unlike our routine legal and regulatory proceedings that we see in the normal course of business.</w:t>
      </w:r>
    </w:p>
    <w:p>
      <w:pPr>
        <w:spacing w:after="0" w:line="63" w:lineRule="exact"/>
        <w:rPr>
          <w:sz w:val="20"/>
          <w:szCs w:val="20"/>
          <w:color w:val="auto"/>
        </w:rPr>
      </w:pPr>
    </w:p>
    <w:p>
      <w:pPr>
        <w:ind w:left="640" w:right="759" w:firstLine="351"/>
        <w:spacing w:after="0" w:line="263" w:lineRule="auto"/>
        <w:rPr>
          <w:sz w:val="20"/>
          <w:szCs w:val="20"/>
          <w:color w:val="auto"/>
        </w:rPr>
      </w:pPr>
      <w:r>
        <w:rPr>
          <w:rFonts w:ascii="Times New Roman" w:cs="Times New Roman" w:eastAsia="Times New Roman" w:hAnsi="Times New Roman"/>
          <w:sz w:val="14"/>
          <w:szCs w:val="14"/>
          <w:color w:val="auto"/>
        </w:rPr>
        <w:t>The significant projects adjustment represents costs associated with certain transformational projects, which are not considered to be a part of our normal and recurring business operations and are not expected to recur in our future business plans. All significant projects were finalized in 2024. Moreover, the costs associated with significant projects, which are incurred on an infrequent and limited basis, are not reflective of our operating performance. Due to the aforementioned reasons, we have excluded the costs related to significant projects from our Adjusted EBITDA and Adjusted EPS, as such adjustment provides a more meaningful understanding to investors and others of our ongoing results.</w:t>
      </w:r>
    </w:p>
    <w:p>
      <w:pPr>
        <w:spacing w:after="0" w:line="58"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The management fees adjustment represents fees paid historically under the Monitoring Agreement related to either (i) activities that are expected to be performed by our existing personnel upon the termination of the Monitoring Agreement, and thus not expected to result in incremental costs subsequent to the IPO Offerings, or (ii) acquisitions, divestitures, and external financing activities, which costs would otherwise be excluded from our Adjusted EBITDA and Adjusted EPS. Therefore, we have excluded management fees from our Adjusted EBITDA and Adjusted EPS, as such fees are no longer applicable and representative of our ordinary operating performance as a result of the completion of the IPO Offerings.</w:t>
      </w:r>
    </w:p>
    <w:p>
      <w:pPr>
        <w:spacing w:after="0" w:line="58" w:lineRule="exact"/>
        <w:rPr>
          <w:sz w:val="20"/>
          <w:szCs w:val="20"/>
          <w:color w:val="auto"/>
        </w:rPr>
      </w:pPr>
    </w:p>
    <w:p>
      <w:pPr>
        <w:ind w:left="640" w:right="779" w:firstLine="358"/>
        <w:spacing w:after="0" w:line="268" w:lineRule="auto"/>
        <w:rPr>
          <w:sz w:val="20"/>
          <w:szCs w:val="20"/>
          <w:color w:val="auto"/>
        </w:rPr>
      </w:pPr>
      <w:r>
        <w:rPr>
          <w:rFonts w:ascii="Times New Roman" w:cs="Times New Roman" w:eastAsia="Times New Roman" w:hAnsi="Times New Roman"/>
          <w:sz w:val="14"/>
          <w:szCs w:val="14"/>
          <w:color w:val="auto"/>
        </w:rPr>
        <w:t>EBITDA, Adjusted EBITDA, and Adjusted EPS are not measures of financial performance under U.S. GAAP and should be considered in addition to, and not as a substitute for, net income (loss), diluted EPS or other financial measures performed in accordance with U.S. GAAP. Our method of determining non-GAAP financial measures may differ from other companies’ financial measures and therefore may not be comparable to methods used by other companies.</w:t>
      </w:r>
    </w:p>
    <w:p>
      <w:pPr>
        <w:spacing w:after="0" w:line="54" w:lineRule="exact"/>
        <w:rPr>
          <w:sz w:val="20"/>
          <w:szCs w:val="20"/>
          <w:color w:val="auto"/>
        </w:rPr>
      </w:pPr>
    </w:p>
    <w:p>
      <w:pPr>
        <w:ind w:left="640" w:right="919" w:firstLine="351"/>
        <w:spacing w:after="0" w:line="292" w:lineRule="auto"/>
        <w:rPr>
          <w:sz w:val="20"/>
          <w:szCs w:val="20"/>
          <w:color w:val="auto"/>
        </w:rPr>
      </w:pPr>
      <w:r>
        <w:rPr>
          <w:rFonts w:ascii="Times New Roman" w:cs="Times New Roman" w:eastAsia="Times New Roman" w:hAnsi="Times New Roman"/>
          <w:sz w:val="14"/>
          <w:szCs w:val="14"/>
          <w:color w:val="auto"/>
        </w:rPr>
        <w:t>Given our determination of adjustments in arriving at our computations of EBITDA, Adjusted EBITDA, and Adjusted EPS, these non-GAAP measures have limitations as analytical tools and should not be considered in isolation or as substitutes or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8" w:name="page79"/>
    <w:bookmarkEnd w:id="7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1199"/>
        <w:spacing w:after="0" w:line="292" w:lineRule="auto"/>
        <w:rPr>
          <w:sz w:val="20"/>
          <w:szCs w:val="20"/>
          <w:color w:val="auto"/>
        </w:rPr>
      </w:pPr>
      <w:r>
        <w:rPr>
          <w:rFonts w:ascii="Times New Roman" w:cs="Times New Roman" w:eastAsia="Times New Roman" w:hAnsi="Times New Roman"/>
          <w:sz w:val="14"/>
          <w:szCs w:val="14"/>
          <w:color w:val="auto"/>
        </w:rPr>
        <w:t>alternatives to net income (loss), operating income, income (loss) per diluted share, cash flows from operating activities, total indebtedness, or any other financial measures calculated in accordance with U.S. GAAP.</w:t>
      </w:r>
    </w:p>
    <w:p>
      <w:pPr>
        <w:spacing w:after="0" w:line="1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reconciles net income (loss) from continuing operations to EBITDA and Adjusted EBITDA:</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456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 in thousands)</w:t>
            </w:r>
          </w:p>
        </w:tc>
        <w:tc>
          <w:tcPr>
            <w:tcW w:w="880" w:type="dxa"/>
            <w:vAlign w:val="bottom"/>
          </w:tcPr>
          <w:p>
            <w:pPr>
              <w:spacing w:after="0"/>
              <w:rPr>
                <w:sz w:val="11"/>
                <w:szCs w:val="11"/>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For The Years Ended</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880" w:type="dxa"/>
            <w:vAlign w:val="bottom"/>
            <w:tcBorders>
              <w:bottom w:val="single" w:sz="8" w:color="auto"/>
            </w:tcBorders>
          </w:tcPr>
          <w:p>
            <w:pPr>
              <w:jc w:val="right"/>
              <w:ind w:right="4"/>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ind w:right="549"/>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(loss) from continuing operations</w:t>
            </w:r>
          </w:p>
        </w:tc>
        <w:tc>
          <w:tcPr>
            <w:tcW w:w="880" w:type="dxa"/>
            <w:vAlign w:val="bottom"/>
            <w:shd w:val="clear" w:color="auto" w:fill="CFF0FC"/>
          </w:tcPr>
          <w:p>
            <w:pPr>
              <w:jc w:val="right"/>
              <w:ind w:right="76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104,796</w:t>
            </w:r>
          </w:p>
        </w:tc>
        <w:tc>
          <w:tcPr>
            <w:tcW w:w="7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(68,931)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33,145</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(26,387)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8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157,311</w:t>
            </w: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190,546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162,948</w:t>
            </w:r>
          </w:p>
        </w:tc>
        <w:tc>
          <w:tcPr>
            <w:tcW w:w="2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162,144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EBITDA</w:t>
            </w:r>
          </w:p>
        </w:tc>
        <w:tc>
          <w:tcPr>
            <w:tcW w:w="880" w:type="dxa"/>
            <w:vAlign w:val="bottom"/>
            <w:shd w:val="clear" w:color="auto" w:fill="CFF0FC"/>
          </w:tcPr>
          <w:p>
            <w:pPr>
              <w:jc w:val="right"/>
              <w:ind w:right="76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458,200</w:t>
            </w:r>
          </w:p>
        </w:tc>
        <w:tc>
          <w:tcPr>
            <w:tcW w:w="7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257,372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line="172" w:lineRule="exact"/>
              <w:rPr>
                <w:sz w:val="20"/>
                <w:szCs w:val="20"/>
                <w:color w:val="auto"/>
              </w:rPr>
            </w:pPr>
            <w:r>
              <w:rPr>
                <w:rFonts w:ascii="Times New Roman" w:cs="Times New Roman" w:eastAsia="Times New Roman" w:hAnsi="Times New Roman"/>
                <w:sz w:val="14"/>
                <w:szCs w:val="14"/>
                <w:color w:val="auto"/>
              </w:rPr>
              <w:t xml:space="preserve">Non-cash share-based compensation </w:t>
            </w:r>
            <w:r>
              <w:rPr>
                <w:rFonts w:ascii="Times New Roman" w:cs="Times New Roman" w:eastAsia="Times New Roman" w:hAnsi="Times New Roman"/>
                <w:sz w:val="19"/>
                <w:szCs w:val="19"/>
                <w:color w:val="auto"/>
                <w:vertAlign w:val="superscript"/>
              </w:rPr>
              <w:t>(1)</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59,164</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61,336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 xml:space="preserve">Acquisition, integration, and transaction-related costs </w:t>
            </w:r>
            <w:r>
              <w:rPr>
                <w:rFonts w:ascii="Times New Roman" w:cs="Times New Roman" w:eastAsia="Times New Roman" w:hAnsi="Times New Roman"/>
                <w:sz w:val="19"/>
                <w:szCs w:val="19"/>
                <w:color w:val="auto"/>
                <w:vertAlign w:val="superscript"/>
              </w:rPr>
              <w:t>(2)</w:t>
            </w:r>
          </w:p>
        </w:tc>
        <w:tc>
          <w:tcPr>
            <w:tcW w:w="8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40,424</w:t>
            </w: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31,953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line="172" w:lineRule="exact"/>
              <w:rPr>
                <w:sz w:val="20"/>
                <w:szCs w:val="20"/>
                <w:color w:val="auto"/>
              </w:rPr>
            </w:pPr>
            <w:r>
              <w:rPr>
                <w:rFonts w:ascii="Times New Roman" w:cs="Times New Roman" w:eastAsia="Times New Roman" w:hAnsi="Times New Roman"/>
                <w:sz w:val="14"/>
                <w:szCs w:val="14"/>
                <w:color w:val="auto"/>
              </w:rPr>
              <w:t xml:space="preserve">Restructuring and divestiture-related and other costs </w:t>
            </w:r>
            <w:r>
              <w:rPr>
                <w:rFonts w:ascii="Times New Roman" w:cs="Times New Roman" w:eastAsia="Times New Roman" w:hAnsi="Times New Roman"/>
                <w:sz w:val="19"/>
                <w:szCs w:val="19"/>
                <w:color w:val="auto"/>
                <w:vertAlign w:val="superscript"/>
              </w:rPr>
              <w:t>(3)</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59,782</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61,688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 xml:space="preserve">Legal costs and settlements </w:t>
            </w:r>
            <w:r>
              <w:rPr>
                <w:rFonts w:ascii="Times New Roman" w:cs="Times New Roman" w:eastAsia="Times New Roman" w:hAnsi="Times New Roman"/>
                <w:sz w:val="19"/>
                <w:szCs w:val="19"/>
                <w:color w:val="auto"/>
                <w:vertAlign w:val="superscript"/>
              </w:rPr>
              <w:t>(4)</w:t>
            </w:r>
          </w:p>
        </w:tc>
        <w:tc>
          <w:tcPr>
            <w:tcW w:w="8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21,886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line="172" w:lineRule="exact"/>
              <w:rPr>
                <w:sz w:val="20"/>
                <w:szCs w:val="20"/>
                <w:color w:val="auto"/>
              </w:rPr>
            </w:pPr>
            <w:r>
              <w:rPr>
                <w:rFonts w:ascii="Times New Roman" w:cs="Times New Roman" w:eastAsia="Times New Roman" w:hAnsi="Times New Roman"/>
                <w:sz w:val="14"/>
                <w:szCs w:val="14"/>
                <w:color w:val="auto"/>
              </w:rPr>
              <w:t xml:space="preserve">Significant projects </w:t>
            </w:r>
            <w:r>
              <w:rPr>
                <w:rFonts w:ascii="Times New Roman" w:cs="Times New Roman" w:eastAsia="Times New Roman" w:hAnsi="Times New Roman"/>
                <w:sz w:val="19"/>
                <w:szCs w:val="19"/>
                <w:color w:val="auto"/>
                <w:vertAlign w:val="superscript"/>
              </w:rPr>
              <w:t>(5)</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Borders>
              <w:bottom w:val="single" w:sz="8" w:color="CFF0FC"/>
            </w:tcBorders>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 xml:space="preserve">Management fees </w:t>
            </w:r>
            <w:r>
              <w:rPr>
                <w:rFonts w:ascii="Times New Roman" w:cs="Times New Roman" w:eastAsia="Times New Roman" w:hAnsi="Times New Roman"/>
                <w:sz w:val="19"/>
                <w:szCs w:val="19"/>
                <w:color w:val="auto"/>
                <w:vertAlign w:val="superscript"/>
              </w:rPr>
              <w:t>(6)</w:t>
            </w:r>
          </w:p>
        </w:tc>
        <w:tc>
          <w:tcPr>
            <w:tcW w:w="88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23,381</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Total adjustments</w:t>
            </w:r>
          </w:p>
        </w:tc>
        <w:tc>
          <w:tcPr>
            <w:tcW w:w="880" w:type="dxa"/>
            <w:vAlign w:val="bottom"/>
          </w:tcPr>
          <w:p>
            <w:pPr>
              <w:jc w:val="right"/>
              <w:ind w:right="76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159,370</w:t>
            </w:r>
          </w:p>
        </w:tc>
        <w:tc>
          <w:tcPr>
            <w:tcW w:w="7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202,848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880" w:type="dxa"/>
            <w:vAlign w:val="bottom"/>
            <w:shd w:val="clear" w:color="auto" w:fill="CFF0FC"/>
          </w:tcPr>
          <w:p>
            <w:pPr>
              <w:jc w:val="right"/>
              <w:ind w:right="76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617,570</w:t>
            </w:r>
          </w:p>
        </w:tc>
        <w:tc>
          <w:tcPr>
            <w:tcW w:w="7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460,220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4210050</wp:posOffset>
            </wp:positionH>
            <wp:positionV relativeFrom="paragraph">
              <wp:posOffset>-251460</wp:posOffset>
            </wp:positionV>
            <wp:extent cx="4762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-251460</wp:posOffset>
            </wp:positionV>
            <wp:extent cx="4762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4210050</wp:posOffset>
            </wp:positionH>
            <wp:positionV relativeFrom="paragraph">
              <wp:posOffset>-19685</wp:posOffset>
            </wp:positionV>
            <wp:extent cx="4762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4210050</wp:posOffset>
            </wp:positionH>
            <wp:positionV relativeFrom="paragraph">
              <wp:posOffset>-6350</wp:posOffset>
            </wp:positionV>
            <wp:extent cx="4762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69" w:lineRule="exact"/>
        <w:rPr>
          <w:sz w:val="20"/>
          <w:szCs w:val="20"/>
          <w:color w:val="auto"/>
        </w:rPr>
      </w:pPr>
    </w:p>
    <w:p>
      <w:pPr>
        <w:ind w:left="980" w:right="699" w:hanging="342"/>
        <w:spacing w:after="0" w:line="274" w:lineRule="auto"/>
        <w:tabs>
          <w:tab w:leader="none" w:pos="9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share-based compensation to certain members of our management and other full-time employees. The year ended December 31, 2024 includes $15.0 million of previously unrecognized share-based compensation expense related to performance-vesting options under the 2017 Stock Plan, a portion of which vested upon completion of the IPO.</w:t>
      </w:r>
    </w:p>
    <w:p>
      <w:pPr>
        <w:spacing w:after="0" w:line="50" w:lineRule="exact"/>
        <w:rPr>
          <w:rFonts w:ascii="Times New Roman" w:cs="Times New Roman" w:eastAsia="Times New Roman" w:hAnsi="Times New Roman"/>
          <w:sz w:val="14"/>
          <w:szCs w:val="14"/>
          <w:color w:val="auto"/>
        </w:rPr>
      </w:pPr>
    </w:p>
    <w:p>
      <w:pPr>
        <w:ind w:left="980" w:right="679" w:hanging="342"/>
        <w:spacing w:after="0" w:line="265" w:lineRule="auto"/>
        <w:tabs>
          <w:tab w:leader="none" w:pos="9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transaction costs incurred in connection with planned, completed, or terminated acquisitions, which include investment banking fees, legal diligence and related documentation costs, finance and accounting diligence and documentation; costs associated with the integration of acquisitions, including any facility consolidation, integration travel, or severance; and costs associated with other planned, completed, or terminated non-routine transactions. The years ended December 31, 2025 and 2024 included other non-routine transaction costs of $26.8 million and $5.8 million, respectively.</w:t>
      </w:r>
    </w:p>
    <w:p>
      <w:pPr>
        <w:spacing w:after="0" w:line="56" w:lineRule="exact"/>
        <w:rPr>
          <w:rFonts w:ascii="Times New Roman" w:cs="Times New Roman" w:eastAsia="Times New Roman" w:hAnsi="Times New Roman"/>
          <w:sz w:val="14"/>
          <w:szCs w:val="14"/>
          <w:color w:val="auto"/>
        </w:rPr>
      </w:pPr>
    </w:p>
    <w:p>
      <w:pPr>
        <w:ind w:left="980" w:right="779" w:hanging="342"/>
        <w:spacing w:after="0" w:line="263" w:lineRule="auto"/>
        <w:tabs>
          <w:tab w:leader="none" w:pos="9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associated with restructuring-related activities, including closure costs, and related license impairment, and severance expenses associated with certain enterprise-wide or significant business line cost-savings measures. These costs included $23.4 million and $23.7 million of costs that did not meet the criteria for discontinued operations related to the Community Living divestiture for the years ended December 31, 2025 and 2024, respectively. These costs also included $12.7 million of unamortized debt issuance costs associated with the extinguishment of our Second Lien Facility in the year ended December 31, 2024.</w:t>
      </w:r>
    </w:p>
    <w:p>
      <w:pPr>
        <w:spacing w:after="0" w:line="58" w:lineRule="exact"/>
        <w:rPr>
          <w:rFonts w:ascii="Times New Roman" w:cs="Times New Roman" w:eastAsia="Times New Roman" w:hAnsi="Times New Roman"/>
          <w:sz w:val="14"/>
          <w:szCs w:val="14"/>
          <w:color w:val="auto"/>
        </w:rPr>
      </w:pPr>
    </w:p>
    <w:p>
      <w:pPr>
        <w:jc w:val="both"/>
        <w:ind w:left="980" w:right="919" w:hanging="342"/>
        <w:spacing w:after="0" w:line="274" w:lineRule="auto"/>
        <w:tabs>
          <w:tab w:leader="none" w:pos="9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settlement and defense costs associated with certain historical PharMerica litigation matters, including the Silver matter, all of which were finalized in 2024. See Note 15 “Commitments and Contingencies” within the audited consolidated financial statements and related notes, included elsewhere in this Annual Report on Form 10-K, for additional information.</w:t>
      </w:r>
    </w:p>
    <w:p>
      <w:pPr>
        <w:spacing w:after="0" w:line="50" w:lineRule="exact"/>
        <w:rPr>
          <w:rFonts w:ascii="Times New Roman" w:cs="Times New Roman" w:eastAsia="Times New Roman" w:hAnsi="Times New Roman"/>
          <w:sz w:val="14"/>
          <w:szCs w:val="14"/>
          <w:color w:val="auto"/>
        </w:rPr>
      </w:pPr>
    </w:p>
    <w:p>
      <w:pPr>
        <w:ind w:left="980" w:right="879" w:hanging="342"/>
        <w:spacing w:after="0" w:line="274" w:lineRule="auto"/>
        <w:tabs>
          <w:tab w:leader="none" w:pos="9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associated with certain transformational projects and for the periods presented primarily included general ledger system implementation, pharmacy billing system implementation, and ransomware attack response costs, all of which were finalized in 2024.</w:t>
      </w:r>
    </w:p>
    <w:p>
      <w:pPr>
        <w:spacing w:after="0" w:line="50" w:lineRule="exact"/>
        <w:rPr>
          <w:rFonts w:ascii="Times New Roman" w:cs="Times New Roman" w:eastAsia="Times New Roman" w:hAnsi="Times New Roman"/>
          <w:sz w:val="14"/>
          <w:szCs w:val="14"/>
          <w:color w:val="auto"/>
        </w:rPr>
      </w:pPr>
    </w:p>
    <w:p>
      <w:pPr>
        <w:ind w:left="980" w:right="699" w:hanging="342"/>
        <w:spacing w:after="0" w:line="274" w:lineRule="auto"/>
        <w:tabs>
          <w:tab w:leader="none" w:pos="9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annual management fees payable to the Managers under the Monitoring Agreement through the date of the IPO, and $22.7 million of termination fees resulting from the Monitoring Agreement being terminated upon completion of the IPO Offerings. All management fees ceased following the completion of the IPO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9" w:name="page80"/>
    <w:bookmarkEnd w:id="7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The following table reconciles diluted EPS to Adjusted EPS:</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532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(shares in thousands)</w:t>
            </w:r>
          </w:p>
        </w:tc>
        <w:tc>
          <w:tcPr>
            <w:tcW w:w="240" w:type="dxa"/>
            <w:vAlign w:val="bottom"/>
          </w:tcPr>
          <w:p>
            <w:pPr>
              <w:spacing w:after="0"/>
              <w:rPr>
                <w:sz w:val="11"/>
                <w:szCs w:val="11"/>
                <w:color w:val="auto"/>
              </w:rPr>
            </w:pPr>
          </w:p>
        </w:tc>
        <w:tc>
          <w:tcPr>
            <w:tcW w:w="2180" w:type="dxa"/>
            <w:vAlign w:val="bottom"/>
            <w:gridSpan w:val="6"/>
          </w:tcPr>
          <w:p>
            <w:pPr>
              <w:jc w:val="right"/>
              <w:ind w:right="720"/>
              <w:spacing w:after="0"/>
              <w:rPr>
                <w:sz w:val="20"/>
                <w:szCs w:val="20"/>
                <w:color w:val="auto"/>
              </w:rPr>
            </w:pPr>
            <w:r>
              <w:rPr>
                <w:rFonts w:ascii="Times New Roman" w:cs="Times New Roman" w:eastAsia="Times New Roman" w:hAnsi="Times New Roman"/>
                <w:sz w:val="11"/>
                <w:szCs w:val="11"/>
                <w:b w:val="1"/>
                <w:bCs w:val="1"/>
                <w:color w:val="auto"/>
              </w:rPr>
              <w:t>For The Years Ended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7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ind w:right="35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37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Diluted EPS</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12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(0.34)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line="172" w:lineRule="exact"/>
              <w:rPr>
                <w:sz w:val="20"/>
                <w:szCs w:val="20"/>
                <w:color w:val="auto"/>
              </w:rPr>
            </w:pPr>
            <w:r>
              <w:rPr>
                <w:rFonts w:ascii="Times New Roman" w:cs="Times New Roman" w:eastAsia="Times New Roman" w:hAnsi="Times New Roman"/>
                <w:sz w:val="14"/>
                <w:szCs w:val="14"/>
                <w:color w:val="auto"/>
              </w:rPr>
              <w:t xml:space="preserve">Non-cash share-based compensation </w:t>
            </w:r>
            <w:r>
              <w:rPr>
                <w:rFonts w:ascii="Times New Roman" w:cs="Times New Roman" w:eastAsia="Times New Roman" w:hAnsi="Times New Roman"/>
                <w:sz w:val="19"/>
                <w:szCs w:val="19"/>
                <w:color w:val="auto"/>
                <w:vertAlign w:val="superscript"/>
              </w:rPr>
              <w:t>(1)</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 xml:space="preserve">Acquisition, integration, and transaction-related costs </w:t>
            </w:r>
            <w:r>
              <w:rPr>
                <w:rFonts w:ascii="Times New Roman" w:cs="Times New Roman" w:eastAsia="Times New Roman" w:hAnsi="Times New Roman"/>
                <w:sz w:val="19"/>
                <w:szCs w:val="19"/>
                <w:color w:val="auto"/>
                <w:vertAlign w:val="superscript"/>
              </w:rPr>
              <w:t>(1)</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line="172" w:lineRule="exact"/>
              <w:rPr>
                <w:sz w:val="20"/>
                <w:szCs w:val="20"/>
                <w:color w:val="auto"/>
              </w:rPr>
            </w:pPr>
            <w:r>
              <w:rPr>
                <w:rFonts w:ascii="Times New Roman" w:cs="Times New Roman" w:eastAsia="Times New Roman" w:hAnsi="Times New Roman"/>
                <w:sz w:val="14"/>
                <w:szCs w:val="14"/>
                <w:color w:val="auto"/>
              </w:rPr>
              <w:t xml:space="preserve">Restructuring and divestiture-related and other costs </w:t>
            </w:r>
            <w:r>
              <w:rPr>
                <w:rFonts w:ascii="Times New Roman" w:cs="Times New Roman" w:eastAsia="Times New Roman" w:hAnsi="Times New Roman"/>
                <w:sz w:val="19"/>
                <w:szCs w:val="19"/>
                <w:color w:val="auto"/>
                <w:vertAlign w:val="superscript"/>
              </w:rPr>
              <w:t>(1)</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 xml:space="preserve">Legal costs and settlements </w:t>
            </w:r>
            <w:r>
              <w:rPr>
                <w:rFonts w:ascii="Times New Roman" w:cs="Times New Roman" w:eastAsia="Times New Roman" w:hAnsi="Times New Roman"/>
                <w:sz w:val="19"/>
                <w:szCs w:val="19"/>
                <w:color w:val="auto"/>
                <w:vertAlign w:val="superscript"/>
              </w:rPr>
              <w:t>(1)</w:t>
            </w: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line="172" w:lineRule="exact"/>
              <w:rPr>
                <w:sz w:val="20"/>
                <w:szCs w:val="20"/>
                <w:color w:val="auto"/>
              </w:rPr>
            </w:pPr>
            <w:r>
              <w:rPr>
                <w:rFonts w:ascii="Times New Roman" w:cs="Times New Roman" w:eastAsia="Times New Roman" w:hAnsi="Times New Roman"/>
                <w:sz w:val="14"/>
                <w:szCs w:val="14"/>
                <w:color w:val="auto"/>
              </w:rPr>
              <w:t xml:space="preserve">Significant projects </w:t>
            </w:r>
            <w:r>
              <w:rPr>
                <w:rFonts w:ascii="Times New Roman" w:cs="Times New Roman" w:eastAsia="Times New Roman" w:hAnsi="Times New Roman"/>
                <w:sz w:val="19"/>
                <w:szCs w:val="19"/>
                <w:color w:val="auto"/>
                <w:vertAlign w:val="superscript"/>
              </w:rPr>
              <w:t>(1)</w:t>
            </w:r>
          </w:p>
        </w:tc>
        <w:tc>
          <w:tcPr>
            <w:tcW w:w="24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 xml:space="preserve">Management fee </w:t>
            </w:r>
            <w:r>
              <w:rPr>
                <w:rFonts w:ascii="Times New Roman" w:cs="Times New Roman" w:eastAsia="Times New Roman" w:hAnsi="Times New Roman"/>
                <w:sz w:val="19"/>
                <w:szCs w:val="19"/>
                <w:color w:val="auto"/>
                <w:vertAlign w:val="superscript"/>
              </w:rPr>
              <w:t>(1)</w:t>
            </w: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line="172" w:lineRule="exact"/>
              <w:rPr>
                <w:sz w:val="20"/>
                <w:szCs w:val="20"/>
                <w:color w:val="auto"/>
              </w:rPr>
            </w:pPr>
            <w:r>
              <w:rPr>
                <w:rFonts w:ascii="Times New Roman" w:cs="Times New Roman" w:eastAsia="Times New Roman" w:hAnsi="Times New Roman"/>
                <w:sz w:val="14"/>
                <w:szCs w:val="14"/>
                <w:color w:val="auto"/>
              </w:rPr>
              <w:t xml:space="preserve">Income tax impact on adjustments </w:t>
            </w:r>
            <w:r>
              <w:rPr>
                <w:rFonts w:ascii="Times New Roman" w:cs="Times New Roman" w:eastAsia="Times New Roman" w:hAnsi="Times New Roman"/>
                <w:sz w:val="19"/>
                <w:szCs w:val="19"/>
                <w:color w:val="auto"/>
                <w:vertAlign w:val="superscript"/>
              </w:rPr>
              <w:t>(2)</w:t>
            </w:r>
          </w:p>
        </w:tc>
        <w:tc>
          <w:tcPr>
            <w:tcW w:w="24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(0.20)</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Adjusted EPS</w:t>
            </w: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5300" w:type="dxa"/>
            <w:vAlign w:val="bottom"/>
            <w:shd w:val="clear" w:color="auto" w:fill="CFF0FC"/>
          </w:tcPr>
          <w:p>
            <w:pPr>
              <w:spacing w:after="0" w:line="157" w:lineRule="exact"/>
              <w:rPr>
                <w:sz w:val="20"/>
                <w:szCs w:val="20"/>
                <w:color w:val="auto"/>
              </w:rPr>
            </w:pPr>
            <w:r>
              <w:rPr>
                <w:rFonts w:ascii="Times New Roman" w:cs="Times New Roman" w:eastAsia="Times New Roman" w:hAnsi="Times New Roman"/>
                <w:sz w:val="14"/>
                <w:szCs w:val="14"/>
                <w:color w:val="auto"/>
              </w:rPr>
              <w:t>Weighted average common shares outstanding used in calculating diluted U.S. GAAP</w:t>
            </w: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7" w:lineRule="exact"/>
              <w:rPr>
                <w:sz w:val="20"/>
                <w:szCs w:val="20"/>
                <w:color w:val="auto"/>
              </w:rPr>
            </w:pPr>
            <w:r>
              <w:rPr>
                <w:rFonts w:ascii="Times New Roman" w:cs="Times New Roman" w:eastAsia="Times New Roman" w:hAnsi="Times New Roman"/>
                <w:sz w:val="14"/>
                <w:szCs w:val="14"/>
                <w:color w:val="auto"/>
              </w:rPr>
              <w:t>219,774</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7" w:lineRule="exact"/>
              <w:rPr>
                <w:sz w:val="20"/>
                <w:szCs w:val="20"/>
                <w:color w:val="auto"/>
              </w:rPr>
            </w:pPr>
            <w:r>
              <w:rPr>
                <w:rFonts w:ascii="Times New Roman" w:cs="Times New Roman" w:eastAsia="Times New Roman" w:hAnsi="Times New Roman"/>
                <w:sz w:val="14"/>
                <w:szCs w:val="14"/>
                <w:color w:val="auto"/>
              </w:rPr>
              <w:t>192,997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net income (loss) per share</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3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Weighted average common shares outstanding used in calculating diluted Non-GAAP</w:t>
            </w:r>
          </w:p>
        </w:tc>
        <w:tc>
          <w:tcPr>
            <w:tcW w:w="24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219,774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202,106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earnings per share</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-564515</wp:posOffset>
            </wp:positionV>
            <wp:extent cx="4762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-551180</wp:posOffset>
            </wp:positionV>
            <wp:extent cx="4762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-564515</wp:posOffset>
            </wp:positionV>
            <wp:extent cx="4762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-551180</wp:posOffset>
            </wp:positionV>
            <wp:extent cx="4762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8" w:lineRule="exact"/>
        <w:rPr>
          <w:sz w:val="20"/>
          <w:szCs w:val="20"/>
          <w:color w:val="auto"/>
        </w:rPr>
      </w:pPr>
    </w:p>
    <w:p>
      <w:pPr>
        <w:ind w:left="840" w:hanging="202"/>
        <w:spacing w:after="0"/>
        <w:tabs>
          <w:tab w:leader="none" w:pos="8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adjustment reflects the per share impact of the adjustment reflected within the definition of Adjusted EBITDA.</w:t>
      </w:r>
    </w:p>
    <w:p>
      <w:pPr>
        <w:spacing w:after="0" w:line="96" w:lineRule="exact"/>
        <w:rPr>
          <w:rFonts w:ascii="Times New Roman" w:cs="Times New Roman" w:eastAsia="Times New Roman" w:hAnsi="Times New Roman"/>
          <w:sz w:val="14"/>
          <w:szCs w:val="14"/>
          <w:color w:val="auto"/>
        </w:rPr>
      </w:pPr>
    </w:p>
    <w:p>
      <w:pPr>
        <w:ind w:left="640" w:right="719" w:hanging="2"/>
        <w:spacing w:after="0" w:line="265" w:lineRule="auto"/>
        <w:tabs>
          <w:tab w:leader="none" w:pos="843"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impact of non-GAAP adjustments is calculated using the estimated tax rate for the respective non-GAAP adjustment. For the year ended December 31, 2024, the income tax impact on adjustments is inclusive of a discrete tax benefit related to the Silver matter that was finalized in connection with the signing of the settlement agreement during the second fiscal quarter of 2024. For all periods presented, the income tax impact on adjustments is inclusive of a discrete tax benefit related to share-based compensation.</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9" w:lineRule="exact"/>
        <w:rPr>
          <w:sz w:val="20"/>
          <w:szCs w:val="20"/>
          <w:color w:val="auto"/>
        </w:rPr>
      </w:pPr>
    </w:p>
    <w:p>
      <w:pPr>
        <w:ind w:left="640" w:right="659" w:firstLine="516"/>
        <w:spacing w:after="0" w:line="259" w:lineRule="auto"/>
        <w:rPr>
          <w:sz w:val="20"/>
          <w:szCs w:val="20"/>
          <w:color w:val="auto"/>
        </w:rPr>
      </w:pPr>
      <w:r>
        <w:rPr>
          <w:rFonts w:ascii="Times New Roman" w:cs="Times New Roman" w:eastAsia="Times New Roman" w:hAnsi="Times New Roman"/>
          <w:sz w:val="14"/>
          <w:szCs w:val="14"/>
          <w:color w:val="auto"/>
        </w:rPr>
        <w:t>Our principal sources of cash have historically been from operating activities. Our principal source of liquidity in excess of cash from operating activities has historically been from proceeds from our debt facilities and issuances of common stock. Our principal uses of cash and liquidity have historically been for acquisitions, debt service requirements, and financing of working capital. We believe that our operating cash flows, available cash on hand, and availability under our Revolving Credit Facility and the LC Facility will be sufficient to meet our cash requirements for the next twelve months and beyond. Our future capital requirements will depend on many factors that are difficult to predict, including the size, timing, and structure of any future acquisitions, future capital investments, and future results of operations. We cannot assure you that cash provided by operating activities or cash and cash equivalents will be sufficient to meet our future needs. If we are unable to generate sufficient cash flows from operations in the future, we may have to obtain additional financing. If we obtain additional capital by issuing equity, the interests of our existing stockholders will be diluted. If we incur additional indebtedness, that indebtedness may contain significant financial and other covenants that may significantly restrict our operations. We cannot assure you that we could obtain refinancing or additional financing on favorable terms or at all.</w:t>
      </w:r>
    </w:p>
    <w:p>
      <w:pPr>
        <w:spacing w:after="0" w:line="237" w:lineRule="exact"/>
        <w:rPr>
          <w:sz w:val="20"/>
          <w:szCs w:val="20"/>
          <w:color w:val="auto"/>
        </w:rPr>
      </w:pPr>
    </w:p>
    <w:p>
      <w:pPr>
        <w:ind w:left="640" w:right="659" w:firstLine="516"/>
        <w:spacing w:after="0" w:line="263" w:lineRule="auto"/>
        <w:rPr>
          <w:sz w:val="20"/>
          <w:szCs w:val="20"/>
          <w:color w:val="auto"/>
        </w:rPr>
      </w:pPr>
      <w:r>
        <w:rPr>
          <w:rFonts w:ascii="Times New Roman" w:cs="Times New Roman" w:eastAsia="Times New Roman" w:hAnsi="Times New Roman"/>
          <w:sz w:val="14"/>
          <w:szCs w:val="14"/>
          <w:color w:val="auto"/>
        </w:rPr>
        <w:t>We evaluate our liquidity based upon the availability we have under our First Lien Facilities, as applicable, in addition to the net cash provided by (used in) operating, investing, and financing activities. Specifically, we review the activity under the Revolving Credit Facility and the LC Facility and consider period end balances outstanding under the Revolving Credit Facility and the LC Facility. Based upon the outstanding borrowings and letters of credit under the Revolving Credit Facility and the LC Facility, we calculate the availability for incremental borrowings under the Revolving Credit Facility and the LC Facility. Such amount, in addition to cash on our balance sheet, is what we consider to be our “Total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0" w:name="page81"/>
    <w:bookmarkEnd w:id="8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The following table provides a calculation of our Total Liquidity:</w:t>
      </w:r>
    </w:p>
    <w:p>
      <w:pPr>
        <w:spacing w:after="0" w:line="210"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506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 in thousands)</w:t>
            </w:r>
          </w:p>
        </w:tc>
        <w:tc>
          <w:tcPr>
            <w:tcW w:w="260" w:type="dxa"/>
            <w:vAlign w:val="bottom"/>
          </w:tcPr>
          <w:p>
            <w:pPr>
              <w:spacing w:after="0"/>
              <w:rPr>
                <w:sz w:val="11"/>
                <w:szCs w:val="11"/>
                <w:color w:val="auto"/>
              </w:rPr>
            </w:pPr>
          </w:p>
        </w:tc>
        <w:tc>
          <w:tcPr>
            <w:tcW w:w="2420" w:type="dxa"/>
            <w:vAlign w:val="bottom"/>
            <w:gridSpan w:val="6"/>
          </w:tcPr>
          <w:p>
            <w:pPr>
              <w:ind w:left="180"/>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i w:val="1"/>
                <w:iCs w:val="1"/>
                <w:color w:val="auto"/>
              </w:rPr>
              <w:t>Revolving Credit Facility Rollforward</w:t>
            </w: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Beginning Revolving Credit Facility balance</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63,300</w:t>
            </w:r>
          </w:p>
        </w:tc>
        <w:tc>
          <w:tcPr>
            <w:tcW w:w="120" w:type="dxa"/>
            <w:vAlign w:val="bottom"/>
          </w:tcPr>
          <w:p>
            <w:pPr>
              <w:spacing w:after="0"/>
              <w:rPr>
                <w:sz w:val="14"/>
                <w:szCs w:val="14"/>
                <w:color w:val="auto"/>
              </w:rPr>
            </w:pPr>
          </w:p>
        </w:tc>
        <w:tc>
          <w:tcPr>
            <w:tcW w:w="360" w:type="dxa"/>
            <w:vAlign w:val="bottom"/>
            <w:gridSpan w:val="2"/>
          </w:tcPr>
          <w:p>
            <w:pPr>
              <w:jc w:val="right"/>
              <w:ind w:right="16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(Repayments) borrowings of swingline debt, net</w:t>
            </w:r>
          </w:p>
        </w:tc>
        <w:tc>
          <w:tcPr>
            <w:tcW w:w="2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(63,300)</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12,600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3"/>
                <w:szCs w:val="13"/>
                <w:color w:val="auto"/>
              </w:rPr>
              <w:t>Ending Revolving Credit Facility balance</w:t>
            </w: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63,300</w:t>
            </w:r>
          </w:p>
        </w:tc>
        <w:tc>
          <w:tcPr>
            <w:tcW w:w="8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5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Calculation of Revolving Credit Facility and LC Facility availability</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Revolving Credit Facility and LC Facility limit</w:t>
            </w:r>
          </w:p>
        </w:tc>
        <w:tc>
          <w:tcPr>
            <w:tcW w:w="26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540,000</w:t>
            </w:r>
          </w:p>
        </w:tc>
        <w:tc>
          <w:tcPr>
            <w:tcW w:w="12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540,000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Less: outstanding Revolving Credit Facility balance</w:t>
            </w:r>
          </w:p>
        </w:tc>
        <w:tc>
          <w:tcPr>
            <w:tcW w:w="26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Less: outstanding letters of credit subject to LC Sublimit</w:t>
            </w:r>
          </w:p>
        </w:tc>
        <w:tc>
          <w:tcPr>
            <w:tcW w:w="2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Less: outstanding letters of credit under the LC Facility</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62,790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61,821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End of period Revolving Credit Facility and LC Facility availability</w:t>
            </w: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477,210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414,879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End of period cash balance</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88,370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60,954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Liquidity, end of period</w:t>
            </w:r>
          </w:p>
        </w:tc>
        <w:tc>
          <w:tcPr>
            <w:tcW w:w="26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565,580</w:t>
            </w:r>
          </w:p>
        </w:tc>
        <w:tc>
          <w:tcPr>
            <w:tcW w:w="1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475,833</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4387850</wp:posOffset>
            </wp:positionH>
            <wp:positionV relativeFrom="paragraph">
              <wp:posOffset>-1069975</wp:posOffset>
            </wp:positionV>
            <wp:extent cx="4762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-1069975</wp:posOffset>
            </wp:positionV>
            <wp:extent cx="4762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4387850</wp:posOffset>
            </wp:positionH>
            <wp:positionV relativeFrom="paragraph">
              <wp:posOffset>-19685</wp:posOffset>
            </wp:positionV>
            <wp:extent cx="4762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4387850</wp:posOffset>
            </wp:positionH>
            <wp:positionV relativeFrom="paragraph">
              <wp:posOffset>-6350</wp:posOffset>
            </wp:positionV>
            <wp:extent cx="4762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Cash Flow Activity</w:t>
      </w:r>
    </w:p>
    <w:p>
      <w:pPr>
        <w:spacing w:after="0" w:line="99" w:lineRule="exact"/>
        <w:rPr>
          <w:sz w:val="20"/>
          <w:szCs w:val="20"/>
          <w:color w:val="auto"/>
        </w:rPr>
      </w:pPr>
    </w:p>
    <w:p>
      <w:pPr>
        <w:ind w:left="640" w:right="879" w:firstLine="516"/>
        <w:spacing w:after="0" w:line="274" w:lineRule="auto"/>
        <w:rPr>
          <w:sz w:val="20"/>
          <w:szCs w:val="20"/>
          <w:color w:val="auto"/>
        </w:rPr>
      </w:pPr>
      <w:r>
        <w:rPr>
          <w:rFonts w:ascii="Times New Roman" w:cs="Times New Roman" w:eastAsia="Times New Roman" w:hAnsi="Times New Roman"/>
          <w:sz w:val="14"/>
          <w:szCs w:val="14"/>
          <w:color w:val="auto"/>
        </w:rPr>
        <w:t>The activity discussed in this section relates to our consolidated company results and includes the impacts of discontinued operations. The following table sets forth a summary of our cash flows provided by (used in) operating, investing, and financing activities for the periods presented:</w:t>
      </w:r>
    </w:p>
    <w:p>
      <w:pPr>
        <w:spacing w:after="0" w:line="131"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6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 in thousands)</w:t>
            </w: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9"/>
          </w:tcPr>
          <w:p>
            <w:pPr>
              <w:jc w:val="right"/>
              <w:ind w:right="760"/>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r>
      <w:tr>
        <w:trPr>
          <w:trHeight w:val="109"/>
        </w:trPr>
        <w:tc>
          <w:tcPr>
            <w:tcW w:w="3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ind w:right="278"/>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right"/>
              <w:ind w:right="297"/>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top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760" w:type="dxa"/>
            <w:vAlign w:val="bottom"/>
            <w:tcBorders>
              <w:top w:val="single" w:sz="8" w:color="auto"/>
              <w:bottom w:val="single" w:sz="8" w:color="auto"/>
            </w:tcBorders>
          </w:tcPr>
          <w:p>
            <w:pPr>
              <w:jc w:val="right"/>
              <w:ind w:right="177"/>
              <w:spacing w:after="0" w:line="109" w:lineRule="exact"/>
              <w:rPr>
                <w:sz w:val="20"/>
                <w:szCs w:val="20"/>
                <w:color w:val="auto"/>
              </w:rPr>
            </w:pPr>
            <w:r>
              <w:rPr>
                <w:rFonts w:ascii="Times New Roman" w:cs="Times New Roman" w:eastAsia="Times New Roman" w:hAnsi="Times New Roman"/>
                <w:sz w:val="11"/>
                <w:szCs w:val="11"/>
                <w:b w:val="1"/>
                <w:bCs w:val="1"/>
                <w:color w:val="auto"/>
              </w:rPr>
              <w:t>Variance</w:t>
            </w:r>
          </w:p>
        </w:tc>
        <w:tc>
          <w:tcPr>
            <w:tcW w:w="100" w:type="dxa"/>
            <w:vAlign w:val="bottom"/>
          </w:tcPr>
          <w:p>
            <w:pPr>
              <w:spacing w:after="0"/>
              <w:rPr>
                <w:sz w:val="9"/>
                <w:szCs w:val="9"/>
                <w:color w:val="auto"/>
              </w:rPr>
            </w:pPr>
          </w:p>
        </w:tc>
      </w:tr>
      <w:tr>
        <w:trPr>
          <w:trHeight w:val="152"/>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490,169</w:t>
            </w:r>
          </w:p>
        </w:tc>
        <w:tc>
          <w:tcPr>
            <w:tcW w:w="10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23,774</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466,395</w:t>
            </w:r>
          </w:p>
        </w:tc>
        <w:tc>
          <w:tcPr>
            <w:tcW w:w="100" w:type="dxa"/>
            <w:vAlign w:val="bottom"/>
            <w:shd w:val="clear" w:color="auto" w:fill="CFF0FC"/>
          </w:tcPr>
          <w:p>
            <w:pPr>
              <w:spacing w:after="0"/>
              <w:rPr>
                <w:sz w:val="13"/>
                <w:szCs w:val="13"/>
                <w:color w:val="auto"/>
              </w:rPr>
            </w:pPr>
          </w:p>
        </w:tc>
      </w:tr>
      <w:tr>
        <w:trPr>
          <w:trHeight w:val="161"/>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(305,079)</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(140,237)</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(164,842)</w:t>
            </w:r>
          </w:p>
        </w:tc>
      </w:tr>
      <w:tr>
        <w:trPr>
          <w:trHeight w:val="161"/>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cash (used in) provided by financing activities</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(157,866)</w:t>
            </w:r>
          </w:p>
        </w:tc>
        <w:tc>
          <w:tcPr>
            <w:tcW w:w="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164,645</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(322,511)</w:t>
            </w:r>
          </w:p>
        </w:tc>
      </w:tr>
    </w:tbl>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Net cash provided by operating activities increased by $466.4 million, from $23.8 million for 2024, to $490.2 million for</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2025. The increase was primarily due to the following:</w:t>
      </w:r>
    </w:p>
    <w:p>
      <w:pPr>
        <w:spacing w:after="0" w:line="83" w:lineRule="exact"/>
        <w:rPr>
          <w:sz w:val="20"/>
          <w:szCs w:val="20"/>
          <w:color w:val="auto"/>
        </w:rPr>
      </w:pPr>
    </w:p>
    <w:p>
      <w:pPr>
        <w:ind w:left="1340" w:hanging="352"/>
        <w:spacing w:after="0"/>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$228.4 million increase in operating income in 2025 as compared to 2024;</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$41.1 million increase in operating income from discontinued operations in 2025 as compared to 2024;</w:t>
      </w:r>
    </w:p>
    <w:p>
      <w:pPr>
        <w:spacing w:after="0" w:line="96" w:lineRule="exact"/>
        <w:rPr>
          <w:rFonts w:ascii="Times New Roman" w:cs="Times New Roman" w:eastAsia="Times New Roman" w:hAnsi="Times New Roman"/>
          <w:sz w:val="14"/>
          <w:szCs w:val="14"/>
          <w:color w:val="auto"/>
        </w:rPr>
      </w:pPr>
    </w:p>
    <w:p>
      <w:pPr>
        <w:ind w:left="1340" w:right="819" w:hanging="352"/>
        <w:spacing w:after="0" w:line="292" w:lineRule="auto"/>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$30.9 million decrease in one-time cash outflows for direct and indirect remuneration (“DIR”) fees paid in connection with the conclusion of the DIR program;</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$100.0 million decrease in cash outflows attributable to the timing of Silver legal settlement payments;</w:t>
      </w:r>
    </w:p>
    <w:p>
      <w:pPr>
        <w:spacing w:after="0" w:line="96" w:lineRule="exact"/>
        <w:rPr>
          <w:rFonts w:ascii="Times New Roman" w:cs="Times New Roman" w:eastAsia="Times New Roman" w:hAnsi="Times New Roman"/>
          <w:sz w:val="14"/>
          <w:szCs w:val="14"/>
          <w:color w:val="auto"/>
        </w:rPr>
      </w:pPr>
    </w:p>
    <w:p>
      <w:pPr>
        <w:ind w:left="1340" w:right="779" w:hanging="352"/>
        <w:spacing w:after="0" w:line="292" w:lineRule="auto"/>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$27.9 million decrease in cash outflows for interest, net primarily as a result of a reduction in the variable interest rates applicable to our outstanding term debt;</w:t>
      </w:r>
    </w:p>
    <w:p>
      <w:pPr>
        <w:spacing w:after="0" w:line="37" w:lineRule="exact"/>
        <w:rPr>
          <w:rFonts w:ascii="Times New Roman" w:cs="Times New Roman" w:eastAsia="Times New Roman" w:hAnsi="Times New Roman"/>
          <w:sz w:val="14"/>
          <w:szCs w:val="14"/>
          <w:color w:val="auto"/>
        </w:rPr>
      </w:pPr>
    </w:p>
    <w:p>
      <w:pPr>
        <w:ind w:left="1340" w:right="1239" w:hanging="352"/>
        <w:spacing w:after="0" w:line="292" w:lineRule="auto"/>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$22.7 million decrease in cash outflows directly attributable to management fees paid in 2024 as a result of the termination of the Monitoring Agreement in connection with the IPO Offerings, and</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$2.0 million increase in cash outflows for income taxes.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99" w:lineRule="exact"/>
        <w:rPr>
          <w:sz w:val="20"/>
          <w:szCs w:val="20"/>
          <w:color w:val="auto"/>
        </w:rPr>
      </w:pPr>
    </w:p>
    <w:p>
      <w:pPr>
        <w:ind w:left="640" w:right="659" w:firstLine="516"/>
        <w:spacing w:after="0" w:line="274" w:lineRule="auto"/>
        <w:rPr>
          <w:sz w:val="20"/>
          <w:szCs w:val="20"/>
          <w:color w:val="auto"/>
        </w:rPr>
      </w:pPr>
      <w:r>
        <w:rPr>
          <w:rFonts w:ascii="Times New Roman" w:cs="Times New Roman" w:eastAsia="Times New Roman" w:hAnsi="Times New Roman"/>
          <w:sz w:val="14"/>
          <w:szCs w:val="14"/>
          <w:color w:val="auto"/>
        </w:rPr>
        <w:t>Net cash used in investing activities increased by $164.8 million, from $140.2 million in 2024, to $305.1 million in 2025. The increase was primarily due to a $14.6 million increase in purchases of property and equipment and an increase of $144.8 million in cash paid for acquisitions.</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99" w:lineRule="exact"/>
        <w:rPr>
          <w:sz w:val="20"/>
          <w:szCs w:val="20"/>
          <w:color w:val="auto"/>
        </w:rPr>
      </w:pPr>
    </w:p>
    <w:p>
      <w:pPr>
        <w:ind w:left="640" w:right="819" w:firstLine="516"/>
        <w:spacing w:after="0" w:line="274" w:lineRule="auto"/>
        <w:rPr>
          <w:sz w:val="20"/>
          <w:szCs w:val="20"/>
          <w:color w:val="auto"/>
        </w:rPr>
      </w:pPr>
      <w:r>
        <w:rPr>
          <w:rFonts w:ascii="Times New Roman" w:cs="Times New Roman" w:eastAsia="Times New Roman" w:hAnsi="Times New Roman"/>
          <w:sz w:val="14"/>
          <w:szCs w:val="14"/>
          <w:color w:val="auto"/>
        </w:rPr>
        <w:t>Net cash used in financing activities was $157.9 million for the year ended December 31, 2025, primarily attributable to repayments on our long-term debt of $50.3 million, net repayments on our Revolving Credit Facility of $63.3 million, repurchase of shares of common stock of $43.2 million in connection with the October 2025 secondary offering, and payment of finance lease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1" w:name="page82"/>
    <w:bookmarkEnd w:id="8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839"/>
        <w:spacing w:after="0" w:line="292" w:lineRule="auto"/>
        <w:rPr>
          <w:sz w:val="20"/>
          <w:szCs w:val="20"/>
          <w:color w:val="auto"/>
        </w:rPr>
      </w:pPr>
      <w:r>
        <w:rPr>
          <w:rFonts w:ascii="Times New Roman" w:cs="Times New Roman" w:eastAsia="Times New Roman" w:hAnsi="Times New Roman"/>
          <w:sz w:val="14"/>
          <w:szCs w:val="14"/>
          <w:color w:val="auto"/>
        </w:rPr>
        <w:t>obligations of $13.5 million, offset by proceeds from shares issued under share-based compensation plan of $25.3 million and other financing activities.</w:t>
      </w:r>
    </w:p>
    <w:p>
      <w:pPr>
        <w:spacing w:after="0" w:line="38" w:lineRule="exact"/>
        <w:rPr>
          <w:sz w:val="20"/>
          <w:szCs w:val="20"/>
          <w:color w:val="auto"/>
        </w:rPr>
      </w:pPr>
    </w:p>
    <w:p>
      <w:pPr>
        <w:ind w:left="640" w:right="699" w:firstLine="516"/>
        <w:spacing w:after="0" w:line="268" w:lineRule="auto"/>
        <w:rPr>
          <w:sz w:val="20"/>
          <w:szCs w:val="20"/>
          <w:color w:val="auto"/>
        </w:rPr>
      </w:pPr>
      <w:r>
        <w:rPr>
          <w:rFonts w:ascii="Times New Roman" w:cs="Times New Roman" w:eastAsia="Times New Roman" w:hAnsi="Times New Roman"/>
          <w:sz w:val="14"/>
          <w:szCs w:val="14"/>
          <w:color w:val="auto"/>
        </w:rPr>
        <w:t>Net cash provided by financing activities was $164.6 million for the year ended December 31, 2024, primarily attributable to net proceeds received from the IPO Offerings of $1,045.5 million, net borrowings on our Revolving Credit Facility of $12.6 million, partially offset by extinguishment of and net repayments on our long-term debt of $830.3 million, payment of debt issuance costs of $47.0 million, payment of finance lease obligations of $11.6 million, and other financing activities.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Debt</w:t>
      </w:r>
    </w:p>
    <w:p>
      <w:pPr>
        <w:spacing w:after="0" w:line="99" w:lineRule="exact"/>
        <w:rPr>
          <w:sz w:val="20"/>
          <w:szCs w:val="20"/>
          <w:color w:val="auto"/>
        </w:rPr>
      </w:pPr>
    </w:p>
    <w:p>
      <w:pPr>
        <w:ind w:left="640" w:right="719" w:firstLine="516"/>
        <w:spacing w:after="0" w:line="292" w:lineRule="auto"/>
        <w:rPr>
          <w:sz w:val="20"/>
          <w:szCs w:val="20"/>
          <w:color w:val="auto"/>
        </w:rPr>
      </w:pPr>
      <w:r>
        <w:rPr>
          <w:rFonts w:ascii="Times New Roman" w:cs="Times New Roman" w:eastAsia="Times New Roman" w:hAnsi="Times New Roman"/>
          <w:sz w:val="14"/>
          <w:szCs w:val="14"/>
          <w:color w:val="auto"/>
        </w:rPr>
        <w:t>We typically incur debt to finance mergers and acquisitions, and we borrow under our Revolving Credit Facility for working capital purposes, as well as to finance acquisitions, as needed.</w:t>
      </w:r>
    </w:p>
    <w:p>
      <w:pPr>
        <w:spacing w:after="0" w:line="38" w:lineRule="exact"/>
        <w:rPr>
          <w:sz w:val="20"/>
          <w:szCs w:val="20"/>
          <w:color w:val="auto"/>
        </w:rPr>
      </w:pPr>
    </w:p>
    <w:p>
      <w:pPr>
        <w:ind w:left="640" w:right="679" w:firstLine="516"/>
        <w:spacing w:after="0" w:line="262" w:lineRule="auto"/>
        <w:rPr>
          <w:sz w:val="20"/>
          <w:szCs w:val="20"/>
          <w:color w:val="auto"/>
        </w:rPr>
      </w:pPr>
      <w:r>
        <w:rPr>
          <w:rFonts w:ascii="Times New Roman" w:cs="Times New Roman" w:eastAsia="Times New Roman" w:hAnsi="Times New Roman"/>
          <w:sz w:val="14"/>
          <w:szCs w:val="14"/>
          <w:color w:val="auto"/>
        </w:rPr>
        <w:t>On March 5, 2019, the Company entered into the First Lien Credit Agreement with Morgan Stanley Senior Funding, Inc., as the Administrative Agent and Collateral Agent. The Company also entered into a $450.0 million Second Lien Facility with certain Lenders and Wilmington Trust, National Association as the Administrative Agent and Collateral Agent, on the same date. The First Lien Credit Agreement, as amended, also extends credit in the form of a Revolving Credit Facility, or the Revolver, which is comprised of Revolving Credit Loans and Swingline Loans. The total borrowing capacity of the Revolver as of December 31, 2025 was $475.0 million. Additionally, the Letter of Credit Issuer may issue standby Letters of Credit at any time and the Swingline Lender may issue Swingline Loans in an aggregate amount outstanding not in excess of $65.0 million.</w:t>
      </w:r>
    </w:p>
    <w:p>
      <w:pPr>
        <w:spacing w:after="0" w:line="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Following our IPO Offerings in January 2024, we used a portion of the net proceeds received to repay all outstanding</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borrowings under the Second Lien Facility and repay $343.3 million of borrowings under the First Lien Facility. No remaining</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obligation exists related to the Second Lien Facility and the transaction was accounted for as a debt extinguishment resulting in a</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$12.7 million write-off of unamortized debt issuance costs. At that time, we also established a new Tranche B-4 under the First Lien to</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refinance the equivalent amount of the remaining First Lien Tranche B-1, B-2 and B-3 borrowings. On December 11, 2024, we again</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amended the First Lien to establish a new Tranche B-5 Term Loan (“Tranche B-5”) in an aggregate principal amount of $2,553.2</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million to refinance the equivalent amount of the remaining Tranche B-4 borrowings at a rate equal to SOFR plus 2.50% or ABR plus</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1.50% with a maturity date of February 21, 2031.</w:t>
      </w:r>
    </w:p>
    <w:p>
      <w:pPr>
        <w:spacing w:after="0" w:line="169" w:lineRule="exact"/>
        <w:rPr>
          <w:sz w:val="20"/>
          <w:szCs w:val="20"/>
          <w:color w:val="auto"/>
        </w:rPr>
      </w:pPr>
    </w:p>
    <w:p>
      <w:pPr>
        <w:ind w:left="640" w:right="779" w:firstLine="516"/>
        <w:spacing w:after="0" w:line="268" w:lineRule="auto"/>
        <w:rPr>
          <w:sz w:val="20"/>
          <w:szCs w:val="20"/>
          <w:color w:val="auto"/>
        </w:rPr>
      </w:pPr>
      <w:r>
        <w:rPr>
          <w:rFonts w:ascii="Times New Roman" w:cs="Times New Roman" w:eastAsia="Times New Roman" w:hAnsi="Times New Roman"/>
          <w:sz w:val="14"/>
          <w:szCs w:val="14"/>
          <w:color w:val="auto"/>
        </w:rPr>
        <w:t>Concurrently with the IPO, we issued 8,000,000 TEUs, which have a stated amount of $50.00 per unit. Each TEU is comprised of a prepaid stock purchase contract and a senior amortizing note (“Amortizing Note”) due February 1, 2027, each issued by the Company. Refer to Note 7 within our consolidated financial statements and related notes in this Annual Report on Form 10-K for further discussion.</w:t>
      </w:r>
    </w:p>
    <w:p>
      <w:pPr>
        <w:spacing w:after="0" w:line="140" w:lineRule="exact"/>
        <w:rPr>
          <w:sz w:val="20"/>
          <w:szCs w:val="20"/>
          <w:color w:val="auto"/>
        </w:rPr>
      </w:pPr>
    </w:p>
    <w:p>
      <w:pPr>
        <w:ind w:left="640" w:right="1039" w:firstLine="516"/>
        <w:spacing w:after="0" w:line="292" w:lineRule="auto"/>
        <w:rPr>
          <w:sz w:val="20"/>
          <w:szCs w:val="20"/>
          <w:color w:val="auto"/>
        </w:rPr>
      </w:pPr>
      <w:r>
        <w:rPr>
          <w:rFonts w:ascii="Times New Roman" w:cs="Times New Roman" w:eastAsia="Times New Roman" w:hAnsi="Times New Roman"/>
          <w:sz w:val="14"/>
          <w:szCs w:val="14"/>
          <w:color w:val="auto"/>
        </w:rPr>
        <w:t>Our outstanding debt as of December 31, 2025 was $2,569.7 million, which is primarily comprised of $2,521.3 million outstanding under the First Lien Facility and $31.4 million outstanding related to Amortizing Notes.</w:t>
      </w:r>
    </w:p>
    <w:p>
      <w:pPr>
        <w:spacing w:after="0" w:line="38" w:lineRule="exact"/>
        <w:rPr>
          <w:sz w:val="20"/>
          <w:szCs w:val="20"/>
          <w:color w:val="auto"/>
        </w:rPr>
      </w:pPr>
    </w:p>
    <w:p>
      <w:pPr>
        <w:ind w:left="640" w:right="659" w:firstLine="516"/>
        <w:spacing w:after="0" w:line="261" w:lineRule="auto"/>
        <w:rPr>
          <w:sz w:val="20"/>
          <w:szCs w:val="20"/>
          <w:color w:val="auto"/>
        </w:rPr>
      </w:pPr>
      <w:r>
        <w:rPr>
          <w:rFonts w:ascii="Times New Roman" w:cs="Times New Roman" w:eastAsia="Times New Roman" w:hAnsi="Times New Roman"/>
          <w:sz w:val="14"/>
          <w:szCs w:val="14"/>
          <w:color w:val="auto"/>
        </w:rPr>
        <w:t>The First Lien Credit Agreement described above contain customary negative covenants, including, but not limited to, restrictions on the Company and its restricted subsidiaries’ ability to merge and consolidate with other companies, incur indebtedness, grant liens or security interests on assets, make acquisitions, loans, advances, or investments, pay dividends, sell or otherwise transfer assets, prepay or modify terms of certain junior indebtedness, enter into transactions with affiliates, or change their lines of business or fiscal year. In addition, under the Revolving Credit Facility, the Company will not permit the consolidated first lien secured debt to consolidated EBITDA (as defined in the First Lien Credit Agreement) ratio to be greater than 6.90 to 1.00, which shall be tested as of the end of the most recent quarter at any time when the aggregate revolving credit loans exceed 35% of the total revolving credit commitments. We were in compliance with all applicable financial covenants under the First Lien Facilities as of December 31, 2025.</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Interest Rate Swap Agreements</w:t>
      </w:r>
    </w:p>
    <w:p>
      <w:pPr>
        <w:spacing w:after="0" w:line="99" w:lineRule="exact"/>
        <w:rPr>
          <w:sz w:val="20"/>
          <w:szCs w:val="20"/>
          <w:color w:val="auto"/>
        </w:rPr>
      </w:pPr>
    </w:p>
    <w:p>
      <w:pPr>
        <w:ind w:left="640" w:right="659" w:firstLine="516"/>
        <w:spacing w:after="0" w:line="268" w:lineRule="auto"/>
        <w:rPr>
          <w:sz w:val="20"/>
          <w:szCs w:val="20"/>
          <w:color w:val="auto"/>
        </w:rPr>
      </w:pPr>
      <w:r>
        <w:rPr>
          <w:rFonts w:ascii="Times New Roman" w:cs="Times New Roman" w:eastAsia="Times New Roman" w:hAnsi="Times New Roman"/>
          <w:sz w:val="14"/>
          <w:szCs w:val="14"/>
          <w:color w:val="auto"/>
        </w:rPr>
        <w:t>To manage fluctuations in cash flows resulting from changes in the variable rates, the Company entered into receive-variable, pay-fixed interest rate swap agreements. For the years ended December 31, 2025 and 2024, interest expense, net includes interest income related to cash flow hedges of interest rate risk of $15.2 million and $35.3 million, respectively. Refer to Note 6 within our audited consolidated financial statements and related notes in this Annual Report on Form 10-K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2" w:name="page83"/>
    <w:bookmarkEnd w:id="8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The table below summarizes the total outstanding debt of the Company:</w:t>
      </w:r>
    </w:p>
    <w:p>
      <w:pPr>
        <w:spacing w:after="0" w:line="174"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4"/>
          </w:tcPr>
          <w:p>
            <w:pPr>
              <w:jc w:val="right"/>
              <w:ind w:right="64"/>
              <w:spacing w:after="0"/>
              <w:rPr>
                <w:sz w:val="20"/>
                <w:szCs w:val="20"/>
                <w:color w:val="auto"/>
              </w:rPr>
            </w:pPr>
            <w:r>
              <w:rPr>
                <w:rFonts w:ascii="Times New Roman" w:cs="Times New Roman" w:eastAsia="Times New Roman" w:hAnsi="Times New Roman"/>
                <w:sz w:val="10"/>
                <w:szCs w:val="10"/>
                <w:b w:val="1"/>
                <w:bCs w:val="1"/>
                <w:color w:val="auto"/>
                <w:w w:val="99"/>
              </w:rPr>
              <w:t>Long-term obligation and note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3"/>
        </w:trPr>
        <w:tc>
          <w:tcPr>
            <w:tcW w:w="25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 in thousands)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Rate</w:t>
            </w: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tcPr>
          <w:p>
            <w:pPr>
              <w:jc w:val="right"/>
              <w:ind w:right="29"/>
              <w:spacing w:after="0"/>
              <w:rPr>
                <w:sz w:val="20"/>
                <w:szCs w:val="20"/>
                <w:color w:val="auto"/>
              </w:rPr>
            </w:pPr>
            <w:r>
              <w:rPr>
                <w:rFonts w:ascii="Times New Roman" w:cs="Times New Roman" w:eastAsia="Times New Roman" w:hAnsi="Times New Roman"/>
                <w:sz w:val="10"/>
                <w:szCs w:val="10"/>
                <w:b w:val="1"/>
                <w:bCs w:val="1"/>
                <w:color w:val="auto"/>
              </w:rPr>
              <w:t>payable</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6"/>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Interest Expense</w:t>
            </w:r>
          </w:p>
        </w:tc>
      </w:tr>
      <w:tr>
        <w:trPr>
          <w:trHeight w:val="83"/>
        </w:trPr>
        <w:tc>
          <w:tcPr>
            <w:tcW w:w="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000" w:type="dxa"/>
            <w:vAlign w:val="bottom"/>
            <w:tcBorders>
              <w:top w:val="single" w:sz="8" w:color="auto"/>
            </w:tcBorders>
            <w:gridSpan w:val="2"/>
          </w:tcPr>
          <w:p>
            <w:pPr>
              <w:jc w:val="right"/>
              <w:ind w:right="300"/>
              <w:spacing w:after="0" w:line="83" w:lineRule="exact"/>
              <w:rPr>
                <w:sz w:val="20"/>
                <w:szCs w:val="20"/>
                <w:color w:val="auto"/>
              </w:rPr>
            </w:pPr>
            <w:r>
              <w:rPr>
                <w:rFonts w:ascii="Times New Roman" w:cs="Times New Roman" w:eastAsia="Times New Roman" w:hAnsi="Times New Roman"/>
                <w:sz w:val="9"/>
                <w:szCs w:val="9"/>
                <w:b w:val="1"/>
                <w:bCs w:val="1"/>
                <w:color w:val="auto"/>
              </w:rPr>
              <w:t>December 31,</w:t>
            </w:r>
          </w:p>
        </w:tc>
        <w:tc>
          <w:tcPr>
            <w:tcW w:w="800" w:type="dxa"/>
            <w:vAlign w:val="bottom"/>
            <w:tcBorders>
              <w:top w:val="single" w:sz="8" w:color="auto"/>
            </w:tcBorders>
          </w:tcPr>
          <w:p>
            <w:pPr>
              <w:jc w:val="right"/>
              <w:ind w:right="46"/>
              <w:spacing w:after="0" w:line="83" w:lineRule="exact"/>
              <w:rPr>
                <w:sz w:val="20"/>
                <w:szCs w:val="20"/>
                <w:color w:val="auto"/>
              </w:rPr>
            </w:pPr>
            <w:r>
              <w:rPr>
                <w:rFonts w:ascii="Times New Roman" w:cs="Times New Roman" w:eastAsia="Times New Roman" w:hAnsi="Times New Roman"/>
                <w:sz w:val="9"/>
                <w:szCs w:val="9"/>
                <w:b w:val="1"/>
                <w:bCs w:val="1"/>
                <w:color w:val="auto"/>
              </w:rPr>
              <w:t>December 31,</w:t>
            </w: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Borders>
              <w:top w:val="single" w:sz="8" w:color="auto"/>
            </w:tcBorders>
            <w:gridSpan w:val="2"/>
          </w:tcPr>
          <w:p>
            <w:pPr>
              <w:jc w:val="right"/>
              <w:ind w:right="4"/>
              <w:spacing w:after="0" w:line="83" w:lineRule="exact"/>
              <w:rPr>
                <w:sz w:val="20"/>
                <w:szCs w:val="20"/>
                <w:color w:val="auto"/>
              </w:rPr>
            </w:pPr>
            <w:r>
              <w:rPr>
                <w:rFonts w:ascii="Times New Roman" w:cs="Times New Roman" w:eastAsia="Times New Roman" w:hAnsi="Times New Roman"/>
                <w:sz w:val="9"/>
                <w:szCs w:val="9"/>
                <w:b w:val="1"/>
                <w:bCs w:val="1"/>
                <w:color w:val="auto"/>
              </w:rPr>
              <w:t>December 31,</w:t>
            </w:r>
          </w:p>
        </w:tc>
        <w:tc>
          <w:tcPr>
            <w:tcW w:w="160" w:type="dxa"/>
            <w:vAlign w:val="bottom"/>
            <w:tcBorders>
              <w:top w:val="single" w:sz="8" w:color="auto"/>
            </w:tcBorders>
          </w:tcPr>
          <w:p>
            <w:pPr>
              <w:spacing w:after="0"/>
              <w:rPr>
                <w:sz w:val="7"/>
                <w:szCs w:val="7"/>
                <w:color w:val="auto"/>
              </w:rPr>
            </w:pPr>
          </w:p>
        </w:tc>
        <w:tc>
          <w:tcPr>
            <w:tcW w:w="660" w:type="dxa"/>
            <w:vAlign w:val="bottom"/>
            <w:tcBorders>
              <w:top w:val="single" w:sz="8" w:color="auto"/>
            </w:tcBorders>
            <w:gridSpan w:val="2"/>
          </w:tcPr>
          <w:p>
            <w:pPr>
              <w:jc w:val="right"/>
              <w:spacing w:after="0" w:line="83" w:lineRule="exact"/>
              <w:rPr>
                <w:sz w:val="20"/>
                <w:szCs w:val="20"/>
                <w:color w:val="auto"/>
              </w:rPr>
            </w:pPr>
            <w:r>
              <w:rPr>
                <w:rFonts w:ascii="Times New Roman" w:cs="Times New Roman" w:eastAsia="Times New Roman" w:hAnsi="Times New Roman"/>
                <w:sz w:val="9"/>
                <w:szCs w:val="9"/>
                <w:b w:val="1"/>
                <w:bCs w:val="1"/>
                <w:color w:val="auto"/>
              </w:rPr>
              <w:t>December 31,</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80" w:type="dxa"/>
            <w:vAlign w:val="bottom"/>
            <w:tcBorders>
              <w:top w:val="single" w:sz="8" w:color="auto"/>
            </w:tcBorders>
            <w:gridSpan w:val="2"/>
          </w:tcPr>
          <w:p>
            <w:pPr>
              <w:jc w:val="right"/>
              <w:ind w:right="180"/>
              <w:spacing w:after="0" w:line="83" w:lineRule="exact"/>
              <w:rPr>
                <w:sz w:val="20"/>
                <w:szCs w:val="20"/>
                <w:color w:val="auto"/>
              </w:rPr>
            </w:pPr>
            <w:r>
              <w:rPr>
                <w:rFonts w:ascii="Times New Roman" w:cs="Times New Roman" w:eastAsia="Times New Roman" w:hAnsi="Times New Roman"/>
                <w:sz w:val="9"/>
                <w:szCs w:val="9"/>
                <w:b w:val="1"/>
                <w:bCs w:val="1"/>
                <w:color w:val="auto"/>
              </w:rPr>
              <w:t>Fiscal Year</w:t>
            </w:r>
          </w:p>
        </w:tc>
        <w:tc>
          <w:tcPr>
            <w:tcW w:w="6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jc w:val="right"/>
              <w:ind w:right="25"/>
              <w:spacing w:after="0" w:line="83" w:lineRule="exact"/>
              <w:rPr>
                <w:sz w:val="20"/>
                <w:szCs w:val="20"/>
                <w:color w:val="auto"/>
              </w:rPr>
            </w:pPr>
            <w:r>
              <w:rPr>
                <w:rFonts w:ascii="Times New Roman" w:cs="Times New Roman" w:eastAsia="Times New Roman" w:hAnsi="Times New Roman"/>
                <w:sz w:val="9"/>
                <w:szCs w:val="9"/>
                <w:b w:val="1"/>
                <w:bCs w:val="1"/>
                <w:color w:val="auto"/>
              </w:rPr>
              <w:t>Fiscal Year</w:t>
            </w:r>
          </w:p>
        </w:tc>
        <w:tc>
          <w:tcPr>
            <w:tcW w:w="80" w:type="dxa"/>
            <w:vAlign w:val="bottom"/>
          </w:tcPr>
          <w:p>
            <w:pPr>
              <w:spacing w:after="0"/>
              <w:rPr>
                <w:sz w:val="7"/>
                <w:szCs w:val="7"/>
                <w:color w:val="auto"/>
              </w:rPr>
            </w:pPr>
          </w:p>
        </w:tc>
      </w:tr>
      <w:tr>
        <w:trPr>
          <w:trHeight w:val="123"/>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82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0"/>
                <w:szCs w:val="10"/>
                <w:b w:val="1"/>
                <w:bCs w:val="1"/>
                <w:color w:val="auto"/>
              </w:rPr>
              <w:t>2025</w:t>
            </w:r>
          </w:p>
        </w:tc>
        <w:tc>
          <w:tcPr>
            <w:tcW w:w="180" w:type="dxa"/>
            <w:vAlign w:val="bottom"/>
          </w:tcPr>
          <w:p>
            <w:pPr>
              <w:spacing w:after="0"/>
              <w:rPr>
                <w:sz w:val="10"/>
                <w:szCs w:val="10"/>
                <w:color w:val="auto"/>
              </w:rPr>
            </w:pPr>
          </w:p>
        </w:tc>
        <w:tc>
          <w:tcPr>
            <w:tcW w:w="80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0"/>
                <w:szCs w:val="10"/>
                <w:b w:val="1"/>
                <w:bCs w:val="1"/>
                <w:color w:val="auto"/>
              </w:rPr>
              <w:t>2024</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0"/>
                <w:szCs w:val="10"/>
                <w:b w:val="1"/>
                <w:bCs w:val="1"/>
                <w:color w:val="auto"/>
              </w:rPr>
              <w:t>2025</w:t>
            </w: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10"/>
                <w:szCs w:val="10"/>
                <w:color w:val="auto"/>
              </w:rPr>
            </w:pPr>
          </w:p>
        </w:tc>
      </w:tr>
      <w:tr>
        <w:trPr>
          <w:trHeight w:val="92"/>
        </w:trPr>
        <w:tc>
          <w:tcPr>
            <w:tcW w:w="20" w:type="dxa"/>
            <w:vAlign w:val="bottom"/>
          </w:tcPr>
          <w:p>
            <w:pPr>
              <w:spacing w:after="0"/>
              <w:rPr>
                <w:sz w:val="7"/>
                <w:szCs w:val="7"/>
                <w:color w:val="auto"/>
              </w:rPr>
            </w:pPr>
          </w:p>
        </w:tc>
        <w:tc>
          <w:tcPr>
            <w:tcW w:w="2520" w:type="dxa"/>
            <w:vAlign w:val="bottom"/>
            <w:shd w:val="clear" w:color="auto" w:fill="CFF0FC"/>
          </w:tcPr>
          <w:p>
            <w:pPr>
              <w:spacing w:after="0" w:line="92" w:lineRule="exact"/>
              <w:rPr>
                <w:sz w:val="20"/>
                <w:szCs w:val="20"/>
                <w:color w:val="auto"/>
              </w:rPr>
            </w:pPr>
            <w:r>
              <w:rPr>
                <w:rFonts w:ascii="Times New Roman" w:cs="Times New Roman" w:eastAsia="Times New Roman" w:hAnsi="Times New Roman"/>
                <w:sz w:val="10"/>
                <w:szCs w:val="10"/>
                <w:color w:val="auto"/>
              </w:rPr>
              <w:t>First Lien - payable to lenders at SOFR plus</w:t>
            </w:r>
          </w:p>
        </w:tc>
        <w:tc>
          <w:tcPr>
            <w:tcW w:w="1000" w:type="dxa"/>
            <w:vAlign w:val="bottom"/>
            <w:gridSpan w:val="2"/>
            <w:shd w:val="clear" w:color="auto" w:fill="CFF0FC"/>
          </w:tcPr>
          <w:p>
            <w:pPr>
              <w:jc w:val="right"/>
              <w:ind w:right="200"/>
              <w:spacing w:after="0" w:line="92"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shd w:val="clear" w:color="auto" w:fill="CFF0FC"/>
          </w:tcPr>
          <w:p>
            <w:pPr>
              <w:jc w:val="right"/>
              <w:ind w:right="140"/>
              <w:spacing w:after="0" w:line="9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shd w:val="clear" w:color="auto" w:fill="CFF0FC"/>
          </w:tcPr>
          <w:p>
            <w:pPr>
              <w:jc w:val="right"/>
              <w:spacing w:after="0" w:line="92"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FF0FC"/>
          </w:tcPr>
          <w:p>
            <w:pPr>
              <w:jc w:val="right"/>
              <w:spacing w:after="0" w:line="92"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shd w:val="clear" w:color="auto" w:fill="CFF0FC"/>
          </w:tcPr>
          <w:p>
            <w:pPr>
              <w:jc w:val="right"/>
              <w:ind w:right="29"/>
              <w:spacing w:after="0" w:line="92"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FF0FC"/>
          </w:tcPr>
          <w:p>
            <w:pPr>
              <w:jc w:val="right"/>
              <w:spacing w:after="0" w:line="92"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3"/>
            <w:shd w:val="clear" w:color="auto" w:fill="CFF0FC"/>
          </w:tcPr>
          <w:p>
            <w:pPr>
              <w:jc w:val="right"/>
              <w:ind w:right="20"/>
              <w:spacing w:after="0" w:line="92"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FF0FC"/>
          </w:tcPr>
          <w:p>
            <w:pPr>
              <w:jc w:val="right"/>
              <w:ind w:right="100"/>
              <w:spacing w:after="0" w:line="9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shd w:val="clear" w:color="auto" w:fill="CFF0FC"/>
          </w:tcPr>
          <w:p>
            <w:pPr>
              <w:jc w:val="right"/>
              <w:ind w:right="20"/>
              <w:spacing w:after="0" w:line="92"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FF0FC"/>
          </w:tcPr>
          <w:p>
            <w:pPr>
              <w:jc w:val="right"/>
              <w:spacing w:after="0" w:line="92" w:lineRule="exact"/>
              <w:rPr>
                <w:sz w:val="20"/>
                <w:szCs w:val="20"/>
                <w:color w:val="auto"/>
              </w:rPr>
            </w:pPr>
            <w:r>
              <w:rPr>
                <w:rFonts w:ascii="Times New Roman" w:cs="Times New Roman" w:eastAsia="Times New Roman" w:hAnsi="Times New Roman"/>
                <w:sz w:val="10"/>
                <w:szCs w:val="10"/>
                <w:color w:val="auto"/>
              </w:rPr>
              <w:t>18,151</w:t>
            </w:r>
          </w:p>
        </w:tc>
        <w:tc>
          <w:tcPr>
            <w:tcW w:w="80" w:type="dxa"/>
            <w:vAlign w:val="bottom"/>
            <w:shd w:val="clear" w:color="auto" w:fill="CFF0FC"/>
          </w:tcPr>
          <w:p>
            <w:pPr>
              <w:spacing w:after="0"/>
              <w:rPr>
                <w:sz w:val="7"/>
                <w:szCs w:val="7"/>
                <w:color w:val="auto"/>
              </w:rPr>
            </w:pPr>
          </w:p>
        </w:tc>
      </w:tr>
      <w:tr>
        <w:trPr>
          <w:trHeight w:val="135"/>
        </w:trPr>
        <w:tc>
          <w:tcPr>
            <w:tcW w:w="20" w:type="dxa"/>
            <w:vAlign w:val="bottom"/>
          </w:tcPr>
          <w:p>
            <w:pPr>
              <w:spacing w:after="0"/>
              <w:rPr>
                <w:sz w:val="11"/>
                <w:szCs w:val="11"/>
                <w:color w:val="auto"/>
              </w:rPr>
            </w:pP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applicable margin</w:t>
            </w:r>
          </w:p>
        </w:tc>
        <w:tc>
          <w:tcPr>
            <w:tcW w:w="8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01"/>
        </w:trPr>
        <w:tc>
          <w:tcPr>
            <w:tcW w:w="20" w:type="dxa"/>
            <w:vAlign w:val="bottom"/>
          </w:tcPr>
          <w:p>
            <w:pPr>
              <w:spacing w:after="0"/>
              <w:rPr>
                <w:sz w:val="8"/>
                <w:szCs w:val="8"/>
                <w:color w:val="auto"/>
              </w:rPr>
            </w:pPr>
          </w:p>
        </w:tc>
        <w:tc>
          <w:tcPr>
            <w:tcW w:w="252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First Lien Tranche B-2 and B-3 - payable to lenders at</w:t>
            </w:r>
          </w:p>
        </w:tc>
        <w:tc>
          <w:tcPr>
            <w:tcW w:w="1000" w:type="dxa"/>
            <w:vAlign w:val="bottom"/>
            <w:gridSpan w:val="2"/>
          </w:tcPr>
          <w:p>
            <w:pPr>
              <w:jc w:val="right"/>
              <w:ind w:right="200"/>
              <w:spacing w:after="0" w:line="101"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140"/>
              <w:spacing w:after="0" w:line="101"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tcPr>
          <w:p>
            <w:pPr>
              <w:jc w:val="right"/>
              <w:ind w:right="100"/>
              <w:spacing w:after="0" w:line="101"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12,923</w:t>
            </w:r>
          </w:p>
        </w:tc>
        <w:tc>
          <w:tcPr>
            <w:tcW w:w="80" w:type="dxa"/>
            <w:vAlign w:val="bottom"/>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SOFR plus applicable margin</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20" w:type="dxa"/>
            <w:vAlign w:val="bottom"/>
          </w:tcPr>
          <w:p>
            <w:pPr>
              <w:spacing w:after="0"/>
              <w:rPr>
                <w:sz w:val="8"/>
                <w:szCs w:val="8"/>
                <w:color w:val="auto"/>
              </w:rPr>
            </w:pPr>
          </w:p>
        </w:tc>
        <w:tc>
          <w:tcPr>
            <w:tcW w:w="2520" w:type="dxa"/>
            <w:vAlign w:val="bottom"/>
            <w:shd w:val="clear" w:color="auto" w:fill="CFF0FC"/>
          </w:tcPr>
          <w:p>
            <w:pPr>
              <w:spacing w:after="0" w:line="101" w:lineRule="exact"/>
              <w:rPr>
                <w:sz w:val="20"/>
                <w:szCs w:val="20"/>
                <w:color w:val="auto"/>
              </w:rPr>
            </w:pPr>
            <w:r>
              <w:rPr>
                <w:rFonts w:ascii="Times New Roman" w:cs="Times New Roman" w:eastAsia="Times New Roman" w:hAnsi="Times New Roman"/>
                <w:sz w:val="11"/>
                <w:szCs w:val="11"/>
                <w:color w:val="auto"/>
              </w:rPr>
              <w:t>First Lien Incremental Term Loan Tranche B-4 -</w:t>
            </w:r>
          </w:p>
        </w:tc>
        <w:tc>
          <w:tcPr>
            <w:tcW w:w="1000" w:type="dxa"/>
            <w:vAlign w:val="bottom"/>
            <w:gridSpan w:val="2"/>
            <w:shd w:val="clear" w:color="auto" w:fill="CFF0FC"/>
          </w:tcPr>
          <w:p>
            <w:pPr>
              <w:jc w:val="right"/>
              <w:ind w:right="200"/>
              <w:spacing w:after="0" w:line="101"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FF0FC"/>
          </w:tcPr>
          <w:p>
            <w:pPr>
              <w:jc w:val="right"/>
              <w:ind w:right="140"/>
              <w:spacing w:after="0" w:line="101"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20" w:type="dxa"/>
            <w:vAlign w:val="bottom"/>
            <w:shd w:val="clear" w:color="auto" w:fill="CFF0FC"/>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80" w:type="dxa"/>
            <w:vAlign w:val="bottom"/>
            <w:gridSpan w:val="2"/>
            <w:shd w:val="clear" w:color="auto" w:fill="CFF0FC"/>
          </w:tcPr>
          <w:p>
            <w:pPr>
              <w:jc w:val="right"/>
              <w:ind w:right="100"/>
              <w:spacing w:after="0" w:line="101"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60" w:type="dxa"/>
            <w:vAlign w:val="bottom"/>
            <w:shd w:val="clear" w:color="auto" w:fill="CFF0FC"/>
          </w:tcPr>
          <w:p>
            <w:pPr>
              <w:jc w:val="right"/>
              <w:spacing w:after="0" w:line="101" w:lineRule="exact"/>
              <w:rPr>
                <w:sz w:val="20"/>
                <w:szCs w:val="20"/>
                <w:color w:val="auto"/>
              </w:rPr>
            </w:pPr>
            <w:r>
              <w:rPr>
                <w:rFonts w:ascii="Times New Roman" w:cs="Times New Roman" w:eastAsia="Times New Roman" w:hAnsi="Times New Roman"/>
                <w:sz w:val="11"/>
                <w:szCs w:val="11"/>
                <w:color w:val="auto"/>
              </w:rPr>
              <w:t>150,759</w:t>
            </w:r>
          </w:p>
        </w:tc>
        <w:tc>
          <w:tcPr>
            <w:tcW w:w="80" w:type="dxa"/>
            <w:vAlign w:val="bottom"/>
            <w:shd w:val="clear" w:color="auto" w:fill="CFF0FC"/>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payable to lenders at SOFR plus applicable margin</w:t>
            </w:r>
          </w:p>
        </w:tc>
        <w:tc>
          <w:tcPr>
            <w:tcW w:w="8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01"/>
        </w:trPr>
        <w:tc>
          <w:tcPr>
            <w:tcW w:w="20" w:type="dxa"/>
            <w:vAlign w:val="bottom"/>
          </w:tcPr>
          <w:p>
            <w:pPr>
              <w:spacing w:after="0"/>
              <w:rPr>
                <w:sz w:val="8"/>
                <w:szCs w:val="8"/>
                <w:color w:val="auto"/>
              </w:rPr>
            </w:pPr>
          </w:p>
        </w:tc>
        <w:tc>
          <w:tcPr>
            <w:tcW w:w="252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First Lien Incremental Term Loan Tranche B-5 -</w:t>
            </w:r>
          </w:p>
        </w:tc>
        <w:tc>
          <w:tcPr>
            <w:tcW w:w="1000" w:type="dxa"/>
            <w:vAlign w:val="bottom"/>
            <w:gridSpan w:val="2"/>
          </w:tcPr>
          <w:p>
            <w:pPr>
              <w:jc w:val="right"/>
              <w:ind w:right="80"/>
              <w:spacing w:after="0" w:line="101" w:lineRule="exact"/>
              <w:rPr>
                <w:sz w:val="20"/>
                <w:szCs w:val="20"/>
                <w:color w:val="auto"/>
              </w:rPr>
            </w:pPr>
            <w:r>
              <w:rPr>
                <w:rFonts w:ascii="Times New Roman" w:cs="Times New Roman" w:eastAsia="Times New Roman" w:hAnsi="Times New Roman"/>
                <w:sz w:val="11"/>
                <w:szCs w:val="11"/>
                <w:color w:val="auto"/>
              </w:rPr>
              <w:t>6.22%</w:t>
            </w:r>
          </w:p>
        </w:tc>
        <w:tc>
          <w:tcPr>
            <w:tcW w:w="940" w:type="dxa"/>
            <w:vAlign w:val="bottom"/>
            <w:gridSpan w:val="2"/>
          </w:tcPr>
          <w:p>
            <w:pPr>
              <w:jc w:val="right"/>
              <w:ind w:right="40"/>
              <w:spacing w:after="0" w:line="101" w:lineRule="exact"/>
              <w:rPr>
                <w:sz w:val="20"/>
                <w:szCs w:val="20"/>
                <w:color w:val="auto"/>
              </w:rPr>
            </w:pPr>
            <w:r>
              <w:rPr>
                <w:rFonts w:ascii="Times New Roman" w:cs="Times New Roman" w:eastAsia="Times New Roman" w:hAnsi="Times New Roman"/>
                <w:sz w:val="11"/>
                <w:szCs w:val="11"/>
                <w:color w:val="auto"/>
              </w:rPr>
              <w:t>6.86%</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2,521,255</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2,546,787</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146,482</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8,857</w:t>
            </w:r>
          </w:p>
        </w:tc>
        <w:tc>
          <w:tcPr>
            <w:tcW w:w="80" w:type="dxa"/>
            <w:vAlign w:val="bottom"/>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payable to lenders at SOFR plus applicable margin</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20" w:type="dxa"/>
            <w:vAlign w:val="bottom"/>
          </w:tcPr>
          <w:p>
            <w:pPr>
              <w:spacing w:after="0"/>
              <w:rPr>
                <w:sz w:val="8"/>
                <w:szCs w:val="8"/>
                <w:color w:val="auto"/>
              </w:rPr>
            </w:pPr>
          </w:p>
        </w:tc>
        <w:tc>
          <w:tcPr>
            <w:tcW w:w="2520" w:type="dxa"/>
            <w:vAlign w:val="bottom"/>
            <w:shd w:val="clear" w:color="auto" w:fill="CFF0FC"/>
          </w:tcPr>
          <w:p>
            <w:pPr>
              <w:spacing w:after="0" w:line="101" w:lineRule="exact"/>
              <w:rPr>
                <w:sz w:val="20"/>
                <w:szCs w:val="20"/>
                <w:color w:val="auto"/>
              </w:rPr>
            </w:pPr>
            <w:r>
              <w:rPr>
                <w:rFonts w:ascii="Times New Roman" w:cs="Times New Roman" w:eastAsia="Times New Roman" w:hAnsi="Times New Roman"/>
                <w:sz w:val="11"/>
                <w:szCs w:val="11"/>
                <w:color w:val="auto"/>
              </w:rPr>
              <w:t>Second Lien - payable to lenders at SOFR plus</w:t>
            </w:r>
          </w:p>
        </w:tc>
        <w:tc>
          <w:tcPr>
            <w:tcW w:w="1000" w:type="dxa"/>
            <w:vAlign w:val="bottom"/>
            <w:gridSpan w:val="2"/>
            <w:shd w:val="clear" w:color="auto" w:fill="CFF0FC"/>
          </w:tcPr>
          <w:p>
            <w:pPr>
              <w:jc w:val="right"/>
              <w:ind w:right="200"/>
              <w:spacing w:after="0" w:line="101"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FF0FC"/>
          </w:tcPr>
          <w:p>
            <w:pPr>
              <w:jc w:val="right"/>
              <w:ind w:right="140"/>
              <w:spacing w:after="0" w:line="101"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20" w:type="dxa"/>
            <w:vAlign w:val="bottom"/>
            <w:shd w:val="clear" w:color="auto" w:fill="CFF0FC"/>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80" w:type="dxa"/>
            <w:vAlign w:val="bottom"/>
            <w:gridSpan w:val="2"/>
            <w:shd w:val="clear" w:color="auto" w:fill="CFF0FC"/>
          </w:tcPr>
          <w:p>
            <w:pPr>
              <w:jc w:val="right"/>
              <w:ind w:right="100"/>
              <w:spacing w:after="0" w:line="101"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60" w:type="dxa"/>
            <w:vAlign w:val="bottom"/>
            <w:shd w:val="clear" w:color="auto" w:fill="CFF0FC"/>
          </w:tcPr>
          <w:p>
            <w:pPr>
              <w:jc w:val="right"/>
              <w:spacing w:after="0" w:line="101" w:lineRule="exact"/>
              <w:rPr>
                <w:sz w:val="20"/>
                <w:szCs w:val="20"/>
                <w:color w:val="auto"/>
              </w:rPr>
            </w:pPr>
            <w:r>
              <w:rPr>
                <w:rFonts w:ascii="Times New Roman" w:cs="Times New Roman" w:eastAsia="Times New Roman" w:hAnsi="Times New Roman"/>
                <w:sz w:val="11"/>
                <w:szCs w:val="11"/>
                <w:color w:val="auto"/>
              </w:rPr>
              <w:t>4,482</w:t>
            </w:r>
          </w:p>
        </w:tc>
        <w:tc>
          <w:tcPr>
            <w:tcW w:w="80" w:type="dxa"/>
            <w:vAlign w:val="bottom"/>
            <w:shd w:val="clear" w:color="auto" w:fill="CFF0FC"/>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applicable margin</w:t>
            </w:r>
          </w:p>
        </w:tc>
        <w:tc>
          <w:tcPr>
            <w:tcW w:w="8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01"/>
        </w:trPr>
        <w:tc>
          <w:tcPr>
            <w:tcW w:w="20" w:type="dxa"/>
            <w:vAlign w:val="bottom"/>
          </w:tcPr>
          <w:p>
            <w:pPr>
              <w:spacing w:after="0"/>
              <w:rPr>
                <w:sz w:val="8"/>
                <w:szCs w:val="8"/>
                <w:color w:val="auto"/>
              </w:rPr>
            </w:pPr>
          </w:p>
        </w:tc>
        <w:tc>
          <w:tcPr>
            <w:tcW w:w="252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Revolving Credit Loans - payable to lenders at SOFR</w:t>
            </w:r>
          </w:p>
        </w:tc>
        <w:tc>
          <w:tcPr>
            <w:tcW w:w="1000" w:type="dxa"/>
            <w:vAlign w:val="bottom"/>
            <w:gridSpan w:val="2"/>
          </w:tcPr>
          <w:p>
            <w:pPr>
              <w:jc w:val="right"/>
              <w:ind w:right="80"/>
              <w:spacing w:after="0" w:line="101" w:lineRule="exact"/>
              <w:rPr>
                <w:sz w:val="20"/>
                <w:szCs w:val="20"/>
                <w:color w:val="auto"/>
              </w:rPr>
            </w:pPr>
            <w:r>
              <w:rPr>
                <w:rFonts w:ascii="Times New Roman" w:cs="Times New Roman" w:eastAsia="Times New Roman" w:hAnsi="Times New Roman"/>
                <w:sz w:val="11"/>
                <w:szCs w:val="11"/>
                <w:color w:val="auto"/>
              </w:rPr>
              <w:t>6.47%</w:t>
            </w:r>
          </w:p>
        </w:tc>
        <w:tc>
          <w:tcPr>
            <w:tcW w:w="940" w:type="dxa"/>
            <w:vAlign w:val="bottom"/>
            <w:gridSpan w:val="2"/>
          </w:tcPr>
          <w:p>
            <w:pPr>
              <w:jc w:val="right"/>
              <w:ind w:right="40"/>
              <w:spacing w:after="0" w:line="101" w:lineRule="exact"/>
              <w:rPr>
                <w:sz w:val="20"/>
                <w:szCs w:val="20"/>
                <w:color w:val="auto"/>
              </w:rPr>
            </w:pPr>
            <w:r>
              <w:rPr>
                <w:rFonts w:ascii="Times New Roman" w:cs="Times New Roman" w:eastAsia="Times New Roman" w:hAnsi="Times New Roman"/>
                <w:sz w:val="11"/>
                <w:szCs w:val="11"/>
                <w:color w:val="auto"/>
              </w:rPr>
              <w:t>7.61%</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tcPr>
          <w:p>
            <w:pPr>
              <w:jc w:val="right"/>
              <w:ind w:right="100"/>
              <w:spacing w:after="0" w:line="101"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331</w:t>
            </w:r>
          </w:p>
        </w:tc>
        <w:tc>
          <w:tcPr>
            <w:tcW w:w="80" w:type="dxa"/>
            <w:vAlign w:val="bottom"/>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plus applicable margin</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20" w:type="dxa"/>
            <w:vAlign w:val="bottom"/>
          </w:tcPr>
          <w:p>
            <w:pPr>
              <w:spacing w:after="0"/>
              <w:rPr>
                <w:sz w:val="8"/>
                <w:szCs w:val="8"/>
                <w:color w:val="auto"/>
              </w:rPr>
            </w:pPr>
          </w:p>
        </w:tc>
        <w:tc>
          <w:tcPr>
            <w:tcW w:w="2520" w:type="dxa"/>
            <w:vAlign w:val="bottom"/>
            <w:shd w:val="clear" w:color="auto" w:fill="CFF0FC"/>
          </w:tcPr>
          <w:p>
            <w:pPr>
              <w:spacing w:after="0" w:line="101" w:lineRule="exact"/>
              <w:rPr>
                <w:sz w:val="20"/>
                <w:szCs w:val="20"/>
                <w:color w:val="auto"/>
              </w:rPr>
            </w:pPr>
            <w:r>
              <w:rPr>
                <w:rFonts w:ascii="Times New Roman" w:cs="Times New Roman" w:eastAsia="Times New Roman" w:hAnsi="Times New Roman"/>
                <w:sz w:val="11"/>
                <w:szCs w:val="11"/>
                <w:color w:val="auto"/>
              </w:rPr>
              <w:t>Swingline Loans and Base Rate Loans - payable to</w:t>
            </w:r>
          </w:p>
        </w:tc>
        <w:tc>
          <w:tcPr>
            <w:tcW w:w="1000" w:type="dxa"/>
            <w:vAlign w:val="bottom"/>
            <w:gridSpan w:val="2"/>
            <w:shd w:val="clear" w:color="auto" w:fill="CFF0FC"/>
          </w:tcPr>
          <w:p>
            <w:pPr>
              <w:jc w:val="right"/>
              <w:ind w:right="80"/>
              <w:spacing w:after="0" w:line="101" w:lineRule="exact"/>
              <w:rPr>
                <w:sz w:val="20"/>
                <w:szCs w:val="20"/>
                <w:color w:val="auto"/>
              </w:rPr>
            </w:pPr>
            <w:r>
              <w:rPr>
                <w:rFonts w:ascii="Times New Roman" w:cs="Times New Roman" w:eastAsia="Times New Roman" w:hAnsi="Times New Roman"/>
                <w:sz w:val="11"/>
                <w:szCs w:val="11"/>
                <w:color w:val="auto"/>
              </w:rPr>
              <w:t>8.50%</w:t>
            </w:r>
          </w:p>
        </w:tc>
        <w:tc>
          <w:tcPr>
            <w:tcW w:w="940" w:type="dxa"/>
            <w:vAlign w:val="bottom"/>
            <w:gridSpan w:val="2"/>
            <w:shd w:val="clear" w:color="auto" w:fill="CFF0FC"/>
          </w:tcPr>
          <w:p>
            <w:pPr>
              <w:jc w:val="right"/>
              <w:ind w:right="40"/>
              <w:spacing w:after="0" w:line="101" w:lineRule="exact"/>
              <w:rPr>
                <w:sz w:val="20"/>
                <w:szCs w:val="20"/>
                <w:color w:val="auto"/>
              </w:rPr>
            </w:pPr>
            <w:r>
              <w:rPr>
                <w:rFonts w:ascii="Times New Roman" w:cs="Times New Roman" w:eastAsia="Times New Roman" w:hAnsi="Times New Roman"/>
                <w:sz w:val="11"/>
                <w:szCs w:val="11"/>
                <w:color w:val="auto"/>
              </w:rPr>
              <w:t>9.75%</w:t>
            </w:r>
          </w:p>
        </w:tc>
        <w:tc>
          <w:tcPr>
            <w:tcW w:w="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20" w:type="dxa"/>
            <w:vAlign w:val="bottom"/>
            <w:shd w:val="clear" w:color="auto" w:fill="CFF0FC"/>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line="101" w:lineRule="exact"/>
              <w:rPr>
                <w:sz w:val="20"/>
                <w:szCs w:val="20"/>
                <w:color w:val="auto"/>
              </w:rPr>
            </w:pPr>
            <w:r>
              <w:rPr>
                <w:rFonts w:ascii="Times New Roman" w:cs="Times New Roman" w:eastAsia="Times New Roman" w:hAnsi="Times New Roman"/>
                <w:sz w:val="11"/>
                <w:szCs w:val="11"/>
                <w:color w:val="auto"/>
              </w:rPr>
              <w:t>63,300</w:t>
            </w: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80" w:type="dxa"/>
            <w:vAlign w:val="bottom"/>
            <w:shd w:val="clear" w:color="auto" w:fill="CFF0FC"/>
          </w:tcPr>
          <w:p>
            <w:pPr>
              <w:jc w:val="right"/>
              <w:spacing w:after="0" w:line="101" w:lineRule="exact"/>
              <w:rPr>
                <w:sz w:val="20"/>
                <w:szCs w:val="20"/>
                <w:color w:val="auto"/>
              </w:rPr>
            </w:pPr>
            <w:r>
              <w:rPr>
                <w:rFonts w:ascii="Times New Roman" w:cs="Times New Roman" w:eastAsia="Times New Roman" w:hAnsi="Times New Roman"/>
                <w:sz w:val="11"/>
                <w:szCs w:val="11"/>
                <w:color w:val="auto"/>
              </w:rPr>
              <w:t>6,996</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60" w:type="dxa"/>
            <w:vAlign w:val="bottom"/>
            <w:shd w:val="clear" w:color="auto" w:fill="CFF0FC"/>
          </w:tcPr>
          <w:p>
            <w:pPr>
              <w:jc w:val="right"/>
              <w:spacing w:after="0" w:line="101" w:lineRule="exact"/>
              <w:rPr>
                <w:sz w:val="20"/>
                <w:szCs w:val="20"/>
                <w:color w:val="auto"/>
              </w:rPr>
            </w:pPr>
            <w:r>
              <w:rPr>
                <w:rFonts w:ascii="Times New Roman" w:cs="Times New Roman" w:eastAsia="Times New Roman" w:hAnsi="Times New Roman"/>
                <w:sz w:val="11"/>
                <w:szCs w:val="11"/>
                <w:color w:val="auto"/>
              </w:rPr>
              <w:t>10,602</w:t>
            </w:r>
          </w:p>
        </w:tc>
        <w:tc>
          <w:tcPr>
            <w:tcW w:w="80" w:type="dxa"/>
            <w:vAlign w:val="bottom"/>
            <w:shd w:val="clear" w:color="auto" w:fill="CFF0FC"/>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lenders at ABR plus applicable margin</w:t>
            </w:r>
          </w:p>
        </w:tc>
        <w:tc>
          <w:tcPr>
            <w:tcW w:w="8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18"/>
        </w:trPr>
        <w:tc>
          <w:tcPr>
            <w:tcW w:w="20" w:type="dxa"/>
            <w:vAlign w:val="bottom"/>
          </w:tcPr>
          <w:p>
            <w:pPr>
              <w:spacing w:after="0"/>
              <w:rPr>
                <w:sz w:val="10"/>
                <w:szCs w:val="10"/>
                <w:color w:val="auto"/>
              </w:rPr>
            </w:pPr>
          </w:p>
        </w:tc>
        <w:tc>
          <w:tcPr>
            <w:tcW w:w="252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Amortizing Notes</w:t>
            </w: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31,360</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53,804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4,183</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4,899</w:t>
            </w:r>
          </w:p>
        </w:tc>
        <w:tc>
          <w:tcPr>
            <w:tcW w:w="80" w:type="dxa"/>
            <w:vAlign w:val="bottom"/>
          </w:tcPr>
          <w:p>
            <w:pPr>
              <w:spacing w:after="0"/>
              <w:rPr>
                <w:sz w:val="10"/>
                <w:szCs w:val="10"/>
                <w:color w:val="auto"/>
              </w:rPr>
            </w:pPr>
          </w:p>
        </w:tc>
      </w:tr>
      <w:tr>
        <w:trPr>
          <w:trHeight w:val="118"/>
        </w:trPr>
        <w:tc>
          <w:tcPr>
            <w:tcW w:w="20" w:type="dxa"/>
            <w:vAlign w:val="bottom"/>
          </w:tcPr>
          <w:p>
            <w:pPr>
              <w:spacing w:after="0"/>
              <w:rPr>
                <w:sz w:val="10"/>
                <w:szCs w:val="10"/>
                <w:color w:val="auto"/>
              </w:rPr>
            </w:pPr>
          </w:p>
        </w:tc>
        <w:tc>
          <w:tcPr>
            <w:tcW w:w="252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Notes payable and other</w:t>
            </w:r>
          </w:p>
        </w:tc>
        <w:tc>
          <w:tcPr>
            <w:tcW w:w="8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17,129</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19,428</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886</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316</w:t>
            </w:r>
          </w:p>
        </w:tc>
        <w:tc>
          <w:tcPr>
            <w:tcW w:w="80" w:type="dxa"/>
            <w:vAlign w:val="bottom"/>
            <w:shd w:val="clear" w:color="auto" w:fill="CFF0FC"/>
          </w:tcPr>
          <w:p>
            <w:pPr>
              <w:spacing w:after="0"/>
              <w:rPr>
                <w:sz w:val="10"/>
                <w:szCs w:val="10"/>
                <w:color w:val="auto"/>
              </w:rPr>
            </w:pPr>
          </w:p>
        </w:tc>
      </w:tr>
      <w:tr>
        <w:trPr>
          <w:trHeight w:val="101"/>
        </w:trPr>
        <w:tc>
          <w:tcPr>
            <w:tcW w:w="20" w:type="dxa"/>
            <w:vAlign w:val="bottom"/>
          </w:tcPr>
          <w:p>
            <w:pPr>
              <w:spacing w:after="0"/>
              <w:rPr>
                <w:sz w:val="8"/>
                <w:szCs w:val="8"/>
                <w:color w:val="auto"/>
              </w:rPr>
            </w:pPr>
          </w:p>
        </w:tc>
        <w:tc>
          <w:tcPr>
            <w:tcW w:w="252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Amortization of deferred financing costs &amp; other, net</w:t>
            </w: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tcPr>
          <w:p>
            <w:pPr>
              <w:jc w:val="right"/>
              <w:ind w:right="60"/>
              <w:spacing w:after="0" w:line="101" w:lineRule="exact"/>
              <w:rPr>
                <w:sz w:val="20"/>
                <w:szCs w:val="20"/>
                <w:color w:val="auto"/>
              </w:rPr>
            </w:pPr>
            <w:r>
              <w:rPr>
                <w:rFonts w:ascii="Times New Roman" w:cs="Times New Roman" w:eastAsia="Times New Roman" w:hAnsi="Times New Roman"/>
                <w:sz w:val="11"/>
                <w:szCs w:val="11"/>
                <w:color w:val="auto"/>
              </w:rPr>
              <w:t>(1,236)</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40"/>
              <w:spacing w:after="0" w:line="101" w:lineRule="exact"/>
              <w:rPr>
                <w:sz w:val="20"/>
                <w:szCs w:val="20"/>
                <w:color w:val="auto"/>
              </w:rPr>
            </w:pPr>
            <w:r>
              <w:rPr>
                <w:rFonts w:ascii="Times New Roman" w:cs="Times New Roman" w:eastAsia="Times New Roman" w:hAnsi="Times New Roman"/>
                <w:sz w:val="11"/>
                <w:szCs w:val="11"/>
                <w:color w:val="auto"/>
              </w:rPr>
              <w:t>(20,774)</w:t>
            </w:r>
          </w:p>
        </w:tc>
      </w:tr>
      <w:tr>
        <w:trPr>
          <w:trHeight w:val="125"/>
        </w:trPr>
        <w:tc>
          <w:tcPr>
            <w:tcW w:w="20" w:type="dxa"/>
            <w:vAlign w:val="bottom"/>
          </w:tcPr>
          <w:p>
            <w:pPr>
              <w:spacing w:after="0"/>
              <w:rPr>
                <w:sz w:val="10"/>
                <w:szCs w:val="10"/>
                <w:color w:val="auto"/>
              </w:rPr>
            </w:pPr>
          </w:p>
        </w:tc>
        <w:tc>
          <w:tcPr>
            <w:tcW w:w="2520" w:type="dxa"/>
            <w:vAlign w:val="bottom"/>
          </w:tcPr>
          <w:p>
            <w:pPr>
              <w:ind w:left="60"/>
              <w:spacing w:after="0" w:line="125" w:lineRule="exact"/>
              <w:rPr>
                <w:sz w:val="20"/>
                <w:szCs w:val="20"/>
                <w:color w:val="auto"/>
              </w:rPr>
            </w:pPr>
            <w:r>
              <w:rPr>
                <w:rFonts w:ascii="Times New Roman" w:cs="Times New Roman" w:eastAsia="Times New Roman" w:hAnsi="Times New Roman"/>
                <w:sz w:val="11"/>
                <w:szCs w:val="11"/>
                <w:color w:val="auto"/>
              </w:rPr>
              <w:t>of interest income from cash flow hedges</w:t>
            </w: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09"/>
        </w:trPr>
        <w:tc>
          <w:tcPr>
            <w:tcW w:w="20" w:type="dxa"/>
            <w:vAlign w:val="bottom"/>
          </w:tcPr>
          <w:p>
            <w:pPr>
              <w:spacing w:after="0"/>
              <w:rPr>
                <w:sz w:val="9"/>
                <w:szCs w:val="9"/>
                <w:color w:val="auto"/>
              </w:rPr>
            </w:pPr>
          </w:p>
        </w:tc>
        <w:tc>
          <w:tcPr>
            <w:tcW w:w="252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Total debt</w:t>
            </w:r>
          </w:p>
        </w:tc>
        <w:tc>
          <w:tcPr>
            <w:tcW w:w="8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2,569,744</w:t>
            </w:r>
          </w:p>
        </w:tc>
        <w:tc>
          <w:tcPr>
            <w:tcW w:w="300" w:type="dxa"/>
            <w:vAlign w:val="bottom"/>
            <w:gridSpan w:val="2"/>
            <w:shd w:val="clear" w:color="auto" w:fill="CFF0FC"/>
          </w:tcPr>
          <w:p>
            <w:pPr>
              <w:jc w:val="right"/>
              <w:ind w:right="29"/>
              <w:spacing w:after="0" w:line="109"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2,683,319</w:t>
            </w:r>
          </w:p>
        </w:tc>
        <w:tc>
          <w:tcPr>
            <w:tcW w:w="260" w:type="dxa"/>
            <w:vAlign w:val="bottom"/>
            <w:gridSpan w:val="3"/>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157,311</w:t>
            </w:r>
          </w:p>
        </w:tc>
        <w:tc>
          <w:tcPr>
            <w:tcW w:w="100" w:type="dxa"/>
            <w:vAlign w:val="bottom"/>
            <w:shd w:val="clear" w:color="auto" w:fill="CFF0FC"/>
          </w:tcPr>
          <w:p>
            <w:pPr>
              <w:spacing w:after="0"/>
              <w:rPr>
                <w:sz w:val="9"/>
                <w:szCs w:val="9"/>
                <w:color w:val="auto"/>
              </w:rPr>
            </w:pPr>
          </w:p>
        </w:tc>
        <w:tc>
          <w:tcPr>
            <w:tcW w:w="120" w:type="dxa"/>
            <w:vAlign w:val="bottom"/>
            <w:gridSpan w:val="2"/>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190,546</w:t>
            </w:r>
          </w:p>
        </w:tc>
        <w:tc>
          <w:tcPr>
            <w:tcW w:w="80" w:type="dxa"/>
            <w:vAlign w:val="bottom"/>
            <w:shd w:val="clear" w:color="auto" w:fill="CFF0FC"/>
          </w:tcPr>
          <w:p>
            <w:pPr>
              <w:spacing w:after="0"/>
              <w:rPr>
                <w:sz w:val="9"/>
                <w:szCs w:val="9"/>
                <w:color w:val="auto"/>
              </w:rPr>
            </w:pPr>
          </w:p>
        </w:tc>
      </w:tr>
      <w:tr>
        <w:trPr>
          <w:trHeight w:val="118"/>
        </w:trPr>
        <w:tc>
          <w:tcPr>
            <w:tcW w:w="20" w:type="dxa"/>
            <w:vAlign w:val="bottom"/>
          </w:tcPr>
          <w:p>
            <w:pPr>
              <w:spacing w:after="0"/>
              <w:rPr>
                <w:sz w:val="10"/>
                <w:szCs w:val="10"/>
                <w:color w:val="auto"/>
              </w:rPr>
            </w:pPr>
          </w:p>
        </w:tc>
        <w:tc>
          <w:tcPr>
            <w:tcW w:w="252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Less: debt issuance costs, net</w:t>
            </w: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62,200</w:t>
            </w: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72,736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3"/>
        </w:trPr>
        <w:tc>
          <w:tcPr>
            <w:tcW w:w="20" w:type="dxa"/>
            <w:vAlign w:val="bottom"/>
          </w:tcPr>
          <w:p>
            <w:pPr>
              <w:spacing w:after="0"/>
              <w:rPr>
                <w:sz w:val="12"/>
                <w:szCs w:val="12"/>
                <w:color w:val="auto"/>
              </w:rPr>
            </w:pPr>
          </w:p>
        </w:tc>
        <w:tc>
          <w:tcPr>
            <w:tcW w:w="2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Total debt, net of debt issuance costs</w:t>
            </w:r>
          </w:p>
        </w:tc>
        <w:tc>
          <w:tcPr>
            <w:tcW w:w="8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2,507,544</w:t>
            </w:r>
          </w:p>
        </w:tc>
        <w:tc>
          <w:tcPr>
            <w:tcW w:w="1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2,610,583</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18"/>
        </w:trPr>
        <w:tc>
          <w:tcPr>
            <w:tcW w:w="20" w:type="dxa"/>
            <w:vAlign w:val="bottom"/>
          </w:tcPr>
          <w:p>
            <w:pPr>
              <w:spacing w:after="0"/>
              <w:rPr>
                <w:sz w:val="10"/>
                <w:szCs w:val="10"/>
                <w:color w:val="auto"/>
              </w:rPr>
            </w:pPr>
          </w:p>
        </w:tc>
        <w:tc>
          <w:tcPr>
            <w:tcW w:w="252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Less: Current portion of long-term debt</w:t>
            </w: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52,340</w:t>
            </w: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48,725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70"/>
        </w:trPr>
        <w:tc>
          <w:tcPr>
            <w:tcW w:w="20" w:type="dxa"/>
            <w:vAlign w:val="bottom"/>
          </w:tcPr>
          <w:p>
            <w:pPr>
              <w:spacing w:after="0"/>
              <w:rPr>
                <w:sz w:val="14"/>
                <w:szCs w:val="14"/>
                <w:color w:val="auto"/>
              </w:rPr>
            </w:pPr>
          </w:p>
        </w:tc>
        <w:tc>
          <w:tcPr>
            <w:tcW w:w="2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Total long-term debt, net of current portion</w:t>
            </w:r>
          </w:p>
        </w:tc>
        <w:tc>
          <w:tcPr>
            <w:tcW w:w="8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2,455,204</w:t>
            </w:r>
          </w:p>
        </w:tc>
        <w:tc>
          <w:tcPr>
            <w:tcW w:w="1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2,561,858</w:t>
            </w: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-19685</wp:posOffset>
            </wp:positionV>
            <wp:extent cx="4762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3726180</wp:posOffset>
            </wp:positionH>
            <wp:positionV relativeFrom="paragraph">
              <wp:posOffset>-6350</wp:posOffset>
            </wp:positionV>
            <wp:extent cx="4762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-19685</wp:posOffset>
            </wp:positionV>
            <wp:extent cx="4762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-6350</wp:posOffset>
            </wp:positionV>
            <wp:extent cx="4762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jc w:val="both"/>
        <w:ind w:left="640" w:right="839" w:firstLine="516"/>
        <w:spacing w:after="0" w:line="274" w:lineRule="auto"/>
        <w:rPr>
          <w:sz w:val="20"/>
          <w:szCs w:val="20"/>
          <w:color w:val="auto"/>
        </w:rPr>
      </w:pPr>
      <w:r>
        <w:rPr>
          <w:rFonts w:ascii="Times New Roman" w:cs="Times New Roman" w:eastAsia="Times New Roman" w:hAnsi="Times New Roman"/>
          <w:sz w:val="14"/>
          <w:szCs w:val="14"/>
          <w:color w:val="auto"/>
        </w:rPr>
        <w:t>Our Company's leverage, as calculated under our First Lien Credit Agreement, was 2.99x and 4.16x at December 31, 2025 and 2024, respectively. The results of the Community Living business are included in such calculation pursuant to the terms of our First Lien Credit Agreement.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99" w:lineRule="exact"/>
        <w:rPr>
          <w:sz w:val="20"/>
          <w:szCs w:val="20"/>
          <w:color w:val="auto"/>
        </w:rPr>
      </w:pPr>
    </w:p>
    <w:p>
      <w:pPr>
        <w:ind w:left="640" w:right="659" w:firstLine="516"/>
        <w:spacing w:after="0" w:line="265" w:lineRule="auto"/>
        <w:rPr>
          <w:sz w:val="20"/>
          <w:szCs w:val="20"/>
          <w:color w:val="auto"/>
        </w:rPr>
      </w:pPr>
      <w:r>
        <w:rPr>
          <w:rFonts w:ascii="Times New Roman" w:cs="Times New Roman" w:eastAsia="Times New Roman" w:hAnsi="Times New Roman"/>
          <w:sz w:val="14"/>
          <w:szCs w:val="14"/>
          <w:color w:val="auto"/>
        </w:rPr>
        <w:t>As of December 31, 2025 and 2024, we did not have any material off-balance sheet arrangements. As part of our ongoing business, we do not participate in transactions that generate relationships with unconsolidated entities or financial partnerships, such as entities often referred to as structured finance or special purpose entities, or SPEs, which would have been established for the purpose of facilitating off-balance sheet arrangements or other contractually narrow or limited purposes. As of December 31, 2025 and 2024, we were not involved in any unconsolidated SPE transactions. We do enter into letters of credit in the normal course of our operations.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Critical Accounting Policies and Use of Estimates</w:t>
      </w:r>
    </w:p>
    <w:p>
      <w:pPr>
        <w:spacing w:after="0" w:line="99" w:lineRule="exact"/>
        <w:rPr>
          <w:sz w:val="20"/>
          <w:szCs w:val="20"/>
          <w:color w:val="auto"/>
        </w:rPr>
      </w:pPr>
    </w:p>
    <w:p>
      <w:pPr>
        <w:ind w:left="640" w:right="659" w:firstLine="516"/>
        <w:spacing w:after="0" w:line="265" w:lineRule="auto"/>
        <w:rPr>
          <w:sz w:val="20"/>
          <w:szCs w:val="20"/>
          <w:color w:val="auto"/>
        </w:rPr>
      </w:pPr>
      <w:r>
        <w:rPr>
          <w:rFonts w:ascii="Times New Roman" w:cs="Times New Roman" w:eastAsia="Times New Roman" w:hAnsi="Times New Roman"/>
          <w:sz w:val="14"/>
          <w:szCs w:val="14"/>
          <w:color w:val="auto"/>
        </w:rPr>
        <w:t>In preparing our consolidated financial statements in conformity with U.S. GAAP, we must use estimates and assumptions that affect the reported amounts of assets and liabilities and related disclosures and the reported amounts of revenue and expenses. In general, our estimates are based on historical experience and various other assumptions we believe are reasonable under the circumstances. We evaluate our estimates on an ongoing basis and make changes to the estimates and related disclosures as experience develops or new information becomes known. Actual results could differ from those estimates.</w:t>
      </w:r>
    </w:p>
    <w:p>
      <w:pPr>
        <w:spacing w:after="0" w:line="56" w:lineRule="exact"/>
        <w:rPr>
          <w:sz w:val="20"/>
          <w:szCs w:val="20"/>
          <w:color w:val="auto"/>
        </w:rPr>
      </w:pPr>
    </w:p>
    <w:p>
      <w:pPr>
        <w:ind w:left="640" w:right="799" w:firstLine="516"/>
        <w:spacing w:after="0" w:line="268" w:lineRule="auto"/>
        <w:rPr>
          <w:sz w:val="20"/>
          <w:szCs w:val="20"/>
          <w:color w:val="auto"/>
        </w:rPr>
      </w:pPr>
      <w:r>
        <w:rPr>
          <w:rFonts w:ascii="Times New Roman" w:cs="Times New Roman" w:eastAsia="Times New Roman" w:hAnsi="Times New Roman"/>
          <w:sz w:val="14"/>
          <w:szCs w:val="14"/>
          <w:color w:val="auto"/>
        </w:rPr>
        <w:t>We consider our critical accounting policies and estimates to be those that involve significant judgments and uncertainties and may potentially result in materially different results under different assumptions and conditions. See Note 1 “Significant Accounting Policies” to our audited consolidated financial statements and related notes included elsewhere in this Annual Report on Form 10-K for a summary of all of our significant accounting policies.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99" w:lineRule="exact"/>
        <w:rPr>
          <w:sz w:val="20"/>
          <w:szCs w:val="20"/>
          <w:color w:val="auto"/>
        </w:rPr>
      </w:pPr>
    </w:p>
    <w:p>
      <w:pPr>
        <w:ind w:left="640" w:right="719" w:firstLine="516"/>
        <w:spacing w:after="0" w:line="263" w:lineRule="auto"/>
        <w:rPr>
          <w:sz w:val="20"/>
          <w:szCs w:val="20"/>
          <w:color w:val="auto"/>
        </w:rPr>
      </w:pPr>
      <w:r>
        <w:rPr>
          <w:rFonts w:ascii="Times New Roman" w:cs="Times New Roman" w:eastAsia="Times New Roman" w:hAnsi="Times New Roman"/>
          <w:sz w:val="14"/>
          <w:szCs w:val="14"/>
          <w:color w:val="auto"/>
        </w:rPr>
        <w:t>The Company recognizes the amount of revenue to which it expects to be entitled for the transfer of promised goods or services to customers. For transactions involving the transfer of goods, revenues are primarily recognized when the customer obtains control of the products sold, which is generally upon shipment or delivery, depending on the delivery terms specified in the sales agreement. For transactions exclusively involving provision of services, revenues are recognized over time based on an appropriate measure of progress. Additionally, as a policy, where we are required to collect sales taxes from our customers, revenue is recognized net of any taxes collected, and the sales tax amounts are recorded as a liability until remitted to the governmental taxing authorities.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3" w:name="page84"/>
    <w:bookmarkEnd w:id="8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919" w:firstLine="516"/>
        <w:spacing w:after="0" w:line="274" w:lineRule="auto"/>
        <w:rPr>
          <w:sz w:val="20"/>
          <w:szCs w:val="20"/>
          <w:color w:val="auto"/>
        </w:rPr>
      </w:pPr>
      <w:r>
        <w:rPr>
          <w:rFonts w:ascii="Times New Roman" w:cs="Times New Roman" w:eastAsia="Times New Roman" w:hAnsi="Times New Roman"/>
          <w:sz w:val="14"/>
          <w:szCs w:val="14"/>
          <w:color w:val="auto"/>
        </w:rPr>
        <w:t>Revenues and the associated receivables are based upon the actual reimbursements to be received and include contractual allowances based upon historical trends, contractual reimbursement terms, and other factors which may impact ultimate reimbursement. Amounts are adjusted to actual reimbursed amounts based upon cash receipts.</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Pharmacy Solutions</w:t>
      </w:r>
    </w:p>
    <w:p>
      <w:pPr>
        <w:spacing w:after="0" w:line="99" w:lineRule="exact"/>
        <w:rPr>
          <w:sz w:val="20"/>
          <w:szCs w:val="20"/>
          <w:color w:val="auto"/>
        </w:rPr>
      </w:pPr>
    </w:p>
    <w:p>
      <w:pPr>
        <w:ind w:left="640" w:right="719" w:firstLine="516"/>
        <w:spacing w:after="0" w:line="261" w:lineRule="auto"/>
        <w:rPr>
          <w:sz w:val="20"/>
          <w:szCs w:val="20"/>
          <w:color w:val="auto"/>
        </w:rPr>
      </w:pPr>
      <w:r>
        <w:rPr>
          <w:rFonts w:ascii="Times New Roman" w:cs="Times New Roman" w:eastAsia="Times New Roman" w:hAnsi="Times New Roman"/>
          <w:sz w:val="14"/>
          <w:szCs w:val="14"/>
          <w:color w:val="auto"/>
        </w:rPr>
        <w:t>Pharmacy Solutions revenues are generated from the products and services provided in association with the distribution of prescription drugs to consumers primarily under contracts with Prescription Drug Plans, or PDPs, under Medicare Part D, state Medicaid programs, long-term care institutions, third party insurance companies, and private payors. Services provided include individualized medication management and support, staff and patient support programs and solutions, regulatory support, and product delivery. When an order for a prescription is placed with the Company, it creates the performance obligation to deliver a prescription and related services. The performance obligation is satisfied at a point in time upon shipment for specialty pharmacies and upon delivery for other pharmacies. Revenues are recognized at a point in time when the associated performance obligations are satisfied at the contractual rate established at or before the time the performance obligation is satisfied.</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Provider Services</w:t>
      </w:r>
    </w:p>
    <w:p>
      <w:pPr>
        <w:spacing w:after="0" w:line="99" w:lineRule="exact"/>
        <w:rPr>
          <w:sz w:val="20"/>
          <w:szCs w:val="20"/>
          <w:color w:val="auto"/>
        </w:rPr>
      </w:pPr>
    </w:p>
    <w:p>
      <w:pPr>
        <w:ind w:left="640" w:right="679" w:firstLine="516"/>
        <w:spacing w:after="0" w:line="259" w:lineRule="auto"/>
        <w:rPr>
          <w:sz w:val="20"/>
          <w:szCs w:val="20"/>
          <w:color w:val="auto"/>
        </w:rPr>
      </w:pPr>
      <w:r>
        <w:rPr>
          <w:rFonts w:ascii="Times New Roman" w:cs="Times New Roman" w:eastAsia="Times New Roman" w:hAnsi="Times New Roman"/>
          <w:sz w:val="14"/>
          <w:szCs w:val="14"/>
          <w:color w:val="auto"/>
        </w:rPr>
        <w:t>Provider Services revenues are generated from providing care services directly to consumers under contracts with state, local, and other governmental agencies, as well as commercial insurance companies, long-term care insurance policies, private pay customers, and management contracts with private operators. Generally, these contracts, which are negotiated based on current contract practices as appropriate for the payor, establish the terms of a customer relationship, and set the broad range of terms for services to be performed at a stated rate. The contracts do not give rise to rights and obligations until a service request is placed with the Company. Contract terms vary but generally are for one year or less with available renewal options and a 30 – 60-day reimbursement period. When a service request is placed with the Company, it creates the performance obligation to provide a defined quantity of service hours per patient. Performance obligations to deliver patient care services are satisfied over time and revenue is recognized using a time-based input method to measure progress against the contract between the Company and the customer, given that consumers simultaneously receive and consume the benefits provided by the Company as the services are performed. Revenues are recognized over a period of time as the services are rendered at the contractual rate established at or before the time services are rendered; thus, there are no forms of variable consideration associated with the various revenue streams.</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Accounts Receivable and Allowance for Credit Losses</w:t>
      </w:r>
    </w:p>
    <w:p>
      <w:pPr>
        <w:spacing w:after="0" w:line="99" w:lineRule="exact"/>
        <w:rPr>
          <w:sz w:val="20"/>
          <w:szCs w:val="20"/>
          <w:color w:val="auto"/>
        </w:rPr>
      </w:pPr>
    </w:p>
    <w:p>
      <w:pPr>
        <w:ind w:left="640" w:right="779" w:firstLine="516"/>
        <w:spacing w:after="0" w:line="260" w:lineRule="auto"/>
        <w:rPr>
          <w:sz w:val="20"/>
          <w:szCs w:val="20"/>
          <w:color w:val="auto"/>
        </w:rPr>
      </w:pPr>
      <w:r>
        <w:rPr>
          <w:rFonts w:ascii="Times New Roman" w:cs="Times New Roman" w:eastAsia="Times New Roman" w:hAnsi="Times New Roman"/>
          <w:sz w:val="14"/>
          <w:szCs w:val="14"/>
          <w:color w:val="auto"/>
        </w:rPr>
        <w:t>Accounts receivable primarily consist of amounts due from PDPs under Medicare Part D, institutional healthcare providers, state Medicaid programs, other government agencies, third-party insurance companies, and private payors. The Company performs a periodic analysis to review the valuation of accounts receivable and collectability of outstanding balances. Management’s evaluation takes into consideration factors such as historical bad debt experience, business and economic conditions, trends in healthcare coverage, other collection indicators, and information about specific receivables. The Company’s evaluation also considers the age and composition of the outstanding amounts in determining their estimated net realizable value. The Company’s ability to collect outstanding receivables is critical to its results of operations and cash flows. To provide for accounts receivable that could become uncollectible in the future, the Company establishes an allowance for credit losses to reduce the carrying value of such receivables to the extent it is probable that a portion or all of a particular account will not be collected, with the related expense recorded as a component of selling, general, and administrative expenses.</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Goodwill and Intangible Assets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Goodwill Impairment Analyses</w:t>
      </w:r>
    </w:p>
    <w:p>
      <w:pPr>
        <w:spacing w:after="0" w:line="99" w:lineRule="exact"/>
        <w:rPr>
          <w:sz w:val="20"/>
          <w:szCs w:val="20"/>
          <w:color w:val="auto"/>
        </w:rPr>
      </w:pPr>
    </w:p>
    <w:p>
      <w:pPr>
        <w:ind w:left="640" w:right="779" w:firstLine="516"/>
        <w:spacing w:after="0" w:line="268" w:lineRule="auto"/>
        <w:rPr>
          <w:sz w:val="20"/>
          <w:szCs w:val="20"/>
          <w:color w:val="auto"/>
        </w:rPr>
      </w:pPr>
      <w:r>
        <w:rPr>
          <w:rFonts w:ascii="Times New Roman" w:cs="Times New Roman" w:eastAsia="Times New Roman" w:hAnsi="Times New Roman"/>
          <w:sz w:val="14"/>
          <w:szCs w:val="14"/>
          <w:color w:val="auto"/>
        </w:rPr>
        <w:t>Goodwill represents the amount of the purchase price in excess of the fair values assigned to the underlying identifiable net assets of acquired businesses. Goodwill is not amortized, but is subject to an annual impairment test. Tests are performed more frequently if events occur or circumstances change, that would more-likely-than-not reduce the fair value of the reporting unit below its carrying amount.</w:t>
      </w:r>
    </w:p>
    <w:p>
      <w:pPr>
        <w:spacing w:after="0" w:line="54" w:lineRule="exact"/>
        <w:rPr>
          <w:sz w:val="20"/>
          <w:szCs w:val="20"/>
          <w:color w:val="auto"/>
        </w:rPr>
      </w:pPr>
    </w:p>
    <w:p>
      <w:pPr>
        <w:ind w:left="640" w:right="679" w:firstLine="516"/>
        <w:spacing w:after="0" w:line="262" w:lineRule="auto"/>
        <w:rPr>
          <w:sz w:val="20"/>
          <w:szCs w:val="20"/>
          <w:color w:val="auto"/>
        </w:rPr>
      </w:pPr>
      <w:r>
        <w:rPr>
          <w:rFonts w:ascii="Times New Roman" w:cs="Times New Roman" w:eastAsia="Times New Roman" w:hAnsi="Times New Roman"/>
          <w:sz w:val="14"/>
          <w:szCs w:val="14"/>
          <w:color w:val="auto"/>
        </w:rPr>
        <w:t>The Company performs an annual goodwill impairment test on October 1st of each year for each reporting unit. The Company first assesses certain qualitative factors to determine whether the existence of events or circumstances would indicate that it is more-likely-than-not that the fair value of a reporting unit was less than its carrying amount. If after assessing the totality of events and circumstances, we were to determine that it is more-likely-than-not that the fair value of a reporting unit is less than its carrying amount, then we would perform quantitative impairment testing. The quantitative impairment test is a single-step process. The process requires the Company to estimate and compare the fair value of a reporting unit to its carrying amount, including goodwill. If the fair value exceeds the carrying amount, the goodwill is not considered impaired. To the extent a reporting unit’s carrying amount exceeds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4" w:name="page85"/>
    <w:bookmarkEnd w:id="8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1019"/>
        <w:spacing w:after="0" w:line="292" w:lineRule="auto"/>
        <w:rPr>
          <w:sz w:val="20"/>
          <w:szCs w:val="20"/>
          <w:color w:val="auto"/>
        </w:rPr>
      </w:pPr>
      <w:r>
        <w:rPr>
          <w:rFonts w:ascii="Times New Roman" w:cs="Times New Roman" w:eastAsia="Times New Roman" w:hAnsi="Times New Roman"/>
          <w:sz w:val="14"/>
          <w:szCs w:val="14"/>
          <w:color w:val="auto"/>
        </w:rPr>
        <w:t>its fair value, the reporting unit’s goodwill is deemed impaired, and an impairment charge is recognized based on the excess of a reporting unit’s carrying amount over its fair value.</w:t>
      </w:r>
    </w:p>
    <w:p>
      <w:pPr>
        <w:spacing w:after="0" w:line="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A reporting unit is either an operating segment or one level below the operating segment. The Company has six reporting</w:t>
      </w:r>
    </w:p>
    <w:p>
      <w:pPr>
        <w:spacing w:after="0" w:line="25" w:lineRule="exact"/>
        <w:rPr>
          <w:sz w:val="20"/>
          <w:szCs w:val="20"/>
          <w:color w:val="auto"/>
        </w:rPr>
      </w:pPr>
    </w:p>
    <w:p>
      <w:pPr>
        <w:ind w:left="640" w:right="1119"/>
        <w:spacing w:after="0" w:line="272" w:lineRule="auto"/>
        <w:rPr>
          <w:sz w:val="20"/>
          <w:szCs w:val="20"/>
          <w:color w:val="auto"/>
        </w:rPr>
      </w:pPr>
      <w:r>
        <w:rPr>
          <w:rFonts w:ascii="Times New Roman" w:cs="Times New Roman" w:eastAsia="Times New Roman" w:hAnsi="Times New Roman"/>
          <w:sz w:val="14"/>
          <w:szCs w:val="14"/>
          <w:color w:val="auto"/>
        </w:rPr>
        <w:t>units: Institutional Pharmacy, Specialty Solutions, Home Infusion, Hospice Pharmacy, Behavioral Health, and Home Health &amp; Therapies.</w:t>
      </w:r>
    </w:p>
    <w:p>
      <w:pPr>
        <w:spacing w:after="0" w:line="51" w:lineRule="exact"/>
        <w:rPr>
          <w:sz w:val="20"/>
          <w:szCs w:val="20"/>
          <w:color w:val="auto"/>
        </w:rPr>
      </w:pPr>
    </w:p>
    <w:p>
      <w:pPr>
        <w:ind w:left="640" w:right="679" w:firstLine="551"/>
        <w:spacing w:after="0" w:line="274" w:lineRule="auto"/>
        <w:rPr>
          <w:sz w:val="20"/>
          <w:szCs w:val="20"/>
          <w:color w:val="auto"/>
        </w:rPr>
      </w:pPr>
      <w:r>
        <w:rPr>
          <w:rFonts w:ascii="Times New Roman" w:cs="Times New Roman" w:eastAsia="Times New Roman" w:hAnsi="Times New Roman"/>
          <w:sz w:val="14"/>
          <w:szCs w:val="14"/>
          <w:color w:val="auto"/>
        </w:rPr>
        <w:t>In 2025 and 2024, we performed a quantitative assessment of all reporting units as of October 1. We engaged a third-party valuation firm to assist in calculating each reporting unit’s fair value, which is derived using a combination of both income and market approaches. The material assumptions underlying the estimate of fair value of each reporting unit included the following:</w:t>
      </w:r>
    </w:p>
    <w:p>
      <w:pPr>
        <w:spacing w:after="0" w:line="50" w:lineRule="exact"/>
        <w:rPr>
          <w:sz w:val="20"/>
          <w:szCs w:val="20"/>
          <w:color w:val="auto"/>
        </w:rPr>
      </w:pPr>
    </w:p>
    <w:p>
      <w:pPr>
        <w:ind w:left="1340" w:right="879" w:hanging="352"/>
        <w:spacing w:after="0" w:line="268" w:lineRule="auto"/>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cash flow assumptions—the projections for future cash flows utilized in the model were derived from historical experience and assumptions regarding future growth and profitability of each reporting unit. These projections are consistent with our operating budget and strategic plan. Beyond the forecasted period, a long-term growth rate was utilized to determine a terminal value that reflects our estimate of stable and perpetual growth.</w:t>
      </w:r>
    </w:p>
    <w:p>
      <w:pPr>
        <w:spacing w:after="0" w:line="54" w:lineRule="exact"/>
        <w:rPr>
          <w:rFonts w:ascii="Times New Roman" w:cs="Times New Roman" w:eastAsia="Times New Roman" w:hAnsi="Times New Roman"/>
          <w:sz w:val="14"/>
          <w:szCs w:val="14"/>
          <w:color w:val="auto"/>
        </w:rPr>
      </w:pPr>
    </w:p>
    <w:p>
      <w:pPr>
        <w:jc w:val="both"/>
        <w:ind w:left="1340" w:right="699" w:hanging="352"/>
        <w:spacing w:after="0" w:line="268" w:lineRule="auto"/>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cost of capital (WACC)—the WACC is the rate used to discount each reporting unit’s estimated future cash flows. The WACC is calculated based on a proportionate weighting of the cost of debt and equity. The cost of equity is based on a capital asset pricing model and includes a company-specific risk premium to capture the perceived risks and uncertainties associated with each reporting unit’s projected cash flows.</w:t>
      </w:r>
    </w:p>
    <w:p>
      <w:pPr>
        <w:spacing w:after="0" w:line="54" w:lineRule="exact"/>
        <w:rPr>
          <w:rFonts w:ascii="Times New Roman" w:cs="Times New Roman" w:eastAsia="Times New Roman" w:hAnsi="Times New Roman"/>
          <w:sz w:val="14"/>
          <w:szCs w:val="14"/>
          <w:color w:val="auto"/>
        </w:rPr>
      </w:pPr>
    </w:p>
    <w:p>
      <w:pPr>
        <w:ind w:left="1340" w:right="739" w:hanging="352"/>
        <w:spacing w:after="0" w:line="274" w:lineRule="auto"/>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approach—the market approach measures the value of an asset through the analysis of publicly traded companies or present sales of similar businesses. The analysis entails measuring the multiple of sales and/or EBITDA at which the comparable companies are currently trading or were purchased.</w:t>
      </w:r>
    </w:p>
    <w:p>
      <w:pPr>
        <w:spacing w:after="0" w:line="50" w:lineRule="exact"/>
        <w:rPr>
          <w:rFonts w:ascii="Times New Roman" w:cs="Times New Roman" w:eastAsia="Times New Roman" w:hAnsi="Times New Roman"/>
          <w:sz w:val="14"/>
          <w:szCs w:val="14"/>
          <w:color w:val="auto"/>
        </w:rPr>
      </w:pPr>
    </w:p>
    <w:p>
      <w:pPr>
        <w:ind w:left="1340" w:right="919" w:hanging="352"/>
        <w:spacing w:after="0" w:line="292" w:lineRule="auto"/>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Equal weighting was applied to the discounted cash flow analysis or income approach (50%) and the market approach (50%).</w:t>
      </w:r>
    </w:p>
    <w:p>
      <w:pPr>
        <w:spacing w:after="0" w:line="124" w:lineRule="exact"/>
        <w:rPr>
          <w:sz w:val="20"/>
          <w:szCs w:val="20"/>
          <w:color w:val="auto"/>
        </w:rPr>
      </w:pPr>
    </w:p>
    <w:p>
      <w:pPr>
        <w:ind w:left="640" w:right="759"/>
        <w:spacing w:after="0" w:line="292" w:lineRule="auto"/>
        <w:rPr>
          <w:sz w:val="20"/>
          <w:szCs w:val="20"/>
          <w:color w:val="auto"/>
        </w:rPr>
      </w:pPr>
      <w:r>
        <w:rPr>
          <w:rFonts w:ascii="Times New Roman" w:cs="Times New Roman" w:eastAsia="Times New Roman" w:hAnsi="Times New Roman"/>
          <w:sz w:val="14"/>
          <w:szCs w:val="14"/>
          <w:color w:val="auto"/>
        </w:rPr>
        <w:t>Our 2025 and 2024 goodwill impairment analyses concluded that the fair value of each reporting unit was in excess of the carrying amount of each reporting unit. Subsequent to completing each goodwill impairment test, no indicators of impairment were identified.</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Intangible Impairment Analyses</w:t>
      </w:r>
    </w:p>
    <w:p>
      <w:pPr>
        <w:spacing w:after="0" w:line="99" w:lineRule="exact"/>
        <w:rPr>
          <w:sz w:val="20"/>
          <w:szCs w:val="20"/>
          <w:color w:val="auto"/>
        </w:rPr>
      </w:pPr>
    </w:p>
    <w:p>
      <w:pPr>
        <w:ind w:left="640" w:right="659" w:firstLine="516"/>
        <w:spacing w:after="0" w:line="261" w:lineRule="auto"/>
        <w:rPr>
          <w:sz w:val="20"/>
          <w:szCs w:val="20"/>
          <w:color w:val="auto"/>
        </w:rPr>
      </w:pPr>
      <w:r>
        <w:rPr>
          <w:rFonts w:ascii="Times New Roman" w:cs="Times New Roman" w:eastAsia="Times New Roman" w:hAnsi="Times New Roman"/>
          <w:sz w:val="14"/>
          <w:szCs w:val="14"/>
          <w:color w:val="auto"/>
        </w:rPr>
        <w:t>The Company’s intangible assets are comprised primarily of customer relationships, trade names, and definitive-lived licenses, which are amortized on a straight-line basis over their estimated useful lives, which is generally two to twenty years. The Company’s indefinite-lived intangible assets are comprised of indefinite lived licenses, which are reviewed for impairment annually or more frequently if events occur or circumstances change that would more-likely-than-not reduce the fair value of the intangible asset below its carrying amount. We elected to perform a qualitative assessment for our intangible assets for our annual impairment test in the fourth quarter of 2025 and 2024. As a result of our qualitative analyses, we determined that it was more-likely-than-not that the fair values of our indefinite-lived intangible assets were greater than their carrying values. We recorded intangible impairment of $10.8 million and $1.7 million related to definite-lived intangible licenses for the years ended December 31, 2025 and 2024, respectively.</w:t>
      </w:r>
    </w:p>
    <w:p>
      <w:pPr>
        <w:spacing w:after="0" w:line="232" w:lineRule="exact"/>
        <w:rPr>
          <w:sz w:val="20"/>
          <w:szCs w:val="20"/>
          <w:color w:val="auto"/>
        </w:rPr>
      </w:pPr>
    </w:p>
    <w:p>
      <w:pPr>
        <w:ind w:left="640" w:right="679" w:firstLine="516"/>
        <w:spacing w:after="0" w:line="263" w:lineRule="auto"/>
        <w:rPr>
          <w:sz w:val="20"/>
          <w:szCs w:val="20"/>
          <w:color w:val="auto"/>
        </w:rPr>
      </w:pPr>
      <w:r>
        <w:rPr>
          <w:rFonts w:ascii="Times New Roman" w:cs="Times New Roman" w:eastAsia="Times New Roman" w:hAnsi="Times New Roman"/>
          <w:sz w:val="14"/>
          <w:szCs w:val="14"/>
          <w:color w:val="auto"/>
        </w:rPr>
        <w:t>The estimates and assumptions we use to estimate fair values when performing quantitative assessments are highly subjective judgments based on our experience and knowledge of our operations. Significant changes in the assumptions used in our analysis could result in an impairment charge related to goodwill or the indefinite-lived intangible assets. Circumstances that could result in changes to future estimates and assumptions include, but are not limited to, expectations of lower revenue growth, which can be caused by a variety of factors, fluctuations in comparable company and acquisition market multiples, increases in income tax rates, and increases in discount rates.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Self-insurance</w:t>
      </w:r>
    </w:p>
    <w:p>
      <w:pPr>
        <w:spacing w:after="0" w:line="99" w:lineRule="exact"/>
        <w:rPr>
          <w:sz w:val="20"/>
          <w:szCs w:val="20"/>
          <w:color w:val="auto"/>
        </w:rPr>
      </w:pPr>
    </w:p>
    <w:p>
      <w:pPr>
        <w:ind w:left="640" w:right="779" w:firstLine="516"/>
        <w:spacing w:after="0" w:line="268" w:lineRule="auto"/>
        <w:rPr>
          <w:sz w:val="20"/>
          <w:szCs w:val="20"/>
          <w:color w:val="auto"/>
        </w:rPr>
      </w:pPr>
      <w:r>
        <w:rPr>
          <w:rFonts w:ascii="Times New Roman" w:cs="Times New Roman" w:eastAsia="Times New Roman" w:hAnsi="Times New Roman"/>
          <w:sz w:val="14"/>
          <w:szCs w:val="14"/>
          <w:color w:val="auto"/>
        </w:rPr>
        <w:t>The Company is self-insured for a substantial portion of the Company’s general and professional liability, automobile liability, workers’ compensation risks, and health benefits, subject to certain stop loss coverage at a high level of losses. Given the policy limits and high deductibles and/or self-insured retentions on many of the Company’s insurance programs, the vast majority of claims may not be paid by third-party insurance.</w:t>
      </w:r>
    </w:p>
    <w:p>
      <w:pPr>
        <w:spacing w:after="0" w:line="54" w:lineRule="exact"/>
        <w:rPr>
          <w:sz w:val="20"/>
          <w:szCs w:val="20"/>
          <w:color w:val="auto"/>
        </w:rPr>
      </w:pPr>
    </w:p>
    <w:p>
      <w:pPr>
        <w:ind w:left="640" w:right="659" w:firstLine="516"/>
        <w:spacing w:after="0" w:line="265" w:lineRule="auto"/>
        <w:rPr>
          <w:sz w:val="20"/>
          <w:szCs w:val="20"/>
          <w:color w:val="auto"/>
        </w:rPr>
      </w:pPr>
      <w:r>
        <w:rPr>
          <w:rFonts w:ascii="Times New Roman" w:cs="Times New Roman" w:eastAsia="Times New Roman" w:hAnsi="Times New Roman"/>
          <w:sz w:val="14"/>
          <w:szCs w:val="14"/>
          <w:color w:val="auto"/>
        </w:rPr>
        <w:t>The Company’s self-insured liabilities contain uncertainties because management must make assumptions and apply judgment to estimate the ultimate cost of reported claims and claims incurred but not reported as of the balance sheet date. The Company’s provisions for losses for workers’ compensation and health benefit risks are based upon actuarially determined estimates and include an amount determined from reported claims and an amount based on past experiences for losses incurred but not reported. The Company’s provisions for general and professional and automobile liabilities are recorded on a claims-made basis, which includes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5" w:name="page86"/>
    <w:bookmarkEnd w:id="8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939"/>
        <w:spacing w:after="0" w:line="292" w:lineRule="auto"/>
        <w:rPr>
          <w:sz w:val="20"/>
          <w:szCs w:val="20"/>
          <w:color w:val="auto"/>
        </w:rPr>
      </w:pPr>
      <w:r>
        <w:rPr>
          <w:rFonts w:ascii="Times New Roman" w:cs="Times New Roman" w:eastAsia="Times New Roman" w:hAnsi="Times New Roman"/>
          <w:sz w:val="14"/>
          <w:szCs w:val="14"/>
          <w:color w:val="auto"/>
        </w:rPr>
        <w:t>estimates of fully developed losses for both reported and unreported claims. Accruals for general and professional and automobile liabilities are based on analyses performed internally by management.</w:t>
      </w:r>
    </w:p>
    <w:p>
      <w:pPr>
        <w:spacing w:after="0" w:line="38" w:lineRule="exact"/>
        <w:rPr>
          <w:sz w:val="20"/>
          <w:szCs w:val="20"/>
          <w:color w:val="auto"/>
        </w:rPr>
      </w:pPr>
    </w:p>
    <w:p>
      <w:pPr>
        <w:ind w:left="640" w:right="699" w:firstLine="516"/>
        <w:spacing w:after="0" w:line="265" w:lineRule="auto"/>
        <w:rPr>
          <w:sz w:val="20"/>
          <w:szCs w:val="20"/>
          <w:color w:val="auto"/>
        </w:rPr>
      </w:pPr>
      <w:r>
        <w:rPr>
          <w:rFonts w:ascii="Times New Roman" w:cs="Times New Roman" w:eastAsia="Times New Roman" w:hAnsi="Times New Roman"/>
          <w:sz w:val="14"/>
          <w:szCs w:val="14"/>
          <w:color w:val="auto"/>
        </w:rPr>
        <w:t>On a quarterly basis, the Company evaluates the assumptions and the valuations to determine the adequacy of the self-insurance liabilities. The following are certain of the key assumptions and other factors that significantly influence the Company’s estimate of self-insurance liabilities: historical claims experience; trending of loss development factors; trends in the frequency and severity of claims; coverage limits of third-party insurance; demographic information; medical cost inflation; and payroll dollars. Any adjustments to the liabilities are reflected in earnings in the period identified.</w:t>
      </w:r>
    </w:p>
    <w:p>
      <w:pPr>
        <w:spacing w:after="0" w:line="56" w:lineRule="exact"/>
        <w:rPr>
          <w:sz w:val="20"/>
          <w:szCs w:val="20"/>
          <w:color w:val="auto"/>
        </w:rPr>
      </w:pPr>
    </w:p>
    <w:p>
      <w:pPr>
        <w:ind w:left="640" w:right="779" w:firstLine="516"/>
        <w:spacing w:after="0" w:line="268" w:lineRule="auto"/>
        <w:rPr>
          <w:sz w:val="20"/>
          <w:szCs w:val="20"/>
          <w:color w:val="auto"/>
        </w:rPr>
      </w:pPr>
      <w:r>
        <w:rPr>
          <w:rFonts w:ascii="Times New Roman" w:cs="Times New Roman" w:eastAsia="Times New Roman" w:hAnsi="Times New Roman"/>
          <w:sz w:val="14"/>
          <w:szCs w:val="14"/>
          <w:color w:val="auto"/>
        </w:rPr>
        <w:t>The time period to resolve claims can vary depending upon the jurisdiction, the nature, and the form of resolution of the claims. The estimation of the timing of payments beyond a year can vary significantly. In addition, if current and future claims differ from historical trends, our estimated liabilities for self-insured claims may be significantly affected. The Company’s self-insurance liabilities for workers’ compensation are discounted based on actuarial estimates of claim payment patterns.</w:t>
      </w:r>
    </w:p>
    <w:p>
      <w:pPr>
        <w:spacing w:after="0" w:line="54" w:lineRule="exact"/>
        <w:rPr>
          <w:sz w:val="20"/>
          <w:szCs w:val="20"/>
          <w:color w:val="auto"/>
        </w:rPr>
      </w:pPr>
    </w:p>
    <w:p>
      <w:pPr>
        <w:ind w:left="640" w:right="719" w:firstLine="516"/>
        <w:spacing w:after="0" w:line="268" w:lineRule="auto"/>
        <w:rPr>
          <w:sz w:val="20"/>
          <w:szCs w:val="20"/>
          <w:color w:val="auto"/>
        </w:rPr>
      </w:pPr>
      <w:r>
        <w:rPr>
          <w:rFonts w:ascii="Times New Roman" w:cs="Times New Roman" w:eastAsia="Times New Roman" w:hAnsi="Times New Roman"/>
          <w:sz w:val="14"/>
          <w:szCs w:val="14"/>
          <w:color w:val="auto"/>
        </w:rPr>
        <w:t>The Company believes the provision for loss is adequate for claims that have been reported but not paid and for claims that have been incurred but not reported. Due to the considerable variability that is inherent in such estimates, there can be no assurance the ultimate liability will not exceed management’s estimates. If actual results are not consistent with the assumptions and judgments, the Company may be exposed to gains or losses that could be material.</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99" w:lineRule="exact"/>
        <w:rPr>
          <w:sz w:val="20"/>
          <w:szCs w:val="20"/>
          <w:color w:val="auto"/>
        </w:rPr>
      </w:pPr>
    </w:p>
    <w:p>
      <w:pPr>
        <w:ind w:left="640" w:right="979" w:firstLine="516"/>
        <w:spacing w:after="0" w:line="292" w:lineRule="auto"/>
        <w:rPr>
          <w:sz w:val="20"/>
          <w:szCs w:val="20"/>
          <w:color w:val="auto"/>
        </w:rPr>
      </w:pPr>
      <w:r>
        <w:rPr>
          <w:rFonts w:ascii="Times New Roman" w:cs="Times New Roman" w:eastAsia="Times New Roman" w:hAnsi="Times New Roman"/>
          <w:sz w:val="14"/>
          <w:szCs w:val="14"/>
          <w:color w:val="auto"/>
        </w:rPr>
        <w:t>Refer to Note 1 “Significant Accounting Policies” within our audited consolidated financial statements and related notes included elsewhere in this Annual Report on Form 10-K for further discussion.</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Impact of Inflation</w:t>
      </w:r>
    </w:p>
    <w:p>
      <w:pPr>
        <w:spacing w:after="0" w:line="101" w:lineRule="exact"/>
        <w:rPr>
          <w:sz w:val="20"/>
          <w:szCs w:val="20"/>
          <w:color w:val="auto"/>
        </w:rPr>
      </w:pPr>
    </w:p>
    <w:p>
      <w:pPr>
        <w:ind w:left="640" w:right="779" w:firstLine="516"/>
        <w:spacing w:after="0" w:line="268" w:lineRule="auto"/>
        <w:rPr>
          <w:sz w:val="20"/>
          <w:szCs w:val="20"/>
          <w:color w:val="auto"/>
        </w:rPr>
      </w:pPr>
      <w:r>
        <w:rPr>
          <w:rFonts w:ascii="Times New Roman" w:cs="Times New Roman" w:eastAsia="Times New Roman" w:hAnsi="Times New Roman"/>
          <w:sz w:val="14"/>
          <w:szCs w:val="14"/>
          <w:color w:val="auto"/>
        </w:rPr>
        <w:t>Wages and other expenses increase during periods of inflation and when labor shortages occur in the marketplace. The impact of inflation on the Company is primarily in the area of labor costs. The healthcare industry is labor intensive. There can be no guarantee we will not experience increases in the cost of labor, particularly given the shortage of qualified caregivers in our markets, and the demand for homecare services is expected to grow.</w:t>
      </w:r>
    </w:p>
    <w:p>
      <w:pPr>
        <w:spacing w:after="0" w:line="54" w:lineRule="exact"/>
        <w:rPr>
          <w:sz w:val="20"/>
          <w:szCs w:val="20"/>
          <w:color w:val="auto"/>
        </w:rPr>
      </w:pPr>
    </w:p>
    <w:p>
      <w:pPr>
        <w:ind w:left="640" w:right="779" w:firstLine="516"/>
        <w:spacing w:after="0" w:line="268" w:lineRule="auto"/>
        <w:rPr>
          <w:sz w:val="20"/>
          <w:szCs w:val="20"/>
          <w:color w:val="auto"/>
        </w:rPr>
      </w:pPr>
      <w:r>
        <w:rPr>
          <w:rFonts w:ascii="Times New Roman" w:cs="Times New Roman" w:eastAsia="Times New Roman" w:hAnsi="Times New Roman"/>
          <w:sz w:val="14"/>
          <w:szCs w:val="14"/>
          <w:color w:val="auto"/>
        </w:rPr>
        <w:t>In addition, increases in healthcare costs are typically higher than inflation and impact our costs under our employee benefit plans. Managing these costs remains a significant challenge and priority for us. While we believe the effects of inflation, if any, and labor shortages on our results of operations and financial condition have not been significant, there can be no guarantee we will not experience the effect of inflation in the future.</w:t>
      </w:r>
    </w:p>
    <w:p>
      <w:pPr>
        <w:spacing w:after="0" w:line="54" w:lineRule="exact"/>
        <w:rPr>
          <w:sz w:val="20"/>
          <w:szCs w:val="20"/>
          <w:color w:val="auto"/>
        </w:rPr>
      </w:pPr>
    </w:p>
    <w:p>
      <w:pPr>
        <w:ind w:left="640" w:right="719" w:firstLine="516"/>
        <w:spacing w:after="0" w:line="268" w:lineRule="auto"/>
        <w:rPr>
          <w:sz w:val="20"/>
          <w:szCs w:val="20"/>
          <w:color w:val="auto"/>
        </w:rPr>
      </w:pPr>
      <w:r>
        <w:rPr>
          <w:rFonts w:ascii="Times New Roman" w:cs="Times New Roman" w:eastAsia="Times New Roman" w:hAnsi="Times New Roman"/>
          <w:sz w:val="14"/>
          <w:szCs w:val="14"/>
          <w:color w:val="auto"/>
        </w:rPr>
        <w:t>In addition, suppliers pass along rising costs to us in the form of higher prices, which impacts us primarily in the area of pharmaceutical drug costs in our Pharmacy Solutions segment. Changes in costs of drugs can be accompanied by a change in rate that we pass along to our customers. Additionally, our supply chain efforts have enabled us to effectively manage and mitigate any inflationary impacts in our supply chain over recent years. However, we cannot predict our ability to cover future cost increases.</w:t>
      </w:r>
    </w:p>
    <w:p>
      <w:pPr>
        <w:spacing w:after="0" w:line="54" w:lineRule="exact"/>
        <w:rPr>
          <w:sz w:val="20"/>
          <w:szCs w:val="20"/>
          <w:color w:val="auto"/>
        </w:rPr>
      </w:pPr>
    </w:p>
    <w:p>
      <w:pPr>
        <w:ind w:left="640" w:right="939" w:firstLine="516"/>
        <w:spacing w:after="0" w:line="292" w:lineRule="auto"/>
        <w:rPr>
          <w:sz w:val="20"/>
          <w:szCs w:val="20"/>
          <w:color w:val="auto"/>
        </w:rPr>
      </w:pPr>
      <w:r>
        <w:rPr>
          <w:rFonts w:ascii="Times New Roman" w:cs="Times New Roman" w:eastAsia="Times New Roman" w:hAnsi="Times New Roman"/>
          <w:sz w:val="14"/>
          <w:szCs w:val="14"/>
          <w:color w:val="auto"/>
        </w:rPr>
        <w:t>We have little or no ability to pass on certain of these increased costs associated with providing services to Medicare and Medicaid patients due to federal and state laws that establish fixed reimbursement rates.</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101" w:lineRule="exact"/>
        <w:rPr>
          <w:sz w:val="20"/>
          <w:szCs w:val="20"/>
          <w:color w:val="auto"/>
        </w:rPr>
      </w:pPr>
    </w:p>
    <w:p>
      <w:pPr>
        <w:jc w:val="both"/>
        <w:ind w:left="640" w:right="659" w:firstLine="516"/>
        <w:spacing w:after="0" w:line="274" w:lineRule="auto"/>
        <w:rPr>
          <w:sz w:val="20"/>
          <w:szCs w:val="20"/>
          <w:color w:val="auto"/>
        </w:rPr>
      </w:pPr>
      <w:r>
        <w:rPr>
          <w:rFonts w:ascii="Times New Roman" w:cs="Times New Roman" w:eastAsia="Times New Roman" w:hAnsi="Times New Roman"/>
          <w:sz w:val="14"/>
          <w:szCs w:val="14"/>
          <w:color w:val="auto"/>
        </w:rPr>
        <w:t>Our Company is exposed to interest rate risk related to changes in interest rates for borrowings under our First Lien Facilities. Although we hedge a portion of our interest rate risk through interest rate swaps, any borrowings under our First Lien in excess of the notional amount of the swaps are subject to variable interest rates.</w:t>
      </w:r>
    </w:p>
    <w:p>
      <w:pPr>
        <w:spacing w:after="0" w:line="50" w:lineRule="exact"/>
        <w:rPr>
          <w:sz w:val="20"/>
          <w:szCs w:val="20"/>
          <w:color w:val="auto"/>
        </w:rPr>
      </w:pPr>
    </w:p>
    <w:p>
      <w:pPr>
        <w:ind w:left="640" w:right="799" w:firstLine="516"/>
        <w:spacing w:after="0" w:line="274" w:lineRule="auto"/>
        <w:rPr>
          <w:sz w:val="20"/>
          <w:szCs w:val="20"/>
          <w:color w:val="auto"/>
        </w:rPr>
      </w:pPr>
      <w:r>
        <w:rPr>
          <w:rFonts w:ascii="Times New Roman" w:cs="Times New Roman" w:eastAsia="Times New Roman" w:hAnsi="Times New Roman"/>
          <w:sz w:val="14"/>
          <w:szCs w:val="14"/>
          <w:color w:val="auto"/>
        </w:rPr>
        <w:t>As of December 31, 2025, our interest rate swaps that were designated as cash flow hedges of interest rate risk had a combined notional value of $1.5 billion. See Note 6 “Debt and Derivatives” within the audited consolidated financial statements and related notes, included elsewhere in the Annual Report on Form 10-K.</w:t>
      </w:r>
    </w:p>
    <w:p>
      <w:pPr>
        <w:spacing w:after="0" w:line="50" w:lineRule="exact"/>
        <w:rPr>
          <w:sz w:val="20"/>
          <w:szCs w:val="20"/>
          <w:color w:val="auto"/>
        </w:rPr>
      </w:pPr>
    </w:p>
    <w:p>
      <w:pPr>
        <w:ind w:left="640" w:right="659" w:firstLine="516"/>
        <w:spacing w:after="0" w:line="265" w:lineRule="auto"/>
        <w:rPr>
          <w:sz w:val="20"/>
          <w:szCs w:val="20"/>
          <w:color w:val="auto"/>
        </w:rPr>
      </w:pPr>
      <w:r>
        <w:rPr>
          <w:rFonts w:ascii="Times New Roman" w:cs="Times New Roman" w:eastAsia="Times New Roman" w:hAnsi="Times New Roman"/>
          <w:sz w:val="14"/>
          <w:szCs w:val="14"/>
          <w:color w:val="auto"/>
        </w:rPr>
        <w:t>The changes in fair value of derivatives designated and that qualify as cash flow hedges are recorded in accumulated other comprehensive income, or AOCI, and are subsequently reclassified into earnings in the period that the hedged forecasted transaction impacts earnings. Amounts reported in AOCI related to derivatives will be reclassified to interest expense, net as interest payments are made on the Company’s variable-rate debt. During the next twelve months, the Company expects approximately $0.8 million of losses will be reclassified into pre-tax earnings out of AOCI.</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6" w:name="page87"/>
    <w:bookmarkEnd w:id="8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640" w:right="899" w:firstLine="516"/>
        <w:spacing w:after="0" w:line="274" w:lineRule="auto"/>
        <w:rPr>
          <w:sz w:val="20"/>
          <w:szCs w:val="20"/>
          <w:color w:val="auto"/>
        </w:rPr>
      </w:pPr>
      <w:r>
        <w:rPr>
          <w:rFonts w:ascii="Times New Roman" w:cs="Times New Roman" w:eastAsia="Times New Roman" w:hAnsi="Times New Roman"/>
          <w:sz w:val="14"/>
          <w:szCs w:val="14"/>
          <w:color w:val="auto"/>
        </w:rPr>
        <w:t>As of December 31, 2025, our debt outstanding was $2.6 billion, of which $1.5 billion is fixed through interest rate swap agreements. A hypothetical 1% increase in interest rates would decrease our net income and our cash flows by $10.2 million on an annual basis based upon our borrowing level at December 31, 2025.</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7" w:name="page88"/>
    <w:bookmarkEnd w:id="8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540" w:type="dxa"/>
            <w:vAlign w:val="bottom"/>
          </w:tcPr>
          <w:p>
            <w:pPr>
              <w:spacing w:after="0"/>
              <w:rPr>
                <w:sz w:val="16"/>
                <w:szCs w:val="16"/>
                <w:color w:val="auto"/>
              </w:rPr>
            </w:pPr>
          </w:p>
        </w:tc>
        <w:tc>
          <w:tcPr>
            <w:tcW w:w="70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1160" w:type="dxa"/>
            <w:vAlign w:val="bottom"/>
          </w:tcPr>
          <w:p>
            <w:pPr>
              <w:spacing w:after="0"/>
              <w:rPr>
                <w:sz w:val="16"/>
                <w:szCs w:val="16"/>
                <w:color w:val="auto"/>
              </w:rPr>
            </w:pPr>
          </w:p>
        </w:tc>
      </w:tr>
      <w:tr>
        <w:trPr>
          <w:trHeight w:val="344"/>
        </w:trPr>
        <w:tc>
          <w:tcPr>
            <w:tcW w:w="540" w:type="dxa"/>
            <w:vAlign w:val="bottom"/>
          </w:tcPr>
          <w:p>
            <w:pPr>
              <w:spacing w:after="0"/>
              <w:rPr>
                <w:sz w:val="24"/>
                <w:szCs w:val="24"/>
                <w:color w:val="auto"/>
              </w:rPr>
            </w:pPr>
          </w:p>
        </w:tc>
        <w:tc>
          <w:tcPr>
            <w:tcW w:w="7080" w:type="dxa"/>
            <w:vAlign w:val="bottom"/>
            <w:gridSpan w:val="8"/>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1160" w:type="dxa"/>
            <w:vAlign w:val="bottom"/>
          </w:tcPr>
          <w:p>
            <w:pPr>
              <w:spacing w:after="0"/>
              <w:rPr>
                <w:sz w:val="24"/>
                <w:szCs w:val="24"/>
                <w:color w:val="auto"/>
              </w:rPr>
            </w:pPr>
          </w:p>
        </w:tc>
      </w:tr>
      <w:tr>
        <w:trPr>
          <w:trHeight w:val="312"/>
        </w:trPr>
        <w:tc>
          <w:tcPr>
            <w:tcW w:w="540" w:type="dxa"/>
            <w:vAlign w:val="bottom"/>
          </w:tcPr>
          <w:p>
            <w:pPr>
              <w:spacing w:after="0"/>
              <w:rPr>
                <w:sz w:val="24"/>
                <w:szCs w:val="24"/>
                <w:color w:val="auto"/>
              </w:rPr>
            </w:pPr>
          </w:p>
        </w:tc>
        <w:tc>
          <w:tcPr>
            <w:tcW w:w="708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w:t>
            </w:r>
            <w:r>
              <w:rPr>
                <w:rFonts w:ascii="Times New Roman" w:cs="Times New Roman" w:eastAsia="Times New Roman" w:hAnsi="Times New Roman"/>
                <w:sz w:val="14"/>
                <w:szCs w:val="14"/>
                <w:color w:val="000000"/>
              </w:rPr>
              <w:t>(PCAOB ID: 185)</w:t>
            </w:r>
          </w:p>
        </w:tc>
        <w:tc>
          <w:tcPr>
            <w:tcW w:w="116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82</w:t>
            </w: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7080" w:type="dxa"/>
            <w:vAlign w:val="bottom"/>
            <w:gridSpan w:val="8"/>
          </w:tcPr>
          <w:p>
            <w:pPr>
              <w:spacing w:after="0" w:line="152" w:lineRule="exact"/>
              <w:rPr>
                <w:sz w:val="20"/>
                <w:szCs w:val="20"/>
                <w:color w:val="auto"/>
              </w:rPr>
            </w:pPr>
            <w:r>
              <w:rPr>
                <w:rFonts w:ascii="Times New Roman" w:cs="Times New Roman" w:eastAsia="Times New Roman" w:hAnsi="Times New Roman"/>
                <w:sz w:val="14"/>
                <w:szCs w:val="14"/>
                <w:color w:val="0000FF"/>
              </w:rPr>
              <w:t>Consolidated Balance Sheets as of December 31, 2025 and 2024</w:t>
            </w:r>
          </w:p>
        </w:tc>
        <w:tc>
          <w:tcPr>
            <w:tcW w:w="1160" w:type="dxa"/>
            <w:vAlign w:val="bottom"/>
          </w:tcPr>
          <w:p>
            <w:pPr>
              <w:jc w:val="right"/>
              <w:ind w:right="448"/>
              <w:spacing w:after="0" w:line="152" w:lineRule="exact"/>
              <w:rPr>
                <w:sz w:val="20"/>
                <w:szCs w:val="20"/>
                <w:color w:val="auto"/>
              </w:rPr>
            </w:pPr>
            <w:r>
              <w:rPr>
                <w:rFonts w:ascii="Times New Roman" w:cs="Times New Roman" w:eastAsia="Times New Roman" w:hAnsi="Times New Roman"/>
                <w:sz w:val="14"/>
                <w:szCs w:val="14"/>
                <w:color w:val="auto"/>
              </w:rPr>
              <w:t>85</w:t>
            </w: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220" w:type="dxa"/>
            <w:vAlign w:val="bottom"/>
            <w:tcBorders>
              <w:right w:val="single" w:sz="8" w:color="0000EE"/>
            </w:tcBorders>
            <w:gridSpan w:val="2"/>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7080" w:type="dxa"/>
            <w:vAlign w:val="bottom"/>
            <w:gridSpan w:val="8"/>
          </w:tcPr>
          <w:p>
            <w:pPr>
              <w:spacing w:after="0" w:line="152" w:lineRule="exact"/>
              <w:rPr>
                <w:sz w:val="20"/>
                <w:szCs w:val="20"/>
                <w:color w:val="auto"/>
              </w:rPr>
            </w:pPr>
            <w:r>
              <w:rPr>
                <w:rFonts w:ascii="Times New Roman" w:cs="Times New Roman" w:eastAsia="Times New Roman" w:hAnsi="Times New Roman"/>
                <w:sz w:val="14"/>
                <w:szCs w:val="14"/>
                <w:color w:val="0000FF"/>
              </w:rPr>
              <w:t>Consolidated Statements of Operations for the years ended December 31, 2025, 2024, and 2023</w:t>
            </w:r>
          </w:p>
        </w:tc>
        <w:tc>
          <w:tcPr>
            <w:tcW w:w="1160" w:type="dxa"/>
            <w:vAlign w:val="bottom"/>
          </w:tcPr>
          <w:p>
            <w:pPr>
              <w:jc w:val="right"/>
              <w:ind w:right="448"/>
              <w:spacing w:after="0" w:line="152" w:lineRule="exact"/>
              <w:rPr>
                <w:sz w:val="20"/>
                <w:szCs w:val="20"/>
                <w:color w:val="auto"/>
              </w:rPr>
            </w:pPr>
            <w:r>
              <w:rPr>
                <w:rFonts w:ascii="Times New Roman" w:cs="Times New Roman" w:eastAsia="Times New Roman" w:hAnsi="Times New Roman"/>
                <w:sz w:val="14"/>
                <w:szCs w:val="14"/>
                <w:color w:val="auto"/>
              </w:rPr>
              <w:t>86</w:t>
            </w: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300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7080" w:type="dxa"/>
            <w:vAlign w:val="bottom"/>
            <w:gridSpan w:val="8"/>
          </w:tcPr>
          <w:p>
            <w:pPr>
              <w:spacing w:after="0" w:line="152" w:lineRule="exact"/>
              <w:rPr>
                <w:sz w:val="20"/>
                <w:szCs w:val="20"/>
                <w:color w:val="auto"/>
              </w:rPr>
            </w:pPr>
            <w:r>
              <w:rPr>
                <w:rFonts w:ascii="Times New Roman" w:cs="Times New Roman" w:eastAsia="Times New Roman" w:hAnsi="Times New Roman"/>
                <w:sz w:val="14"/>
                <w:szCs w:val="14"/>
                <w:color w:val="0000FF"/>
              </w:rPr>
              <w:t>Consolidated Statements of Comprehensive Income (Loss) for the years ended December 31, 2025, 2024, and 2023</w:t>
            </w:r>
          </w:p>
        </w:tc>
        <w:tc>
          <w:tcPr>
            <w:tcW w:w="1160" w:type="dxa"/>
            <w:vAlign w:val="bottom"/>
          </w:tcPr>
          <w:p>
            <w:pPr>
              <w:jc w:val="right"/>
              <w:ind w:right="448"/>
              <w:spacing w:after="0" w:line="152" w:lineRule="exact"/>
              <w:rPr>
                <w:sz w:val="20"/>
                <w:szCs w:val="20"/>
                <w:color w:val="auto"/>
              </w:rPr>
            </w:pPr>
            <w:r>
              <w:rPr>
                <w:rFonts w:ascii="Times New Roman" w:cs="Times New Roman" w:eastAsia="Times New Roman" w:hAnsi="Times New Roman"/>
                <w:sz w:val="14"/>
                <w:szCs w:val="14"/>
                <w:color w:val="auto"/>
              </w:rPr>
              <w:t>87</w:t>
            </w: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302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7080" w:type="dxa"/>
            <w:vAlign w:val="bottom"/>
            <w:gridSpan w:val="8"/>
          </w:tcPr>
          <w:p>
            <w:pPr>
              <w:spacing w:after="0" w:line="152" w:lineRule="exact"/>
              <w:rPr>
                <w:sz w:val="20"/>
                <w:szCs w:val="20"/>
                <w:color w:val="auto"/>
              </w:rPr>
            </w:pPr>
            <w:r>
              <w:rPr>
                <w:rFonts w:ascii="Times New Roman" w:cs="Times New Roman" w:eastAsia="Times New Roman" w:hAnsi="Times New Roman"/>
                <w:sz w:val="14"/>
                <w:szCs w:val="14"/>
                <w:color w:val="0000FF"/>
              </w:rPr>
              <w:t>Consolidated Statements of Shareholders' Equity for the years ended December 31, 2025, 2024 and 2023</w:t>
            </w:r>
          </w:p>
        </w:tc>
        <w:tc>
          <w:tcPr>
            <w:tcW w:w="1160" w:type="dxa"/>
            <w:vAlign w:val="bottom"/>
          </w:tcPr>
          <w:p>
            <w:pPr>
              <w:jc w:val="right"/>
              <w:ind w:right="448"/>
              <w:spacing w:after="0" w:line="152" w:lineRule="exact"/>
              <w:rPr>
                <w:sz w:val="20"/>
                <w:szCs w:val="20"/>
                <w:color w:val="auto"/>
              </w:rPr>
            </w:pPr>
            <w:r>
              <w:rPr>
                <w:rFonts w:ascii="Times New Roman" w:cs="Times New Roman" w:eastAsia="Times New Roman" w:hAnsi="Times New Roman"/>
                <w:sz w:val="14"/>
                <w:szCs w:val="14"/>
                <w:color w:val="auto"/>
              </w:rPr>
              <w:t>88</w:t>
            </w: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302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7080" w:type="dxa"/>
            <w:vAlign w:val="bottom"/>
            <w:gridSpan w:val="8"/>
          </w:tcPr>
          <w:p>
            <w:pPr>
              <w:spacing w:after="0" w:line="152" w:lineRule="exact"/>
              <w:rPr>
                <w:sz w:val="20"/>
                <w:szCs w:val="20"/>
                <w:color w:val="auto"/>
              </w:rPr>
            </w:pPr>
            <w:r>
              <w:rPr>
                <w:rFonts w:ascii="Times New Roman" w:cs="Times New Roman" w:eastAsia="Times New Roman" w:hAnsi="Times New Roman"/>
                <w:sz w:val="14"/>
                <w:szCs w:val="14"/>
                <w:color w:val="0000FF"/>
              </w:rPr>
              <w:t>Consolidated Statements of Cash Flows for the years ended December 31, 2025, 2024, and 2023</w:t>
            </w:r>
          </w:p>
        </w:tc>
        <w:tc>
          <w:tcPr>
            <w:tcW w:w="1160" w:type="dxa"/>
            <w:vAlign w:val="bottom"/>
          </w:tcPr>
          <w:p>
            <w:pPr>
              <w:jc w:val="right"/>
              <w:ind w:right="448"/>
              <w:spacing w:after="0" w:line="152" w:lineRule="exact"/>
              <w:rPr>
                <w:sz w:val="20"/>
                <w:szCs w:val="20"/>
                <w:color w:val="auto"/>
              </w:rPr>
            </w:pPr>
            <w:r>
              <w:rPr>
                <w:rFonts w:ascii="Times New Roman" w:cs="Times New Roman" w:eastAsia="Times New Roman" w:hAnsi="Times New Roman"/>
                <w:sz w:val="14"/>
                <w:szCs w:val="14"/>
                <w:color w:val="auto"/>
              </w:rPr>
              <w:t>89</w:t>
            </w: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3020" w:type="dxa"/>
            <w:vAlign w:val="bottom"/>
            <w:gridSpan w:val="4"/>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7080" w:type="dxa"/>
            <w:vAlign w:val="bottom"/>
            <w:gridSpan w:val="8"/>
          </w:tcPr>
          <w:p>
            <w:pPr>
              <w:spacing w:after="0" w:line="152" w:lineRule="exact"/>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1160" w:type="dxa"/>
            <w:vAlign w:val="bottom"/>
          </w:tcPr>
          <w:p>
            <w:pPr>
              <w:jc w:val="right"/>
              <w:ind w:right="448"/>
              <w:spacing w:after="0" w:line="152" w:lineRule="exact"/>
              <w:rPr>
                <w:sz w:val="20"/>
                <w:szCs w:val="20"/>
                <w:color w:val="auto"/>
              </w:rPr>
            </w:pPr>
            <w:r>
              <w:rPr>
                <w:rFonts w:ascii="Times New Roman" w:cs="Times New Roman" w:eastAsia="Times New Roman" w:hAnsi="Times New Roman"/>
                <w:sz w:val="14"/>
                <w:szCs w:val="14"/>
                <w:color w:val="auto"/>
              </w:rPr>
              <w:t>92</w:t>
            </w:r>
          </w:p>
        </w:tc>
      </w:tr>
      <w:tr>
        <w:trPr>
          <w:trHeight w:val="527"/>
        </w:trPr>
        <w:tc>
          <w:tcPr>
            <w:tcW w:w="540" w:type="dxa"/>
            <w:vAlign w:val="bottom"/>
          </w:tcPr>
          <w:p>
            <w:pPr>
              <w:spacing w:after="0"/>
              <w:rPr>
                <w:sz w:val="24"/>
                <w:szCs w:val="24"/>
                <w:color w:val="auto"/>
              </w:rPr>
            </w:pPr>
          </w:p>
        </w:tc>
        <w:tc>
          <w:tcPr>
            <w:tcW w:w="2480" w:type="dxa"/>
            <w:vAlign w:val="bottom"/>
            <w:tcBorders>
              <w:top w:val="single" w:sz="8" w:color="0000FF"/>
            </w:tcBorders>
          </w:tcPr>
          <w:p>
            <w:pPr>
              <w:spacing w:after="0"/>
              <w:rPr>
                <w:sz w:val="24"/>
                <w:szCs w:val="24"/>
                <w:color w:val="auto"/>
              </w:rPr>
            </w:pPr>
          </w:p>
        </w:tc>
        <w:tc>
          <w:tcPr>
            <w:tcW w:w="3000" w:type="dxa"/>
            <w:vAlign w:val="bottom"/>
            <w:gridSpan w:val="3"/>
          </w:tcPr>
          <w:p>
            <w:pPr>
              <w:jc w:val="right"/>
              <w:ind w:right="1560"/>
              <w:spacing w:after="0"/>
              <w:rPr>
                <w:sz w:val="20"/>
                <w:szCs w:val="20"/>
                <w:color w:val="auto"/>
              </w:rPr>
            </w:pPr>
            <w:r>
              <w:rPr>
                <w:rFonts w:ascii="Times New Roman" w:cs="Times New Roman" w:eastAsia="Times New Roman" w:hAnsi="Times New Roman"/>
                <w:sz w:val="14"/>
                <w:szCs w:val="14"/>
                <w:color w:val="auto"/>
              </w:rPr>
              <w:t>81</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604"/>
        </w:trPr>
        <w:tc>
          <w:tcPr>
            <w:tcW w:w="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8" w:name="page89"/>
    <w:bookmarkEnd w:id="8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231F20"/>
        </w:rPr>
        <w:t>Report of Independent Registered Public Accounting Firm</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To the Shareholders and Board of Directors</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BrightSpring Health Services, Inc.:</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Opinion on the Consolidated Financial Statements</w:t>
      </w:r>
    </w:p>
    <w:p>
      <w:pPr>
        <w:spacing w:after="0" w:line="88" w:lineRule="exact"/>
        <w:rPr>
          <w:sz w:val="20"/>
          <w:szCs w:val="20"/>
          <w:color w:val="auto"/>
        </w:rPr>
      </w:pPr>
    </w:p>
    <w:p>
      <w:pPr>
        <w:ind w:left="640" w:right="699"/>
        <w:spacing w:after="0" w:line="263"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BrightSpring Health Services, Inc. and subsidiaries (the Company) as of December 31, 2025 and 2024, the related consolidated statements of operations, comprehensive income (loss), shareholders’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112" w:lineRule="exact"/>
        <w:rPr>
          <w:sz w:val="20"/>
          <w:szCs w:val="20"/>
          <w:color w:val="auto"/>
        </w:rPr>
      </w:pPr>
    </w:p>
    <w:p>
      <w:pPr>
        <w:ind w:left="640" w:right="699"/>
        <w:spacing w:after="0" w:line="267" w:lineRule="auto"/>
        <w:rPr>
          <w:sz w:val="20"/>
          <w:szCs w:val="20"/>
          <w:color w:val="auto"/>
        </w:rPr>
      </w:pPr>
      <w:r>
        <w:rPr>
          <w:rFonts w:ascii="Times New Roman" w:cs="Times New Roman" w:eastAsia="Times New Roman" w:hAnsi="Times New Roman"/>
          <w:sz w:val="14"/>
          <w:szCs w:val="14"/>
          <w:color w:val="auto"/>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4"/>
          <w:szCs w:val="14"/>
          <w:i w:val="1"/>
          <w:iCs w:val="1"/>
          <w:color w:val="auto"/>
        </w:rPr>
        <w:t>Internal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Control – Integrated Framework (2013) </w:t>
      </w:r>
      <w:r>
        <w:rPr>
          <w:rFonts w:ascii="Times New Roman" w:cs="Times New Roman" w:eastAsia="Times New Roman" w:hAnsi="Times New Roman"/>
          <w:sz w:val="14"/>
          <w:szCs w:val="14"/>
          <w:color w:val="auto"/>
        </w:rPr>
        <w:t>issued by the Committee of Sponsoring Organizations of the Treadway Commission, and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report dated February 27, 2026expressed an unqualified opinion on the effectiveness of the Company’s internal control over financial reporting.</w:t>
      </w:r>
    </w:p>
    <w:p>
      <w:pPr>
        <w:spacing w:after="0" w:line="2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Basis for Opinion</w:t>
      </w:r>
    </w:p>
    <w:p>
      <w:pPr>
        <w:spacing w:after="0" w:line="77" w:lineRule="exact"/>
        <w:rPr>
          <w:sz w:val="20"/>
          <w:szCs w:val="20"/>
          <w:color w:val="auto"/>
        </w:rPr>
      </w:pPr>
    </w:p>
    <w:p>
      <w:pPr>
        <w:ind w:left="640" w:right="719"/>
        <w:spacing w:after="0" w:line="268"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ind w:left="640" w:right="679"/>
        <w:spacing w:after="0" w:line="262"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Critical Audit Matter</w:t>
      </w:r>
    </w:p>
    <w:p>
      <w:pPr>
        <w:spacing w:after="0" w:line="88" w:lineRule="exact"/>
        <w:rPr>
          <w:sz w:val="20"/>
          <w:szCs w:val="20"/>
          <w:color w:val="auto"/>
        </w:rPr>
      </w:pPr>
    </w:p>
    <w:p>
      <w:pPr>
        <w:ind w:left="640" w:right="699"/>
        <w:spacing w:after="0" w:line="263"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1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i w:val="1"/>
          <w:iCs w:val="1"/>
          <w:color w:val="auto"/>
        </w:rPr>
        <w:t>Valuation of self-insurance liabilities</w:t>
      </w:r>
    </w:p>
    <w:p>
      <w:pPr>
        <w:spacing w:after="0" w:line="88" w:lineRule="exact"/>
        <w:rPr>
          <w:sz w:val="20"/>
          <w:szCs w:val="20"/>
          <w:color w:val="auto"/>
        </w:rPr>
      </w:pPr>
    </w:p>
    <w:p>
      <w:pPr>
        <w:ind w:left="1160" w:right="679"/>
        <w:spacing w:after="0" w:line="261" w:lineRule="auto"/>
        <w:rPr>
          <w:sz w:val="20"/>
          <w:szCs w:val="20"/>
          <w:color w:val="auto"/>
        </w:rPr>
      </w:pPr>
      <w:r>
        <w:rPr>
          <w:rFonts w:ascii="Times New Roman" w:cs="Times New Roman" w:eastAsia="Times New Roman" w:hAnsi="Times New Roman"/>
          <w:sz w:val="14"/>
          <w:szCs w:val="14"/>
          <w:color w:val="auto"/>
        </w:rPr>
        <w:t>As discussed in Note 1 to the consolidated financial statements, the Company is self-insured for a substantial portion of its general and professional liabilities and workers’ compensation liabilities. As discussed in Note 9 to the consolidated financial statements, accrued expenses include workers’ compensation insurance reserves and general and professional liability insurance reserves of $24,897 thousand and $7,696 thousand, respectively, and long-term liabilities include workers’ compensation insurance reserves and general and professional liability insurance reserves of $25,369 thousand and $25,032 thousand, respectively, as of December 31, 2025. The liabilities recognized for workers’ compensation are actuarially determined estimates, while the liabilities recognized for general and professional liability are based on analyses performed by management.</w:t>
      </w:r>
    </w:p>
    <w:p>
      <w:pPr>
        <w:spacing w:after="0" w:line="114" w:lineRule="exact"/>
        <w:rPr>
          <w:sz w:val="20"/>
          <w:szCs w:val="20"/>
          <w:color w:val="auto"/>
        </w:rPr>
      </w:pPr>
    </w:p>
    <w:p>
      <w:pPr>
        <w:ind w:left="1160" w:right="679"/>
        <w:spacing w:after="0" w:line="265" w:lineRule="auto"/>
        <w:rPr>
          <w:sz w:val="20"/>
          <w:szCs w:val="20"/>
          <w:color w:val="auto"/>
        </w:rPr>
      </w:pPr>
      <w:r>
        <w:rPr>
          <w:rFonts w:ascii="Times New Roman" w:cs="Times New Roman" w:eastAsia="Times New Roman" w:hAnsi="Times New Roman"/>
          <w:sz w:val="14"/>
          <w:szCs w:val="14"/>
          <w:color w:val="auto"/>
        </w:rPr>
        <w:t>We identified the evaluation of the self-insurance liabilities noted above as a critical audit matter. Specifically, evaluation of the Company’s determination of the claims incurred but not reported for workers’ compensation liabilities involved auditor judgment due to significant measurement uncertainty. In addition, evaluation of the Company’s estimates of the ultimate cost of reported claims related to general and professional liabilities and workers’ compensation liabilities involved actuarial professionals with specialized skills and knowledge.</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9" w:name="page90"/>
    <w:bookmarkEnd w:id="8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160" w:right="679"/>
        <w:spacing w:after="0" w:line="263" w:lineRule="auto"/>
        <w:rPr>
          <w:sz w:val="20"/>
          <w:szCs w:val="20"/>
          <w:color w:val="auto"/>
        </w:rPr>
      </w:pPr>
      <w:r>
        <w:rPr>
          <w:rFonts w:ascii="Times New Roman" w:cs="Times New Roman" w:eastAsia="Times New Roman" w:hAnsi="Times New Roman"/>
          <w:sz w:val="14"/>
          <w:szCs w:val="14"/>
          <w:color w:val="auto"/>
        </w:rPr>
        <w:t>The following are the primary procedures we performed to address this critical audit matter. We evaluated the design and tested the operating effectiveness of certain internal controls related to the workers’ compensation liabilities and general and professional liabilities, including data received from third party administrator, and assessing management’s review of actuarial reports. We evaluated the Company’s ability to estimate self-insurance reserves, and assessed potential management bias, by comparing the prior year estimated reserves to subsequent adjustments to those reserves recorded in the current year. We involved actuarial professionals with specialized skills and knowledge, who assisted in:</w:t>
      </w:r>
    </w:p>
    <w:p>
      <w:pPr>
        <w:spacing w:after="0" w:line="112" w:lineRule="exact"/>
        <w:rPr>
          <w:sz w:val="20"/>
          <w:szCs w:val="20"/>
          <w:color w:val="auto"/>
        </w:rPr>
      </w:pPr>
    </w:p>
    <w:p>
      <w:pPr>
        <w:ind w:left="1860" w:right="659" w:hanging="357"/>
        <w:spacing w:after="0" w:line="274" w:lineRule="auto"/>
        <w:tabs>
          <w:tab w:leader="none" w:pos="18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evaluating the Company’s expected loss rates used to determine claims incurred but not reported for workers’ compensation liabilities by developing an independent expectation of the loss rates using actuarial methodologies and independent assumptions and comparing them to the Company’s expected loss rates</w:t>
      </w:r>
    </w:p>
    <w:p>
      <w:pPr>
        <w:spacing w:after="0" w:line="50" w:lineRule="exact"/>
        <w:rPr>
          <w:rFonts w:ascii="Times New Roman" w:cs="Times New Roman" w:eastAsia="Times New Roman" w:hAnsi="Times New Roman"/>
          <w:sz w:val="14"/>
          <w:szCs w:val="14"/>
          <w:color w:val="auto"/>
        </w:rPr>
      </w:pPr>
    </w:p>
    <w:p>
      <w:pPr>
        <w:jc w:val="both"/>
        <w:ind w:left="1860" w:right="859" w:hanging="357"/>
        <w:spacing w:after="0" w:line="274" w:lineRule="auto"/>
        <w:tabs>
          <w:tab w:leader="none" w:pos="18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evaluating the Company’s determination of the ultimate cost of reported claims by developing an independent estimate of the Company’s loss development factors and comparing them to the Company’s loss development factors used to determine the ultimate cost of reported claims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 KPMG LLP</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We have served as the Company’s auditor since 2019.</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Louisville, Kentucky</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February 27, 2026</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0" w:name="page91"/>
    <w:bookmarkEnd w:id="9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231F20"/>
        </w:rPr>
        <w:t>Report of Independent Registered Public Accounting Firm</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To the Shareholders and Board of Directors</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BrightSpring Health Services, Inc.:</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Opinion on Internal Control Over Financial Reporting</w:t>
      </w:r>
    </w:p>
    <w:p>
      <w:pPr>
        <w:spacing w:after="0" w:line="88" w:lineRule="exact"/>
        <w:rPr>
          <w:sz w:val="20"/>
          <w:szCs w:val="20"/>
          <w:color w:val="auto"/>
        </w:rPr>
      </w:pPr>
    </w:p>
    <w:p>
      <w:pPr>
        <w:ind w:left="640" w:right="819"/>
        <w:spacing w:after="0" w:line="265" w:lineRule="auto"/>
        <w:rPr>
          <w:sz w:val="20"/>
          <w:szCs w:val="20"/>
          <w:color w:val="auto"/>
        </w:rPr>
      </w:pPr>
      <w:r>
        <w:rPr>
          <w:rFonts w:ascii="Times New Roman" w:cs="Times New Roman" w:eastAsia="Times New Roman" w:hAnsi="Times New Roman"/>
          <w:sz w:val="14"/>
          <w:szCs w:val="14"/>
          <w:color w:val="auto"/>
        </w:rPr>
        <w:t xml:space="preserve">We have audited BrightSpring Health Services, Inc. and subsidiaries' (the Company) internal control over financial reporting as of December 31, 2025, based on criteria established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the Committee of Sponsoring Organizations of the Treadway Commission.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4"/>
          <w:szCs w:val="14"/>
          <w:i w:val="1"/>
          <w:iCs w:val="1"/>
          <w:color w:val="auto"/>
        </w:rPr>
        <w:t>Internal Control – Integrated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Framework (2013) </w:t>
      </w:r>
      <w:r>
        <w:rPr>
          <w:rFonts w:ascii="Times New Roman" w:cs="Times New Roman" w:eastAsia="Times New Roman" w:hAnsi="Times New Roman"/>
          <w:sz w:val="14"/>
          <w:szCs w:val="14"/>
          <w:color w:val="auto"/>
        </w:rPr>
        <w:t>issued by the Committee of Sponsoring Organizations of the Treadway Commission.</w:t>
      </w:r>
    </w:p>
    <w:p>
      <w:pPr>
        <w:spacing w:after="0" w:line="110" w:lineRule="exact"/>
        <w:rPr>
          <w:sz w:val="20"/>
          <w:szCs w:val="20"/>
          <w:color w:val="auto"/>
        </w:rPr>
      </w:pPr>
    </w:p>
    <w:p>
      <w:pPr>
        <w:ind w:left="640" w:right="699"/>
        <w:spacing w:after="0" w:line="265"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(loss), shareholders’ equity, and cash flows for each of the years in the three-year period ended December 31, 2025, and the related notes (collectively, the consolidated financial statements), and our report dated February 27, 2026 expressed an unqualified opinion on those consolidated financial statements.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Basis for Opinion</w:t>
      </w:r>
    </w:p>
    <w:p>
      <w:pPr>
        <w:spacing w:after="0" w:line="77" w:lineRule="exact"/>
        <w:rPr>
          <w:sz w:val="20"/>
          <w:szCs w:val="20"/>
          <w:color w:val="auto"/>
        </w:rPr>
      </w:pPr>
    </w:p>
    <w:p>
      <w:pPr>
        <w:ind w:left="640" w:right="679"/>
        <w:spacing w:after="0" w:line="263"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3" w:lineRule="exact"/>
        <w:rPr>
          <w:sz w:val="20"/>
          <w:szCs w:val="20"/>
          <w:color w:val="auto"/>
        </w:rPr>
      </w:pPr>
    </w:p>
    <w:p>
      <w:pPr>
        <w:ind w:left="640" w:right="659"/>
        <w:spacing w:after="0" w:line="263"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Definition and Limitations of Internal Control Over Financial Reporting</w:t>
      </w:r>
    </w:p>
    <w:p>
      <w:pPr>
        <w:spacing w:after="0" w:line="88" w:lineRule="exact"/>
        <w:rPr>
          <w:sz w:val="20"/>
          <w:szCs w:val="20"/>
          <w:color w:val="auto"/>
        </w:rPr>
      </w:pPr>
    </w:p>
    <w:p>
      <w:pPr>
        <w:ind w:left="640" w:right="659"/>
        <w:spacing w:after="0" w:line="260"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6" w:lineRule="exact"/>
        <w:rPr>
          <w:sz w:val="20"/>
          <w:szCs w:val="20"/>
          <w:color w:val="auto"/>
        </w:rPr>
      </w:pPr>
    </w:p>
    <w:p>
      <w:pPr>
        <w:jc w:val="both"/>
        <w:ind w:left="640" w:right="699"/>
        <w:spacing w:after="0" w:line="274"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 KPMG LLP</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Louisville, Kentucky</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February 27, 2026</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1" w:name="page92"/>
    <w:bookmarkEnd w:id="9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231F20"/>
        </w:rPr>
        <w:t>BrightSpring Health Services,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231F20"/>
        </w:rPr>
        <w:t>Consolidated Balance Sheets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231F20"/>
        </w:rPr>
        <w:t>(In thousands, except share and per share data)</w:t>
      </w:r>
    </w:p>
    <w:p>
      <w:pPr>
        <w:spacing w:after="0" w:line="164" w:lineRule="exact"/>
        <w:rPr>
          <w:sz w:val="20"/>
          <w:szCs w:val="20"/>
          <w:color w:val="auto"/>
        </w:rPr>
      </w:pPr>
    </w:p>
    <w:tbl>
      <w:tblPr>
        <w:tblLayout w:type="fixed"/>
        <w:tblInd w:w="68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63"/>
        </w:trPr>
        <w:tc>
          <w:tcPr>
            <w:tcW w:w="20" w:type="dxa"/>
            <w:vAlign w:val="bottom"/>
          </w:tcPr>
          <w:p>
            <w:pPr>
              <w:spacing w:after="0"/>
              <w:rPr>
                <w:sz w:val="14"/>
                <w:szCs w:val="14"/>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1160" w:type="dxa"/>
            <w:vAlign w:val="bottom"/>
            <w:tcBorders>
              <w:top w:val="single" w:sz="8" w:color="auto"/>
              <w:right w:val="single" w:sz="8" w:color="CFF0FC"/>
            </w:tcBorders>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88,370</w:t>
            </w:r>
          </w:p>
        </w:tc>
        <w:tc>
          <w:tcPr>
            <w:tcW w:w="12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right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60,954</w:t>
            </w:r>
          </w:p>
        </w:tc>
      </w:tr>
      <w:tr>
        <w:trPr>
          <w:trHeight w:val="161"/>
        </w:trPr>
        <w:tc>
          <w:tcPr>
            <w:tcW w:w="20" w:type="dxa"/>
            <w:vAlign w:val="bottom"/>
          </w:tcPr>
          <w:p>
            <w:pPr>
              <w:spacing w:after="0"/>
              <w:rPr>
                <w:sz w:val="14"/>
                <w:szCs w:val="14"/>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Accounts receivable, net of allowance for credit losses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989,719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902,782</w:t>
            </w:r>
          </w:p>
        </w:tc>
      </w:tr>
      <w:tr>
        <w:trPr>
          <w:trHeight w:val="161"/>
        </w:trPr>
        <w:tc>
          <w:tcPr>
            <w:tcW w:w="20" w:type="dxa"/>
            <w:vAlign w:val="bottom"/>
          </w:tcPr>
          <w:p>
            <w:pPr>
              <w:spacing w:after="0"/>
              <w:rPr>
                <w:sz w:val="14"/>
                <w:szCs w:val="14"/>
                <w:color w:val="auto"/>
              </w:rPr>
            </w:pPr>
          </w:p>
        </w:tc>
        <w:tc>
          <w:tcPr>
            <w:tcW w:w="4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Inventories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815,180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tcBorders>
              <w:right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636,561</w:t>
            </w:r>
          </w:p>
        </w:tc>
      </w:tr>
      <w:tr>
        <w:trPr>
          <w:trHeight w:val="161"/>
        </w:trPr>
        <w:tc>
          <w:tcPr>
            <w:tcW w:w="20" w:type="dxa"/>
            <w:vAlign w:val="bottom"/>
          </w:tcPr>
          <w:p>
            <w:pPr>
              <w:spacing w:after="0"/>
              <w:rPr>
                <w:sz w:val="14"/>
                <w:szCs w:val="14"/>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118,592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161,310</w:t>
            </w:r>
          </w:p>
        </w:tc>
      </w:tr>
      <w:tr>
        <w:trPr>
          <w:trHeight w:val="161"/>
        </w:trPr>
        <w:tc>
          <w:tcPr>
            <w:tcW w:w="20" w:type="dxa"/>
            <w:vAlign w:val="bottom"/>
          </w:tcPr>
          <w:p>
            <w:pPr>
              <w:spacing w:after="0"/>
              <w:rPr>
                <w:sz w:val="14"/>
                <w:szCs w:val="14"/>
                <w:color w:val="auto"/>
              </w:rPr>
            </w:pPr>
          </w:p>
        </w:tc>
        <w:tc>
          <w:tcPr>
            <w:tcW w:w="48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Current assets held for sale</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882,189</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right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131,447</w:t>
            </w:r>
          </w:p>
        </w:tc>
      </w:tr>
      <w:tr>
        <w:trPr>
          <w:trHeight w:val="152"/>
        </w:trPr>
        <w:tc>
          <w:tcPr>
            <w:tcW w:w="20" w:type="dxa"/>
            <w:vAlign w:val="bottom"/>
          </w:tcPr>
          <w:p>
            <w:pPr>
              <w:spacing w:after="0"/>
              <w:rPr>
                <w:sz w:val="13"/>
                <w:szCs w:val="13"/>
                <w:color w:val="auto"/>
              </w:rPr>
            </w:pPr>
          </w:p>
        </w:tc>
        <w:tc>
          <w:tcPr>
            <w:tcW w:w="488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2,894,050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1,893,054</w:t>
            </w:r>
          </w:p>
        </w:tc>
      </w:tr>
      <w:tr>
        <w:trPr>
          <w:trHeight w:val="141"/>
        </w:trPr>
        <w:tc>
          <w:tcPr>
            <w:tcW w:w="20" w:type="dxa"/>
            <w:vAlign w:val="bottom"/>
          </w:tcPr>
          <w:p>
            <w:pPr>
              <w:spacing w:after="0"/>
              <w:rPr>
                <w:sz w:val="12"/>
                <w:szCs w:val="12"/>
                <w:color w:val="auto"/>
              </w:rPr>
            </w:pPr>
          </w:p>
        </w:tc>
        <w:tc>
          <w:tcPr>
            <w:tcW w:w="4880" w:type="dxa"/>
            <w:vAlign w:val="bottom"/>
            <w:shd w:val="clear" w:color="auto" w:fill="CFF0FC"/>
          </w:tcPr>
          <w:p>
            <w:pPr>
              <w:spacing w:after="0" w:line="141" w:lineRule="exact"/>
              <w:rPr>
                <w:sz w:val="20"/>
                <w:szCs w:val="20"/>
                <w:color w:val="auto"/>
              </w:rPr>
            </w:pPr>
            <w:r>
              <w:rPr>
                <w:rFonts w:ascii="Times New Roman" w:cs="Times New Roman" w:eastAsia="Times New Roman" w:hAnsi="Times New Roman"/>
                <w:sz w:val="13"/>
                <w:szCs w:val="13"/>
                <w:color w:val="auto"/>
              </w:rPr>
              <w:t>Property and equipment, net of accumulated depreciation of $404,878 and $339,892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3"/>
                <w:szCs w:val="13"/>
                <w:color w:val="auto"/>
              </w:rPr>
              <w:t>204,689</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60" w:type="dxa"/>
            <w:vAlign w:val="bottom"/>
            <w:tcBorders>
              <w:right w:val="single" w:sz="8" w:color="CFF0FC"/>
            </w:tcBorders>
            <w:shd w:val="clear" w:color="auto" w:fill="CFF0FC"/>
          </w:tcPr>
          <w:p>
            <w:pPr>
              <w:jc w:val="right"/>
              <w:ind w:right="16"/>
              <w:spacing w:after="0" w:line="141" w:lineRule="exact"/>
              <w:rPr>
                <w:sz w:val="20"/>
                <w:szCs w:val="20"/>
                <w:color w:val="auto"/>
              </w:rPr>
            </w:pPr>
            <w:r>
              <w:rPr>
                <w:rFonts w:ascii="Times New Roman" w:cs="Times New Roman" w:eastAsia="Times New Roman" w:hAnsi="Times New Roman"/>
                <w:sz w:val="13"/>
                <w:szCs w:val="13"/>
                <w:color w:val="auto"/>
              </w:rPr>
              <w:t>180,570</w:t>
            </w:r>
          </w:p>
        </w:tc>
      </w:tr>
      <w:tr>
        <w:trPr>
          <w:trHeight w:val="172"/>
        </w:trPr>
        <w:tc>
          <w:tcPr>
            <w:tcW w:w="20" w:type="dxa"/>
            <w:vAlign w:val="bottom"/>
          </w:tcPr>
          <w:p>
            <w:pPr>
              <w:spacing w:after="0"/>
              <w:rPr>
                <w:sz w:val="14"/>
                <w:szCs w:val="14"/>
                <w:color w:val="auto"/>
              </w:rPr>
            </w:pPr>
          </w:p>
        </w:tc>
        <w:tc>
          <w:tcPr>
            <w:tcW w:w="4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at December 31, 2025 and 2024, respectively</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tcBorders>
              <w:right w:val="single" w:sz="8" w:color="CFF0FC"/>
            </w:tcBorders>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Goodwill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2,545,673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2,363,884</w:t>
            </w:r>
          </w:p>
        </w:tc>
      </w:tr>
      <w:tr>
        <w:trPr>
          <w:trHeight w:val="161"/>
        </w:trPr>
        <w:tc>
          <w:tcPr>
            <w:tcW w:w="20" w:type="dxa"/>
            <w:vAlign w:val="bottom"/>
          </w:tcPr>
          <w:p>
            <w:pPr>
              <w:spacing w:after="0"/>
              <w:rPr>
                <w:sz w:val="14"/>
                <w:szCs w:val="14"/>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Intangible assets, net of accumulated amortization</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557,555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tcBorders>
              <w:right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595,224</w:t>
            </w: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Operating lease right-of-use assets, net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171,632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161,032</w:t>
            </w:r>
          </w:p>
        </w:tc>
      </w:tr>
      <w:tr>
        <w:trPr>
          <w:trHeight w:val="161"/>
        </w:trPr>
        <w:tc>
          <w:tcPr>
            <w:tcW w:w="20" w:type="dxa"/>
            <w:vAlign w:val="bottom"/>
          </w:tcPr>
          <w:p>
            <w:pPr>
              <w:spacing w:after="0"/>
              <w:rPr>
                <w:sz w:val="14"/>
                <w:szCs w:val="14"/>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Deferred income taxes, net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tcBorders>
              <w:right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5,288</w:t>
            </w: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39,712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39,128</w:t>
            </w:r>
          </w:p>
        </w:tc>
      </w:tr>
      <w:tr>
        <w:trPr>
          <w:trHeight w:val="161"/>
        </w:trPr>
        <w:tc>
          <w:tcPr>
            <w:tcW w:w="20" w:type="dxa"/>
            <w:vAlign w:val="bottom"/>
          </w:tcPr>
          <w:p>
            <w:pPr>
              <w:spacing w:after="0"/>
              <w:rPr>
                <w:sz w:val="14"/>
                <w:szCs w:val="14"/>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Non-current assets held for sale</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right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687,960</w:t>
            </w:r>
          </w:p>
        </w:tc>
      </w:tr>
      <w:tr>
        <w:trPr>
          <w:trHeight w:val="152"/>
        </w:trPr>
        <w:tc>
          <w:tcPr>
            <w:tcW w:w="20" w:type="dxa"/>
            <w:vAlign w:val="bottom"/>
          </w:tcPr>
          <w:p>
            <w:pPr>
              <w:spacing w:after="0"/>
              <w:rPr>
                <w:sz w:val="13"/>
                <w:szCs w:val="13"/>
                <w:color w:val="auto"/>
              </w:rPr>
            </w:pPr>
          </w:p>
        </w:tc>
        <w:tc>
          <w:tcPr>
            <w:tcW w:w="488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6,413,311</w:t>
            </w:r>
          </w:p>
        </w:tc>
        <w:tc>
          <w:tcPr>
            <w:tcW w:w="12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5,926,140</w:t>
            </w: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488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Liabilities, Redeemable Noncontrolling Interests, and Equity</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tcBorders>
              <w:right w:val="single" w:sz="8" w:color="CFF0FC"/>
            </w:tcBorders>
            <w:shd w:val="clear" w:color="auto" w:fill="CFF0FC"/>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Trade accounts payable</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1,217,946</w:t>
            </w:r>
          </w:p>
        </w:tc>
        <w:tc>
          <w:tcPr>
            <w:tcW w:w="12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right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923,926</w:t>
            </w:r>
          </w:p>
        </w:tc>
      </w:tr>
      <w:tr>
        <w:trPr>
          <w:trHeight w:val="161"/>
        </w:trPr>
        <w:tc>
          <w:tcPr>
            <w:tcW w:w="20" w:type="dxa"/>
            <w:vAlign w:val="bottom"/>
          </w:tcPr>
          <w:p>
            <w:pPr>
              <w:spacing w:after="0"/>
              <w:rPr>
                <w:sz w:val="14"/>
                <w:szCs w:val="14"/>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Accrued expenses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333,024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295,746</w:t>
            </w:r>
          </w:p>
        </w:tc>
      </w:tr>
      <w:tr>
        <w:trPr>
          <w:trHeight w:val="161"/>
        </w:trPr>
        <w:tc>
          <w:tcPr>
            <w:tcW w:w="20" w:type="dxa"/>
            <w:vAlign w:val="bottom"/>
          </w:tcPr>
          <w:p>
            <w:pPr>
              <w:spacing w:after="0"/>
              <w:rPr>
                <w:sz w:val="14"/>
                <w:szCs w:val="14"/>
                <w:color w:val="auto"/>
              </w:rPr>
            </w:pPr>
          </w:p>
        </w:tc>
        <w:tc>
          <w:tcPr>
            <w:tcW w:w="4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Current portion of obligations under operating leases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42,936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tcBorders>
              <w:right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38,910</w:t>
            </w:r>
          </w:p>
        </w:tc>
      </w:tr>
      <w:tr>
        <w:trPr>
          <w:trHeight w:val="161"/>
        </w:trPr>
        <w:tc>
          <w:tcPr>
            <w:tcW w:w="20" w:type="dxa"/>
            <w:vAlign w:val="bottom"/>
          </w:tcPr>
          <w:p>
            <w:pPr>
              <w:spacing w:after="0"/>
              <w:rPr>
                <w:sz w:val="14"/>
                <w:szCs w:val="14"/>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Current portion of obligations under financing leases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6,794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3,463</w:t>
            </w:r>
          </w:p>
        </w:tc>
      </w:tr>
      <w:tr>
        <w:trPr>
          <w:trHeight w:val="161"/>
        </w:trPr>
        <w:tc>
          <w:tcPr>
            <w:tcW w:w="20" w:type="dxa"/>
            <w:vAlign w:val="bottom"/>
          </w:tcPr>
          <w:p>
            <w:pPr>
              <w:spacing w:after="0"/>
              <w:rPr>
                <w:sz w:val="14"/>
                <w:szCs w:val="14"/>
                <w:color w:val="auto"/>
              </w:rPr>
            </w:pPr>
          </w:p>
        </w:tc>
        <w:tc>
          <w:tcPr>
            <w:tcW w:w="4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52,340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tcBorders>
              <w:right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48,725</w:t>
            </w:r>
          </w:p>
        </w:tc>
      </w:tr>
      <w:tr>
        <w:trPr>
          <w:trHeight w:val="161"/>
        </w:trPr>
        <w:tc>
          <w:tcPr>
            <w:tcW w:w="20" w:type="dxa"/>
            <w:vAlign w:val="bottom"/>
          </w:tcPr>
          <w:p>
            <w:pPr>
              <w:spacing w:after="0"/>
              <w:rPr>
                <w:sz w:val="14"/>
                <w:szCs w:val="14"/>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Current liabilities held for sale</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195,994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117,563</w:t>
            </w:r>
          </w:p>
        </w:tc>
      </w:tr>
      <w:tr>
        <w:trPr>
          <w:trHeight w:val="152"/>
        </w:trPr>
        <w:tc>
          <w:tcPr>
            <w:tcW w:w="20" w:type="dxa"/>
            <w:vAlign w:val="bottom"/>
          </w:tcPr>
          <w:p>
            <w:pPr>
              <w:spacing w:after="0"/>
              <w:rPr>
                <w:sz w:val="13"/>
                <w:szCs w:val="13"/>
                <w:color w:val="auto"/>
              </w:rPr>
            </w:pPr>
          </w:p>
        </w:tc>
        <w:tc>
          <w:tcPr>
            <w:tcW w:w="48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1,849,034</w:t>
            </w: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right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1,428,333</w:t>
            </w:r>
          </w:p>
        </w:tc>
      </w:tr>
      <w:tr>
        <w:trPr>
          <w:trHeight w:val="152"/>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Obligations under operating leases, net of current portion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135,420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129,467</w:t>
            </w:r>
          </w:p>
        </w:tc>
      </w:tr>
      <w:tr>
        <w:trPr>
          <w:trHeight w:val="161"/>
        </w:trPr>
        <w:tc>
          <w:tcPr>
            <w:tcW w:w="20" w:type="dxa"/>
            <w:vAlign w:val="bottom"/>
          </w:tcPr>
          <w:p>
            <w:pPr>
              <w:spacing w:after="0"/>
              <w:rPr>
                <w:sz w:val="14"/>
                <w:szCs w:val="14"/>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Obligations under financing leases, net of current portion</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14,544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tcBorders>
              <w:right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6,530</w:t>
            </w: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Long-term debt, net of current portion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2,455,204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2,561,858</w:t>
            </w:r>
          </w:p>
        </w:tc>
      </w:tr>
      <w:tr>
        <w:trPr>
          <w:trHeight w:val="161"/>
        </w:trPr>
        <w:tc>
          <w:tcPr>
            <w:tcW w:w="20" w:type="dxa"/>
            <w:vAlign w:val="bottom"/>
          </w:tcPr>
          <w:p>
            <w:pPr>
              <w:spacing w:after="0"/>
              <w:rPr>
                <w:sz w:val="14"/>
                <w:szCs w:val="14"/>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Deferred income taxes, net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6,178</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tcBorders>
              <w:right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Long-term liabilities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66,565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71,190</w:t>
            </w:r>
          </w:p>
        </w:tc>
      </w:tr>
      <w:tr>
        <w:trPr>
          <w:trHeight w:val="161"/>
        </w:trPr>
        <w:tc>
          <w:tcPr>
            <w:tcW w:w="20" w:type="dxa"/>
            <w:vAlign w:val="bottom"/>
          </w:tcPr>
          <w:p>
            <w:pPr>
              <w:spacing w:after="0"/>
              <w:rPr>
                <w:sz w:val="14"/>
                <w:szCs w:val="14"/>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Non-current liabilities held for sale</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tcBorders>
              <w:right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77,177</w:t>
            </w:r>
          </w:p>
        </w:tc>
      </w:tr>
      <w:tr>
        <w:trPr>
          <w:trHeight w:val="152"/>
        </w:trPr>
        <w:tc>
          <w:tcPr>
            <w:tcW w:w="20" w:type="dxa"/>
            <w:vAlign w:val="bottom"/>
          </w:tcPr>
          <w:p>
            <w:pPr>
              <w:spacing w:after="0"/>
              <w:rPr>
                <w:sz w:val="13"/>
                <w:szCs w:val="13"/>
                <w:color w:val="auto"/>
              </w:rPr>
            </w:pPr>
          </w:p>
        </w:tc>
        <w:tc>
          <w:tcPr>
            <w:tcW w:w="488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20" w:type="dxa"/>
            <w:vAlign w:val="bottom"/>
            <w:tcBorders>
              <w:top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4,526,945</w:t>
            </w:r>
          </w:p>
        </w:tc>
        <w:tc>
          <w:tcPr>
            <w:tcW w:w="12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4,274,555</w:t>
            </w:r>
          </w:p>
        </w:tc>
      </w:tr>
      <w:tr>
        <w:trPr>
          <w:trHeight w:val="152"/>
        </w:trPr>
        <w:tc>
          <w:tcPr>
            <w:tcW w:w="20" w:type="dxa"/>
            <w:vAlign w:val="bottom"/>
          </w:tcPr>
          <w:p>
            <w:pPr>
              <w:spacing w:after="0"/>
              <w:rPr>
                <w:sz w:val="13"/>
                <w:szCs w:val="13"/>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Redeemable noncontrolling interests</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11,227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tcBorders>
              <w:right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3,730</w:t>
            </w: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Shareholders’ equity: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4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Common stock, $0.01 par value, 1,500,000,000 shares authorized, 192,124,125 and</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1,921</w:t>
            </w:r>
          </w:p>
        </w:tc>
        <w:tc>
          <w:tcPr>
            <w:tcW w:w="12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right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1,742</w:t>
            </w:r>
          </w:p>
        </w:tc>
      </w:tr>
      <w:tr>
        <w:trPr>
          <w:trHeight w:val="172"/>
        </w:trPr>
        <w:tc>
          <w:tcPr>
            <w:tcW w:w="20" w:type="dxa"/>
            <w:vAlign w:val="bottom"/>
          </w:tcPr>
          <w:p>
            <w:pPr>
              <w:spacing w:after="0"/>
              <w:rPr>
                <w:sz w:val="14"/>
                <w:szCs w:val="14"/>
                <w:color w:val="auto"/>
              </w:rPr>
            </w:pPr>
          </w:p>
        </w:tc>
        <w:tc>
          <w:tcPr>
            <w:tcW w:w="4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174,245,990 shares issued and outstanding at December 31, 2025 and 2024, respectively</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tcBorders>
              <w:right w:val="single" w:sz="8" w:color="CFF0FC"/>
            </w:tcBorders>
            <w:shd w:val="clear" w:color="auto" w:fill="CFF0FC"/>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Preferred stock, $0.01 par value, 250,000,000 authorized, no shares issued and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0" w:type="dxa"/>
            <w:vAlign w:val="bottom"/>
          </w:tcPr>
          <w:p>
            <w:pPr>
              <w:spacing w:after="0"/>
              <w:rPr>
                <w:sz w:val="14"/>
                <w:szCs w:val="14"/>
                <w:color w:val="auto"/>
              </w:rPr>
            </w:pPr>
          </w:p>
        </w:tc>
        <w:tc>
          <w:tcPr>
            <w:tcW w:w="48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outstanding at December 31, 2025 and 2024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1,954,482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tcBorders>
              <w:right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1,866,850</w:t>
            </w:r>
          </w:p>
        </w:tc>
      </w:tr>
      <w:tr>
        <w:trPr>
          <w:trHeight w:val="161"/>
        </w:trPr>
        <w:tc>
          <w:tcPr>
            <w:tcW w:w="20" w:type="dxa"/>
            <w:vAlign w:val="bottom"/>
          </w:tcPr>
          <w:p>
            <w:pPr>
              <w:spacing w:after="0"/>
              <w:rPr>
                <w:sz w:val="14"/>
                <w:szCs w:val="14"/>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Accumulated deficit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(74,647)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(222,155)</w:t>
            </w:r>
          </w:p>
        </w:tc>
      </w:tr>
      <w:tr>
        <w:trPr>
          <w:trHeight w:val="161"/>
        </w:trPr>
        <w:tc>
          <w:tcPr>
            <w:tcW w:w="20" w:type="dxa"/>
            <w:vAlign w:val="bottom"/>
          </w:tcPr>
          <w:p>
            <w:pPr>
              <w:spacing w:after="0"/>
              <w:rPr>
                <w:sz w:val="14"/>
                <w:szCs w:val="14"/>
                <w:color w:val="auto"/>
              </w:rPr>
            </w:pPr>
          </w:p>
        </w:tc>
        <w:tc>
          <w:tcPr>
            <w:tcW w:w="4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Accumulated other comprehensive (loss) income</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(6,691)</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tcBorders>
              <w:right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1,418</w:t>
            </w:r>
          </w:p>
        </w:tc>
      </w:tr>
      <w:tr>
        <w:trPr>
          <w:trHeight w:val="152"/>
        </w:trPr>
        <w:tc>
          <w:tcPr>
            <w:tcW w:w="20" w:type="dxa"/>
            <w:vAlign w:val="bottom"/>
          </w:tcPr>
          <w:p>
            <w:pPr>
              <w:spacing w:after="0"/>
              <w:rPr>
                <w:sz w:val="13"/>
                <w:szCs w:val="13"/>
                <w:color w:val="auto"/>
              </w:rPr>
            </w:pPr>
          </w:p>
        </w:tc>
        <w:tc>
          <w:tcPr>
            <w:tcW w:w="48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3"/>
                <w:szCs w:val="13"/>
                <w:color w:val="auto"/>
              </w:rPr>
              <w:t>Total shareholders’ equity</w:t>
            </w:r>
          </w:p>
        </w:tc>
        <w:tc>
          <w:tcPr>
            <w:tcW w:w="120" w:type="dxa"/>
            <w:vAlign w:val="bottom"/>
            <w:tcBorders>
              <w:top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1,875,065</w:t>
            </w:r>
          </w:p>
        </w:tc>
        <w:tc>
          <w:tcPr>
            <w:tcW w:w="12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1,647,855</w:t>
            </w:r>
          </w:p>
        </w:tc>
      </w:tr>
      <w:tr>
        <w:trPr>
          <w:trHeight w:val="152"/>
        </w:trPr>
        <w:tc>
          <w:tcPr>
            <w:tcW w:w="20" w:type="dxa"/>
            <w:vAlign w:val="bottom"/>
          </w:tcPr>
          <w:p>
            <w:pPr>
              <w:spacing w:after="0"/>
              <w:rPr>
                <w:sz w:val="13"/>
                <w:szCs w:val="13"/>
                <w:color w:val="auto"/>
              </w:rPr>
            </w:pPr>
          </w:p>
        </w:tc>
        <w:tc>
          <w:tcPr>
            <w:tcW w:w="4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Noncontrolling interest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tcBorders>
              <w:right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20" w:type="dxa"/>
            <w:vAlign w:val="bottom"/>
          </w:tcPr>
          <w:p>
            <w:pPr>
              <w:spacing w:after="0"/>
              <w:rPr>
                <w:sz w:val="13"/>
                <w:szCs w:val="13"/>
                <w:color w:val="auto"/>
              </w:rPr>
            </w:pPr>
          </w:p>
        </w:tc>
        <w:tc>
          <w:tcPr>
            <w:tcW w:w="488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120" w:type="dxa"/>
            <w:vAlign w:val="bottom"/>
            <w:tcBorders>
              <w:top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1,875,139</w:t>
            </w:r>
          </w:p>
        </w:tc>
        <w:tc>
          <w:tcPr>
            <w:tcW w:w="12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1,647,855</w:t>
            </w:r>
          </w:p>
        </w:tc>
      </w:tr>
      <w:tr>
        <w:trPr>
          <w:trHeight w:val="172"/>
        </w:trPr>
        <w:tc>
          <w:tcPr>
            <w:tcW w:w="20" w:type="dxa"/>
            <w:vAlign w:val="bottom"/>
          </w:tcPr>
          <w:p>
            <w:pPr>
              <w:spacing w:after="0"/>
              <w:rPr>
                <w:sz w:val="14"/>
                <w:szCs w:val="14"/>
                <w:color w:val="auto"/>
              </w:rPr>
            </w:pPr>
          </w:p>
        </w:tc>
        <w:tc>
          <w:tcPr>
            <w:tcW w:w="48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3"/>
                <w:szCs w:val="13"/>
                <w:b w:val="1"/>
                <w:bCs w:val="1"/>
                <w:color w:val="auto"/>
              </w:rPr>
              <w:t>Total liabilities, redeemable noncontrolling interests, and equity</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6,413,311</w:t>
            </w:r>
          </w:p>
        </w:tc>
        <w:tc>
          <w:tcPr>
            <w:tcW w:w="12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right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5,926,140</w:t>
            </w:r>
          </w:p>
        </w:tc>
      </w:tr>
      <w:tr>
        <w:trPr>
          <w:trHeight w:val="20"/>
        </w:trPr>
        <w:tc>
          <w:tcPr>
            <w:tcW w:w="20" w:type="dxa"/>
            <w:vAlign w:val="bottom"/>
          </w:tcPr>
          <w:p>
            <w:pPr>
              <w:spacing w:after="0" w:line="20" w:lineRule="exact"/>
              <w:rPr>
                <w:sz w:val="1"/>
                <w:szCs w:val="1"/>
                <w:color w:val="auto"/>
              </w:rPr>
            </w:pPr>
          </w:p>
        </w:tc>
        <w:tc>
          <w:tcPr>
            <w:tcW w:w="48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right w:val="single" w:sz="8" w:color="CFF0F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4373880</wp:posOffset>
            </wp:positionH>
            <wp:positionV relativeFrom="paragraph">
              <wp:posOffset>-4104640</wp:posOffset>
            </wp:positionV>
            <wp:extent cx="4762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-4104640</wp:posOffset>
            </wp:positionV>
            <wp:extent cx="47625"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-3170555</wp:posOffset>
            </wp:positionV>
            <wp:extent cx="47625"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-3170555</wp:posOffset>
            </wp:positionV>
            <wp:extent cx="4762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-2113280</wp:posOffset>
            </wp:positionV>
            <wp:extent cx="4762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-2113280</wp:posOffset>
            </wp:positionV>
            <wp:extent cx="4762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-1492885</wp:posOffset>
            </wp:positionV>
            <wp:extent cx="4762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-1492885</wp:posOffset>
            </wp:positionV>
            <wp:extent cx="4762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-456565</wp:posOffset>
            </wp:positionV>
            <wp:extent cx="4762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-456565</wp:posOffset>
            </wp:positionV>
            <wp:extent cx="4762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-238125</wp:posOffset>
            </wp:positionV>
            <wp:extent cx="4762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-238125</wp:posOffset>
            </wp:positionV>
            <wp:extent cx="4762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-19685</wp:posOffset>
            </wp:positionV>
            <wp:extent cx="47625"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4373880</wp:posOffset>
            </wp:positionH>
            <wp:positionV relativeFrom="paragraph">
              <wp:posOffset>-6350</wp:posOffset>
            </wp:positionV>
            <wp:extent cx="47625"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-19685</wp:posOffset>
            </wp:positionV>
            <wp:extent cx="4762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-6350</wp:posOffset>
            </wp:positionV>
            <wp:extent cx="47625"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2" w:name="page93"/>
    <w:bookmarkEnd w:id="9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231F20"/>
        </w:rPr>
        <w:t>(In thousands, except per share amounts)</w:t>
      </w:r>
    </w:p>
    <w:p>
      <w:pPr>
        <w:spacing w:after="0" w:line="164" w:lineRule="exact"/>
        <w:rPr>
          <w:sz w:val="20"/>
          <w:szCs w:val="20"/>
          <w:color w:val="auto"/>
        </w:rPr>
      </w:pPr>
    </w:p>
    <w:tbl>
      <w:tblPr>
        <w:tblLayout w:type="fixed"/>
        <w:tblInd w:w="68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269"/>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269"/>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69"/>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Products</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11,445,777</w:t>
            </w:r>
          </w:p>
        </w:tc>
        <w:tc>
          <w:tcPr>
            <w:tcW w:w="1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8,754,282</w:t>
            </w:r>
          </w:p>
        </w:tc>
        <w:tc>
          <w:tcPr>
            <w:tcW w:w="18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6,522,450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1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1,464,787</w:t>
            </w:r>
          </w:p>
        </w:tc>
        <w:tc>
          <w:tcPr>
            <w:tcW w:w="160" w:type="dxa"/>
            <w:vAlign w:val="bottom"/>
            <w:tcBorders>
              <w:bottom w:val="single" w:sz="8" w:color="CFF0FC"/>
              <w:right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1,317,932</w:t>
            </w:r>
          </w:p>
        </w:tc>
        <w:tc>
          <w:tcPr>
            <w:tcW w:w="1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1,168,566</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12,910,564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10,072,214</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7,691,016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goods</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10,507,431</w:t>
            </w: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8,008,501</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5,840,716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885,356</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797,286</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711,304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1,517,777</w:t>
            </w: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1,266,427</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1,138,996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1,222,525</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1,158,473</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1,080,871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295,252</w:t>
            </w: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107,954</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58,125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6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12,726</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157,311</w:t>
            </w:r>
          </w:p>
        </w:tc>
        <w:tc>
          <w:tcPr>
            <w:tcW w:w="160" w:type="dxa"/>
            <w:vAlign w:val="bottom"/>
            <w:tcBorders>
              <w:bottom w:val="single" w:sz="8" w:color="CFF0FC"/>
              <w:right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190,546</w:t>
            </w:r>
          </w:p>
        </w:tc>
        <w:tc>
          <w:tcPr>
            <w:tcW w:w="1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271,899</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Income (loss) from continuing operations before income taxes</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137,941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(95,318)</w:t>
            </w:r>
          </w:p>
        </w:tc>
        <w:tc>
          <w:tcPr>
            <w:tcW w:w="2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(213,774)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33,145</w:t>
            </w: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(26,387)</w:t>
            </w:r>
          </w:p>
        </w:tc>
        <w:tc>
          <w:tcPr>
            <w:tcW w:w="2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(31,508)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Income (loss) from continuing operations, net of income taxes</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104,796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(68,931)</w:t>
            </w:r>
          </w:p>
        </w:tc>
        <w:tc>
          <w:tcPr>
            <w:tcW w:w="2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(182,266)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from discontinued operations, net of income taxes</w:t>
            </w:r>
          </w:p>
        </w:tc>
        <w:tc>
          <w:tcPr>
            <w:tcW w:w="1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84,317</w:t>
            </w:r>
          </w:p>
        </w:tc>
        <w:tc>
          <w:tcPr>
            <w:tcW w:w="160" w:type="dxa"/>
            <w:vAlign w:val="bottom"/>
            <w:tcBorders>
              <w:bottom w:val="single" w:sz="8" w:color="CFF0FC"/>
              <w:right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48,410</w:t>
            </w:r>
          </w:p>
        </w:tc>
        <w:tc>
          <w:tcPr>
            <w:tcW w:w="1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25,431</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189,113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(20,521)</w:t>
            </w:r>
          </w:p>
        </w:tc>
        <w:tc>
          <w:tcPr>
            <w:tcW w:w="2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(156,835)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00" w:type="dxa"/>
            <w:vAlign w:val="bottom"/>
            <w:shd w:val="clear" w:color="auto" w:fill="CFF0FC"/>
          </w:tcPr>
          <w:p>
            <w:pPr>
              <w:spacing w:after="0" w:line="157" w:lineRule="exact"/>
              <w:rPr>
                <w:sz w:val="20"/>
                <w:szCs w:val="20"/>
                <w:color w:val="auto"/>
              </w:rPr>
            </w:pPr>
            <w:r>
              <w:rPr>
                <w:rFonts w:ascii="Times New Roman" w:cs="Times New Roman" w:eastAsia="Times New Roman" w:hAnsi="Times New Roman"/>
                <w:sz w:val="14"/>
                <w:szCs w:val="14"/>
                <w:color w:val="auto"/>
              </w:rPr>
              <w:t>Net loss attributable to noncontrolling interests included in continuing</w:t>
            </w:r>
          </w:p>
        </w:tc>
        <w:tc>
          <w:tcPr>
            <w:tcW w:w="160" w:type="dxa"/>
            <w:vAlign w:val="bottom"/>
            <w:shd w:val="clear" w:color="auto" w:fill="CFF0FC"/>
          </w:tcPr>
          <w:p>
            <w:pPr>
              <w:spacing w:after="0"/>
              <w:rPr>
                <w:sz w:val="13"/>
                <w:szCs w:val="13"/>
                <w:color w:val="auto"/>
              </w:rPr>
            </w:pPr>
          </w:p>
        </w:tc>
        <w:tc>
          <w:tcPr>
            <w:tcW w:w="90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(1,553)</w:t>
            </w:r>
          </w:p>
        </w:tc>
        <w:tc>
          <w:tcPr>
            <w:tcW w:w="160" w:type="dxa"/>
            <w:vAlign w:val="bottom"/>
            <w:shd w:val="clear" w:color="auto" w:fill="CFF0FC"/>
          </w:tcPr>
          <w:p>
            <w:pPr>
              <w:spacing w:after="0"/>
              <w:rPr>
                <w:sz w:val="13"/>
                <w:szCs w:val="13"/>
                <w:color w:val="auto"/>
              </w:rPr>
            </w:pPr>
          </w:p>
        </w:tc>
        <w:tc>
          <w:tcPr>
            <w:tcW w:w="9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(2,459)</w:t>
            </w:r>
          </w:p>
        </w:tc>
        <w:tc>
          <w:tcPr>
            <w:tcW w:w="280" w:type="dxa"/>
            <w:vAlign w:val="bottom"/>
            <w:shd w:val="clear" w:color="auto" w:fill="CFF0FC"/>
          </w:tcPr>
          <w:p>
            <w:pPr>
              <w:spacing w:after="0"/>
              <w:rPr>
                <w:sz w:val="13"/>
                <w:szCs w:val="13"/>
                <w:color w:val="auto"/>
              </w:rPr>
            </w:pPr>
          </w:p>
        </w:tc>
        <w:tc>
          <w:tcPr>
            <w:tcW w:w="7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(2,232)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operations</w:t>
            </w:r>
          </w:p>
        </w:tc>
        <w:tc>
          <w:tcPr>
            <w:tcW w:w="160" w:type="dxa"/>
            <w:vAlign w:val="bottom"/>
            <w:shd w:val="clear" w:color="auto" w:fill="CFF0FC"/>
          </w:tcPr>
          <w:p>
            <w:pPr>
              <w:spacing w:after="0"/>
              <w:rPr>
                <w:sz w:val="15"/>
                <w:szCs w:val="15"/>
                <w:color w:val="auto"/>
              </w:rPr>
            </w:pPr>
          </w:p>
        </w:tc>
        <w:tc>
          <w:tcPr>
            <w:tcW w:w="900" w:type="dxa"/>
            <w:vAlign w:val="bottom"/>
            <w:tcBorders>
              <w:right w:val="single" w:sz="8" w:color="CFF0FC"/>
            </w:tcBorders>
            <w:gridSpan w:val="2"/>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gridSpan w:val="2"/>
            <w:vMerge w:val="continue"/>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0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450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Net income (loss) attributable to BrightSpring Health Services, Inc. and</w:t>
            </w:r>
          </w:p>
        </w:tc>
        <w:tc>
          <w:tcPr>
            <w:tcW w:w="16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190,666</w:t>
            </w:r>
          </w:p>
        </w:tc>
        <w:tc>
          <w:tcPr>
            <w:tcW w:w="160" w:type="dxa"/>
            <w:vAlign w:val="bottom"/>
          </w:tcPr>
          <w:p>
            <w:pPr>
              <w:spacing w:after="0"/>
              <w:rPr>
                <w:sz w:val="12"/>
                <w:szCs w:val="12"/>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(18,062)</w:t>
            </w:r>
          </w:p>
        </w:tc>
        <w:tc>
          <w:tcPr>
            <w:tcW w:w="2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(154,603)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00" w:type="dxa"/>
            <w:vAlign w:val="bottom"/>
          </w:tcPr>
          <w:p>
            <w:pPr>
              <w:ind w:left="80"/>
              <w:spacing w:after="0" w:line="155" w:lineRule="exact"/>
              <w:rPr>
                <w:sz w:val="20"/>
                <w:szCs w:val="20"/>
                <w:color w:val="auto"/>
              </w:rPr>
            </w:pPr>
            <w:r>
              <w:rPr>
                <w:rFonts w:ascii="Times New Roman" w:cs="Times New Roman" w:eastAsia="Times New Roman" w:hAnsi="Times New Roman"/>
                <w:sz w:val="14"/>
                <w:szCs w:val="14"/>
                <w:color w:val="auto"/>
              </w:rPr>
              <w:t>subsidiaries</w:t>
            </w:r>
          </w:p>
        </w:tc>
        <w:tc>
          <w:tcPr>
            <w:tcW w:w="1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45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 per common share (Note 10):</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Basic income (loss) per share attributable to common shareholders:</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Continuing operations</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1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(0.34)</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Discontinued operations</w:t>
            </w:r>
          </w:p>
        </w:tc>
        <w:tc>
          <w:tcPr>
            <w:tcW w:w="16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0.41</w:t>
            </w:r>
          </w:p>
        </w:tc>
        <w:tc>
          <w:tcPr>
            <w:tcW w:w="160" w:type="dxa"/>
            <w:vAlign w:val="bottom"/>
            <w:tcBorders>
              <w:bottom w:val="single" w:sz="8" w:color="CFF0FC"/>
              <w:right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(loss) per share</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0.94</w:t>
            </w:r>
          </w:p>
        </w:tc>
        <w:tc>
          <w:tcPr>
            <w:tcW w:w="1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(0.09)</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Diluted income (loss) per share attributable to common shareholders:</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Continuing operations</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1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(0.34)</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Discontinued operations</w:t>
            </w:r>
          </w:p>
        </w:tc>
        <w:tc>
          <w:tcPr>
            <w:tcW w:w="16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160" w:type="dxa"/>
            <w:vAlign w:val="bottom"/>
            <w:tcBorders>
              <w:bottom w:val="single" w:sz="8" w:color="CFF0FC"/>
              <w:right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(loss) per share</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0.87</w:t>
            </w:r>
          </w:p>
        </w:tc>
        <w:tc>
          <w:tcPr>
            <w:tcW w:w="1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(0.09)</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202,564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192,997</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117,868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219,774</w:t>
            </w: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192,997</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117,868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3869055</wp:posOffset>
            </wp:positionH>
            <wp:positionV relativeFrom="paragraph">
              <wp:posOffset>-3327400</wp:posOffset>
            </wp:positionV>
            <wp:extent cx="47625"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-3327400</wp:posOffset>
            </wp:positionV>
            <wp:extent cx="4762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5233035</wp:posOffset>
            </wp:positionH>
            <wp:positionV relativeFrom="paragraph">
              <wp:posOffset>-3327400</wp:posOffset>
            </wp:positionV>
            <wp:extent cx="5461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-2433955</wp:posOffset>
            </wp:positionV>
            <wp:extent cx="4762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-2433955</wp:posOffset>
            </wp:positionV>
            <wp:extent cx="47625"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5233035</wp:posOffset>
            </wp:positionH>
            <wp:positionV relativeFrom="paragraph">
              <wp:posOffset>-2433955</wp:posOffset>
            </wp:positionV>
            <wp:extent cx="5461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-2209165</wp:posOffset>
            </wp:positionV>
            <wp:extent cx="4762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-2209165</wp:posOffset>
            </wp:positionV>
            <wp:extent cx="47625"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5233035</wp:posOffset>
            </wp:positionH>
            <wp:positionV relativeFrom="paragraph">
              <wp:posOffset>-2209165</wp:posOffset>
            </wp:positionV>
            <wp:extent cx="5461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-1983740</wp:posOffset>
            </wp:positionV>
            <wp:extent cx="47625"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-1983740</wp:posOffset>
            </wp:positionV>
            <wp:extent cx="4762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5233035</wp:posOffset>
            </wp:positionH>
            <wp:positionV relativeFrom="paragraph">
              <wp:posOffset>-1983740</wp:posOffset>
            </wp:positionV>
            <wp:extent cx="5461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-1656715</wp:posOffset>
            </wp:positionV>
            <wp:extent cx="47625"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-1656715</wp:posOffset>
            </wp:positionV>
            <wp:extent cx="47625"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5233035</wp:posOffset>
            </wp:positionH>
            <wp:positionV relativeFrom="paragraph">
              <wp:posOffset>-1656715</wp:posOffset>
            </wp:positionV>
            <wp:extent cx="5461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-885825</wp:posOffset>
            </wp:positionV>
            <wp:extent cx="47625"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-885825</wp:posOffset>
            </wp:positionV>
            <wp:extent cx="47625"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5233035</wp:posOffset>
            </wp:positionH>
            <wp:positionV relativeFrom="paragraph">
              <wp:posOffset>-885825</wp:posOffset>
            </wp:positionV>
            <wp:extent cx="5461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-442595</wp:posOffset>
            </wp:positionV>
            <wp:extent cx="47625"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-442595</wp:posOffset>
            </wp:positionV>
            <wp:extent cx="47625"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5233035</wp:posOffset>
            </wp:positionH>
            <wp:positionV relativeFrom="paragraph">
              <wp:posOffset>-442595</wp:posOffset>
            </wp:positionV>
            <wp:extent cx="5461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3" w:name="page94"/>
    <w:bookmarkEnd w:id="9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 (Loss)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231F20"/>
        </w:rPr>
        <w:t>(In thousands)</w:t>
      </w:r>
    </w:p>
    <w:p>
      <w:pPr>
        <w:spacing w:after="0" w:line="175"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29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5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210"/>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189,113</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(20,521)</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(156,835)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(309)</w:t>
            </w: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flow hedges: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20" w:type="dxa"/>
            <w:vAlign w:val="bottom"/>
            <w:shd w:val="clear" w:color="auto" w:fill="CFF0FC"/>
          </w:tcPr>
          <w:p>
            <w:pPr>
              <w:ind w:left="440"/>
              <w:spacing w:after="0" w:line="172" w:lineRule="exact"/>
              <w:rPr>
                <w:sz w:val="20"/>
                <w:szCs w:val="20"/>
                <w:color w:val="auto"/>
              </w:rPr>
            </w:pPr>
            <w:r>
              <w:rPr>
                <w:rFonts w:ascii="Times New Roman" w:cs="Times New Roman" w:eastAsia="Times New Roman" w:hAnsi="Times New Roman"/>
                <w:sz w:val="14"/>
                <w:szCs w:val="14"/>
                <w:color w:val="auto"/>
              </w:rPr>
              <w:t xml:space="preserve">Net change in fair value, net of tax </w:t>
            </w:r>
            <w:r>
              <w:rPr>
                <w:rFonts w:ascii="Times New Roman" w:cs="Times New Roman" w:eastAsia="Times New Roman" w:hAnsi="Times New Roman"/>
                <w:sz w:val="19"/>
                <w:szCs w:val="19"/>
                <w:color w:val="auto"/>
                <w:vertAlign w:val="superscript"/>
              </w:rPr>
              <w:t>(1)</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3,198</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15,826</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14,948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20" w:type="dxa"/>
            <w:vAlign w:val="bottom"/>
          </w:tcPr>
          <w:p>
            <w:pPr>
              <w:ind w:left="440"/>
              <w:spacing w:after="0" w:line="172" w:lineRule="exact"/>
              <w:rPr>
                <w:sz w:val="20"/>
                <w:szCs w:val="20"/>
                <w:color w:val="auto"/>
              </w:rPr>
            </w:pPr>
            <w:r>
              <w:rPr>
                <w:rFonts w:ascii="Times New Roman" w:cs="Times New Roman" w:eastAsia="Times New Roman" w:hAnsi="Times New Roman"/>
                <w:sz w:val="14"/>
                <w:szCs w:val="14"/>
                <w:color w:val="auto"/>
              </w:rPr>
              <w:t xml:space="preserve">Amounts reclassified to earnings, net of tax </w:t>
            </w:r>
            <w:r>
              <w:rPr>
                <w:rFonts w:ascii="Times New Roman" w:cs="Times New Roman" w:eastAsia="Times New Roman" w:hAnsi="Times New Roman"/>
                <w:sz w:val="19"/>
                <w:szCs w:val="19"/>
                <w:color w:val="auto"/>
                <w:vertAlign w:val="superscript"/>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(11,513)</w:t>
            </w: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(26,643)</w:t>
            </w:r>
          </w:p>
        </w:tc>
        <w:tc>
          <w:tcPr>
            <w:tcW w:w="2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(23,727)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other comprehensive loss</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(8,109)</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(11,126)</w:t>
            </w:r>
          </w:p>
        </w:tc>
        <w:tc>
          <w:tcPr>
            <w:tcW w:w="2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(8,648)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181,004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(31,647)</w:t>
            </w:r>
          </w:p>
        </w:tc>
        <w:tc>
          <w:tcPr>
            <w:tcW w:w="2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(165,483)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Comprehensive loss attributable to redeemable noncontrolling interests</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(1,143)</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(1,789)</w:t>
            </w:r>
          </w:p>
        </w:tc>
        <w:tc>
          <w:tcPr>
            <w:tcW w:w="2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(2,167)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loss attributable to noncontrolling interest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(410)</w:t>
            </w: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(670)</w:t>
            </w:r>
          </w:p>
        </w:tc>
        <w:tc>
          <w:tcPr>
            <w:tcW w:w="2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462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4"/>
                <w:szCs w:val="14"/>
                <w:color w:val="auto"/>
              </w:rPr>
              <w:t>Comprehensive income (loss) attributable to BrightSpring Health Services, Inc.</w:t>
            </w:r>
          </w:p>
        </w:tc>
        <w:tc>
          <w:tcPr>
            <w:tcW w:w="100" w:type="dxa"/>
            <w:vAlign w:val="bottom"/>
            <w:vMerge w:val="restart"/>
            <w:shd w:val="clear" w:color="auto" w:fill="CFF0FC"/>
          </w:tcPr>
          <w:p>
            <w:pPr>
              <w:spacing w:after="0"/>
              <w:rPr>
                <w:sz w:val="12"/>
                <w:szCs w:val="12"/>
                <w:color w:val="auto"/>
              </w:rPr>
            </w:pPr>
          </w:p>
        </w:tc>
        <w:tc>
          <w:tcPr>
            <w:tcW w:w="2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182,557</w:t>
            </w:r>
          </w:p>
        </w:tc>
        <w:tc>
          <w:tcPr>
            <w:tcW w:w="160" w:type="dxa"/>
            <w:vAlign w:val="bottom"/>
            <w:shd w:val="clear" w:color="auto" w:fill="CFF0FC"/>
          </w:tcPr>
          <w:p>
            <w:pPr>
              <w:spacing w:after="0"/>
              <w:rPr>
                <w:sz w:val="12"/>
                <w:szCs w:val="12"/>
                <w:color w:val="auto"/>
              </w:rPr>
            </w:pPr>
          </w:p>
        </w:tc>
        <w:tc>
          <w:tcPr>
            <w:tcW w:w="180" w:type="dxa"/>
            <w:vAlign w:val="bottom"/>
            <w:vMerge w:val="restart"/>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(29,188)</w:t>
            </w:r>
          </w:p>
        </w:tc>
        <w:tc>
          <w:tcPr>
            <w:tcW w:w="200" w:type="dxa"/>
            <w:vAlign w:val="bottom"/>
            <w:vMerge w:val="restart"/>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(163,251)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20" w:type="dxa"/>
            <w:vAlign w:val="bottom"/>
            <w:shd w:val="clear" w:color="auto" w:fill="CFF0FC"/>
          </w:tcPr>
          <w:p>
            <w:pPr>
              <w:ind w:left="120"/>
              <w:spacing w:after="0" w:line="155" w:lineRule="exact"/>
              <w:rPr>
                <w:sz w:val="20"/>
                <w:szCs w:val="20"/>
                <w:color w:val="auto"/>
              </w:rPr>
            </w:pPr>
            <w:r>
              <w:rPr>
                <w:rFonts w:ascii="Times New Roman" w:cs="Times New Roman" w:eastAsia="Times New Roman" w:hAnsi="Times New Roman"/>
                <w:sz w:val="14"/>
                <w:szCs w:val="14"/>
                <w:color w:val="auto"/>
              </w:rPr>
              <w:t>and subsidiaries</w:t>
            </w:r>
          </w:p>
        </w:tc>
        <w:tc>
          <w:tcPr>
            <w:tcW w:w="100" w:type="dxa"/>
            <w:vAlign w:val="bottom"/>
            <w:vMerge w:val="continue"/>
            <w:shd w:val="clear" w:color="auto" w:fill="CFF0FC"/>
          </w:tcPr>
          <w:p>
            <w:pPr>
              <w:spacing w:after="0"/>
              <w:rPr>
                <w:sz w:val="15"/>
                <w:szCs w:val="15"/>
                <w:color w:val="auto"/>
              </w:rPr>
            </w:pPr>
          </w:p>
        </w:tc>
        <w:tc>
          <w:tcPr>
            <w:tcW w:w="220" w:type="dxa"/>
            <w:vAlign w:val="bottom"/>
            <w:vMerge w:val="continue"/>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vMerge w:val="continue"/>
            <w:shd w:val="clear" w:color="auto" w:fill="CFF0FC"/>
          </w:tcPr>
          <w:p>
            <w:pPr>
              <w:spacing w:after="0"/>
              <w:rPr>
                <w:sz w:val="15"/>
                <w:szCs w:val="15"/>
                <w:color w:val="auto"/>
              </w:rPr>
            </w:pPr>
          </w:p>
        </w:tc>
        <w:tc>
          <w:tcPr>
            <w:tcW w:w="840" w:type="dxa"/>
            <w:vAlign w:val="bottom"/>
            <w:gridSpan w:val="2"/>
            <w:vMerge w:val="continue"/>
            <w:shd w:val="clear" w:color="auto" w:fill="CFF0FC"/>
          </w:tcPr>
          <w:p>
            <w:pPr>
              <w:spacing w:after="0"/>
              <w:rPr>
                <w:sz w:val="15"/>
                <w:szCs w:val="15"/>
                <w:color w:val="auto"/>
              </w:rPr>
            </w:pPr>
          </w:p>
        </w:tc>
        <w:tc>
          <w:tcPr>
            <w:tcW w:w="200" w:type="dxa"/>
            <w:vAlign w:val="bottom"/>
            <w:vMerge w:val="continue"/>
            <w:shd w:val="clear" w:color="auto" w:fill="CFF0FC"/>
          </w:tcPr>
          <w:p>
            <w:pPr>
              <w:spacing w:after="0"/>
              <w:rPr>
                <w:sz w:val="15"/>
                <w:szCs w:val="15"/>
                <w:color w:val="auto"/>
              </w:rPr>
            </w:pPr>
          </w:p>
        </w:tc>
        <w:tc>
          <w:tcPr>
            <w:tcW w:w="66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4025900</wp:posOffset>
            </wp:positionH>
            <wp:positionV relativeFrom="paragraph">
              <wp:posOffset>-565150</wp:posOffset>
            </wp:positionV>
            <wp:extent cx="47625"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4674235</wp:posOffset>
            </wp:positionH>
            <wp:positionV relativeFrom="paragraph">
              <wp:posOffset>-565150</wp:posOffset>
            </wp:positionV>
            <wp:extent cx="47625"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-565150</wp:posOffset>
            </wp:positionV>
            <wp:extent cx="5461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-19685</wp:posOffset>
            </wp:positionV>
            <wp:extent cx="47625"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-6350</wp:posOffset>
            </wp:positionV>
            <wp:extent cx="4762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4674235</wp:posOffset>
            </wp:positionH>
            <wp:positionV relativeFrom="paragraph">
              <wp:posOffset>-19685</wp:posOffset>
            </wp:positionV>
            <wp:extent cx="47625"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4674235</wp:posOffset>
            </wp:positionH>
            <wp:positionV relativeFrom="paragraph">
              <wp:posOffset>-6350</wp:posOffset>
            </wp:positionV>
            <wp:extent cx="47625"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-19685</wp:posOffset>
            </wp:positionV>
            <wp:extent cx="54610"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-6350</wp:posOffset>
            </wp:positionV>
            <wp:extent cx="54610"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148" w:lineRule="exact"/>
        <w:rPr>
          <w:sz w:val="20"/>
          <w:szCs w:val="20"/>
          <w:color w:val="auto"/>
        </w:rPr>
      </w:pPr>
    </w:p>
    <w:p>
      <w:pPr>
        <w:ind w:left="640" w:right="659" w:hanging="2"/>
        <w:spacing w:after="0" w:line="226" w:lineRule="auto"/>
        <w:tabs>
          <w:tab w:leader="none" w:pos="787"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income tax effects of the net change in fair value were $(1,038), $(5,149), and $(4,591) for the years ended December 31, 2025, 2024, and 2023, respectively.</w:t>
      </w:r>
    </w:p>
    <w:p>
      <w:pPr>
        <w:ind w:left="640" w:right="659" w:hanging="2"/>
        <w:spacing w:after="0" w:line="224" w:lineRule="auto"/>
        <w:tabs>
          <w:tab w:leader="none" w:pos="787"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income tax effects of amounts reclassified to earnings were $3,736, $8,646, and $7,683 for the years ended December 31, 2025, 2024, and 2023, respectively.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Shareholders’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data or otherwise indicated)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20" w:type="dxa"/>
            <w:vAlign w:val="bottom"/>
          </w:tcPr>
          <w:p>
            <w:pPr>
              <w:spacing w:after="0"/>
              <w:rPr>
                <w:sz w:val="11"/>
                <w:szCs w:val="11"/>
                <w:color w:val="auto"/>
              </w:rPr>
            </w:pPr>
          </w:p>
        </w:tc>
        <w:tc>
          <w:tcPr>
            <w:tcW w:w="1760" w:type="dxa"/>
            <w:vAlign w:val="bottom"/>
            <w:gridSpan w:val="5"/>
            <w:vMerge w:val="restart"/>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80" w:type="dxa"/>
            <w:vAlign w:val="bottom"/>
          </w:tcPr>
          <w:p>
            <w:pPr>
              <w:spacing w:after="0"/>
              <w:rPr>
                <w:sz w:val="11"/>
                <w:szCs w:val="11"/>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80" w:type="dxa"/>
            <w:vAlign w:val="bottom"/>
          </w:tcPr>
          <w:p>
            <w:pPr>
              <w:spacing w:after="0"/>
              <w:rPr>
                <w:sz w:val="11"/>
                <w:szCs w:val="11"/>
                <w:color w:val="auto"/>
              </w:rPr>
            </w:pPr>
          </w:p>
        </w:tc>
        <w:tc>
          <w:tcPr>
            <w:tcW w:w="158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9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140" w:type="dxa"/>
            <w:vAlign w:val="bottom"/>
          </w:tcPr>
          <w:p>
            <w:pPr>
              <w:spacing w:after="0"/>
              <w:rPr>
                <w:sz w:val="11"/>
                <w:szCs w:val="11"/>
                <w:color w:val="auto"/>
              </w:rPr>
            </w:pPr>
          </w:p>
        </w:tc>
        <w:tc>
          <w:tcPr>
            <w:tcW w:w="540" w:type="dxa"/>
            <w:vAlign w:val="bottom"/>
            <w:vMerge w:val="restart"/>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920" w:type="dxa"/>
            <w:vAlign w:val="bottom"/>
          </w:tcPr>
          <w:p>
            <w:pPr>
              <w:spacing w:after="0"/>
              <w:rPr>
                <w:sz w:val="11"/>
                <w:szCs w:val="11"/>
                <w:color w:val="auto"/>
              </w:rPr>
            </w:pPr>
          </w:p>
        </w:tc>
        <w:tc>
          <w:tcPr>
            <w:tcW w:w="1760" w:type="dxa"/>
            <w:vAlign w:val="bottom"/>
            <w:tcBorders>
              <w:bottom w:val="single" w:sz="8" w:color="auto"/>
            </w:tcBorders>
            <w:gridSpan w:val="5"/>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00" w:type="dxa"/>
            <w:vAlign w:val="bottom"/>
          </w:tcPr>
          <w:p>
            <w:pPr>
              <w:spacing w:after="0"/>
              <w:rPr>
                <w:sz w:val="11"/>
                <w:szCs w:val="11"/>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Comprehensive Income (Loss)</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9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Balances at January 1, 2023</w:t>
            </w:r>
          </w:p>
        </w:tc>
        <w:tc>
          <w:tcPr>
            <w:tcW w:w="820" w:type="dxa"/>
            <w:vAlign w:val="bottom"/>
            <w:tcBorders>
              <w:bottom w:val="single" w:sz="8" w:color="auto"/>
            </w:tcBorders>
          </w:tcPr>
          <w:p>
            <w:pPr>
              <w:jc w:val="right"/>
              <w:ind w:right="183"/>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23"/>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9"/>
                <w:szCs w:val="9"/>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778,121</w:t>
            </w:r>
          </w:p>
        </w:tc>
        <w:tc>
          <w:tcPr>
            <w:tcW w:w="100" w:type="dxa"/>
            <w:vAlign w:val="bottom"/>
          </w:tcPr>
          <w:p>
            <w:pPr>
              <w:spacing w:after="0"/>
              <w:rPr>
                <w:sz w:val="9"/>
                <w:szCs w:val="9"/>
                <w:color w:val="auto"/>
              </w:rPr>
            </w:pPr>
          </w:p>
        </w:tc>
        <w:tc>
          <w:tcPr>
            <w:tcW w:w="22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(45,716)</w:t>
            </w:r>
          </w:p>
        </w:tc>
        <w:tc>
          <w:tcPr>
            <w:tcW w:w="180" w:type="dxa"/>
            <w:vAlign w:val="bottom"/>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21,192</w:t>
            </w:r>
          </w:p>
        </w:tc>
        <w:tc>
          <w:tcPr>
            <w:tcW w:w="200" w:type="dxa"/>
            <w:vAlign w:val="bottom"/>
          </w:tcPr>
          <w:p>
            <w:pPr>
              <w:spacing w:after="0"/>
              <w:rPr>
                <w:sz w:val="9"/>
                <w:szCs w:val="9"/>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754,776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920" w:type="dxa"/>
            <w:vAlign w:val="bottom"/>
            <w:vMerge w:val="continue"/>
          </w:tcPr>
          <w:p>
            <w:pPr>
              <w:spacing w:after="0"/>
              <w:rPr>
                <w:sz w:val="7"/>
                <w:szCs w:val="7"/>
                <w:color w:val="auto"/>
              </w:rPr>
            </w:pPr>
          </w:p>
        </w:tc>
        <w:tc>
          <w:tcPr>
            <w:tcW w:w="82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117,860,839</w:t>
            </w:r>
          </w:p>
        </w:tc>
        <w:tc>
          <w:tcPr>
            <w:tcW w:w="120" w:type="dxa"/>
            <w:vAlign w:val="bottom"/>
          </w:tcPr>
          <w:p>
            <w:pPr>
              <w:spacing w:after="0"/>
              <w:rPr>
                <w:sz w:val="7"/>
                <w:szCs w:val="7"/>
                <w:color w:val="auto"/>
              </w:rPr>
            </w:pPr>
          </w:p>
        </w:tc>
        <w:tc>
          <w:tcPr>
            <w:tcW w:w="200" w:type="dxa"/>
            <w:vAlign w:val="bottom"/>
            <w:gridSpan w:val="2"/>
          </w:tcPr>
          <w:p>
            <w:pPr>
              <w:jc w:val="right"/>
              <w:ind w:right="3"/>
              <w:spacing w:after="0" w:line="8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1,179</w:t>
            </w:r>
          </w:p>
        </w:tc>
        <w:tc>
          <w:tcPr>
            <w:tcW w:w="10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920" w:type="dxa"/>
            <w:vAlign w:val="bottom"/>
          </w:tcPr>
          <w:p>
            <w:pPr>
              <w:spacing w:after="0" w:line="140" w:lineRule="exact"/>
              <w:rPr>
                <w:sz w:val="20"/>
                <w:szCs w:val="20"/>
                <w:color w:val="auto"/>
              </w:rPr>
            </w:pPr>
            <w:r>
              <w:rPr>
                <w:rFonts w:ascii="Times New Roman" w:cs="Times New Roman" w:eastAsia="Times New Roman" w:hAnsi="Times New Roman"/>
                <w:sz w:val="11"/>
                <w:szCs w:val="11"/>
                <w:color w:val="auto"/>
              </w:rPr>
              <w:t xml:space="preserve">Net loss </w:t>
            </w:r>
            <w:r>
              <w:rPr>
                <w:rFonts w:ascii="Times New Roman" w:cs="Times New Roman" w:eastAsia="Times New Roman" w:hAnsi="Times New Roman"/>
                <w:sz w:val="15"/>
                <w:szCs w:val="15"/>
                <w:color w:val="auto"/>
                <w:vertAlign w:val="superscript"/>
              </w:rPr>
              <w:t>(1)</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(154,538)</w:t>
            </w:r>
          </w:p>
        </w:tc>
        <w:tc>
          <w:tcPr>
            <w:tcW w:w="180" w:type="dxa"/>
            <w:vAlign w:val="bottom"/>
          </w:tcPr>
          <w:p>
            <w:pPr>
              <w:spacing w:after="0"/>
              <w:rPr>
                <w:sz w:val="12"/>
                <w:szCs w:val="12"/>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(65)</w:t>
            </w: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(154,603)</w:t>
            </w:r>
          </w:p>
        </w:tc>
        <w:tc>
          <w:tcPr>
            <w:tcW w:w="0" w:type="dxa"/>
            <w:vAlign w:val="bottom"/>
          </w:tcPr>
          <w:p>
            <w:pPr>
              <w:spacing w:after="0"/>
              <w:rPr>
                <w:sz w:val="1"/>
                <w:szCs w:val="1"/>
                <w:color w:val="auto"/>
              </w:rPr>
            </w:pPr>
          </w:p>
        </w:tc>
      </w:tr>
      <w:tr>
        <w:trPr>
          <w:trHeight w:val="118"/>
        </w:trPr>
        <w:tc>
          <w:tcPr>
            <w:tcW w:w="292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Other comprehensive loss, net of tax</w:t>
            </w:r>
          </w:p>
        </w:tc>
        <w:tc>
          <w:tcPr>
            <w:tcW w:w="940" w:type="dxa"/>
            <w:vAlign w:val="bottom"/>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1580" w:type="dxa"/>
            <w:vAlign w:val="bottom"/>
            <w:gridSpan w:val="2"/>
            <w:shd w:val="clear" w:color="auto" w:fill="CFF0FC"/>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(8,648)</w:t>
            </w:r>
          </w:p>
        </w:tc>
        <w:tc>
          <w:tcPr>
            <w:tcW w:w="12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(8,648)</w:t>
            </w:r>
          </w:p>
        </w:tc>
        <w:tc>
          <w:tcPr>
            <w:tcW w:w="0" w:type="dxa"/>
            <w:vAlign w:val="bottom"/>
          </w:tcPr>
          <w:p>
            <w:pPr>
              <w:spacing w:after="0"/>
              <w:rPr>
                <w:sz w:val="1"/>
                <w:szCs w:val="1"/>
                <w:color w:val="auto"/>
              </w:rPr>
            </w:pPr>
          </w:p>
        </w:tc>
      </w:tr>
      <w:tr>
        <w:trPr>
          <w:trHeight w:val="118"/>
        </w:trPr>
        <w:tc>
          <w:tcPr>
            <w:tcW w:w="292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Share-based compensation</w:t>
            </w:r>
          </w:p>
        </w:tc>
        <w:tc>
          <w:tcPr>
            <w:tcW w:w="94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3,917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15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3,917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2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Repurchase of shares of common stock</w:t>
            </w:r>
          </w:p>
        </w:tc>
        <w:tc>
          <w:tcPr>
            <w:tcW w:w="940" w:type="dxa"/>
            <w:vAlign w:val="bottom"/>
            <w:gridSpan w:val="2"/>
            <w:shd w:val="clear" w:color="auto" w:fill="CFF0FC"/>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(81,654)</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(1,299)</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158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(1,300)</w:t>
            </w:r>
          </w:p>
        </w:tc>
        <w:tc>
          <w:tcPr>
            <w:tcW w:w="0" w:type="dxa"/>
            <w:vAlign w:val="bottom"/>
          </w:tcPr>
          <w:p>
            <w:pPr>
              <w:spacing w:after="0"/>
              <w:rPr>
                <w:sz w:val="1"/>
                <w:szCs w:val="1"/>
                <w:color w:val="auto"/>
              </w:rPr>
            </w:pPr>
          </w:p>
        </w:tc>
      </w:tr>
      <w:tr>
        <w:trPr>
          <w:trHeight w:val="101"/>
        </w:trPr>
        <w:tc>
          <w:tcPr>
            <w:tcW w:w="292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Shares issued under share-based compensation plan,</w:t>
            </w:r>
          </w:p>
        </w:tc>
        <w:tc>
          <w:tcPr>
            <w:tcW w:w="82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77,870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597</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tcPr>
          <w:p>
            <w:pPr>
              <w:jc w:val="right"/>
              <w:ind w:right="200"/>
              <w:spacing w:after="0" w:line="101"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8"/>
                <w:szCs w:val="8"/>
                <w:color w:val="auto"/>
              </w:rPr>
            </w:pPr>
          </w:p>
        </w:tc>
        <w:tc>
          <w:tcPr>
            <w:tcW w:w="1580" w:type="dxa"/>
            <w:vAlign w:val="bottom"/>
            <w:gridSpan w:val="2"/>
          </w:tcPr>
          <w:p>
            <w:pPr>
              <w:jc w:val="right"/>
              <w:ind w:right="200"/>
              <w:spacing w:after="0" w:line="10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860" w:type="dxa"/>
            <w:vAlign w:val="bottom"/>
            <w:gridSpan w:val="2"/>
          </w:tcPr>
          <w:p>
            <w:pPr>
              <w:jc w:val="right"/>
              <w:ind w:right="200"/>
              <w:spacing w:after="0" w:line="10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598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including tax effects</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92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Repurchase of stock options</w:t>
            </w:r>
          </w:p>
        </w:tc>
        <w:tc>
          <w:tcPr>
            <w:tcW w:w="940" w:type="dxa"/>
            <w:vAlign w:val="bottom"/>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(10,000)</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158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(10,000)</w:t>
            </w:r>
          </w:p>
        </w:tc>
        <w:tc>
          <w:tcPr>
            <w:tcW w:w="0" w:type="dxa"/>
            <w:vAlign w:val="bottom"/>
          </w:tcPr>
          <w:p>
            <w:pPr>
              <w:spacing w:after="0"/>
              <w:rPr>
                <w:sz w:val="1"/>
                <w:szCs w:val="1"/>
                <w:color w:val="auto"/>
              </w:rPr>
            </w:pPr>
          </w:p>
        </w:tc>
      </w:tr>
      <w:tr>
        <w:trPr>
          <w:trHeight w:val="118"/>
        </w:trPr>
        <w:tc>
          <w:tcPr>
            <w:tcW w:w="292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Investment in noncontrolling interest</w:t>
            </w:r>
          </w:p>
        </w:tc>
        <w:tc>
          <w:tcPr>
            <w:tcW w:w="8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(65)</w:t>
            </w:r>
          </w:p>
        </w:tc>
        <w:tc>
          <w:tcPr>
            <w:tcW w:w="180" w:type="dxa"/>
            <w:vAlign w:val="bottom"/>
          </w:tcPr>
          <w:p>
            <w:pPr>
              <w:spacing w:after="0"/>
              <w:rPr>
                <w:sz w:val="10"/>
                <w:szCs w:val="10"/>
                <w:color w:val="auto"/>
              </w:rPr>
            </w:pPr>
          </w:p>
        </w:tc>
        <w:tc>
          <w:tcPr>
            <w:tcW w:w="15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735</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670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Balances at December 31, 2023</w:t>
            </w: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920" w:type="dxa"/>
            <w:vAlign w:val="bottom"/>
            <w:vMerge w:val="continue"/>
          </w:tcPr>
          <w:p>
            <w:pPr>
              <w:spacing w:after="0"/>
              <w:rPr>
                <w:sz w:val="9"/>
                <w:szCs w:val="9"/>
                <w:color w:val="auto"/>
              </w:rPr>
            </w:pPr>
          </w:p>
        </w:tc>
        <w:tc>
          <w:tcPr>
            <w:tcW w:w="8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117,857,055</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jc w:val="right"/>
              <w:ind w:right="3"/>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1,179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771,336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jc w:val="right"/>
              <w:ind w:right="23"/>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1"/>
                <w:szCs w:val="11"/>
                <w:color w:val="auto"/>
              </w:rPr>
              <w:t>(200,319)</w:t>
            </w:r>
          </w:p>
        </w:tc>
        <w:tc>
          <w:tcPr>
            <w:tcW w:w="180" w:type="dxa"/>
            <w:vAlign w:val="bottom"/>
          </w:tcPr>
          <w:p>
            <w:pPr>
              <w:jc w:val="right"/>
              <w:ind w:right="63"/>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12,544</w:t>
            </w:r>
          </w:p>
        </w:tc>
        <w:tc>
          <w:tcPr>
            <w:tcW w:w="200" w:type="dxa"/>
            <w:vAlign w:val="bottom"/>
          </w:tcPr>
          <w:p>
            <w:pPr>
              <w:spacing w:after="0"/>
              <w:rPr>
                <w:sz w:val="9"/>
                <w:szCs w:val="9"/>
                <w:color w:val="auto"/>
              </w:rPr>
            </w:pPr>
          </w:p>
        </w:tc>
        <w:tc>
          <w:tcPr>
            <w:tcW w:w="12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670</w:t>
            </w:r>
          </w:p>
        </w:tc>
        <w:tc>
          <w:tcPr>
            <w:tcW w:w="180" w:type="dxa"/>
            <w:vAlign w:val="bottom"/>
          </w:tcPr>
          <w:p>
            <w:pPr>
              <w:spacing w:after="0"/>
              <w:rPr>
                <w:sz w:val="9"/>
                <w:szCs w:val="9"/>
                <w:color w:val="auto"/>
              </w:rPr>
            </w:pPr>
          </w:p>
        </w:tc>
        <w:tc>
          <w:tcPr>
            <w:tcW w:w="140" w:type="dxa"/>
            <w:vAlign w:val="bottom"/>
          </w:tcPr>
          <w:p>
            <w:pPr>
              <w:jc w:val="right"/>
              <w:ind w:right="23"/>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585,410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line="131" w:lineRule="exact"/>
              <w:rPr>
                <w:sz w:val="20"/>
                <w:szCs w:val="20"/>
                <w:color w:val="auto"/>
              </w:rPr>
            </w:pPr>
            <w:r>
              <w:rPr>
                <w:rFonts w:ascii="Times New Roman" w:cs="Times New Roman" w:eastAsia="Times New Roman" w:hAnsi="Times New Roman"/>
                <w:sz w:val="11"/>
                <w:szCs w:val="11"/>
                <w:color w:val="auto"/>
              </w:rPr>
              <w:t xml:space="preserve">Net loss </w:t>
            </w:r>
            <w:r>
              <w:rPr>
                <w:rFonts w:ascii="Times New Roman" w:cs="Times New Roman" w:eastAsia="Times New Roman" w:hAnsi="Times New Roman"/>
                <w:sz w:val="15"/>
                <w:szCs w:val="15"/>
                <w:color w:val="auto"/>
                <w:vertAlign w:val="superscript"/>
              </w:rPr>
              <w:t>(1)</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920" w:type="dxa"/>
            <w:vAlign w:val="bottom"/>
            <w:vMerge w:val="continue"/>
          </w:tcPr>
          <w:p>
            <w:pPr>
              <w:spacing w:after="0"/>
              <w:rPr>
                <w:sz w:val="7"/>
                <w:szCs w:val="7"/>
                <w:color w:val="auto"/>
              </w:rPr>
            </w:pPr>
          </w:p>
        </w:tc>
        <w:tc>
          <w:tcPr>
            <w:tcW w:w="82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(18,062)</w:t>
            </w:r>
          </w:p>
        </w:tc>
        <w:tc>
          <w:tcPr>
            <w:tcW w:w="2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(670)</w:t>
            </w:r>
          </w:p>
        </w:tc>
        <w:tc>
          <w:tcPr>
            <w:tcW w:w="1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(18,732)</w:t>
            </w: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92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Other comprehensive loss, net of tax</w:t>
            </w:r>
          </w:p>
        </w:tc>
        <w:tc>
          <w:tcPr>
            <w:tcW w:w="940" w:type="dxa"/>
            <w:vAlign w:val="bottom"/>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1580" w:type="dxa"/>
            <w:vAlign w:val="bottom"/>
            <w:gridSpan w:val="2"/>
            <w:shd w:val="clear" w:color="auto" w:fill="CFF0FC"/>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(11,126)</w:t>
            </w:r>
          </w:p>
        </w:tc>
        <w:tc>
          <w:tcPr>
            <w:tcW w:w="12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(11,126)</w:t>
            </w:r>
          </w:p>
        </w:tc>
        <w:tc>
          <w:tcPr>
            <w:tcW w:w="0" w:type="dxa"/>
            <w:vAlign w:val="bottom"/>
          </w:tcPr>
          <w:p>
            <w:pPr>
              <w:spacing w:after="0"/>
              <w:rPr>
                <w:sz w:val="1"/>
                <w:szCs w:val="1"/>
                <w:color w:val="auto"/>
              </w:rPr>
            </w:pPr>
          </w:p>
        </w:tc>
      </w:tr>
      <w:tr>
        <w:trPr>
          <w:trHeight w:val="118"/>
        </w:trPr>
        <w:tc>
          <w:tcPr>
            <w:tcW w:w="292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Share-based compensation</w:t>
            </w:r>
          </w:p>
        </w:tc>
        <w:tc>
          <w:tcPr>
            <w:tcW w:w="94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69,174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15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69,174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2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Exercise of stock options</w:t>
            </w:r>
          </w:p>
        </w:tc>
        <w:tc>
          <w:tcPr>
            <w:tcW w:w="8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234,608</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1,533</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158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1,535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Issuance of common stock for settlement of RSUs</w:t>
            </w:r>
          </w:p>
        </w:tc>
        <w:tc>
          <w:tcPr>
            <w:tcW w:w="8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241,971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15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4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292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Tax effect of net share settlement of equity awards</w:t>
            </w:r>
          </w:p>
        </w:tc>
        <w:tc>
          <w:tcPr>
            <w:tcW w:w="940" w:type="dxa"/>
            <w:vAlign w:val="bottom"/>
            <w:gridSpan w:val="2"/>
            <w:shd w:val="clear" w:color="auto" w:fill="CFF0FC"/>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(93,678)</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(1,195)</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158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(1,196)</w:t>
            </w:r>
          </w:p>
        </w:tc>
        <w:tc>
          <w:tcPr>
            <w:tcW w:w="0" w:type="dxa"/>
            <w:vAlign w:val="bottom"/>
          </w:tcPr>
          <w:p>
            <w:pPr>
              <w:spacing w:after="0"/>
              <w:rPr>
                <w:sz w:val="1"/>
                <w:szCs w:val="1"/>
                <w:color w:val="auto"/>
              </w:rPr>
            </w:pPr>
          </w:p>
        </w:tc>
      </w:tr>
      <w:tr>
        <w:trPr>
          <w:trHeight w:val="101"/>
        </w:trPr>
        <w:tc>
          <w:tcPr>
            <w:tcW w:w="292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Shares issued for payment of acquisition</w:t>
            </w:r>
          </w:p>
        </w:tc>
        <w:tc>
          <w:tcPr>
            <w:tcW w:w="82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2,570,503</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26</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31,055</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tcPr>
          <w:p>
            <w:pPr>
              <w:jc w:val="right"/>
              <w:ind w:right="200"/>
              <w:spacing w:after="0" w:line="101"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8"/>
                <w:szCs w:val="8"/>
                <w:color w:val="auto"/>
              </w:rPr>
            </w:pPr>
          </w:p>
        </w:tc>
        <w:tc>
          <w:tcPr>
            <w:tcW w:w="1580" w:type="dxa"/>
            <w:vAlign w:val="bottom"/>
            <w:gridSpan w:val="2"/>
          </w:tcPr>
          <w:p>
            <w:pPr>
              <w:jc w:val="right"/>
              <w:ind w:right="200"/>
              <w:spacing w:after="0" w:line="10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860" w:type="dxa"/>
            <w:vAlign w:val="bottom"/>
            <w:gridSpan w:val="2"/>
          </w:tcPr>
          <w:p>
            <w:pPr>
              <w:jc w:val="right"/>
              <w:ind w:right="200"/>
              <w:spacing w:after="0" w:line="10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31,081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Derecognition of redeemable noncontrolling interest,</w:t>
            </w:r>
          </w:p>
        </w:tc>
        <w:tc>
          <w:tcPr>
            <w:tcW w:w="94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12,439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(3,774)</w:t>
            </w:r>
          </w:p>
        </w:tc>
        <w:tc>
          <w:tcPr>
            <w:tcW w:w="180" w:type="dxa"/>
            <w:vAlign w:val="bottom"/>
          </w:tcPr>
          <w:p>
            <w:pPr>
              <w:spacing w:after="0"/>
              <w:rPr>
                <w:sz w:val="10"/>
                <w:szCs w:val="10"/>
                <w:color w:val="auto"/>
              </w:rPr>
            </w:pPr>
          </w:p>
        </w:tc>
        <w:tc>
          <w:tcPr>
            <w:tcW w:w="15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8,665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920" w:type="dxa"/>
            <w:vAlign w:val="bottom"/>
          </w:tcPr>
          <w:p>
            <w:pPr>
              <w:ind w:left="80"/>
              <w:spacing w:after="0" w:line="114" w:lineRule="exact"/>
              <w:rPr>
                <w:sz w:val="20"/>
                <w:szCs w:val="20"/>
                <w:color w:val="auto"/>
              </w:rPr>
            </w:pPr>
            <w:r>
              <w:rPr>
                <w:rFonts w:ascii="Times New Roman" w:cs="Times New Roman" w:eastAsia="Times New Roman" w:hAnsi="Times New Roman"/>
                <w:sz w:val="11"/>
                <w:szCs w:val="11"/>
                <w:color w:val="auto"/>
              </w:rPr>
              <w:t>net of tax</w:t>
            </w: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920" w:type="dxa"/>
            <w:vAlign w:val="bottom"/>
          </w:tcPr>
          <w:p>
            <w:pPr>
              <w:spacing w:after="0" w:line="140" w:lineRule="exact"/>
              <w:rPr>
                <w:sz w:val="20"/>
                <w:szCs w:val="20"/>
                <w:color w:val="auto"/>
              </w:rPr>
            </w:pPr>
            <w:r>
              <w:rPr>
                <w:rFonts w:ascii="Times New Roman" w:cs="Times New Roman" w:eastAsia="Times New Roman" w:hAnsi="Times New Roman"/>
                <w:sz w:val="11"/>
                <w:szCs w:val="11"/>
                <w:color w:val="auto"/>
              </w:rPr>
              <w:t xml:space="preserve">Issuance of common stock on initial public offering, net </w:t>
            </w:r>
            <w:r>
              <w:rPr>
                <w:rFonts w:ascii="Times New Roman" w:cs="Times New Roman" w:eastAsia="Times New Roman" w:hAnsi="Times New Roman"/>
                <w:sz w:val="15"/>
                <w:szCs w:val="15"/>
                <w:color w:val="auto"/>
                <w:vertAlign w:val="superscript"/>
              </w:rPr>
              <w:t>(2)</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53,333,334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661,244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661,777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920" w:type="dxa"/>
            <w:vAlign w:val="bottom"/>
            <w:shd w:val="clear" w:color="auto" w:fill="CFF0FC"/>
          </w:tcPr>
          <w:p>
            <w:pPr>
              <w:spacing w:after="0" w:line="97" w:lineRule="exact"/>
              <w:rPr>
                <w:sz w:val="20"/>
                <w:szCs w:val="20"/>
                <w:color w:val="auto"/>
              </w:rPr>
            </w:pPr>
            <w:r>
              <w:rPr>
                <w:rFonts w:ascii="Times New Roman" w:cs="Times New Roman" w:eastAsia="Times New Roman" w:hAnsi="Times New Roman"/>
                <w:sz w:val="11"/>
                <w:szCs w:val="11"/>
                <w:color w:val="auto"/>
              </w:rPr>
              <w:t>Proceeds from stock purchase contract issued under</w:t>
            </w:r>
          </w:p>
        </w:tc>
        <w:tc>
          <w:tcPr>
            <w:tcW w:w="940" w:type="dxa"/>
            <w:vAlign w:val="bottom"/>
            <w:gridSpan w:val="2"/>
            <w:shd w:val="clear" w:color="auto" w:fill="CFF0FC"/>
          </w:tcPr>
          <w:p>
            <w:pPr>
              <w:jc w:val="right"/>
              <w:ind w:right="12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20" w:type="dxa"/>
            <w:vAlign w:val="bottom"/>
            <w:gridSpan w:val="2"/>
            <w:shd w:val="clear" w:color="auto" w:fill="CFF0FC"/>
          </w:tcPr>
          <w:p>
            <w:pPr>
              <w:jc w:val="right"/>
              <w:ind w:right="12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4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11"/>
                <w:szCs w:val="11"/>
                <w:color w:val="auto"/>
              </w:rPr>
              <w:t>321,611</w:t>
            </w: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80" w:type="dxa"/>
            <w:vAlign w:val="bottom"/>
            <w:gridSpan w:val="2"/>
            <w:shd w:val="clear" w:color="auto" w:fill="CFF0FC"/>
          </w:tcPr>
          <w:p>
            <w:pPr>
              <w:jc w:val="right"/>
              <w:ind w:right="200"/>
              <w:spacing w:after="0" w:line="97"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8"/>
                <w:szCs w:val="8"/>
                <w:color w:val="auto"/>
              </w:rPr>
            </w:pPr>
          </w:p>
        </w:tc>
        <w:tc>
          <w:tcPr>
            <w:tcW w:w="1580" w:type="dxa"/>
            <w:vAlign w:val="bottom"/>
            <w:gridSpan w:val="2"/>
            <w:shd w:val="clear" w:color="auto" w:fill="CFF0FC"/>
          </w:tcPr>
          <w:p>
            <w:pPr>
              <w:jc w:val="right"/>
              <w:ind w:right="200"/>
              <w:spacing w:after="0" w:line="9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8"/>
                <w:szCs w:val="8"/>
                <w:color w:val="auto"/>
              </w:rPr>
            </w:pPr>
          </w:p>
        </w:tc>
        <w:tc>
          <w:tcPr>
            <w:tcW w:w="860" w:type="dxa"/>
            <w:vAlign w:val="bottom"/>
            <w:gridSpan w:val="2"/>
            <w:shd w:val="clear" w:color="auto" w:fill="CFF0FC"/>
          </w:tcPr>
          <w:p>
            <w:pPr>
              <w:jc w:val="right"/>
              <w:ind w:right="200"/>
              <w:spacing w:after="0" w:line="97"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11"/>
                <w:szCs w:val="11"/>
                <w:color w:val="auto"/>
              </w:rPr>
              <w:t>321,611</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920" w:type="dxa"/>
            <w:vAlign w:val="bottom"/>
            <w:shd w:val="clear" w:color="auto" w:fill="CFF0FC"/>
          </w:tcPr>
          <w:p>
            <w:pPr>
              <w:ind w:left="80"/>
              <w:spacing w:after="0" w:line="140" w:lineRule="exact"/>
              <w:rPr>
                <w:sz w:val="20"/>
                <w:szCs w:val="20"/>
                <w:color w:val="auto"/>
              </w:rPr>
            </w:pPr>
            <w:r>
              <w:rPr>
                <w:rFonts w:ascii="Times New Roman" w:cs="Times New Roman" w:eastAsia="Times New Roman" w:hAnsi="Times New Roman"/>
                <w:sz w:val="11"/>
                <w:szCs w:val="11"/>
                <w:color w:val="auto"/>
              </w:rPr>
              <w:t xml:space="preserve">tangible equity units, net </w:t>
            </w:r>
            <w:r>
              <w:rPr>
                <w:rFonts w:ascii="Times New Roman" w:cs="Times New Roman" w:eastAsia="Times New Roman" w:hAnsi="Times New Roman"/>
                <w:sz w:val="15"/>
                <w:szCs w:val="15"/>
                <w:color w:val="auto"/>
                <w:vertAlign w:val="superscript"/>
              </w:rPr>
              <w:t>(3)</w:t>
            </w: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Other</w:t>
            </w:r>
          </w:p>
        </w:tc>
        <w:tc>
          <w:tcPr>
            <w:tcW w:w="8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102,197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(345)</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15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40" w:type="dxa"/>
            <w:vAlign w:val="bottom"/>
            <w:gridSpan w:val="2"/>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(344)</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Balances at December 31, 2024</w:t>
            </w: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920" w:type="dxa"/>
            <w:vAlign w:val="bottom"/>
            <w:vMerge w:val="continue"/>
          </w:tcPr>
          <w:p>
            <w:pPr>
              <w:spacing w:after="0"/>
              <w:rPr>
                <w:sz w:val="9"/>
                <w:szCs w:val="9"/>
                <w:color w:val="auto"/>
              </w:rPr>
            </w:pPr>
          </w:p>
        </w:tc>
        <w:tc>
          <w:tcPr>
            <w:tcW w:w="8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174,245,990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jc w:val="right"/>
              <w:ind w:right="3"/>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1,742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1,866,850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jc w:val="right"/>
              <w:ind w:right="23"/>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1"/>
                <w:szCs w:val="11"/>
                <w:color w:val="auto"/>
              </w:rPr>
              <w:t>(222,155)</w:t>
            </w:r>
          </w:p>
        </w:tc>
        <w:tc>
          <w:tcPr>
            <w:tcW w:w="180" w:type="dxa"/>
            <w:vAlign w:val="bottom"/>
          </w:tcPr>
          <w:p>
            <w:pPr>
              <w:jc w:val="right"/>
              <w:ind w:right="63"/>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1,418</w:t>
            </w:r>
          </w:p>
        </w:tc>
        <w:tc>
          <w:tcPr>
            <w:tcW w:w="200" w:type="dxa"/>
            <w:vAlign w:val="bottom"/>
          </w:tcPr>
          <w:p>
            <w:pPr>
              <w:spacing w:after="0"/>
              <w:rPr>
                <w:sz w:val="9"/>
                <w:szCs w:val="9"/>
                <w:color w:val="auto"/>
              </w:rPr>
            </w:pPr>
          </w:p>
        </w:tc>
        <w:tc>
          <w:tcPr>
            <w:tcW w:w="12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200"/>
              <w:spacing w:after="0" w:line="10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23"/>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1,647,855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line="131" w:lineRule="exact"/>
              <w:rPr>
                <w:sz w:val="20"/>
                <w:szCs w:val="20"/>
                <w:color w:val="auto"/>
              </w:rPr>
            </w:pPr>
            <w:r>
              <w:rPr>
                <w:rFonts w:ascii="Times New Roman" w:cs="Times New Roman" w:eastAsia="Times New Roman" w:hAnsi="Times New Roman"/>
                <w:sz w:val="11"/>
                <w:szCs w:val="11"/>
                <w:color w:val="auto"/>
              </w:rPr>
              <w:t xml:space="preserve">Net income (loss) </w:t>
            </w:r>
            <w:r>
              <w:rPr>
                <w:rFonts w:ascii="Times New Roman" w:cs="Times New Roman" w:eastAsia="Times New Roman" w:hAnsi="Times New Roman"/>
                <w:sz w:val="15"/>
                <w:szCs w:val="15"/>
                <w:color w:val="auto"/>
                <w:vertAlign w:val="superscript"/>
              </w:rPr>
              <w:t>(1)</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920" w:type="dxa"/>
            <w:vAlign w:val="bottom"/>
            <w:vMerge w:val="continue"/>
          </w:tcPr>
          <w:p>
            <w:pPr>
              <w:spacing w:after="0"/>
              <w:rPr>
                <w:sz w:val="7"/>
                <w:szCs w:val="7"/>
                <w:color w:val="auto"/>
              </w:rPr>
            </w:pPr>
          </w:p>
        </w:tc>
        <w:tc>
          <w:tcPr>
            <w:tcW w:w="82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190,666</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(410)</w:t>
            </w:r>
          </w:p>
        </w:tc>
        <w:tc>
          <w:tcPr>
            <w:tcW w:w="1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190,256</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92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Other comprehensive loss, net of tax</w:t>
            </w:r>
          </w:p>
        </w:tc>
        <w:tc>
          <w:tcPr>
            <w:tcW w:w="940" w:type="dxa"/>
            <w:vAlign w:val="bottom"/>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1580" w:type="dxa"/>
            <w:vAlign w:val="bottom"/>
            <w:gridSpan w:val="2"/>
            <w:shd w:val="clear" w:color="auto" w:fill="CFF0FC"/>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(8,109)</w:t>
            </w:r>
          </w:p>
        </w:tc>
        <w:tc>
          <w:tcPr>
            <w:tcW w:w="12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(8,109)</w:t>
            </w:r>
          </w:p>
        </w:tc>
        <w:tc>
          <w:tcPr>
            <w:tcW w:w="0" w:type="dxa"/>
            <w:vAlign w:val="bottom"/>
          </w:tcPr>
          <w:p>
            <w:pPr>
              <w:spacing w:after="0"/>
              <w:rPr>
                <w:sz w:val="1"/>
                <w:szCs w:val="1"/>
                <w:color w:val="auto"/>
              </w:rPr>
            </w:pPr>
          </w:p>
        </w:tc>
      </w:tr>
      <w:tr>
        <w:trPr>
          <w:trHeight w:val="118"/>
        </w:trPr>
        <w:tc>
          <w:tcPr>
            <w:tcW w:w="292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Share-based compensation</w:t>
            </w:r>
          </w:p>
        </w:tc>
        <w:tc>
          <w:tcPr>
            <w:tcW w:w="94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70,099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15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70,099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2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Exercise of stock options</w:t>
            </w:r>
          </w:p>
        </w:tc>
        <w:tc>
          <w:tcPr>
            <w:tcW w:w="8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3,402,905</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34</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25,247</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158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25,281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Issuance of common stock for settlement of RSUs</w:t>
            </w:r>
          </w:p>
        </w:tc>
        <w:tc>
          <w:tcPr>
            <w:tcW w:w="8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1,948,306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(19)</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15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4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292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Tax effect of net share settlement of equity awards</w:t>
            </w:r>
          </w:p>
        </w:tc>
        <w:tc>
          <w:tcPr>
            <w:tcW w:w="940" w:type="dxa"/>
            <w:vAlign w:val="bottom"/>
            <w:gridSpan w:val="2"/>
            <w:shd w:val="clear" w:color="auto" w:fill="CFF0FC"/>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(323,293)</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(7,551)</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158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(7,554)</w:t>
            </w:r>
          </w:p>
        </w:tc>
        <w:tc>
          <w:tcPr>
            <w:tcW w:w="0" w:type="dxa"/>
            <w:vAlign w:val="bottom"/>
          </w:tcPr>
          <w:p>
            <w:pPr>
              <w:spacing w:after="0"/>
              <w:rPr>
                <w:sz w:val="1"/>
                <w:szCs w:val="1"/>
                <w:color w:val="auto"/>
              </w:rPr>
            </w:pPr>
          </w:p>
        </w:tc>
      </w:tr>
      <w:tr>
        <w:trPr>
          <w:trHeight w:val="118"/>
        </w:trPr>
        <w:tc>
          <w:tcPr>
            <w:tcW w:w="292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Conversion of tangible equity units into common stock</w:t>
            </w:r>
          </w:p>
        </w:tc>
        <w:tc>
          <w:tcPr>
            <w:tcW w:w="8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14,350,217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144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(144)</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15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4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292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Share repurchase</w:t>
            </w:r>
          </w:p>
        </w:tc>
        <w:tc>
          <w:tcPr>
            <w:tcW w:w="940" w:type="dxa"/>
            <w:vAlign w:val="bottom"/>
            <w:gridSpan w:val="2"/>
            <w:shd w:val="clear" w:color="auto" w:fill="CFF0FC"/>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(1,500,000)</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(15)</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(43,158)</w:t>
            </w:r>
          </w:p>
        </w:tc>
        <w:tc>
          <w:tcPr>
            <w:tcW w:w="180" w:type="dxa"/>
            <w:vAlign w:val="bottom"/>
            <w:shd w:val="clear" w:color="auto" w:fill="CFF0FC"/>
          </w:tcPr>
          <w:p>
            <w:pPr>
              <w:spacing w:after="0"/>
              <w:rPr>
                <w:sz w:val="10"/>
                <w:szCs w:val="10"/>
                <w:color w:val="auto"/>
              </w:rPr>
            </w:pPr>
          </w:p>
        </w:tc>
        <w:tc>
          <w:tcPr>
            <w:tcW w:w="158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(43,173)</w:t>
            </w:r>
          </w:p>
        </w:tc>
        <w:tc>
          <w:tcPr>
            <w:tcW w:w="0" w:type="dxa"/>
            <w:vAlign w:val="bottom"/>
          </w:tcPr>
          <w:p>
            <w:pPr>
              <w:spacing w:after="0"/>
              <w:rPr>
                <w:sz w:val="1"/>
                <w:szCs w:val="1"/>
                <w:color w:val="auto"/>
              </w:rPr>
            </w:pPr>
          </w:p>
        </w:tc>
      </w:tr>
      <w:tr>
        <w:trPr>
          <w:trHeight w:val="118"/>
        </w:trPr>
        <w:tc>
          <w:tcPr>
            <w:tcW w:w="292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Other</w:t>
            </w:r>
          </w:p>
        </w:tc>
        <w:tc>
          <w:tcPr>
            <w:tcW w:w="82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484</w:t>
            </w: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484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92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Balances at December 31, 2025</w:t>
            </w:r>
          </w:p>
        </w:tc>
        <w:tc>
          <w:tcPr>
            <w:tcW w:w="8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192,124,125</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3"/>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1,921</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1,954,482</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3"/>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1"/>
                <w:szCs w:val="11"/>
                <w:color w:val="auto"/>
              </w:rPr>
              <w:t>(74,647)</w:t>
            </w:r>
          </w:p>
        </w:tc>
        <w:tc>
          <w:tcPr>
            <w:tcW w:w="180" w:type="dxa"/>
            <w:vAlign w:val="bottom"/>
            <w:shd w:val="clear" w:color="auto" w:fill="CFF0FC"/>
          </w:tcPr>
          <w:p>
            <w:pPr>
              <w:jc w:val="right"/>
              <w:ind w:right="63"/>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gridSpan w:val="2"/>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1"/>
                <w:szCs w:val="11"/>
                <w:color w:val="auto"/>
              </w:rPr>
              <w:t>(6,691)</w:t>
            </w:r>
          </w:p>
        </w:tc>
        <w:tc>
          <w:tcPr>
            <w:tcW w:w="12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74</w:t>
            </w: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3"/>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1,875,139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-2631440</wp:posOffset>
            </wp:positionV>
            <wp:extent cx="6546850" cy="749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546850" cy="749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-1329055</wp:posOffset>
            </wp:positionV>
            <wp:extent cx="6546850" cy="1498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546850" cy="1498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-1949450</wp:posOffset>
            </wp:positionV>
            <wp:extent cx="6546850" cy="952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546850" cy="952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-872490</wp:posOffset>
            </wp:positionV>
            <wp:extent cx="6546850" cy="952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546850" cy="95250"/>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-19685</wp:posOffset>
            </wp:positionV>
            <wp:extent cx="61595"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-6350</wp:posOffset>
            </wp:positionV>
            <wp:extent cx="61595"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2967355</wp:posOffset>
            </wp:positionH>
            <wp:positionV relativeFrom="paragraph">
              <wp:posOffset>-19685</wp:posOffset>
            </wp:positionV>
            <wp:extent cx="61595"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2967355</wp:posOffset>
            </wp:positionH>
            <wp:positionV relativeFrom="paragraph">
              <wp:posOffset>-6350</wp:posOffset>
            </wp:positionV>
            <wp:extent cx="6159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3615055</wp:posOffset>
            </wp:positionH>
            <wp:positionV relativeFrom="paragraph">
              <wp:posOffset>-19685</wp:posOffset>
            </wp:positionV>
            <wp:extent cx="61595"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3615055</wp:posOffset>
            </wp:positionH>
            <wp:positionV relativeFrom="paragraph">
              <wp:posOffset>-6350</wp:posOffset>
            </wp:positionV>
            <wp:extent cx="61595"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-19685</wp:posOffset>
            </wp:positionV>
            <wp:extent cx="61595"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-6350</wp:posOffset>
            </wp:positionV>
            <wp:extent cx="61595"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5313045</wp:posOffset>
            </wp:positionH>
            <wp:positionV relativeFrom="paragraph">
              <wp:posOffset>-19685</wp:posOffset>
            </wp:positionV>
            <wp:extent cx="61595"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5313045</wp:posOffset>
            </wp:positionH>
            <wp:positionV relativeFrom="paragraph">
              <wp:posOffset>-6350</wp:posOffset>
            </wp:positionV>
            <wp:extent cx="61595"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5940425</wp:posOffset>
            </wp:positionH>
            <wp:positionV relativeFrom="paragraph">
              <wp:posOffset>-19685</wp:posOffset>
            </wp:positionV>
            <wp:extent cx="61595"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5940425</wp:posOffset>
            </wp:positionH>
            <wp:positionV relativeFrom="paragraph">
              <wp:posOffset>-6350</wp:posOffset>
            </wp:positionV>
            <wp:extent cx="61595"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-19685</wp:posOffset>
            </wp:positionV>
            <wp:extent cx="61595"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-6350</wp:posOffset>
            </wp:positionV>
            <wp:extent cx="61595"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87" w:lineRule="exact"/>
        <w:rPr>
          <w:sz w:val="20"/>
          <w:szCs w:val="20"/>
          <w:color w:val="auto"/>
        </w:rPr>
      </w:pPr>
    </w:p>
    <w:p>
      <w:pPr>
        <w:ind w:right="360" w:firstLine="1"/>
        <w:spacing w:after="0" w:line="263" w:lineRule="auto"/>
        <w:tabs>
          <w:tab w:leader="none" w:pos="122" w:val="left"/>
        </w:tabs>
        <w:numPr>
          <w:ilvl w:val="0"/>
          <w:numId w:val="3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Net income (loss) to the Company for the years ended December 31, 2025, 2024, and 2023 excludes $(1,143), $(1,789), and $(2,167), respectively, allocable to the redeemable noncontrolling interests for our joint venture arrangements.</w:t>
      </w:r>
    </w:p>
    <w:p>
      <w:pPr>
        <w:ind w:left="120" w:hanging="119"/>
        <w:spacing w:after="0"/>
        <w:tabs>
          <w:tab w:leader="none" w:pos="120" w:val="left"/>
        </w:tabs>
        <w:numPr>
          <w:ilvl w:val="0"/>
          <w:numId w:val="3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Issuance of common stock on initial public offering is presented net of underwriting discounts and commissions, and offering-related expenses of $36.8 million and tax benefit of $5.3 million.</w:t>
      </w:r>
    </w:p>
    <w:p>
      <w:pPr>
        <w:spacing w:after="0" w:line="18" w:lineRule="exact"/>
        <w:rPr>
          <w:rFonts w:ascii="Times New Roman" w:cs="Times New Roman" w:eastAsia="Times New Roman" w:hAnsi="Times New Roman"/>
          <w:sz w:val="15"/>
          <w:szCs w:val="15"/>
          <w:color w:val="auto"/>
          <w:vertAlign w:val="superscript"/>
        </w:rPr>
      </w:pPr>
    </w:p>
    <w:p>
      <w:pPr>
        <w:ind w:left="120" w:hanging="119"/>
        <w:spacing w:after="0" w:line="212" w:lineRule="auto"/>
        <w:tabs>
          <w:tab w:leader="none" w:pos="120" w:val="left"/>
        </w:tabs>
        <w:numPr>
          <w:ilvl w:val="0"/>
          <w:numId w:val="3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Proceeds from stock purchase contract issued under tangible equity units is presented net of underwriting discounts and commissions of $9.1 million.</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385445</wp:posOffset>
            </wp:positionV>
            <wp:extent cx="7222490"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10320"/>
          </w:cols>
          <w:pgMar w:left="820" w:top="123" w:right="759" w:bottom="1440" w:gutter="0" w:footer="0" w:header="0"/>
        </w:sectPr>
      </w:pPr>
    </w:p>
    <w:bookmarkStart w:id="95" w:name="page96"/>
    <w:bookmarkEnd w:id="9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231F20"/>
        </w:rPr>
        <w:t>Consolidated Statements of Cash Flows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231F20"/>
        </w:rPr>
        <w:t>(In thousands)</w:t>
      </w:r>
    </w:p>
    <w:p>
      <w:pPr>
        <w:spacing w:after="0" w:line="164"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5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09"/>
        </w:trPr>
        <w:tc>
          <w:tcPr>
            <w:tcW w:w="5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5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49"/>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49"/>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63"/>
        </w:trPr>
        <w:tc>
          <w:tcPr>
            <w:tcW w:w="520" w:type="dxa"/>
            <w:vAlign w:val="bottom"/>
          </w:tcPr>
          <w:p>
            <w:pPr>
              <w:spacing w:after="0"/>
              <w:rPr>
                <w:sz w:val="14"/>
                <w:szCs w:val="14"/>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189,113</w:t>
            </w:r>
          </w:p>
        </w:tc>
        <w:tc>
          <w:tcPr>
            <w:tcW w:w="1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(20,521)</w:t>
            </w: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(156,835)</w:t>
            </w:r>
          </w:p>
        </w:tc>
        <w:tc>
          <w:tcPr>
            <w:tcW w:w="520" w:type="dxa"/>
            <w:vAlign w:val="bottom"/>
          </w:tcPr>
          <w:p>
            <w:pPr>
              <w:spacing w:after="0"/>
              <w:rPr>
                <w:sz w:val="14"/>
                <w:szCs w:val="14"/>
                <w:color w:val="auto"/>
              </w:rPr>
            </w:pPr>
          </w:p>
        </w:tc>
      </w:tr>
      <w:tr>
        <w:trPr>
          <w:trHeight w:val="157"/>
        </w:trPr>
        <w:tc>
          <w:tcPr>
            <w:tcW w:w="520" w:type="dxa"/>
            <w:vAlign w:val="bottom"/>
          </w:tcPr>
          <w:p>
            <w:pPr>
              <w:spacing w:after="0"/>
              <w:rPr>
                <w:sz w:val="13"/>
                <w:szCs w:val="13"/>
                <w:color w:val="auto"/>
              </w:rPr>
            </w:pPr>
          </w:p>
        </w:tc>
        <w:tc>
          <w:tcPr>
            <w:tcW w:w="4700" w:type="dxa"/>
            <w:vAlign w:val="bottom"/>
            <w:shd w:val="clear" w:color="auto" w:fill="CFF0FC"/>
          </w:tcPr>
          <w:p>
            <w:pPr>
              <w:ind w:left="140"/>
              <w:spacing w:after="0" w:line="157" w:lineRule="exact"/>
              <w:rPr>
                <w:sz w:val="20"/>
                <w:szCs w:val="20"/>
                <w:color w:val="auto"/>
              </w:rPr>
            </w:pPr>
            <w:r>
              <w:rPr>
                <w:rFonts w:ascii="Times New Roman" w:cs="Times New Roman" w:eastAsia="Times New Roman" w:hAnsi="Times New Roman"/>
                <w:sz w:val="14"/>
                <w:szCs w:val="14"/>
                <w:color w:val="auto"/>
              </w:rPr>
              <w:t>Adjustments to reconcile net income (loss) to cash provided by operating</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tcPr>
          <w:p>
            <w:pPr>
              <w:spacing w:after="0"/>
              <w:rPr>
                <w:sz w:val="13"/>
                <w:szCs w:val="13"/>
                <w:color w:val="auto"/>
              </w:rPr>
            </w:pPr>
          </w:p>
        </w:tc>
      </w:tr>
      <w:tr>
        <w:trPr>
          <w:trHeight w:val="187"/>
        </w:trPr>
        <w:tc>
          <w:tcPr>
            <w:tcW w:w="520" w:type="dxa"/>
            <w:vAlign w:val="bottom"/>
          </w:tcPr>
          <w:p>
            <w:pPr>
              <w:spacing w:after="0"/>
              <w:rPr>
                <w:sz w:val="16"/>
                <w:szCs w:val="16"/>
                <w:color w:val="auto"/>
              </w:rPr>
            </w:pPr>
          </w:p>
        </w:tc>
        <w:tc>
          <w:tcPr>
            <w:tcW w:w="4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activities:</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20" w:type="dxa"/>
            <w:vAlign w:val="bottom"/>
          </w:tcPr>
          <w:p>
            <w:pPr>
              <w:spacing w:after="0"/>
              <w:rPr>
                <w:sz w:val="16"/>
                <w:szCs w:val="16"/>
                <w:color w:val="auto"/>
              </w:rPr>
            </w:pPr>
          </w:p>
        </w:tc>
      </w:tr>
      <w:tr>
        <w:trPr>
          <w:trHeight w:val="172"/>
        </w:trPr>
        <w:tc>
          <w:tcPr>
            <w:tcW w:w="520" w:type="dxa"/>
            <w:vAlign w:val="bottom"/>
          </w:tcPr>
          <w:p>
            <w:pPr>
              <w:spacing w:after="0"/>
              <w:rPr>
                <w:sz w:val="14"/>
                <w:szCs w:val="14"/>
                <w:color w:val="auto"/>
              </w:rPr>
            </w:pPr>
          </w:p>
        </w:tc>
        <w:tc>
          <w:tcPr>
            <w:tcW w:w="4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164,277</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204,482</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202,336</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12,628</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10,235</w:t>
            </w:r>
          </w:p>
        </w:tc>
        <w:tc>
          <w:tcPr>
            <w:tcW w:w="16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10,631</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fair value of contingent consideration, net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(1,266)</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2,261</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Payment of contingent consideration in excess of acquisition date fair value</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(6,170)</w:t>
            </w:r>
          </w:p>
        </w:tc>
        <w:tc>
          <w:tcPr>
            <w:tcW w:w="200" w:type="dxa"/>
            <w:vAlign w:val="bottom"/>
            <w:shd w:val="clear" w:color="auto" w:fill="CFF0FC"/>
          </w:tcPr>
          <w:p>
            <w:pPr>
              <w:spacing w:after="0"/>
              <w:rPr>
                <w:sz w:val="14"/>
                <w:szCs w:val="14"/>
                <w:color w:val="auto"/>
              </w:rPr>
            </w:pPr>
          </w:p>
        </w:tc>
        <w:tc>
          <w:tcPr>
            <w:tcW w:w="8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(2,351)</w:t>
            </w:r>
          </w:p>
        </w:tc>
        <w:tc>
          <w:tcPr>
            <w:tcW w:w="2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56,227</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33,998</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23,237</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Amortization of deferred debt issuance costs</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11,242</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12,108</w:t>
            </w:r>
          </w:p>
        </w:tc>
        <w:tc>
          <w:tcPr>
            <w:tcW w:w="16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20,916</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Share-based compensation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70,099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69,174</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3,917</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14,842</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(25,914)</w:t>
            </w:r>
          </w:p>
        </w:tc>
        <w:tc>
          <w:tcPr>
            <w:tcW w:w="2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(52,632)</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12,726</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Loss on disposition of fixed assets</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2,076</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6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(4,356)</w:t>
            </w:r>
          </w:p>
        </w:tc>
        <w:tc>
          <w:tcPr>
            <w:tcW w:w="2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(2,451)</w:t>
            </w:r>
          </w:p>
        </w:tc>
        <w:tc>
          <w:tcPr>
            <w:tcW w:w="28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(572)</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Change in operating assets and liabilities, net of acquisitions:</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7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Accounts receivable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(131,287)</w:t>
            </w:r>
          </w:p>
        </w:tc>
        <w:tc>
          <w:tcPr>
            <w:tcW w:w="2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(179,040)</w:t>
            </w:r>
          </w:p>
        </w:tc>
        <w:tc>
          <w:tcPr>
            <w:tcW w:w="28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(127,246)</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70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30,669</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7,595</w:t>
            </w:r>
          </w:p>
        </w:tc>
        <w:tc>
          <w:tcPr>
            <w:tcW w:w="16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(34,899)</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7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Inventories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(177,906)</w:t>
            </w:r>
          </w:p>
        </w:tc>
        <w:tc>
          <w:tcPr>
            <w:tcW w:w="2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(236,514)</w:t>
            </w:r>
          </w:p>
        </w:tc>
        <w:tc>
          <w:tcPr>
            <w:tcW w:w="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28,660</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70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Trade accounts payable</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264,171</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303,209</w:t>
            </w:r>
          </w:p>
        </w:tc>
        <w:tc>
          <w:tcPr>
            <w:tcW w:w="16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105,649</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7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Accrued expenses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32,003</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(144,580)</w:t>
            </w:r>
          </w:p>
        </w:tc>
        <w:tc>
          <w:tcPr>
            <w:tcW w:w="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193,633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70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Other assets and liabilities</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(36,193)</w:t>
            </w:r>
          </w:p>
        </w:tc>
        <w:tc>
          <w:tcPr>
            <w:tcW w:w="200" w:type="dxa"/>
            <w:vAlign w:val="bottom"/>
            <w:shd w:val="clear" w:color="auto" w:fill="CFF0FC"/>
          </w:tcPr>
          <w:p>
            <w:pPr>
              <w:spacing w:after="0"/>
              <w:rPr>
                <w:sz w:val="14"/>
                <w:szCs w:val="14"/>
                <w:color w:val="auto"/>
              </w:rPr>
            </w:pPr>
          </w:p>
        </w:tc>
        <w:tc>
          <w:tcPr>
            <w:tcW w:w="8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(20,744)</w:t>
            </w:r>
          </w:p>
        </w:tc>
        <w:tc>
          <w:tcPr>
            <w:tcW w:w="2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(6,361)</w:t>
            </w:r>
          </w:p>
        </w:tc>
        <w:tc>
          <w:tcPr>
            <w:tcW w:w="52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47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63"/>
        </w:trPr>
        <w:tc>
          <w:tcPr>
            <w:tcW w:w="520" w:type="dxa"/>
            <w:vAlign w:val="bottom"/>
          </w:tcPr>
          <w:p>
            <w:pPr>
              <w:spacing w:after="0"/>
              <w:rPr>
                <w:sz w:val="14"/>
                <w:szCs w:val="14"/>
                <w:color w:val="auto"/>
              </w:rPr>
            </w:pPr>
          </w:p>
        </w:tc>
        <w:tc>
          <w:tcPr>
            <w:tcW w:w="47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490,169</w:t>
            </w:r>
          </w:p>
        </w:tc>
        <w:tc>
          <w:tcPr>
            <w:tcW w:w="1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23,774</w:t>
            </w:r>
          </w:p>
        </w:tc>
        <w:tc>
          <w:tcPr>
            <w:tcW w:w="160" w:type="dxa"/>
            <w:vAlign w:val="bottom"/>
          </w:tcPr>
          <w:p>
            <w:pPr>
              <w:spacing w:after="0"/>
              <w:rPr>
                <w:sz w:val="14"/>
                <w:szCs w:val="14"/>
                <w:color w:val="auto"/>
              </w:rPr>
            </w:pP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210,783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505"/>
        </w:trPr>
        <w:tc>
          <w:tcPr>
            <w:tcW w:w="5220" w:type="dxa"/>
            <w:vAlign w:val="bottom"/>
            <w:gridSpan w:val="2"/>
          </w:tcPr>
          <w:p>
            <w:pPr>
              <w:jc w:val="right"/>
              <w:ind w:right="688"/>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3985260</wp:posOffset>
            </wp:positionH>
            <wp:positionV relativeFrom="paragraph">
              <wp:posOffset>-845185</wp:posOffset>
            </wp:positionV>
            <wp:extent cx="47625"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-845185</wp:posOffset>
            </wp:positionV>
            <wp:extent cx="47625"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-845185</wp:posOffset>
            </wp:positionV>
            <wp:extent cx="47625"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6" w:name="page97"/>
    <w:bookmarkEnd w:id="9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Consolidated Statements of Cash Flows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231F20"/>
        </w:rPr>
        <w:t>(In thousands)</w:t>
      </w:r>
    </w:p>
    <w:p>
      <w:pPr>
        <w:spacing w:after="0" w:line="186"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9"/>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49"/>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49"/>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249"/>
              <w:spacing w:after="0" w:line="109"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Pr>
          <w:p>
            <w:pPr>
              <w:spacing w:after="0"/>
              <w:rPr>
                <w:sz w:val="9"/>
                <w:szCs w:val="9"/>
                <w:color w:val="auto"/>
              </w:rPr>
            </w:pPr>
          </w:p>
        </w:tc>
      </w:tr>
      <w:tr>
        <w:trPr>
          <w:trHeight w:val="163"/>
        </w:trPr>
        <w:tc>
          <w:tcPr>
            <w:tcW w:w="20" w:type="dxa"/>
            <w:vAlign w:val="bottom"/>
          </w:tcPr>
          <w:p>
            <w:pPr>
              <w:spacing w:after="0"/>
              <w:rPr>
                <w:sz w:val="14"/>
                <w:szCs w:val="14"/>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(95,484)</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(80,913)</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(73,527)</w:t>
            </w:r>
          </w:p>
        </w:tc>
      </w:tr>
      <w:tr>
        <w:trPr>
          <w:trHeight w:val="172"/>
        </w:trPr>
        <w:tc>
          <w:tcPr>
            <w:tcW w:w="20" w:type="dxa"/>
            <w:vAlign w:val="bottom"/>
          </w:tcPr>
          <w:p>
            <w:pPr>
              <w:spacing w:after="0"/>
              <w:rPr>
                <w:sz w:val="14"/>
                <w:szCs w:val="14"/>
                <w:color w:val="auto"/>
              </w:rPr>
            </w:pPr>
          </w:p>
        </w:tc>
        <w:tc>
          <w:tcPr>
            <w:tcW w:w="4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Acquisitions of businesses, net of cash acquired</w:t>
            </w:r>
          </w:p>
        </w:tc>
        <w:tc>
          <w:tcPr>
            <w:tcW w:w="2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(204,564)</w:t>
            </w: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(59,797)</w:t>
            </w:r>
          </w:p>
        </w:tc>
        <w:tc>
          <w:tcPr>
            <w:tcW w:w="3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(63,058)</w:t>
            </w:r>
          </w:p>
        </w:tc>
      </w:tr>
      <w:tr>
        <w:trPr>
          <w:trHeight w:val="172"/>
        </w:trPr>
        <w:tc>
          <w:tcPr>
            <w:tcW w:w="20" w:type="dxa"/>
            <w:vAlign w:val="bottom"/>
          </w:tcPr>
          <w:p>
            <w:pPr>
              <w:spacing w:after="0"/>
              <w:rPr>
                <w:sz w:val="14"/>
                <w:szCs w:val="14"/>
                <w:color w:val="auto"/>
              </w:rPr>
            </w:pPr>
          </w:p>
        </w:tc>
        <w:tc>
          <w:tcPr>
            <w:tcW w:w="4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(5,031)</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7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(305,079)</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(140,237)</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(134,433)</w:t>
            </w:r>
          </w:p>
        </w:tc>
      </w:tr>
      <w:tr>
        <w:trPr>
          <w:trHeight w:val="163"/>
        </w:trPr>
        <w:tc>
          <w:tcPr>
            <w:tcW w:w="20" w:type="dxa"/>
            <w:vAlign w:val="bottom"/>
          </w:tcPr>
          <w:p>
            <w:pPr>
              <w:spacing w:after="0"/>
              <w:rPr>
                <w:sz w:val="14"/>
                <w:szCs w:val="14"/>
                <w:color w:val="auto"/>
              </w:rPr>
            </w:pPr>
          </w:p>
        </w:tc>
        <w:tc>
          <w:tcPr>
            <w:tcW w:w="4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Long-term debt borrowings</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2,566,000</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4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Long-term debt repayments</w:t>
            </w:r>
          </w:p>
        </w:tc>
        <w:tc>
          <w:tcPr>
            <w:tcW w:w="2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(50,275)</w:t>
            </w:r>
          </w:p>
        </w:tc>
        <w:tc>
          <w:tcPr>
            <w:tcW w:w="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(3,396,334)</w:t>
            </w:r>
          </w:p>
        </w:tc>
        <w:tc>
          <w:tcPr>
            <w:tcW w:w="30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(30,441)</w:t>
            </w:r>
          </w:p>
        </w:tc>
      </w:tr>
      <w:tr>
        <w:trPr>
          <w:trHeight w:val="172"/>
        </w:trPr>
        <w:tc>
          <w:tcPr>
            <w:tcW w:w="20" w:type="dxa"/>
            <w:vAlign w:val="bottom"/>
          </w:tcPr>
          <w:p>
            <w:pPr>
              <w:spacing w:after="0"/>
              <w:rPr>
                <w:sz w:val="14"/>
                <w:szCs w:val="14"/>
                <w:color w:val="auto"/>
              </w:rPr>
            </w:pPr>
          </w:p>
        </w:tc>
        <w:tc>
          <w:tcPr>
            <w:tcW w:w="4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Proceeds from issuance of common stock on initial public offering, net</w:t>
            </w:r>
          </w:p>
        </w:tc>
        <w:tc>
          <w:tcPr>
            <w:tcW w:w="2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656,485</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4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issuance of tangible equity units, net</w:t>
            </w:r>
          </w:p>
        </w:tc>
        <w:tc>
          <w:tcPr>
            <w:tcW w:w="2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389,000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4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(Repayments) borrowings of the Revolving Credit Facility, net</w:t>
            </w:r>
          </w:p>
        </w:tc>
        <w:tc>
          <w:tcPr>
            <w:tcW w:w="2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(63,300)</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12,600</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(24,100)</w:t>
            </w:r>
          </w:p>
        </w:tc>
      </w:tr>
      <w:tr>
        <w:trPr>
          <w:trHeight w:val="172"/>
        </w:trPr>
        <w:tc>
          <w:tcPr>
            <w:tcW w:w="20" w:type="dxa"/>
            <w:vAlign w:val="bottom"/>
          </w:tcPr>
          <w:p>
            <w:pPr>
              <w:spacing w:after="0"/>
              <w:rPr>
                <w:sz w:val="14"/>
                <w:szCs w:val="14"/>
                <w:color w:val="auto"/>
              </w:rPr>
            </w:pPr>
          </w:p>
        </w:tc>
        <w:tc>
          <w:tcPr>
            <w:tcW w:w="4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2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(47,045)</w:t>
            </w:r>
          </w:p>
        </w:tc>
        <w:tc>
          <w:tcPr>
            <w:tcW w:w="30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4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Repurchase of shares of common stock</w:t>
            </w:r>
          </w:p>
        </w:tc>
        <w:tc>
          <w:tcPr>
            <w:tcW w:w="2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(43,173)</w:t>
            </w: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(650)</w:t>
            </w:r>
          </w:p>
        </w:tc>
        <w:tc>
          <w:tcPr>
            <w:tcW w:w="3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(650)</w:t>
            </w:r>
          </w:p>
        </w:tc>
      </w:tr>
      <w:tr>
        <w:trPr>
          <w:trHeight w:val="172"/>
        </w:trPr>
        <w:tc>
          <w:tcPr>
            <w:tcW w:w="20" w:type="dxa"/>
            <w:vAlign w:val="bottom"/>
          </w:tcPr>
          <w:p>
            <w:pPr>
              <w:spacing w:after="0"/>
              <w:rPr>
                <w:sz w:val="14"/>
                <w:szCs w:val="14"/>
                <w:color w:val="auto"/>
              </w:rPr>
            </w:pPr>
          </w:p>
        </w:tc>
        <w:tc>
          <w:tcPr>
            <w:tcW w:w="4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shares issued under share-based compensation plan</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25,281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Payment of taxes related to net share settlement of equity awards</w:t>
            </w:r>
          </w:p>
        </w:tc>
        <w:tc>
          <w:tcPr>
            <w:tcW w:w="2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(7,554)</w:t>
            </w: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(1,196)</w:t>
            </w:r>
          </w:p>
        </w:tc>
        <w:tc>
          <w:tcPr>
            <w:tcW w:w="3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4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Repurchase of stock options</w:t>
            </w:r>
          </w:p>
        </w:tc>
        <w:tc>
          <w:tcPr>
            <w:tcW w:w="2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(10,000)</w:t>
            </w:r>
          </w:p>
        </w:tc>
      </w:tr>
      <w:tr>
        <w:trPr>
          <w:trHeight w:val="172"/>
        </w:trPr>
        <w:tc>
          <w:tcPr>
            <w:tcW w:w="20" w:type="dxa"/>
            <w:vAlign w:val="bottom"/>
          </w:tcPr>
          <w:p>
            <w:pPr>
              <w:spacing w:after="0"/>
              <w:rPr>
                <w:sz w:val="14"/>
                <w:szCs w:val="14"/>
                <w:color w:val="auto"/>
              </w:rPr>
            </w:pPr>
          </w:p>
        </w:tc>
        <w:tc>
          <w:tcPr>
            <w:tcW w:w="4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Payment of contingent consideration up to acquisition date fair value</w:t>
            </w:r>
          </w:p>
        </w:tc>
        <w:tc>
          <w:tcPr>
            <w:tcW w:w="2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(200)</w:t>
            </w: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(1,805)</w:t>
            </w:r>
          </w:p>
        </w:tc>
        <w:tc>
          <w:tcPr>
            <w:tcW w:w="3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(1,453)</w:t>
            </w:r>
          </w:p>
        </w:tc>
      </w:tr>
      <w:tr>
        <w:trPr>
          <w:trHeight w:val="172"/>
        </w:trPr>
        <w:tc>
          <w:tcPr>
            <w:tcW w:w="20" w:type="dxa"/>
            <w:vAlign w:val="bottom"/>
          </w:tcPr>
          <w:p>
            <w:pPr>
              <w:spacing w:after="0"/>
              <w:rPr>
                <w:sz w:val="14"/>
                <w:szCs w:val="14"/>
                <w:color w:val="auto"/>
              </w:rPr>
            </w:pPr>
          </w:p>
        </w:tc>
        <w:tc>
          <w:tcPr>
            <w:tcW w:w="4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 of redeemable noncontrolling interest</w:t>
            </w:r>
          </w:p>
        </w:tc>
        <w:tc>
          <w:tcPr>
            <w:tcW w:w="2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(5,100)</w:t>
            </w:r>
          </w:p>
        </w:tc>
        <w:tc>
          <w:tcPr>
            <w:tcW w:w="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(2,316)</w:t>
            </w:r>
          </w:p>
        </w:tc>
        <w:tc>
          <w:tcPr>
            <w:tcW w:w="30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4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Investment in noncontrolling interests</w:t>
            </w:r>
          </w:p>
        </w:tc>
        <w:tc>
          <w:tcPr>
            <w:tcW w:w="2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 of financing lease obligations</w:t>
            </w:r>
          </w:p>
        </w:tc>
        <w:tc>
          <w:tcPr>
            <w:tcW w:w="2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(13,545)</w:t>
            </w:r>
          </w:p>
        </w:tc>
        <w:tc>
          <w:tcPr>
            <w:tcW w:w="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(11,629)</w:t>
            </w:r>
          </w:p>
        </w:tc>
        <w:tc>
          <w:tcPr>
            <w:tcW w:w="30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(11,596)</w:t>
            </w: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7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(157,866)</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164,645</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(76,907)</w:t>
            </w:r>
          </w:p>
        </w:tc>
      </w:tr>
      <w:tr>
        <w:trPr>
          <w:trHeight w:val="20"/>
        </w:trPr>
        <w:tc>
          <w:tcPr>
            <w:tcW w:w="20" w:type="dxa"/>
            <w:vAlign w:val="bottom"/>
          </w:tcPr>
          <w:p>
            <w:pPr>
              <w:spacing w:after="0" w:line="20" w:lineRule="exact"/>
              <w:rPr>
                <w:sz w:val="1"/>
                <w:szCs w:val="1"/>
                <w:color w:val="auto"/>
              </w:rPr>
            </w:pPr>
          </w:p>
        </w:tc>
        <w:tc>
          <w:tcPr>
            <w:tcW w:w="47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7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27,224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48,182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(557)</w:t>
            </w:r>
          </w:p>
        </w:tc>
      </w:tr>
      <w:tr>
        <w:trPr>
          <w:trHeight w:val="172"/>
        </w:trPr>
        <w:tc>
          <w:tcPr>
            <w:tcW w:w="20" w:type="dxa"/>
            <w:vAlign w:val="bottom"/>
          </w:tcPr>
          <w:p>
            <w:pPr>
              <w:spacing w:after="0"/>
              <w:rPr>
                <w:sz w:val="14"/>
                <w:szCs w:val="14"/>
                <w:color w:val="auto"/>
              </w:rPr>
            </w:pPr>
          </w:p>
        </w:tc>
        <w:tc>
          <w:tcPr>
            <w:tcW w:w="4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2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61,253</w:t>
            </w: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13,071</w:t>
            </w:r>
          </w:p>
        </w:tc>
        <w:tc>
          <w:tcPr>
            <w:tcW w:w="14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13,628</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88,477</w:t>
            </w:r>
          </w:p>
        </w:tc>
        <w:tc>
          <w:tcPr>
            <w:tcW w:w="140" w:type="dxa"/>
            <w:vAlign w:val="bottom"/>
          </w:tcPr>
          <w:p>
            <w:pPr>
              <w:spacing w:after="0"/>
              <w:rPr>
                <w:sz w:val="14"/>
                <w:szCs w:val="14"/>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61,253</w:t>
            </w:r>
          </w:p>
        </w:tc>
        <w:tc>
          <w:tcPr>
            <w:tcW w:w="140" w:type="dxa"/>
            <w:vAlign w:val="bottom"/>
          </w:tcPr>
          <w:p>
            <w:pPr>
              <w:spacing w:after="0"/>
              <w:rPr>
                <w:sz w:val="14"/>
                <w:szCs w:val="14"/>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13,071</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Cash and cash equivalents included in assets held for sale at end of year</w:t>
            </w:r>
          </w:p>
        </w:tc>
        <w:tc>
          <w:tcPr>
            <w:tcW w:w="2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4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and cash equivalents included in continuing operations at end of year</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88,370</w:t>
            </w:r>
          </w:p>
        </w:tc>
        <w:tc>
          <w:tcPr>
            <w:tcW w:w="140" w:type="dxa"/>
            <w:vAlign w:val="bottom"/>
          </w:tcPr>
          <w:p>
            <w:pPr>
              <w:spacing w:after="0"/>
              <w:rPr>
                <w:sz w:val="14"/>
                <w:szCs w:val="14"/>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60,954</w:t>
            </w:r>
          </w:p>
        </w:tc>
        <w:tc>
          <w:tcPr>
            <w:tcW w:w="140" w:type="dxa"/>
            <w:vAlign w:val="bottom"/>
          </w:tcPr>
          <w:p>
            <w:pPr>
              <w:spacing w:after="0"/>
              <w:rPr>
                <w:sz w:val="14"/>
                <w:szCs w:val="14"/>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12,430</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4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paid for:</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7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Interest, net</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183,512</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211,387</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303,530</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7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Income taxes, net of refunds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26,970</w:t>
            </w:r>
          </w:p>
        </w:tc>
        <w:tc>
          <w:tcPr>
            <w:tcW w:w="14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24,953</w:t>
            </w:r>
          </w:p>
        </w:tc>
        <w:tc>
          <w:tcPr>
            <w:tcW w:w="14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37,499</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Supplemental schedule of non-cash investing and financing activities:</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4760" w:type="dxa"/>
            <w:vAlign w:val="bottom"/>
          </w:tcPr>
          <w:p>
            <w:pPr>
              <w:ind w:left="400"/>
              <w:spacing w:after="0" w:line="157" w:lineRule="exact"/>
              <w:rPr>
                <w:sz w:val="20"/>
                <w:szCs w:val="20"/>
                <w:color w:val="auto"/>
              </w:rPr>
            </w:pPr>
            <w:r>
              <w:rPr>
                <w:rFonts w:ascii="Times New Roman" w:cs="Times New Roman" w:eastAsia="Times New Roman" w:hAnsi="Times New Roman"/>
                <w:sz w:val="14"/>
                <w:szCs w:val="14"/>
                <w:color w:val="auto"/>
              </w:rPr>
              <w:t>Notes issued and contingent liabilities assumed in connection with</w:t>
            </w:r>
          </w:p>
        </w:tc>
        <w:tc>
          <w:tcPr>
            <w:tcW w:w="200" w:type="dxa"/>
            <w:vAlign w:val="bottom"/>
          </w:tcPr>
          <w:p>
            <w:pPr>
              <w:jc w:val="right"/>
              <w:ind w:right="48"/>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line="15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22,302</w:t>
            </w:r>
          </w:p>
        </w:tc>
        <w:tc>
          <w:tcPr>
            <w:tcW w:w="140" w:type="dxa"/>
            <w:vAlign w:val="bottom"/>
          </w:tcPr>
          <w:p>
            <w:pPr>
              <w:spacing w:after="0"/>
              <w:rPr>
                <w:sz w:val="13"/>
                <w:szCs w:val="13"/>
                <w:color w:val="auto"/>
              </w:rPr>
            </w:pPr>
          </w:p>
        </w:tc>
        <w:tc>
          <w:tcPr>
            <w:tcW w:w="300" w:type="dxa"/>
            <w:vAlign w:val="bottom"/>
          </w:tcPr>
          <w:p>
            <w:pPr>
              <w:jc w:val="right"/>
              <w:ind w:right="148"/>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7,519</w:t>
            </w:r>
          </w:p>
        </w:tc>
        <w:tc>
          <w:tcPr>
            <w:tcW w:w="80" w:type="dxa"/>
            <w:vAlign w:val="bottom"/>
          </w:tcPr>
          <w:p>
            <w:pPr>
              <w:spacing w:after="0"/>
              <w:rPr>
                <w:sz w:val="13"/>
                <w:szCs w:val="13"/>
                <w:color w:val="auto"/>
              </w:rPr>
            </w:pPr>
          </w:p>
        </w:tc>
      </w:tr>
      <w:tr>
        <w:trPr>
          <w:trHeight w:val="186"/>
        </w:trPr>
        <w:tc>
          <w:tcPr>
            <w:tcW w:w="20" w:type="dxa"/>
            <w:vAlign w:val="bottom"/>
          </w:tcPr>
          <w:p>
            <w:pPr>
              <w:spacing w:after="0"/>
              <w:rPr>
                <w:sz w:val="16"/>
                <w:szCs w:val="16"/>
                <w:color w:val="auto"/>
              </w:rPr>
            </w:pPr>
          </w:p>
        </w:tc>
        <w:tc>
          <w:tcPr>
            <w:tcW w:w="47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acquisitions</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2"/>
        </w:trPr>
        <w:tc>
          <w:tcPr>
            <w:tcW w:w="20" w:type="dxa"/>
            <w:vAlign w:val="bottom"/>
          </w:tcPr>
          <w:p>
            <w:pPr>
              <w:spacing w:after="0"/>
              <w:rPr>
                <w:sz w:val="14"/>
                <w:szCs w:val="14"/>
                <w:color w:val="auto"/>
              </w:rPr>
            </w:pPr>
          </w:p>
        </w:tc>
        <w:tc>
          <w:tcPr>
            <w:tcW w:w="47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Financing lease obligations</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20,252</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13,095</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11,562</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7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Repurchases of common stock in accounts payable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7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Purchases of property and equipment in accounts payable</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6,767</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12,136</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12,981</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7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Acquisition consideration in accounts payable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42,203</w:t>
            </w:r>
          </w:p>
        </w:tc>
        <w:tc>
          <w:tcPr>
            <w:tcW w:w="14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4760" w:type="dxa"/>
            <w:vAlign w:val="bottom"/>
            <w:shd w:val="clear" w:color="auto" w:fill="CFF0FC"/>
          </w:tcPr>
          <w:p>
            <w:pPr>
              <w:ind w:left="400"/>
              <w:spacing w:after="0" w:line="157" w:lineRule="exact"/>
              <w:rPr>
                <w:sz w:val="20"/>
                <w:szCs w:val="20"/>
                <w:color w:val="auto"/>
              </w:rPr>
            </w:pPr>
            <w:r>
              <w:rPr>
                <w:rFonts w:ascii="Times New Roman" w:cs="Times New Roman" w:eastAsia="Times New Roman" w:hAnsi="Times New Roman"/>
                <w:sz w:val="14"/>
                <w:szCs w:val="14"/>
                <w:color w:val="auto"/>
              </w:rPr>
              <w:t>Consideration for purchase of redeemable noncontrolling interest in</w:t>
            </w:r>
          </w:p>
        </w:tc>
        <w:tc>
          <w:tcPr>
            <w:tcW w:w="200" w:type="dxa"/>
            <w:vAlign w:val="bottom"/>
            <w:shd w:val="clear" w:color="auto" w:fill="CFF0FC"/>
          </w:tcPr>
          <w:p>
            <w:pPr>
              <w:jc w:val="right"/>
              <w:ind w:right="48"/>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160"/>
              <w:spacing w:after="0" w:line="15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jc w:val="right"/>
              <w:ind w:right="8"/>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line="157" w:lineRule="exact"/>
              <w:rPr>
                <w:sz w:val="20"/>
                <w:szCs w:val="20"/>
                <w:color w:val="auto"/>
              </w:rPr>
            </w:pPr>
            <w:r>
              <w:rPr>
                <w:rFonts w:ascii="Times New Roman" w:cs="Times New Roman" w:eastAsia="Times New Roman" w:hAnsi="Times New Roman"/>
                <w:sz w:val="14"/>
                <w:szCs w:val="14"/>
                <w:color w:val="auto"/>
              </w:rPr>
              <w:t>5,100</w:t>
            </w: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48"/>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FF0FC"/>
          </w:tcPr>
          <w:p>
            <w:pPr>
              <w:jc w:val="right"/>
              <w:ind w:right="100"/>
              <w:spacing w:after="0" w:line="157" w:lineRule="exact"/>
              <w:rPr>
                <w:sz w:val="20"/>
                <w:szCs w:val="20"/>
                <w:color w:val="auto"/>
              </w:rPr>
            </w:pPr>
            <w:r>
              <w:rPr>
                <w:rFonts w:ascii="Times New Roman" w:cs="Times New Roman" w:eastAsia="Times New Roman" w:hAnsi="Times New Roman"/>
                <w:sz w:val="14"/>
                <w:szCs w:val="14"/>
                <w:color w:val="auto"/>
              </w:rPr>
              <w:t>—</w:t>
            </w:r>
          </w:p>
        </w:tc>
      </w:tr>
      <w:tr>
        <w:trPr>
          <w:trHeight w:val="187"/>
        </w:trPr>
        <w:tc>
          <w:tcPr>
            <w:tcW w:w="20" w:type="dxa"/>
            <w:vAlign w:val="bottom"/>
          </w:tcPr>
          <w:p>
            <w:pPr>
              <w:spacing w:after="0"/>
              <w:rPr>
                <w:sz w:val="16"/>
                <w:szCs w:val="16"/>
                <w:color w:val="auto"/>
              </w:rPr>
            </w:pPr>
          </w:p>
        </w:tc>
        <w:tc>
          <w:tcPr>
            <w:tcW w:w="476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7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Shares issued in connection with acquisitions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31,081</w:t>
            </w:r>
          </w:p>
        </w:tc>
        <w:tc>
          <w:tcPr>
            <w:tcW w:w="14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-3888105</wp:posOffset>
            </wp:positionV>
            <wp:extent cx="47625"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4632960</wp:posOffset>
            </wp:positionH>
            <wp:positionV relativeFrom="paragraph">
              <wp:posOffset>-3888105</wp:posOffset>
            </wp:positionV>
            <wp:extent cx="47625"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-3888105</wp:posOffset>
            </wp:positionV>
            <wp:extent cx="47625"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3985260</wp:posOffset>
            </wp:positionH>
            <wp:positionV relativeFrom="paragraph">
              <wp:posOffset>-2129155</wp:posOffset>
            </wp:positionV>
            <wp:extent cx="47625"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4632960</wp:posOffset>
            </wp:positionH>
            <wp:positionV relativeFrom="paragraph">
              <wp:posOffset>-2129155</wp:posOffset>
            </wp:positionV>
            <wp:extent cx="47625"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-2129155</wp:posOffset>
            </wp:positionV>
            <wp:extent cx="47625"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3985260</wp:posOffset>
            </wp:positionH>
            <wp:positionV relativeFrom="paragraph">
              <wp:posOffset>-1903730</wp:posOffset>
            </wp:positionV>
            <wp:extent cx="47625"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4632960</wp:posOffset>
            </wp:positionH>
            <wp:positionV relativeFrom="paragraph">
              <wp:posOffset>-1903730</wp:posOffset>
            </wp:positionV>
            <wp:extent cx="47625"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-1903730</wp:posOffset>
            </wp:positionV>
            <wp:extent cx="47625"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3985260</wp:posOffset>
            </wp:positionH>
            <wp:positionV relativeFrom="paragraph">
              <wp:posOffset>-1671955</wp:posOffset>
            </wp:positionV>
            <wp:extent cx="47625"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4632960</wp:posOffset>
            </wp:positionH>
            <wp:positionV relativeFrom="paragraph">
              <wp:posOffset>-1671955</wp:posOffset>
            </wp:positionV>
            <wp:extent cx="47625"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-1671955</wp:posOffset>
            </wp:positionV>
            <wp:extent cx="47625"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7" w:name="page98"/>
    <w:bookmarkEnd w:id="9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231F20"/>
        </w:rPr>
        <w:t>Index to Notes to Condensed Consolidated Financial Statements</w:t>
      </w:r>
    </w:p>
    <w:p>
      <w:pPr>
        <w:spacing w:after="0" w:line="19"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302"/>
        </w:trPr>
        <w:tc>
          <w:tcPr>
            <w:tcW w:w="540" w:type="dxa"/>
            <w:vAlign w:val="bottom"/>
          </w:tcPr>
          <w:p>
            <w:pPr>
              <w:spacing w:after="0"/>
              <w:rPr>
                <w:sz w:val="24"/>
                <w:szCs w:val="24"/>
                <w:color w:val="auto"/>
              </w:rPr>
            </w:pPr>
          </w:p>
        </w:tc>
        <w:tc>
          <w:tcPr>
            <w:tcW w:w="718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Note 1 - Significant Accounting Policies</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520" w:type="dxa"/>
            <w:vAlign w:val="bottom"/>
          </w:tcPr>
          <w:p>
            <w:pPr>
              <w:spacing w:after="0"/>
              <w:rPr>
                <w:sz w:val="24"/>
                <w:szCs w:val="24"/>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71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Note 2 - Discontinued Operations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99</w:t>
            </w:r>
          </w:p>
        </w:tc>
        <w:tc>
          <w:tcPr>
            <w:tcW w:w="520" w:type="dxa"/>
            <w:vAlign w:val="bottom"/>
          </w:tcPr>
          <w:p>
            <w:pPr>
              <w:spacing w:after="0"/>
              <w:rPr>
                <w:sz w:val="13"/>
                <w:szCs w:val="13"/>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71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Note 3 - Revenues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101</w:t>
            </w:r>
          </w:p>
        </w:tc>
        <w:tc>
          <w:tcPr>
            <w:tcW w:w="520" w:type="dxa"/>
            <w:vAlign w:val="bottom"/>
          </w:tcPr>
          <w:p>
            <w:pPr>
              <w:spacing w:after="0"/>
              <w:rPr>
                <w:sz w:val="13"/>
                <w:szCs w:val="13"/>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71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Note 4 - Acquisitions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101</w:t>
            </w:r>
          </w:p>
        </w:tc>
        <w:tc>
          <w:tcPr>
            <w:tcW w:w="520" w:type="dxa"/>
            <w:vAlign w:val="bottom"/>
          </w:tcPr>
          <w:p>
            <w:pPr>
              <w:spacing w:after="0"/>
              <w:rPr>
                <w:sz w:val="13"/>
                <w:szCs w:val="13"/>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71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Note 5 - Goodwill and Intangible Assets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105</w:t>
            </w:r>
          </w:p>
        </w:tc>
        <w:tc>
          <w:tcPr>
            <w:tcW w:w="520" w:type="dxa"/>
            <w:vAlign w:val="bottom"/>
          </w:tcPr>
          <w:p>
            <w:pPr>
              <w:spacing w:after="0"/>
              <w:rPr>
                <w:sz w:val="13"/>
                <w:szCs w:val="13"/>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3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0000FF"/>
                <w:w w:val="95"/>
              </w:rPr>
              <w:t>Note 6</w:t>
            </w:r>
          </w:p>
        </w:tc>
        <w:tc>
          <w:tcPr>
            <w:tcW w:w="6800" w:type="dxa"/>
            <w:vAlign w:val="bottom"/>
            <w:gridSpan w:val="16"/>
          </w:tcPr>
          <w:p>
            <w:pPr>
              <w:ind w:left="20"/>
              <w:spacing w:after="0" w:line="152" w:lineRule="exact"/>
              <w:rPr>
                <w:sz w:val="20"/>
                <w:szCs w:val="20"/>
                <w:color w:val="auto"/>
              </w:rPr>
            </w:pPr>
            <w:r>
              <w:rPr>
                <w:rFonts w:ascii="Times New Roman" w:cs="Times New Roman" w:eastAsia="Times New Roman" w:hAnsi="Times New Roman"/>
                <w:sz w:val="14"/>
                <w:szCs w:val="14"/>
                <w:color w:val="0000FF"/>
              </w:rPr>
              <w:t>- Debt and Derivatives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106</w:t>
            </w:r>
          </w:p>
        </w:tc>
        <w:tc>
          <w:tcPr>
            <w:tcW w:w="520" w:type="dxa"/>
            <w:vAlign w:val="bottom"/>
          </w:tcPr>
          <w:p>
            <w:pPr>
              <w:spacing w:after="0"/>
              <w:rPr>
                <w:sz w:val="13"/>
                <w:szCs w:val="13"/>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3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0000FF"/>
                <w:w w:val="95"/>
              </w:rPr>
              <w:t>Note 7</w:t>
            </w:r>
          </w:p>
        </w:tc>
        <w:tc>
          <w:tcPr>
            <w:tcW w:w="6800" w:type="dxa"/>
            <w:vAlign w:val="bottom"/>
            <w:gridSpan w:val="16"/>
          </w:tcPr>
          <w:p>
            <w:pPr>
              <w:ind w:left="20"/>
              <w:spacing w:after="0" w:line="152" w:lineRule="exact"/>
              <w:rPr>
                <w:sz w:val="20"/>
                <w:szCs w:val="20"/>
                <w:color w:val="auto"/>
              </w:rPr>
            </w:pPr>
            <w:r>
              <w:rPr>
                <w:rFonts w:ascii="Times New Roman" w:cs="Times New Roman" w:eastAsia="Times New Roman" w:hAnsi="Times New Roman"/>
                <w:sz w:val="14"/>
                <w:szCs w:val="14"/>
                <w:color w:val="0000FF"/>
              </w:rPr>
              <w:t>- TEUs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109</w:t>
            </w:r>
          </w:p>
        </w:tc>
        <w:tc>
          <w:tcPr>
            <w:tcW w:w="520" w:type="dxa"/>
            <w:vAlign w:val="bottom"/>
          </w:tcPr>
          <w:p>
            <w:pPr>
              <w:spacing w:after="0"/>
              <w:rPr>
                <w:sz w:val="13"/>
                <w:szCs w:val="13"/>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3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0000FF"/>
                <w:w w:val="95"/>
              </w:rPr>
              <w:t>Note 8</w:t>
            </w:r>
          </w:p>
        </w:tc>
        <w:tc>
          <w:tcPr>
            <w:tcW w:w="6800" w:type="dxa"/>
            <w:vAlign w:val="bottom"/>
            <w:gridSpan w:val="16"/>
          </w:tcPr>
          <w:p>
            <w:pPr>
              <w:ind w:left="20"/>
              <w:spacing w:after="0" w:line="152" w:lineRule="exact"/>
              <w:rPr>
                <w:sz w:val="20"/>
                <w:szCs w:val="20"/>
                <w:color w:val="auto"/>
              </w:rPr>
            </w:pPr>
            <w:r>
              <w:rPr>
                <w:rFonts w:ascii="Times New Roman" w:cs="Times New Roman" w:eastAsia="Times New Roman" w:hAnsi="Times New Roman"/>
                <w:sz w:val="14"/>
                <w:szCs w:val="14"/>
                <w:color w:val="0000FF"/>
              </w:rPr>
              <w:t>- Income Taxes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110</w:t>
            </w:r>
          </w:p>
        </w:tc>
        <w:tc>
          <w:tcPr>
            <w:tcW w:w="520" w:type="dxa"/>
            <w:vAlign w:val="bottom"/>
          </w:tcPr>
          <w:p>
            <w:pPr>
              <w:spacing w:after="0"/>
              <w:rPr>
                <w:sz w:val="13"/>
                <w:szCs w:val="13"/>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3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0000FF"/>
                <w:w w:val="95"/>
              </w:rPr>
              <w:t>Note 9</w:t>
            </w:r>
          </w:p>
        </w:tc>
        <w:tc>
          <w:tcPr>
            <w:tcW w:w="6800" w:type="dxa"/>
            <w:vAlign w:val="bottom"/>
            <w:gridSpan w:val="16"/>
          </w:tcPr>
          <w:p>
            <w:pPr>
              <w:ind w:left="20"/>
              <w:spacing w:after="0" w:line="152" w:lineRule="exact"/>
              <w:rPr>
                <w:sz w:val="20"/>
                <w:szCs w:val="20"/>
                <w:color w:val="auto"/>
              </w:rPr>
            </w:pPr>
            <w:r>
              <w:rPr>
                <w:rFonts w:ascii="Times New Roman" w:cs="Times New Roman" w:eastAsia="Times New Roman" w:hAnsi="Times New Roman"/>
                <w:sz w:val="14"/>
                <w:szCs w:val="14"/>
                <w:color w:val="0000FF"/>
              </w:rPr>
              <w:t>- Detail of Certain Balance Sheet Accounts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112</w:t>
            </w:r>
          </w:p>
        </w:tc>
        <w:tc>
          <w:tcPr>
            <w:tcW w:w="520" w:type="dxa"/>
            <w:vAlign w:val="bottom"/>
          </w:tcPr>
          <w:p>
            <w:pPr>
              <w:spacing w:after="0"/>
              <w:rPr>
                <w:sz w:val="13"/>
                <w:szCs w:val="13"/>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18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71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Note 10 - Earnings Per Share</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113</w:t>
            </w:r>
          </w:p>
        </w:tc>
        <w:tc>
          <w:tcPr>
            <w:tcW w:w="520" w:type="dxa"/>
            <w:vAlign w:val="bottom"/>
          </w:tcPr>
          <w:p>
            <w:pPr>
              <w:spacing w:after="0"/>
              <w:rPr>
                <w:sz w:val="13"/>
                <w:szCs w:val="13"/>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18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71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Note 11 - Common Stock, Preferred Stock, and Share-Based Compensation</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114</w:t>
            </w:r>
          </w:p>
        </w:tc>
        <w:tc>
          <w:tcPr>
            <w:tcW w:w="520" w:type="dxa"/>
            <w:vAlign w:val="bottom"/>
          </w:tcPr>
          <w:p>
            <w:pPr>
              <w:spacing w:after="0"/>
              <w:rPr>
                <w:sz w:val="13"/>
                <w:szCs w:val="13"/>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180" w:type="dxa"/>
            <w:vAlign w:val="bottom"/>
            <w:tcBorders>
              <w:right w:val="single" w:sz="8" w:color="0000FF"/>
            </w:tcBorders>
            <w:gridSpan w:val="5"/>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71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Note 12 - Property and Equipment, Net</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117</w:t>
            </w:r>
          </w:p>
        </w:tc>
        <w:tc>
          <w:tcPr>
            <w:tcW w:w="520" w:type="dxa"/>
            <w:vAlign w:val="bottom"/>
          </w:tcPr>
          <w:p>
            <w:pPr>
              <w:spacing w:after="0"/>
              <w:rPr>
                <w:sz w:val="13"/>
                <w:szCs w:val="13"/>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180" w:type="dxa"/>
            <w:vAlign w:val="bottom"/>
            <w:tcBorders>
              <w:right w:val="single" w:sz="8" w:color="0000FF"/>
            </w:tcBorders>
            <w:gridSpan w:val="5"/>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7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71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Note 13 - Lease Arrangements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117</w:t>
            </w:r>
          </w:p>
        </w:tc>
        <w:tc>
          <w:tcPr>
            <w:tcW w:w="520" w:type="dxa"/>
            <w:vAlign w:val="bottom"/>
          </w:tcPr>
          <w:p>
            <w:pPr>
              <w:spacing w:after="0"/>
              <w:rPr>
                <w:sz w:val="13"/>
                <w:szCs w:val="13"/>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7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46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0000FF"/>
                <w:w w:val="98"/>
              </w:rPr>
              <w:t>Note 14</w:t>
            </w:r>
          </w:p>
        </w:tc>
        <w:tc>
          <w:tcPr>
            <w:tcW w:w="6720" w:type="dxa"/>
            <w:vAlign w:val="bottom"/>
            <w:gridSpan w:val="15"/>
          </w:tcPr>
          <w:p>
            <w:pPr>
              <w:ind w:left="20"/>
              <w:spacing w:after="0" w:line="152" w:lineRule="exact"/>
              <w:rPr>
                <w:sz w:val="20"/>
                <w:szCs w:val="20"/>
                <w:color w:val="auto"/>
              </w:rPr>
            </w:pPr>
            <w:r>
              <w:rPr>
                <w:rFonts w:ascii="Times New Roman" w:cs="Times New Roman" w:eastAsia="Times New Roman" w:hAnsi="Times New Roman"/>
                <w:sz w:val="14"/>
                <w:szCs w:val="14"/>
                <w:color w:val="0000FF"/>
              </w:rPr>
              <w:t>- Fair Value</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118</w:t>
            </w:r>
          </w:p>
        </w:tc>
        <w:tc>
          <w:tcPr>
            <w:tcW w:w="520" w:type="dxa"/>
            <w:vAlign w:val="bottom"/>
          </w:tcPr>
          <w:p>
            <w:pPr>
              <w:spacing w:after="0"/>
              <w:rPr>
                <w:sz w:val="13"/>
                <w:szCs w:val="13"/>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7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46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0000FF"/>
                <w:w w:val="98"/>
              </w:rPr>
              <w:t>Note 15</w:t>
            </w:r>
          </w:p>
        </w:tc>
        <w:tc>
          <w:tcPr>
            <w:tcW w:w="6720" w:type="dxa"/>
            <w:vAlign w:val="bottom"/>
            <w:gridSpan w:val="15"/>
          </w:tcPr>
          <w:p>
            <w:pPr>
              <w:ind w:left="20"/>
              <w:spacing w:after="0" w:line="152" w:lineRule="exact"/>
              <w:rPr>
                <w:sz w:val="20"/>
                <w:szCs w:val="20"/>
                <w:color w:val="auto"/>
              </w:rPr>
            </w:pPr>
            <w:r>
              <w:rPr>
                <w:rFonts w:ascii="Times New Roman" w:cs="Times New Roman" w:eastAsia="Times New Roman" w:hAnsi="Times New Roman"/>
                <w:sz w:val="14"/>
                <w:szCs w:val="14"/>
                <w:color w:val="0000FF"/>
              </w:rPr>
              <w:t>- Commitments and Contingencies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120</w:t>
            </w:r>
          </w:p>
        </w:tc>
        <w:tc>
          <w:tcPr>
            <w:tcW w:w="520" w:type="dxa"/>
            <w:vAlign w:val="bottom"/>
          </w:tcPr>
          <w:p>
            <w:pPr>
              <w:spacing w:after="0"/>
              <w:rPr>
                <w:sz w:val="13"/>
                <w:szCs w:val="13"/>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7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46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0000FF"/>
                <w:w w:val="98"/>
              </w:rPr>
              <w:t>Note 16</w:t>
            </w:r>
          </w:p>
        </w:tc>
        <w:tc>
          <w:tcPr>
            <w:tcW w:w="6720" w:type="dxa"/>
            <w:vAlign w:val="bottom"/>
            <w:gridSpan w:val="15"/>
          </w:tcPr>
          <w:p>
            <w:pPr>
              <w:ind w:left="20"/>
              <w:spacing w:after="0" w:line="152" w:lineRule="exact"/>
              <w:rPr>
                <w:sz w:val="20"/>
                <w:szCs w:val="20"/>
                <w:color w:val="auto"/>
              </w:rPr>
            </w:pPr>
            <w:r>
              <w:rPr>
                <w:rFonts w:ascii="Times New Roman" w:cs="Times New Roman" w:eastAsia="Times New Roman" w:hAnsi="Times New Roman"/>
                <w:sz w:val="14"/>
                <w:szCs w:val="14"/>
                <w:color w:val="0000FF"/>
              </w:rPr>
              <w:t>- Related Party Transactions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120</w:t>
            </w:r>
          </w:p>
        </w:tc>
        <w:tc>
          <w:tcPr>
            <w:tcW w:w="520" w:type="dxa"/>
            <w:vAlign w:val="bottom"/>
          </w:tcPr>
          <w:p>
            <w:pPr>
              <w:spacing w:after="0"/>
              <w:rPr>
                <w:sz w:val="13"/>
                <w:szCs w:val="13"/>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46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0000FF"/>
                <w:w w:val="98"/>
              </w:rPr>
              <w:t>Note 17</w:t>
            </w:r>
          </w:p>
        </w:tc>
        <w:tc>
          <w:tcPr>
            <w:tcW w:w="6720" w:type="dxa"/>
            <w:vAlign w:val="bottom"/>
            <w:gridSpan w:val="15"/>
          </w:tcPr>
          <w:p>
            <w:pPr>
              <w:ind w:left="20"/>
              <w:spacing w:after="0" w:line="152" w:lineRule="exact"/>
              <w:rPr>
                <w:sz w:val="20"/>
                <w:szCs w:val="20"/>
                <w:color w:val="auto"/>
              </w:rPr>
            </w:pPr>
            <w:r>
              <w:rPr>
                <w:rFonts w:ascii="Times New Roman" w:cs="Times New Roman" w:eastAsia="Times New Roman" w:hAnsi="Times New Roman"/>
                <w:sz w:val="14"/>
                <w:szCs w:val="14"/>
                <w:color w:val="0000FF"/>
              </w:rPr>
              <w:t>- Segment Information</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121</w:t>
            </w:r>
          </w:p>
        </w:tc>
        <w:tc>
          <w:tcPr>
            <w:tcW w:w="520" w:type="dxa"/>
            <w:vAlign w:val="bottom"/>
          </w:tcPr>
          <w:p>
            <w:pPr>
              <w:spacing w:after="0"/>
              <w:rPr>
                <w:sz w:val="13"/>
                <w:szCs w:val="13"/>
                <w:color w:val="auto"/>
              </w:rPr>
            </w:pPr>
          </w:p>
        </w:tc>
      </w:tr>
      <w:tr>
        <w:trPr>
          <w:trHeight w:val="699"/>
        </w:trPr>
        <w:tc>
          <w:tcPr>
            <w:tcW w:w="540" w:type="dxa"/>
            <w:vAlign w:val="bottom"/>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320" w:type="dxa"/>
            <w:vAlign w:val="bottom"/>
            <w:tcBorders>
              <w:top w:val="single" w:sz="8" w:color="0000FF"/>
            </w:tcBorders>
            <w:gridSpan w:val="7"/>
          </w:tcPr>
          <w:p>
            <w:pPr>
              <w:spacing w:after="0"/>
              <w:rPr>
                <w:sz w:val="24"/>
                <w:szCs w:val="24"/>
                <w:color w:val="auto"/>
              </w:rPr>
            </w:pPr>
          </w:p>
        </w:tc>
        <w:tc>
          <w:tcPr>
            <w:tcW w:w="2540" w:type="dxa"/>
            <w:vAlign w:val="bottom"/>
            <w:gridSpan w:val="7"/>
          </w:tcPr>
          <w:p>
            <w:pPr>
              <w:jc w:val="right"/>
              <w:ind w:right="400"/>
              <w:spacing w:after="0"/>
              <w:rPr>
                <w:sz w:val="20"/>
                <w:szCs w:val="20"/>
                <w:color w:val="auto"/>
              </w:rPr>
            </w:pPr>
            <w:r>
              <w:rPr>
                <w:rFonts w:ascii="Times New Roman" w:cs="Times New Roman" w:eastAsia="Times New Roman" w:hAnsi="Times New Roman"/>
                <w:sz w:val="14"/>
                <w:szCs w:val="14"/>
                <w:color w:val="auto"/>
              </w:rPr>
              <w:t>91</w:t>
            </w:r>
          </w:p>
        </w:tc>
        <w:tc>
          <w:tcPr>
            <w:tcW w:w="2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04"/>
        </w:trPr>
        <w:tc>
          <w:tcPr>
            <w:tcW w:w="5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8" w:name="page99"/>
    <w:bookmarkEnd w:id="9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231F20"/>
        </w:rPr>
        <w:t>Notes to Consolidated Financial Statements</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 Significant Accounting Policies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Description of Business</w:t>
      </w:r>
    </w:p>
    <w:p>
      <w:pPr>
        <w:spacing w:after="0" w:line="99" w:lineRule="exact"/>
        <w:rPr>
          <w:sz w:val="20"/>
          <w:szCs w:val="20"/>
          <w:color w:val="auto"/>
        </w:rPr>
      </w:pPr>
    </w:p>
    <w:p>
      <w:pPr>
        <w:ind w:left="640" w:right="779"/>
        <w:spacing w:after="0" w:line="268" w:lineRule="auto"/>
        <w:rPr>
          <w:sz w:val="20"/>
          <w:szCs w:val="20"/>
          <w:color w:val="auto"/>
        </w:rPr>
      </w:pPr>
      <w:r>
        <w:rPr>
          <w:rFonts w:ascii="Times New Roman" w:cs="Times New Roman" w:eastAsia="Times New Roman" w:hAnsi="Times New Roman"/>
          <w:sz w:val="14"/>
          <w:szCs w:val="14"/>
          <w:color w:val="auto"/>
        </w:rPr>
        <w:t>BrightSpring Health Services, Inc. and its subsidiaries (“BrightSpring,” the “Company,” “we,” “us,” or “our”) is a leading home and community-based healthcare services platform, focused on delivering complementary pharmacy and provider services to complex patients. Our platform delivers clinical services and pharmacy solutions across Medicare, Medicaid, and commercially-insured populations.</w:t>
      </w:r>
    </w:p>
    <w:p>
      <w:pPr>
        <w:spacing w:after="0" w:line="54" w:lineRule="exact"/>
        <w:rPr>
          <w:sz w:val="20"/>
          <w:szCs w:val="20"/>
          <w:color w:val="auto"/>
        </w:rPr>
      </w:pPr>
    </w:p>
    <w:p>
      <w:pPr>
        <w:jc w:val="both"/>
        <w:ind w:left="640" w:right="999"/>
        <w:spacing w:after="0" w:line="274" w:lineRule="auto"/>
        <w:rPr>
          <w:sz w:val="20"/>
          <w:szCs w:val="20"/>
          <w:color w:val="auto"/>
        </w:rPr>
      </w:pPr>
      <w:r>
        <w:rPr>
          <w:rFonts w:ascii="Times New Roman" w:cs="Times New Roman" w:eastAsia="Times New Roman" w:hAnsi="Times New Roman"/>
          <w:sz w:val="14"/>
          <w:szCs w:val="14"/>
          <w:color w:val="auto"/>
        </w:rPr>
        <w:t>On December 7, 2017, affiliates of Kohlberg Kravis Roberts &amp; Co. L.P. (“KKR”) and Walgreens Boots Alliance, Inc. (“WBA”) purchased PharMerica Corporation (“PharMerica”) and on March 5, 2019, expanded with the acquisition of BrightSpring Health Holdings Corp. (“BrightSpring Corp. Acquisition”). The surviving entity was renamed BrightSpring Health Services, Inc.</w:t>
      </w:r>
    </w:p>
    <w:p>
      <w:pPr>
        <w:spacing w:after="0" w:line="50" w:lineRule="exact"/>
        <w:rPr>
          <w:sz w:val="20"/>
          <w:szCs w:val="20"/>
          <w:color w:val="auto"/>
        </w:rPr>
      </w:pPr>
    </w:p>
    <w:p>
      <w:pPr>
        <w:ind w:left="640" w:right="719"/>
        <w:spacing w:after="0" w:line="260" w:lineRule="auto"/>
        <w:rPr>
          <w:sz w:val="20"/>
          <w:szCs w:val="20"/>
          <w:color w:val="auto"/>
        </w:rPr>
      </w:pPr>
      <w:r>
        <w:rPr>
          <w:rFonts w:ascii="Times New Roman" w:cs="Times New Roman" w:eastAsia="Times New Roman" w:hAnsi="Times New Roman"/>
          <w:sz w:val="14"/>
          <w:szCs w:val="14"/>
          <w:color w:val="auto"/>
        </w:rPr>
        <w:t>BrightSpring Health Services, Inc. completed its initial public offering (“IPO”) of 53,333,334 shares of its common stock at a price of $13.00 per share and its concurrent offering of 8,000,000 6.75% tangible equity units (“TEUs”) with a stated amount of $50.00 per unit in January 2024 (collectively, “the IPO Offerings”). The net proceeds from the IPO Offerings amounted to $656.5 million and $389.0 million for the common stock and TEUs, respectively, after deducting underwriting discounts, commissions, and offering-related expenses. The common stock and TEUs began trading on the Nasdaq Global Select Market on January 26, 2024 under the ticker symbols “BTSG” and “BTSGU,” respectively. BrightSpring Health Services, Inc. used a portion of the net proceeds received from the IPO Offerings to repay certain indebtedness (see Note 6) and pay termination fees in connection with the termination of our monitoring agreement with KKR and WBA (the “Monitoring Agreement”) (see Note 16). The remaining proceeds were retained for general corporate purposes.</w:t>
      </w:r>
    </w:p>
    <w:p>
      <w:pPr>
        <w:spacing w:after="0" w:line="63" w:lineRule="exact"/>
        <w:rPr>
          <w:sz w:val="20"/>
          <w:szCs w:val="20"/>
          <w:color w:val="auto"/>
        </w:rPr>
      </w:pPr>
    </w:p>
    <w:p>
      <w:pPr>
        <w:jc w:val="both"/>
        <w:ind w:left="640" w:right="779"/>
        <w:spacing w:after="0" w:line="274" w:lineRule="auto"/>
        <w:rPr>
          <w:sz w:val="20"/>
          <w:szCs w:val="20"/>
          <w:color w:val="auto"/>
        </w:rPr>
      </w:pPr>
      <w:r>
        <w:rPr>
          <w:rFonts w:ascii="Times New Roman" w:cs="Times New Roman" w:eastAsia="Times New Roman" w:hAnsi="Times New Roman"/>
          <w:sz w:val="14"/>
          <w:szCs w:val="14"/>
          <w:color w:val="auto"/>
        </w:rPr>
        <w:t>On January 17, 2025, the Company entered into a purchase agreement to divest its community living services, home and community based waiver programs, and intermediate care facilities (the “Community Living business”). The transaction is subject to customary closing conditions and certain other antitrust laws, and is expected to close in the first fiscal quarter of 2026.</w:t>
      </w:r>
    </w:p>
    <w:p>
      <w:pPr>
        <w:spacing w:after="0" w:line="50" w:lineRule="exact"/>
        <w:rPr>
          <w:sz w:val="20"/>
          <w:szCs w:val="20"/>
          <w:color w:val="auto"/>
        </w:rPr>
      </w:pPr>
    </w:p>
    <w:p>
      <w:pPr>
        <w:ind w:left="640" w:right="799"/>
        <w:spacing w:after="0" w:line="263" w:lineRule="auto"/>
        <w:rPr>
          <w:sz w:val="20"/>
          <w:szCs w:val="20"/>
          <w:color w:val="auto"/>
        </w:rPr>
      </w:pPr>
      <w:r>
        <w:rPr>
          <w:rFonts w:ascii="Times New Roman" w:cs="Times New Roman" w:eastAsia="Times New Roman" w:hAnsi="Times New Roman"/>
          <w:sz w:val="14"/>
          <w:szCs w:val="14"/>
          <w:color w:val="auto"/>
        </w:rPr>
        <w:t>During the second fiscal quarter of 2025, WBA sold their remaining ownership interests in the Company through open market transactions and is no longer considered a related party of the Company. In June and October 2025, KKR Stockholder and certain management selling stockholders completed registered secondary public offerings of the Company's common stock (the “Secondary Offerings”). As of the second fiscal quarter of 2025, the Company no longer qualifies as a “controlled company” under the Nasdaq Stock Market LLC listing standards and is therefore required to comply with all applicable corporate governance requirements of Nasdaq, subject to phase-in rules.</w:t>
      </w:r>
    </w:p>
    <w:p>
      <w:pPr>
        <w:spacing w:after="0" w:line="58" w:lineRule="exact"/>
        <w:rPr>
          <w:sz w:val="20"/>
          <w:szCs w:val="20"/>
          <w:color w:val="auto"/>
        </w:rPr>
      </w:pPr>
    </w:p>
    <w:p>
      <w:pPr>
        <w:ind w:left="640" w:right="719"/>
        <w:spacing w:after="0" w:line="274" w:lineRule="auto"/>
        <w:rPr>
          <w:sz w:val="20"/>
          <w:szCs w:val="20"/>
          <w:color w:val="auto"/>
        </w:rPr>
      </w:pPr>
      <w:r>
        <w:rPr>
          <w:rFonts w:ascii="Times New Roman" w:cs="Times New Roman" w:eastAsia="Times New Roman" w:hAnsi="Times New Roman"/>
          <w:sz w:val="14"/>
          <w:szCs w:val="14"/>
          <w:color w:val="auto"/>
        </w:rPr>
        <w:t>The Company did not sell any shares of common stock that were offered in the Secondary Offerings. The Company did not receive any proceeds from the Secondary Offerings, other than proceeds received in connection with the cash exercise of stock options by the management selling stockholders in connection with the Secondary Offerings.</w:t>
      </w:r>
    </w:p>
    <w:p>
      <w:pPr>
        <w:spacing w:after="0" w:line="50" w:lineRule="exact"/>
        <w:rPr>
          <w:sz w:val="20"/>
          <w:szCs w:val="20"/>
          <w:color w:val="auto"/>
        </w:rPr>
      </w:pPr>
    </w:p>
    <w:p>
      <w:pPr>
        <w:ind w:left="640" w:right="699"/>
        <w:spacing w:after="0" w:line="262" w:lineRule="auto"/>
        <w:rPr>
          <w:sz w:val="20"/>
          <w:szCs w:val="20"/>
          <w:color w:val="auto"/>
        </w:rPr>
      </w:pPr>
      <w:r>
        <w:rPr>
          <w:rFonts w:ascii="Times New Roman" w:cs="Times New Roman" w:eastAsia="Times New Roman" w:hAnsi="Times New Roman"/>
          <w:sz w:val="14"/>
          <w:szCs w:val="14"/>
          <w:color w:val="auto"/>
        </w:rPr>
        <w:t>The Company did not purchase any shares of common stock that were offered in the June 2025 secondary public offering. In connection with the October 2025 secondary public offering, the Company concurrently purchased from the underwriter, out of the aggregate of 15,000,000 shares of common stock that were the subject of the October 2025 secondary public offering, 1,500,000 shares of common stock. The price per share paid by the Company was equal to the price at which the underwriter purchased the shares from the selling stockholders in the October 2025 secondary public offering. The par value of the shares repurchased and the amount paid to repurchase the shares in excess of the par value were recorded as common stock and accumulated deficit, respectively, in the consolidated balance sheets.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Principles of Consolidation</w:t>
      </w:r>
    </w:p>
    <w:p>
      <w:pPr>
        <w:spacing w:after="0" w:line="99" w:lineRule="exact"/>
        <w:rPr>
          <w:sz w:val="20"/>
          <w:szCs w:val="20"/>
          <w:color w:val="auto"/>
        </w:rPr>
      </w:pPr>
    </w:p>
    <w:p>
      <w:pPr>
        <w:ind w:left="640" w:right="819"/>
        <w:spacing w:after="0" w:line="274" w:lineRule="auto"/>
        <w:rPr>
          <w:sz w:val="20"/>
          <w:szCs w:val="20"/>
          <w:color w:val="auto"/>
        </w:rPr>
      </w:pPr>
      <w:r>
        <w:rPr>
          <w:rFonts w:ascii="Times New Roman" w:cs="Times New Roman" w:eastAsia="Times New Roman" w:hAnsi="Times New Roman"/>
          <w:sz w:val="14"/>
          <w:szCs w:val="14"/>
          <w:color w:val="auto"/>
        </w:rPr>
        <w:t>The accompanying consolidated financial statements include the accounts of BrightSpring Health Services, Inc. and its subsidiaries. The Company consolidates its majority-owned and controlled entities, including variable interest entities (“VIEs”) for which the Company is the primary beneficiary. All intercompany balances and transactions have been eliminated.</w:t>
      </w:r>
    </w:p>
    <w:p>
      <w:pPr>
        <w:spacing w:after="0" w:line="50" w:lineRule="exact"/>
        <w:rPr>
          <w:sz w:val="20"/>
          <w:szCs w:val="20"/>
          <w:color w:val="auto"/>
        </w:rPr>
      </w:pPr>
    </w:p>
    <w:p>
      <w:pPr>
        <w:ind w:left="640" w:right="679"/>
        <w:spacing w:after="0" w:line="268" w:lineRule="auto"/>
        <w:rPr>
          <w:sz w:val="20"/>
          <w:szCs w:val="20"/>
          <w:color w:val="auto"/>
        </w:rPr>
      </w:pPr>
      <w:r>
        <w:rPr>
          <w:rFonts w:ascii="Times New Roman" w:cs="Times New Roman" w:eastAsia="Times New Roman" w:hAnsi="Times New Roman"/>
          <w:sz w:val="14"/>
          <w:szCs w:val="14"/>
          <w:color w:val="auto"/>
        </w:rPr>
        <w:t>We record a noncontrolling interest for the allocable portion of income or loss and comprehensive income or loss to which the noncontrolling interest holders are entitled based upon their ownership share of the affiliate. The Company determined noncontrolling interests for certain of these VIEs to be redeemable noncontrolling interests, which are presented on the consolidated balance sheets as redeemable noncontrolling interests.</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Basis of Presentation</w:t>
      </w:r>
    </w:p>
    <w:p>
      <w:pPr>
        <w:spacing w:after="0" w:line="99" w:lineRule="exact"/>
        <w:rPr>
          <w:sz w:val="20"/>
          <w:szCs w:val="20"/>
          <w:color w:val="auto"/>
        </w:rPr>
      </w:pPr>
    </w:p>
    <w:p>
      <w:pPr>
        <w:ind w:left="640" w:right="1019"/>
        <w:spacing w:after="0" w:line="292"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in accordance with U.S. generally accepted accounting principles (“U.S. GAAP”).</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9" w:name="page100"/>
    <w:bookmarkEnd w:id="9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99" w:lineRule="exact"/>
        <w:rPr>
          <w:sz w:val="20"/>
          <w:szCs w:val="20"/>
          <w:color w:val="auto"/>
        </w:rPr>
      </w:pPr>
    </w:p>
    <w:p>
      <w:pPr>
        <w:ind w:left="640" w:right="719"/>
        <w:spacing w:after="0" w:line="263"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U.S. GAAP requires us to make estimates and assumptions that affect the reported amounts and related disclosures. We rely on historical experience and on various other assumptions that we believe to be reasonable under the circumstances to make judgments about the carrying values of assets and liabilities that are not readily apparent from other sources. Significant estimates are involved in the valuation of accounts receivable, inventory, intangible assets, derivatives, contingent consideration, taxes, insurance reserves, share-based compensation, and goodwill. Actual amounts may differ from these estimates.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Revenue Recognition</w:t>
      </w:r>
    </w:p>
    <w:p>
      <w:pPr>
        <w:spacing w:after="0" w:line="99" w:lineRule="exact"/>
        <w:rPr>
          <w:sz w:val="20"/>
          <w:szCs w:val="20"/>
          <w:color w:val="auto"/>
        </w:rPr>
      </w:pPr>
    </w:p>
    <w:p>
      <w:pPr>
        <w:ind w:left="640" w:right="699"/>
        <w:spacing w:after="0" w:line="262" w:lineRule="auto"/>
        <w:rPr>
          <w:sz w:val="20"/>
          <w:szCs w:val="20"/>
          <w:color w:val="auto"/>
        </w:rPr>
      </w:pPr>
      <w:r>
        <w:rPr>
          <w:rFonts w:ascii="Times New Roman" w:cs="Times New Roman" w:eastAsia="Times New Roman" w:hAnsi="Times New Roman"/>
          <w:sz w:val="14"/>
          <w:szCs w:val="14"/>
          <w:color w:val="auto"/>
        </w:rPr>
        <w:t>The Company recognizes the amount of revenue to which it expects to be entitled for the transfer of promised goods or services to customers. For transactions involving the transfer of goods, revenues are primarily recognized when the customer obtains control of the products sold, which is generally upon shipment or delivery, depending on the delivery terms specified in the sales agreement. For transactions exclusively involving provision of services, revenues are recognized over time based on an appropriate measure of progress. Additionally, where we are required to collect sales taxes from our customers, revenue is recognized net of any taxes collected, and the sales tax amounts are recorded as a liability until remitted to the governmental taxing authorities. The Company’s revenue recognition policy by reportable segment is as follows: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u w:val="single" w:color="auto"/>
          <w:color w:val="auto"/>
        </w:rPr>
        <w:t>Pharmacy Solutions</w:t>
      </w:r>
    </w:p>
    <w:p>
      <w:pPr>
        <w:spacing w:after="0" w:line="99" w:lineRule="exact"/>
        <w:rPr>
          <w:sz w:val="20"/>
          <w:szCs w:val="20"/>
          <w:color w:val="auto"/>
        </w:rPr>
      </w:pPr>
    </w:p>
    <w:p>
      <w:pPr>
        <w:ind w:left="640" w:right="659"/>
        <w:spacing w:after="0" w:line="261" w:lineRule="auto"/>
        <w:rPr>
          <w:sz w:val="20"/>
          <w:szCs w:val="20"/>
          <w:color w:val="auto"/>
        </w:rPr>
      </w:pPr>
      <w:r>
        <w:rPr>
          <w:rFonts w:ascii="Times New Roman" w:cs="Times New Roman" w:eastAsia="Times New Roman" w:hAnsi="Times New Roman"/>
          <w:sz w:val="14"/>
          <w:szCs w:val="14"/>
          <w:color w:val="auto"/>
        </w:rPr>
        <w:t>Pharmacy Solutions revenues are generated from the products and services provided in association with the distribution of prescription drugs to consumers primarily under contracts with Prescription Drug Plans (“PDPs”) under Medicare Part D, state Medicaid programs, long-term care institutions, third party insurance companies, and private payors. Services provided include individualized medication management and support, staff and patient support programs and solutions, regulatory support, and product delivery. When an order for a prescription is placed with the Company, it creates the performance obligation to deliver a prescription and related services. The performance obligation is satisfied at a point in time upon shipment for specialty pharmacies and upon delivery for home and community-based pharmacies and facility-based pharmacies. Revenues are recognized at a point in time when the associated performance obligations are satisfied at the contractual rate established at or before the time the performance obligation is satisfied.</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u w:val="single" w:color="auto"/>
          <w:color w:val="auto"/>
        </w:rPr>
        <w:t>Provider Services</w:t>
      </w:r>
    </w:p>
    <w:p>
      <w:pPr>
        <w:spacing w:after="0" w:line="99" w:lineRule="exact"/>
        <w:rPr>
          <w:sz w:val="20"/>
          <w:szCs w:val="20"/>
          <w:color w:val="auto"/>
        </w:rPr>
      </w:pPr>
    </w:p>
    <w:p>
      <w:pPr>
        <w:ind w:left="640" w:right="659"/>
        <w:spacing w:after="0" w:line="259" w:lineRule="auto"/>
        <w:rPr>
          <w:sz w:val="20"/>
          <w:szCs w:val="20"/>
          <w:color w:val="auto"/>
        </w:rPr>
      </w:pPr>
      <w:r>
        <w:rPr>
          <w:rFonts w:ascii="Times New Roman" w:cs="Times New Roman" w:eastAsia="Times New Roman" w:hAnsi="Times New Roman"/>
          <w:sz w:val="14"/>
          <w:szCs w:val="14"/>
          <w:color w:val="auto"/>
        </w:rPr>
        <w:t>Provider Services revenues are generated from providing care services directly to consumers under contracts with state, local and other governmental agencies, as well as commercial insurance companies, long-term care insurance policies, private pay customers, and management contracts with private operators. Generally, these contracts, which are negotiated based on current contract practices as appropriate for the payor, establish the terms of a customer relationship and set the broad range of terms for services to be performed at stated rates. The contracts do not give rise to rights and obligations until a service request is placed with the Company. Contract terms vary but generally are for one year or less with available renewal options and a thirty-to-sixty-day reimbursement period. When a service request is placed with the Company, it creates the performance obligation to provide a defined quantity of service hours per patient. Performance obligations to deliver patient care services are satisfied over time and revenue is recognized using a time-based input method to measure progress against the contract between the Company and the customer, given that consumers simultaneously receive and consume the benefits provided by the Company as the services are performed. Revenues are recognized over a period of time as the services are rendered at the contractual rate established at or before the time services are rendered; thus, there are no forms of variable consideration associated with the various revenue streams.</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Contractual Allowances</w:t>
      </w:r>
    </w:p>
    <w:p>
      <w:pPr>
        <w:spacing w:after="0" w:line="99" w:lineRule="exact"/>
        <w:rPr>
          <w:sz w:val="20"/>
          <w:szCs w:val="20"/>
          <w:color w:val="auto"/>
        </w:rPr>
      </w:pPr>
    </w:p>
    <w:p>
      <w:pPr>
        <w:ind w:left="640" w:right="879"/>
        <w:spacing w:after="0" w:line="274" w:lineRule="auto"/>
        <w:rPr>
          <w:sz w:val="20"/>
          <w:szCs w:val="20"/>
          <w:color w:val="auto"/>
        </w:rPr>
      </w:pPr>
      <w:r>
        <w:rPr>
          <w:rFonts w:ascii="Times New Roman" w:cs="Times New Roman" w:eastAsia="Times New Roman" w:hAnsi="Times New Roman"/>
          <w:sz w:val="14"/>
          <w:szCs w:val="14"/>
          <w:color w:val="auto"/>
        </w:rPr>
        <w:t>Revenues and the associated receivables are based upon the actual reimbursements expected to be received and include contractual allowances based upon historical trends, contractual reimbursement terms, and other factors which may impact ultimate reimbursement. Amounts are adjusted to actual reimbursed amounts based upon cash receipts.</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Cost of Goods and Cost of Services</w:t>
      </w:r>
    </w:p>
    <w:p>
      <w:pPr>
        <w:spacing w:after="0" w:line="99" w:lineRule="exact"/>
        <w:rPr>
          <w:sz w:val="20"/>
          <w:szCs w:val="20"/>
          <w:color w:val="auto"/>
        </w:rPr>
      </w:pPr>
    </w:p>
    <w:p>
      <w:pPr>
        <w:ind w:left="640" w:right="719"/>
        <w:spacing w:after="0" w:line="265" w:lineRule="auto"/>
        <w:rPr>
          <w:sz w:val="20"/>
          <w:szCs w:val="20"/>
          <w:color w:val="auto"/>
        </w:rPr>
      </w:pPr>
      <w:r>
        <w:rPr>
          <w:rFonts w:ascii="Times New Roman" w:cs="Times New Roman" w:eastAsia="Times New Roman" w:hAnsi="Times New Roman"/>
          <w:sz w:val="14"/>
          <w:szCs w:val="14"/>
          <w:color w:val="auto"/>
        </w:rPr>
        <w:t>We classify expenses directly related to providing goods and services, including associated depreciation and amortization expense, as cost of goods and cost of services, respectively. Direct costs and expenses primarily include cost of drugs, salaries and benefits for direct care and service professionals, contracted labor costs, insurance costs, transportation costs for clients requiring services, certain client expenses such as supplies and medicine, residential occupancy expenses, which primarily comprise rent and utilities, and other miscellaneous direct goods or service-related expenses.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0" w:name="page101"/>
    <w:bookmarkEnd w:id="10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Supplier Rebates</w:t>
      </w:r>
    </w:p>
    <w:p>
      <w:pPr>
        <w:spacing w:after="0" w:line="99" w:lineRule="exact"/>
        <w:rPr>
          <w:sz w:val="20"/>
          <w:szCs w:val="20"/>
          <w:color w:val="auto"/>
        </w:rPr>
      </w:pPr>
    </w:p>
    <w:p>
      <w:pPr>
        <w:ind w:left="640" w:right="679"/>
        <w:spacing w:after="0" w:line="262" w:lineRule="auto"/>
        <w:rPr>
          <w:sz w:val="20"/>
          <w:szCs w:val="20"/>
          <w:color w:val="auto"/>
        </w:rPr>
      </w:pPr>
      <w:r>
        <w:rPr>
          <w:rFonts w:ascii="Times New Roman" w:cs="Times New Roman" w:eastAsia="Times New Roman" w:hAnsi="Times New Roman"/>
          <w:sz w:val="14"/>
          <w:szCs w:val="14"/>
          <w:color w:val="auto"/>
        </w:rPr>
        <w:t>Pharmacy Solutions receives rebates on purchases from select vendors and suppliers for achieving purchase volumes. Rebates for brand name products are generally based on purchasing volumes or actual prescriptions dispensed. Rebates for generic products are primarily based on achieving purchasing volume requirements or other contractually based requirements. The Company considers these rebates product discounts, and as a result, the rebates are recorded as a reduction of product cost and relieved through cost of goods upon the sale of the related inventory or as a reduction of inventory for drugs which have not yet been sold. The rebate recorded is adjusted, if necessary, after the third party validates the appropriate data and notifies the Company of its agreement under the terms of the contract.</w:t>
      </w:r>
    </w:p>
    <w:p>
      <w:pPr>
        <w:spacing w:after="0" w:line="3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Cash and Cash Equivalents</w:t>
      </w:r>
    </w:p>
    <w:p>
      <w:pPr>
        <w:spacing w:after="0" w:line="99" w:lineRule="exact"/>
        <w:rPr>
          <w:sz w:val="20"/>
          <w:szCs w:val="20"/>
          <w:color w:val="auto"/>
        </w:rPr>
      </w:pPr>
    </w:p>
    <w:p>
      <w:pPr>
        <w:ind w:left="640" w:right="679"/>
        <w:spacing w:after="0" w:line="265" w:lineRule="auto"/>
        <w:rPr>
          <w:sz w:val="20"/>
          <w:szCs w:val="20"/>
          <w:color w:val="auto"/>
        </w:rPr>
      </w:pPr>
      <w:r>
        <w:rPr>
          <w:rFonts w:ascii="Times New Roman" w:cs="Times New Roman" w:eastAsia="Times New Roman" w:hAnsi="Times New Roman"/>
          <w:sz w:val="14"/>
          <w:szCs w:val="14"/>
          <w:color w:val="auto"/>
        </w:rPr>
        <w:t>Cash and cash equivalents consist of cash on hand and cash equivalents with original maturities of three months or less. The Company places its cash in financial institutions that are federally insured. The majority of the Company’s bank accounts are zero balance accounts where cash needs are funded as checks are presented for payment by the holder. Checks issued pending clearance that result in overdraft balances for accounting purposes are included in accrued expenses in our consolidated balance sheets, and the change in the related balances are reflected in operating activities in the Company’s consolidated statements of cash flows.</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Accounts Receivable</w:t>
      </w:r>
    </w:p>
    <w:p>
      <w:pPr>
        <w:spacing w:after="0" w:line="99" w:lineRule="exact"/>
        <w:rPr>
          <w:sz w:val="20"/>
          <w:szCs w:val="20"/>
          <w:color w:val="auto"/>
        </w:rPr>
      </w:pPr>
    </w:p>
    <w:p>
      <w:pPr>
        <w:ind w:left="640" w:right="679"/>
        <w:spacing w:after="0" w:line="262" w:lineRule="auto"/>
        <w:rPr>
          <w:sz w:val="20"/>
          <w:szCs w:val="20"/>
          <w:color w:val="auto"/>
        </w:rPr>
      </w:pPr>
      <w:r>
        <w:rPr>
          <w:rFonts w:ascii="Times New Roman" w:cs="Times New Roman" w:eastAsia="Times New Roman" w:hAnsi="Times New Roman"/>
          <w:sz w:val="14"/>
          <w:szCs w:val="14"/>
          <w:color w:val="auto"/>
        </w:rPr>
        <w:t>Accounts receivable primarily consist of amounts due from PDPs under Medicare Part D, institutional healthcare providers, state Medicaid programs, other government agencies, third party insurance companies, and private payors. To provide for accounts receivable that could become uncollectible in the future, the Company establishes an allowance for credit losses to reduce the carrying value of such receivables to the extent it is probable that a portion or all of a particular account will not be collected, with the related expense recorded as a component of selling, general, and administrative expenses. The allowance for credit losses totaled $76.6 million and $45.0 million as of December 31, 2025 and 2024, respectively, and is reflected in accounts receivable, net of allowance for credit losses in our consolidated balance sheets.</w:t>
      </w:r>
    </w:p>
    <w:p>
      <w:pPr>
        <w:spacing w:after="0" w:line="59" w:lineRule="exact"/>
        <w:rPr>
          <w:sz w:val="20"/>
          <w:szCs w:val="20"/>
          <w:color w:val="auto"/>
        </w:rPr>
      </w:pPr>
    </w:p>
    <w:p>
      <w:pPr>
        <w:ind w:left="640" w:right="679"/>
        <w:spacing w:after="0" w:line="263" w:lineRule="auto"/>
        <w:rPr>
          <w:sz w:val="20"/>
          <w:szCs w:val="20"/>
          <w:color w:val="auto"/>
        </w:rPr>
      </w:pPr>
      <w:r>
        <w:rPr>
          <w:rFonts w:ascii="Times New Roman" w:cs="Times New Roman" w:eastAsia="Times New Roman" w:hAnsi="Times New Roman"/>
          <w:sz w:val="14"/>
          <w:szCs w:val="14"/>
          <w:color w:val="auto"/>
        </w:rPr>
        <w:t>We regularly monitor past due accounts and establish appropriate reserves to cover potential losses and consider historical experience, pricing discrepancies, the current economic environment, customer credit ratings and/or bankruptcies to develop our allowance for credit losses. We review these factors quarterly to determine if any adjustments are needed to the allowance and write off any amounts deemed uncollectible against the established allowance for credit losses. Activity in the allowance for credit losses for the years ended December 31, 2025 and 2024 included provisions of credit losses of $56.2 million and $34.0 million, respectively; write offs of $29.5 million and $40.7 million, respectively; and recoveries and other changes of $4.9 million and $5.8 million, respectively.</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Inventories</w:t>
      </w:r>
    </w:p>
    <w:p>
      <w:pPr>
        <w:spacing w:after="0" w:line="99" w:lineRule="exact"/>
        <w:rPr>
          <w:sz w:val="20"/>
          <w:szCs w:val="20"/>
          <w:color w:val="auto"/>
        </w:rPr>
      </w:pPr>
    </w:p>
    <w:p>
      <w:pPr>
        <w:ind w:left="640" w:right="679"/>
        <w:spacing w:after="0" w:line="268" w:lineRule="auto"/>
        <w:rPr>
          <w:sz w:val="20"/>
          <w:szCs w:val="20"/>
          <w:color w:val="auto"/>
        </w:rPr>
      </w:pPr>
      <w:r>
        <w:rPr>
          <w:rFonts w:ascii="Times New Roman" w:cs="Times New Roman" w:eastAsia="Times New Roman" w:hAnsi="Times New Roman"/>
          <w:sz w:val="14"/>
          <w:szCs w:val="14"/>
          <w:color w:val="auto"/>
        </w:rPr>
        <w:t>Inventory is primarily located at the Company’s pharmacy locations. Inventory consists solely of finished products (primarily prescription drugs) and is valued at the lower of first-in, first-out cost or net realizable value. Physical inventory counts are performed, at a minimum, on a quarterly basis at all pharmacy sites. Inventory and cost of goods are adjusted based upon the results of the physical inventory counts.</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Investments</w:t>
      </w:r>
    </w:p>
    <w:p>
      <w:pPr>
        <w:spacing w:after="0" w:line="99" w:lineRule="exact"/>
        <w:rPr>
          <w:sz w:val="20"/>
          <w:szCs w:val="20"/>
          <w:color w:val="auto"/>
        </w:rPr>
      </w:pPr>
    </w:p>
    <w:p>
      <w:pPr>
        <w:ind w:left="640" w:right="819"/>
        <w:spacing w:after="0" w:line="274" w:lineRule="auto"/>
        <w:rPr>
          <w:sz w:val="20"/>
          <w:szCs w:val="20"/>
          <w:color w:val="auto"/>
        </w:rPr>
      </w:pPr>
      <w:r>
        <w:rPr>
          <w:rFonts w:ascii="Times New Roman" w:cs="Times New Roman" w:eastAsia="Times New Roman" w:hAnsi="Times New Roman"/>
          <w:sz w:val="14"/>
          <w:szCs w:val="14"/>
          <w:color w:val="auto"/>
        </w:rPr>
        <w:t>We consolidate investments when the entity is a VIE and we are the primary beneficiary, or if we have controlling interests in the entity, which is generally ownership in excess of 50%. Third party equity interests in our consolidated joint ventures are reflected as noncontrolling interests or redeemable noncontrolling interests in our consolidated financial statements.</w:t>
      </w:r>
    </w:p>
    <w:p>
      <w:pPr>
        <w:spacing w:after="0" w:line="50" w:lineRule="exact"/>
        <w:rPr>
          <w:sz w:val="20"/>
          <w:szCs w:val="20"/>
          <w:color w:val="auto"/>
        </w:rPr>
      </w:pPr>
    </w:p>
    <w:p>
      <w:pPr>
        <w:ind w:left="640" w:right="699"/>
        <w:spacing w:after="0" w:line="268" w:lineRule="auto"/>
        <w:rPr>
          <w:sz w:val="20"/>
          <w:szCs w:val="20"/>
          <w:color w:val="auto"/>
        </w:rPr>
      </w:pPr>
      <w:r>
        <w:rPr>
          <w:rFonts w:ascii="Times New Roman" w:cs="Times New Roman" w:eastAsia="Times New Roman" w:hAnsi="Times New Roman"/>
          <w:sz w:val="14"/>
          <w:szCs w:val="14"/>
          <w:color w:val="auto"/>
        </w:rPr>
        <w:t>We account for investments in entities in which we have the ability to exercise significant influence under the equity method if we hold 50% or less of the voting stock and the entity is not a VIE in which we are the primary beneficiary. The book value of investments that we account for under the equity method of accounting totaled $0.7 million and $0.7 million as of December 31, 2025 and 2024, respectively, and is reflected in other assets within our consolidated balance sheets.</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Goodwill and Intangible Assets</w:t>
      </w:r>
    </w:p>
    <w:p>
      <w:pPr>
        <w:spacing w:after="0" w:line="99" w:lineRule="exact"/>
        <w:rPr>
          <w:sz w:val="20"/>
          <w:szCs w:val="20"/>
          <w:color w:val="auto"/>
        </w:rPr>
      </w:pPr>
    </w:p>
    <w:p>
      <w:pPr>
        <w:ind w:left="640" w:right="739"/>
        <w:spacing w:after="0" w:line="265" w:lineRule="auto"/>
        <w:rPr>
          <w:sz w:val="20"/>
          <w:szCs w:val="20"/>
          <w:color w:val="auto"/>
        </w:rPr>
      </w:pPr>
      <w:r>
        <w:rPr>
          <w:rFonts w:ascii="Times New Roman" w:cs="Times New Roman" w:eastAsia="Times New Roman" w:hAnsi="Times New Roman"/>
          <w:sz w:val="14"/>
          <w:szCs w:val="14"/>
          <w:color w:val="auto"/>
        </w:rPr>
        <w:t>The Company tests goodwill for impairment annually as of October 1, or more frequently if impairment indicators arise. The Company had six reporting units for the purpose of goodwill testing: Institutional Pharmacy, Home Infusion, Specialty Solutions, Hospice Pharmacy, Behavioral Health, and Home Health and Therapies. The Community Living business represents a portion of the Behavioral Health reporting unit. In 2025, 2024, and 2023, the Company performed a quantitative assessment of all reporting units as of October 1. Refer to Note 5 for discussion of results.</w:t>
      </w:r>
    </w:p>
    <w:p>
      <w:pPr>
        <w:spacing w:after="0" w:line="56" w:lineRule="exact"/>
        <w:rPr>
          <w:sz w:val="20"/>
          <w:szCs w:val="20"/>
          <w:color w:val="auto"/>
        </w:rPr>
      </w:pPr>
    </w:p>
    <w:p>
      <w:pPr>
        <w:ind w:left="640" w:right="839"/>
        <w:spacing w:after="0" w:line="292" w:lineRule="auto"/>
        <w:rPr>
          <w:sz w:val="20"/>
          <w:szCs w:val="20"/>
          <w:color w:val="auto"/>
        </w:rPr>
      </w:pPr>
      <w:r>
        <w:rPr>
          <w:rFonts w:ascii="Times New Roman" w:cs="Times New Roman" w:eastAsia="Times New Roman" w:hAnsi="Times New Roman"/>
          <w:sz w:val="14"/>
          <w:szCs w:val="14"/>
          <w:color w:val="auto"/>
        </w:rPr>
        <w:t>Our intangible assets consist primarily of customer relationships, trade names, and definite-lived licenses, which are amortized over two to twenty years, based on their estimated useful lives. We also have indefinite-lived intangible licenses. The Company tests all</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1" w:name="page102"/>
    <w:bookmarkEnd w:id="10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659"/>
        <w:spacing w:after="0" w:line="262" w:lineRule="auto"/>
        <w:rPr>
          <w:sz w:val="20"/>
          <w:szCs w:val="20"/>
          <w:color w:val="auto"/>
        </w:rPr>
      </w:pPr>
      <w:r>
        <w:rPr>
          <w:rFonts w:ascii="Times New Roman" w:cs="Times New Roman" w:eastAsia="Times New Roman" w:hAnsi="Times New Roman"/>
          <w:sz w:val="14"/>
          <w:szCs w:val="14"/>
          <w:color w:val="auto"/>
        </w:rPr>
        <w:t>intangible assets for impairment at least annually, and more frequently if impairment indicators arise. If the carrying amount of an intangible asset exceeds its fair value, an impairment loss is recognized. We elected to perform a qualitative assessment for all intangible assets for our annual impairment test in the fourth quarter of 2025, 2024, and 2023. As a result of our qualitative analyses, we determined that it was more-likely-than-not that the fair values of our indefinite-lived intangible assets were greater than their carrying values. We recorded impairment related to definite-lived intangible licenses of $10.8 million, $1.7 million, and $1.5 million for the years ended December 31, 2025, 2024, and 2023, respectively, included within selling, general, and administrative expenses on the consolidated statements of operations.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Debt Issuance Costs</w:t>
      </w:r>
    </w:p>
    <w:p>
      <w:pPr>
        <w:spacing w:after="0" w:line="99" w:lineRule="exact"/>
        <w:rPr>
          <w:sz w:val="20"/>
          <w:szCs w:val="20"/>
          <w:color w:val="auto"/>
        </w:rPr>
      </w:pPr>
    </w:p>
    <w:p>
      <w:pPr>
        <w:ind w:left="640" w:right="759"/>
        <w:spacing w:after="0" w:line="265" w:lineRule="auto"/>
        <w:rPr>
          <w:sz w:val="20"/>
          <w:szCs w:val="20"/>
          <w:color w:val="auto"/>
        </w:rPr>
      </w:pPr>
      <w:r>
        <w:rPr>
          <w:rFonts w:ascii="Times New Roman" w:cs="Times New Roman" w:eastAsia="Times New Roman" w:hAnsi="Times New Roman"/>
          <w:sz w:val="14"/>
          <w:szCs w:val="14"/>
          <w:color w:val="auto"/>
        </w:rPr>
        <w:t>The Company capitalizes financing fees related to acquiring or issuing new debt instruments. These expenditures include bank fees and premiums, legal costs, and filing fees. Debt issuance costs are capitalized and amortized as interest expense over the terms of the related debt using the effective interest rate method. Debt issuance costs related to term loans and specified maturity borrowings are presented as a direct reduction of the carrying value of the debt. Debt issuance costs related to revolving credit facilities and lines of credit are presented as other assets in our consolidated balance sheets.</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Deferred Offering Costs</w:t>
      </w:r>
    </w:p>
    <w:p>
      <w:pPr>
        <w:spacing w:after="0" w:line="99" w:lineRule="exact"/>
        <w:rPr>
          <w:sz w:val="20"/>
          <w:szCs w:val="20"/>
          <w:color w:val="auto"/>
        </w:rPr>
      </w:pPr>
    </w:p>
    <w:p>
      <w:pPr>
        <w:ind w:left="640" w:right="799"/>
        <w:spacing w:after="0" w:line="268" w:lineRule="auto"/>
        <w:rPr>
          <w:sz w:val="20"/>
          <w:szCs w:val="20"/>
          <w:color w:val="auto"/>
        </w:rPr>
      </w:pPr>
      <w:r>
        <w:rPr>
          <w:rFonts w:ascii="Times New Roman" w:cs="Times New Roman" w:eastAsia="Times New Roman" w:hAnsi="Times New Roman"/>
          <w:sz w:val="14"/>
          <w:szCs w:val="14"/>
          <w:color w:val="auto"/>
        </w:rPr>
        <w:t>Deferred offering costs of $5.6 million, which consist of legal, accounting, filing, and other fees and costs directly attributable to the Company's IPO, were capitalized, and upon completion of the IPO in January 2024, were subsequently recorded in shareholders' equity as a reduction of proceeds during the first fiscal quarter. There were no deferred offering costs as of December 31, 2025 or 2024.</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Derivative Financial Instruments</w:t>
      </w:r>
    </w:p>
    <w:p>
      <w:pPr>
        <w:spacing w:after="0" w:line="99" w:lineRule="exact"/>
        <w:rPr>
          <w:sz w:val="20"/>
          <w:szCs w:val="20"/>
          <w:color w:val="auto"/>
        </w:rPr>
      </w:pPr>
    </w:p>
    <w:p>
      <w:pPr>
        <w:ind w:left="640" w:right="679"/>
        <w:spacing w:after="0" w:line="292" w:lineRule="auto"/>
        <w:rPr>
          <w:sz w:val="20"/>
          <w:szCs w:val="20"/>
          <w:color w:val="auto"/>
        </w:rPr>
      </w:pPr>
      <w:r>
        <w:rPr>
          <w:rFonts w:ascii="Times New Roman" w:cs="Times New Roman" w:eastAsia="Times New Roman" w:hAnsi="Times New Roman"/>
          <w:sz w:val="14"/>
          <w:szCs w:val="14"/>
          <w:color w:val="auto"/>
        </w:rPr>
        <w:t>The Company has interest rate swap agreements to manage its interest rate exposure. The Company does not use financial instruments for trading or other speculative purposes.</w:t>
      </w:r>
    </w:p>
    <w:p>
      <w:pPr>
        <w:spacing w:after="0" w:line="38" w:lineRule="exact"/>
        <w:rPr>
          <w:sz w:val="20"/>
          <w:szCs w:val="20"/>
          <w:color w:val="auto"/>
        </w:rPr>
      </w:pPr>
    </w:p>
    <w:p>
      <w:pPr>
        <w:ind w:left="640" w:right="759"/>
        <w:spacing w:after="0" w:line="262" w:lineRule="auto"/>
        <w:rPr>
          <w:sz w:val="20"/>
          <w:szCs w:val="20"/>
          <w:color w:val="auto"/>
        </w:rPr>
      </w:pPr>
      <w:r>
        <w:rPr>
          <w:rFonts w:ascii="Times New Roman" w:cs="Times New Roman" w:eastAsia="Times New Roman" w:hAnsi="Times New Roman"/>
          <w:sz w:val="14"/>
          <w:szCs w:val="14"/>
          <w:color w:val="auto"/>
        </w:rPr>
        <w:t>The interest rate swap agreements are designated as qualifying cash flow hedging relationships and changes in the fair values that are included in the assessment of effectiveness are recognized in accumulated other comprehensive income (“AOCI”) until the hedged items affect earnings. The Company formally assesses, both at the inception of the hedging relationship and on an ongoing basis, whether the derivatives that are used in hedging relationships are highly effective in offsetting changes in cash flows of hedged transactions. The gain or loss on the derivative included in the assessment of effectiveness is reported as a component of other comprehensive income (“OCI”) and reclassified into earnings in the same period or periods during which the hedged transaction affects earnings.</w:t>
      </w:r>
    </w:p>
    <w:p>
      <w:pPr>
        <w:spacing w:after="0" w:line="59" w:lineRule="exact"/>
        <w:rPr>
          <w:sz w:val="20"/>
          <w:szCs w:val="20"/>
          <w:color w:val="auto"/>
        </w:rPr>
      </w:pPr>
    </w:p>
    <w:p>
      <w:pPr>
        <w:ind w:left="640" w:right="659"/>
        <w:spacing w:after="0" w:line="261" w:lineRule="auto"/>
        <w:rPr>
          <w:sz w:val="20"/>
          <w:szCs w:val="20"/>
          <w:color w:val="auto"/>
        </w:rPr>
      </w:pPr>
      <w:r>
        <w:rPr>
          <w:rFonts w:ascii="Times New Roman" w:cs="Times New Roman" w:eastAsia="Times New Roman" w:hAnsi="Times New Roman"/>
          <w:sz w:val="14"/>
          <w:szCs w:val="14"/>
          <w:color w:val="auto"/>
        </w:rPr>
        <w:t>The Company’s policy for treatment of discontinued derivative instruments states that the Company will discontinue hedge accounting prospectively when it determines that the derivative is no longer effective in offsetting cash flows attributable to the hedged risk, the derivative expires or is sold, terminated, or exercised, the cash flow hedge is de-designated because a forecasted transaction is not probable of occurring, or management determines to remove the designation of the cash flow hedge. Additionally, if it becomes probable that a forecasted transaction will not occur, the Company will recognize immediately in earnings gains and losses that were accumulated in OCI related to the hedging relationship. In all situations in which hedge accounting is discontinued and the derivative remains outstanding, the Company would continue to carry the derivative at its fair value on the consolidated balance sheets and recognize any subsequent changes in its fair value in earnings.</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99" w:lineRule="exact"/>
        <w:rPr>
          <w:sz w:val="20"/>
          <w:szCs w:val="20"/>
          <w:color w:val="auto"/>
        </w:rPr>
      </w:pPr>
    </w:p>
    <w:p>
      <w:pPr>
        <w:ind w:left="640" w:right="859"/>
        <w:spacing w:after="0" w:line="263" w:lineRule="auto"/>
        <w:rPr>
          <w:sz w:val="20"/>
          <w:szCs w:val="20"/>
          <w:color w:val="auto"/>
        </w:rPr>
      </w:pPr>
      <w:r>
        <w:rPr>
          <w:rFonts w:ascii="Times New Roman" w:cs="Times New Roman" w:eastAsia="Times New Roman" w:hAnsi="Times New Roman"/>
          <w:sz w:val="14"/>
          <w:szCs w:val="14"/>
          <w:color w:val="auto"/>
        </w:rPr>
        <w:t>The provision for income taxes is based upon the Company’s annual income or loss for each respective accounting period. The Company recognizes an asset or liability for the deferred tax consequences of temporary differences between the tax basis of assets and liabilities and their reported amounts in the consolidated financial statements. Deferred tax assets generally represent items that will result in a tax deduction in future years for which we have already recorded the tax benefit in the accompanying consolidated income statements. The Company also recognizes as deferred tax assets the future tax benefits from net operating and capital loss carryforwards.</w:t>
      </w:r>
    </w:p>
    <w:p>
      <w:pPr>
        <w:spacing w:after="0" w:line="144" w:lineRule="exact"/>
        <w:rPr>
          <w:sz w:val="20"/>
          <w:szCs w:val="20"/>
          <w:color w:val="auto"/>
        </w:rPr>
      </w:pPr>
    </w:p>
    <w:p>
      <w:pPr>
        <w:ind w:left="640" w:right="719"/>
        <w:spacing w:after="0" w:line="261" w:lineRule="auto"/>
        <w:rPr>
          <w:sz w:val="20"/>
          <w:szCs w:val="20"/>
          <w:color w:val="auto"/>
        </w:rPr>
      </w:pPr>
      <w:r>
        <w:rPr>
          <w:rFonts w:ascii="Times New Roman" w:cs="Times New Roman" w:eastAsia="Times New Roman" w:hAnsi="Times New Roman"/>
          <w:sz w:val="14"/>
          <w:szCs w:val="14"/>
          <w:color w:val="auto"/>
        </w:rPr>
        <w:t>We assess the likelihood that deferred tax assets will be realized from future taxable income. A valuation allowance is provided for deferred tax assets if it is more-likely-than-not that some portion or all of the net deferred tax assets will not be realized. The first step in determining the deferred tax asset valuation allowance is identifying reporting jurisdictions where we have a history of tax and operating losses or are projected to have losses in future periods as a result of changes in operational performance. We then determine if a valuation allowance should be established against the deferred tax assets for that reporting jurisdiction. The second step is to determine the amount of valuation allowance. We will generally establish a valuation allowance equal to the net deferred tax asset (deferred tax assets less deferred tax liabilities) related to the jurisdiction identified in step one of the analysis. In certain cases, we may not reduce the valuation allowance by the amount of the deferred tax liabilities depending on the nature and timing of future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2" w:name="page103"/>
    <w:bookmarkEnd w:id="10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taxable income attributable to deferred tax liabilities.</w:t>
      </w:r>
    </w:p>
    <w:p>
      <w:pPr>
        <w:spacing w:after="0" w:line="183" w:lineRule="exact"/>
        <w:rPr>
          <w:sz w:val="20"/>
          <w:szCs w:val="20"/>
          <w:color w:val="auto"/>
        </w:rPr>
      </w:pPr>
    </w:p>
    <w:p>
      <w:pPr>
        <w:ind w:left="640" w:right="739"/>
        <w:spacing w:after="0" w:line="265" w:lineRule="auto"/>
        <w:rPr>
          <w:sz w:val="20"/>
          <w:szCs w:val="20"/>
          <w:color w:val="auto"/>
        </w:rPr>
      </w:pPr>
      <w:r>
        <w:rPr>
          <w:rFonts w:ascii="Times New Roman" w:cs="Times New Roman" w:eastAsia="Times New Roman" w:hAnsi="Times New Roman"/>
          <w:sz w:val="14"/>
          <w:szCs w:val="14"/>
          <w:color w:val="auto"/>
        </w:rPr>
        <w:t>With respect to net deferred tax assets, the Company considers all available positive and negative evidence to determine whether a valuation allowance is needed. This includes an analysis of net operating loss carryforwards available under law, anticipated future income or loss, as well as tax planning strategies. If the cumulative weight of evidence suggests that it is more-likely-than-not that all or some portion of the net deferred tax assets will not be realized, a full or partial valuation allowance will be recognized based upon the qualitative and quantitative evidence examined.</w:t>
      </w:r>
    </w:p>
    <w:p>
      <w:pPr>
        <w:spacing w:after="0" w:line="142" w:lineRule="exact"/>
        <w:rPr>
          <w:sz w:val="20"/>
          <w:szCs w:val="20"/>
          <w:color w:val="auto"/>
        </w:rPr>
      </w:pPr>
    </w:p>
    <w:p>
      <w:pPr>
        <w:ind w:left="640" w:right="1079"/>
        <w:spacing w:after="0" w:line="292" w:lineRule="auto"/>
        <w:rPr>
          <w:sz w:val="20"/>
          <w:szCs w:val="20"/>
          <w:color w:val="auto"/>
        </w:rPr>
      </w:pPr>
      <w:r>
        <w:rPr>
          <w:rFonts w:ascii="Times New Roman" w:cs="Times New Roman" w:eastAsia="Times New Roman" w:hAnsi="Times New Roman"/>
          <w:sz w:val="14"/>
          <w:szCs w:val="14"/>
          <w:color w:val="auto"/>
        </w:rPr>
        <w:t>Our policy is to recognize interest related to unrecognized tax benefits as interest expense, and penalties as selling, general, and administrative expenses in the consolidated statements of operations.</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Legal Contingencies</w:t>
      </w:r>
    </w:p>
    <w:p>
      <w:pPr>
        <w:spacing w:after="0" w:line="99" w:lineRule="exact"/>
        <w:rPr>
          <w:sz w:val="20"/>
          <w:szCs w:val="20"/>
          <w:color w:val="auto"/>
        </w:rPr>
      </w:pPr>
    </w:p>
    <w:p>
      <w:pPr>
        <w:ind w:left="640" w:right="679"/>
        <w:spacing w:after="0" w:line="271" w:lineRule="auto"/>
        <w:rPr>
          <w:sz w:val="20"/>
          <w:szCs w:val="20"/>
          <w:color w:val="auto"/>
        </w:rPr>
      </w:pPr>
      <w:r>
        <w:rPr>
          <w:rFonts w:ascii="Times New Roman" w:cs="Times New Roman" w:eastAsia="Times New Roman" w:hAnsi="Times New Roman"/>
          <w:sz w:val="14"/>
          <w:szCs w:val="14"/>
          <w:color w:val="auto"/>
        </w:rPr>
        <w:t>We are a party to numerous claims and lawsuits with respect to various matters. 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 See Note 15.</w:t>
      </w:r>
    </w:p>
    <w:p>
      <w:pPr>
        <w:spacing w:after="0" w:line="3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Insurance Losses</w:t>
      </w:r>
    </w:p>
    <w:p>
      <w:pPr>
        <w:spacing w:after="0" w:line="99" w:lineRule="exact"/>
        <w:rPr>
          <w:sz w:val="20"/>
          <w:szCs w:val="20"/>
          <w:color w:val="auto"/>
        </w:rPr>
      </w:pPr>
    </w:p>
    <w:p>
      <w:pPr>
        <w:ind w:left="640" w:right="659"/>
        <w:spacing w:after="0" w:line="260" w:lineRule="auto"/>
        <w:rPr>
          <w:sz w:val="20"/>
          <w:szCs w:val="20"/>
          <w:color w:val="auto"/>
        </w:rPr>
      </w:pPr>
      <w:r>
        <w:rPr>
          <w:rFonts w:ascii="Times New Roman" w:cs="Times New Roman" w:eastAsia="Times New Roman" w:hAnsi="Times New Roman"/>
          <w:sz w:val="14"/>
          <w:szCs w:val="14"/>
          <w:color w:val="auto"/>
        </w:rPr>
        <w:t>We self-insure a substantial portion of our general and professional liability, automobile liability, workers’ compensation risks, and health benefits, subject to certain stop loss coverage at a high level of losses. Provisions for losses for workers’ compensation risks and health benefits are based upon actuarially determined estimates and include an amount determined from reported claims and an amount based on past experiences for losses incurred but not reported. Estimates of workers’ compensation claims reserves have been discounted using a discount rate of 4.0% and 4.5% at December 31, 2025 and 2024, respectively. Provisions for general and professional and automobile liabilities are recorded on a claims-made basis, which includes estimates of fully developed losses for both reported and unreported claims. Accruals for general and professional and automobile liabilities are based on analyses performed internally by management. The liabilities are evaluated quarterly, and any adjustments are reflected in earnings in the period identified. These liabilities are necessarily based on estimates and, while we believe that the provision for loss is adequate, the ultimate liability may differ from the amounts recorded.</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Fair Value of Financial Instruments</w:t>
      </w:r>
    </w:p>
    <w:p>
      <w:pPr>
        <w:spacing w:after="0" w:line="99"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4"/>
          <w:szCs w:val="14"/>
          <w:color w:val="auto"/>
        </w:rPr>
        <w:t>The Company uses valuation approaches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228" w:lineRule="exact"/>
        <w:rPr>
          <w:sz w:val="20"/>
          <w:szCs w:val="20"/>
          <w:color w:val="auto"/>
        </w:rPr>
      </w:pPr>
    </w:p>
    <w:p>
      <w:pPr>
        <w:ind w:left="1180" w:hanging="191"/>
        <w:spacing w:after="0"/>
        <w:tabs>
          <w:tab w:leader="none" w:pos="11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Quoted prices in active markets for identical assets or liabilities.</w:t>
      </w:r>
    </w:p>
    <w:p>
      <w:pPr>
        <w:spacing w:after="0" w:line="96" w:lineRule="exact"/>
        <w:rPr>
          <w:rFonts w:ascii="Times New Roman" w:cs="Times New Roman" w:eastAsia="Times New Roman" w:hAnsi="Times New Roman"/>
          <w:sz w:val="14"/>
          <w:szCs w:val="14"/>
          <w:color w:val="auto"/>
        </w:rPr>
      </w:pPr>
    </w:p>
    <w:p>
      <w:pPr>
        <w:ind w:left="1200" w:hanging="211"/>
        <w:spacing w:after="0"/>
        <w:tabs>
          <w:tab w:leader="none" w:pos="12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Inputs other than quoted prices included within Level 1 that are observable for the asset or liability.</w:t>
      </w:r>
    </w:p>
    <w:p>
      <w:pPr>
        <w:spacing w:after="0" w:line="96" w:lineRule="exact"/>
        <w:rPr>
          <w:rFonts w:ascii="Times New Roman" w:cs="Times New Roman" w:eastAsia="Times New Roman" w:hAnsi="Times New Roman"/>
          <w:sz w:val="14"/>
          <w:szCs w:val="14"/>
          <w:color w:val="auto"/>
        </w:rPr>
      </w:pPr>
    </w:p>
    <w:p>
      <w:pPr>
        <w:ind w:left="1840" w:right="1019" w:hanging="851"/>
        <w:spacing w:after="0" w:line="292" w:lineRule="auto"/>
        <w:tabs>
          <w:tab w:leader="none" w:pos="1175"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Unobservable inputs used in valuations in which there is little market activity for the asset or liability at the measurement date.</w:t>
      </w:r>
    </w:p>
    <w:p>
      <w:pPr>
        <w:spacing w:after="0" w:line="210" w:lineRule="exact"/>
        <w:rPr>
          <w:sz w:val="20"/>
          <w:szCs w:val="20"/>
          <w:color w:val="auto"/>
        </w:rPr>
      </w:pPr>
    </w:p>
    <w:p>
      <w:pPr>
        <w:ind w:left="640" w:right="699"/>
        <w:spacing w:after="0" w:line="261" w:lineRule="auto"/>
        <w:rPr>
          <w:sz w:val="20"/>
          <w:szCs w:val="20"/>
          <w:color w:val="auto"/>
        </w:rPr>
      </w:pPr>
      <w:r>
        <w:rPr>
          <w:rFonts w:ascii="Times New Roman" w:cs="Times New Roman" w:eastAsia="Times New Roman" w:hAnsi="Times New Roman"/>
          <w:sz w:val="14"/>
          <w:szCs w:val="14"/>
          <w:color w:val="auto"/>
        </w:rPr>
        <w:t>At December 31, 2025 and 2024, the fair value of cash and cash equivalents, accounts receivable, trade accounts payable, and accrued expenses approximated their carrying values because of the short-term nature of these instruments. The carrying amounts of the Company’s long-term debt can differ from its fair value as the principal amounts outstanding are partially subject to fixed interest rates. The estimates of fair value are generally based on Level 2 inputs, including quoted market prices or quoted market prices for similar issues of long-term debt with the same maturities. Our interest rate swaps are marked to market and therefore reflect their fair value. All debt classifications and interest rate swaps represent Level 2 fair value measurements (refer to Note 6). Contingent consideration, which is comprised of future earn-outs and a post-closing equity adjustment feature associated with an acquisition, represents a Level 3 fair value measurement as there is little or no market data available. Refer to Note 14.</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Leases</w:t>
      </w:r>
    </w:p>
    <w:p>
      <w:pPr>
        <w:spacing w:after="0" w:line="99" w:lineRule="exact"/>
        <w:rPr>
          <w:sz w:val="20"/>
          <w:szCs w:val="20"/>
          <w:color w:val="auto"/>
        </w:rPr>
      </w:pPr>
    </w:p>
    <w:p>
      <w:pPr>
        <w:jc w:val="both"/>
        <w:ind w:left="640" w:right="759"/>
        <w:spacing w:after="0" w:line="268" w:lineRule="auto"/>
        <w:rPr>
          <w:sz w:val="20"/>
          <w:szCs w:val="20"/>
          <w:color w:val="auto"/>
        </w:rPr>
      </w:pPr>
      <w:r>
        <w:rPr>
          <w:rFonts w:ascii="Times New Roman" w:cs="Times New Roman" w:eastAsia="Times New Roman" w:hAnsi="Times New Roman"/>
          <w:sz w:val="14"/>
          <w:szCs w:val="14"/>
          <w:color w:val="auto"/>
        </w:rPr>
        <w:t>We determine if an arrangement is, or contains, a lease at contract inception and recognize a right-of-use asset and a lease liability at the lease commencement date. Leases with an initial term of 12 months or less are not recorded on the consolidated balance sheet for select asset classes. The lease liability is measured at the present value of future lease payments as of the lease commencement date. The right-of-use asset recognized is based on the lease liability adjusted for prepaid and deferred rent and unamortized lease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3" w:name="page104"/>
    <w:bookmarkEnd w:id="10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659"/>
        <w:spacing w:after="0" w:line="262" w:lineRule="auto"/>
        <w:rPr>
          <w:sz w:val="20"/>
          <w:szCs w:val="20"/>
          <w:color w:val="auto"/>
        </w:rPr>
      </w:pPr>
      <w:r>
        <w:rPr>
          <w:rFonts w:ascii="Times New Roman" w:cs="Times New Roman" w:eastAsia="Times New Roman" w:hAnsi="Times New Roman"/>
          <w:sz w:val="14"/>
          <w:szCs w:val="14"/>
          <w:color w:val="auto"/>
        </w:rPr>
        <w:t>incentives. Amortization of the right-of-use asset and accretion of the lease liability for an operating lease are recognized as a single lease cost, on a straight-line basis, over the lease term and included in cost of goods, cost of services, or selling, general, and administrative expenses on our consolidated statements of operations. A finance lease right-of-use asset is amortized on a straight-line basis over the lesser of the useful life of the leased asset or lease term, with interest costs reported separately. Variable common area maintenance and property tax expenses are expensed as incurred. Reductions of the right-of-use asset and the change in the lease liability are included within the changes in other assets and liabilities within operating activities on our consolidated statements of cash flows.</w:t>
      </w:r>
    </w:p>
    <w:p>
      <w:pPr>
        <w:spacing w:after="0" w:line="234" w:lineRule="exact"/>
        <w:rPr>
          <w:sz w:val="20"/>
          <w:szCs w:val="20"/>
          <w:color w:val="auto"/>
        </w:rPr>
      </w:pPr>
    </w:p>
    <w:p>
      <w:pPr>
        <w:ind w:left="640" w:right="679"/>
        <w:spacing w:after="0" w:line="261" w:lineRule="auto"/>
        <w:rPr>
          <w:sz w:val="20"/>
          <w:szCs w:val="20"/>
          <w:color w:val="auto"/>
        </w:rPr>
      </w:pPr>
      <w:r>
        <w:rPr>
          <w:rFonts w:ascii="Times New Roman" w:cs="Times New Roman" w:eastAsia="Times New Roman" w:hAnsi="Times New Roman"/>
          <w:sz w:val="14"/>
          <w:szCs w:val="14"/>
          <w:color w:val="auto"/>
        </w:rPr>
        <w:t>As our leases do not provide an implicit discount rate, we use our incremental borrowing rate as the discount rate for our leases, which is equal to the rate of interest the Company would have to pay on a collateralized basis to borrow an amount equal to the lease payments under similar terms. We determine the incremental borrowing rate applicable to each lease by reference to our outstanding secured borrowings. We then obtain a corporate yield curve with the same rating from an external source to adjust for differing tenors to reflect differing lease terms. We have elected to use the portfolio approach in determining our incremental borrowing rate. The incremental borrowing rate for all new or amended leases is based upon the lease terms. The lease terms for all the Company’s leases include the contractually obligated period of the leases, plus any additional periods covered by Company options to extend the leases that the Company is reasonably certain to exercise.</w:t>
      </w:r>
    </w:p>
    <w:p>
      <w:pPr>
        <w:spacing w:after="0" w:line="60" w:lineRule="exact"/>
        <w:rPr>
          <w:sz w:val="20"/>
          <w:szCs w:val="20"/>
          <w:color w:val="auto"/>
        </w:rPr>
      </w:pPr>
    </w:p>
    <w:p>
      <w:pPr>
        <w:jc w:val="both"/>
        <w:ind w:left="640" w:right="719"/>
        <w:spacing w:after="0" w:line="274" w:lineRule="auto"/>
        <w:rPr>
          <w:sz w:val="20"/>
          <w:szCs w:val="20"/>
          <w:color w:val="auto"/>
        </w:rPr>
      </w:pPr>
      <w:r>
        <w:rPr>
          <w:rFonts w:ascii="Times New Roman" w:cs="Times New Roman" w:eastAsia="Times New Roman" w:hAnsi="Times New Roman"/>
          <w:sz w:val="14"/>
          <w:szCs w:val="14"/>
          <w:color w:val="auto"/>
        </w:rPr>
        <w:t>Certain leases provide that the lease payments may be increased annually based on the fixed rate terms or adjustable terms such as the Consumer Price Index. Future base rent escalations that are not contractually quantifiable as of the lease commencement date are not included in our lease liability.</w:t>
      </w:r>
    </w:p>
    <w:p>
      <w:pPr>
        <w:spacing w:after="0" w:line="50" w:lineRule="exact"/>
        <w:rPr>
          <w:sz w:val="20"/>
          <w:szCs w:val="20"/>
          <w:color w:val="auto"/>
        </w:rPr>
      </w:pPr>
    </w:p>
    <w:p>
      <w:pPr>
        <w:ind w:left="640" w:right="659"/>
        <w:spacing w:after="0" w:line="261" w:lineRule="auto"/>
        <w:rPr>
          <w:sz w:val="20"/>
          <w:szCs w:val="20"/>
          <w:color w:val="auto"/>
        </w:rPr>
      </w:pPr>
      <w:r>
        <w:rPr>
          <w:rFonts w:ascii="Times New Roman" w:cs="Times New Roman" w:eastAsia="Times New Roman" w:hAnsi="Times New Roman"/>
          <w:sz w:val="14"/>
          <w:szCs w:val="14"/>
          <w:color w:val="auto"/>
        </w:rPr>
        <w:t>We regularly review the carrying value of our right-of-use assets with respect to any events or circumstances that indicate a possible inability to recover their carrying amount. Indicators of impairment include, but are not limited to, loss of contracts, significant census declines, reductions in reimbursement levels, significant litigation, and impact of economic conditions on service demands and levels. Our evaluation is based on undiscounted cash flows, operating results, as well as significant events or changes in the reimbursement or regulatory environment. If the undiscounted cash flows suggest the recorded amounts cannot be recovered, the carrying values of such assets are reduced to fair value. We recorded a right-of-use asset impairment of $1.8 million, $2.3 million, and $1.0 million for the years ended December 31, 2025, 2024, and 2023, respectively, included within selling, general, and administrative expenses on the consolidated statements of operations.</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Property and Equipment</w:t>
      </w:r>
    </w:p>
    <w:p>
      <w:pPr>
        <w:spacing w:after="0" w:line="99" w:lineRule="exact"/>
        <w:rPr>
          <w:sz w:val="20"/>
          <w:szCs w:val="20"/>
          <w:color w:val="auto"/>
        </w:rPr>
      </w:pPr>
    </w:p>
    <w:p>
      <w:pPr>
        <w:ind w:left="640" w:right="699"/>
        <w:spacing w:after="0" w:line="274" w:lineRule="auto"/>
        <w:rPr>
          <w:sz w:val="20"/>
          <w:szCs w:val="20"/>
          <w:color w:val="auto"/>
        </w:rPr>
      </w:pPr>
      <w:r>
        <w:rPr>
          <w:rFonts w:ascii="Times New Roman" w:cs="Times New Roman" w:eastAsia="Times New Roman" w:hAnsi="Times New Roman"/>
          <w:sz w:val="14"/>
          <w:szCs w:val="14"/>
          <w:color w:val="auto"/>
        </w:rPr>
        <w:t>Property and equipment are recorded at cost. Depreciation is recorded using the straight-line method over the estimated useful lives of the assets (generally, three to ten years for equipment and software and twenty years for buildings). Leasehold improvements are depreciated over the shorter of their estimated useful lives or the terms of their respective leases (generally, one to fifteen years).</w:t>
      </w:r>
    </w:p>
    <w:p>
      <w:pPr>
        <w:spacing w:after="0" w:line="50" w:lineRule="exact"/>
        <w:rPr>
          <w:sz w:val="20"/>
          <w:szCs w:val="20"/>
          <w:color w:val="auto"/>
        </w:rPr>
      </w:pPr>
    </w:p>
    <w:p>
      <w:pPr>
        <w:ind w:left="640" w:right="659"/>
        <w:spacing w:after="0" w:line="263" w:lineRule="auto"/>
        <w:rPr>
          <w:sz w:val="20"/>
          <w:szCs w:val="20"/>
          <w:color w:val="auto"/>
        </w:rPr>
      </w:pPr>
      <w:r>
        <w:rPr>
          <w:rFonts w:ascii="Times New Roman" w:cs="Times New Roman" w:eastAsia="Times New Roman" w:hAnsi="Times New Roman"/>
          <w:sz w:val="14"/>
          <w:szCs w:val="14"/>
          <w:color w:val="auto"/>
        </w:rPr>
        <w:t>We regularly review the carrying value of long-lived assets, with respect to any events or circumstances that indicate a possible inability to recover their carrying amount. Indicators of impairment include, but are not limited to, loss of contracts, significant census declines, reductions in reimbursement levels, significant litigation, and impact of economic conditions on service demands and levels. Our evaluation is based on undiscounted cash flows, operating results, as well as significant events or changes in the reimbursement or regulatory environment. If the undiscounted cash flows suggest the recorded amounts cannot be recovered, the carrying values of such assets are reduced to fair value. There was no impairment for the years ended December 31, 2025, 2024, and 2023.</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Segments</w:t>
      </w:r>
    </w:p>
    <w:p>
      <w:pPr>
        <w:spacing w:after="0" w:line="99" w:lineRule="exact"/>
        <w:rPr>
          <w:sz w:val="20"/>
          <w:szCs w:val="20"/>
          <w:color w:val="auto"/>
        </w:rPr>
      </w:pPr>
    </w:p>
    <w:p>
      <w:pPr>
        <w:ind w:left="640" w:right="659"/>
        <w:spacing w:after="0" w:line="261" w:lineRule="auto"/>
        <w:rPr>
          <w:sz w:val="20"/>
          <w:szCs w:val="20"/>
          <w:color w:val="auto"/>
        </w:rPr>
      </w:pPr>
      <w:r>
        <w:rPr>
          <w:rFonts w:ascii="Times New Roman" w:cs="Times New Roman" w:eastAsia="Times New Roman" w:hAnsi="Times New Roman"/>
          <w:sz w:val="14"/>
          <w:szCs w:val="14"/>
          <w:color w:val="auto"/>
        </w:rPr>
        <w:t xml:space="preserve">Operating segments are defined as components of a company that engage in business activities from which it may earn revenues and incur expenses, and for which separate financial information is available and is regularly reviewed by the Company’s chief operating decision maker (“CODM”) to assess the performance of the individual segments and make decisions about resources to be allocated to the segments. The Company’s operating segments have been identified based upon similar economic characteristics, nature of services, types of customers, and how the CODM manages the business and allocates resources in accordance with Financial Accounting Standards Board (“FASB”) Accounting Standards Codification (“ASC”) 280,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The Company has identified three operating segments and has aggregated two of these operating segments into the Provider Services reportable segment. The Pharmacy Solutions operating segment is also a reportable segment.</w:t>
      </w:r>
    </w:p>
    <w:p>
      <w:pPr>
        <w:spacing w:after="0" w:line="60" w:lineRule="exact"/>
        <w:rPr>
          <w:sz w:val="20"/>
          <w:szCs w:val="20"/>
          <w:color w:val="auto"/>
        </w:rPr>
      </w:pPr>
    </w:p>
    <w:p>
      <w:pPr>
        <w:ind w:left="640" w:right="779"/>
        <w:spacing w:after="0" w:line="292" w:lineRule="auto"/>
        <w:rPr>
          <w:sz w:val="20"/>
          <w:szCs w:val="20"/>
          <w:color w:val="auto"/>
        </w:rPr>
      </w:pPr>
      <w:r>
        <w:rPr>
          <w:rFonts w:ascii="Times New Roman" w:cs="Times New Roman" w:eastAsia="Times New Roman" w:hAnsi="Times New Roman"/>
          <w:sz w:val="14"/>
          <w:szCs w:val="14"/>
          <w:color w:val="auto"/>
        </w:rPr>
        <w:t>In our Provider Services reportable segment, we provide a variety of services to help manage the whole-person health of our patients in their homes and communities through services such as home health care and hospice care and long-term specialty care.</w:t>
      </w:r>
    </w:p>
    <w:p>
      <w:pPr>
        <w:spacing w:after="0" w:line="38" w:lineRule="exact"/>
        <w:rPr>
          <w:sz w:val="20"/>
          <w:szCs w:val="20"/>
          <w:color w:val="auto"/>
        </w:rPr>
      </w:pPr>
    </w:p>
    <w:p>
      <w:pPr>
        <w:ind w:left="640" w:right="719"/>
        <w:spacing w:after="0" w:line="268" w:lineRule="auto"/>
        <w:rPr>
          <w:sz w:val="20"/>
          <w:szCs w:val="20"/>
          <w:color w:val="auto"/>
        </w:rPr>
      </w:pPr>
      <w:r>
        <w:rPr>
          <w:rFonts w:ascii="Times New Roman" w:cs="Times New Roman" w:eastAsia="Times New Roman" w:hAnsi="Times New Roman"/>
          <w:sz w:val="14"/>
          <w:szCs w:val="14"/>
          <w:color w:val="auto"/>
        </w:rPr>
        <w:t>Our Pharmacy Solutions segment operates long-term institutional pharmacies, hospice pharmacies, specialty oncology pharmacies, and home infusion centers. Our service offerings are impacted by medication availability and reliability, cost containment, staff and patient support solutions, and regulatory support. Our Pharmacy Solutions segment is designed to drive medication adherence, patient outcomes, process efficiency, and compliance in a number of areas.</w:t>
      </w:r>
    </w:p>
    <w:p>
      <w:pPr>
        <w:spacing w:after="0" w:line="54" w:lineRule="exact"/>
        <w:rPr>
          <w:sz w:val="20"/>
          <w:szCs w:val="20"/>
          <w:color w:val="auto"/>
        </w:rPr>
      </w:pPr>
    </w:p>
    <w:p>
      <w:pPr>
        <w:ind w:left="640" w:right="919"/>
        <w:spacing w:after="0" w:line="292" w:lineRule="auto"/>
        <w:rPr>
          <w:sz w:val="20"/>
          <w:szCs w:val="20"/>
          <w:color w:val="auto"/>
        </w:rPr>
      </w:pPr>
      <w:r>
        <w:rPr>
          <w:rFonts w:ascii="Times New Roman" w:cs="Times New Roman" w:eastAsia="Times New Roman" w:hAnsi="Times New Roman"/>
          <w:sz w:val="14"/>
          <w:szCs w:val="14"/>
          <w:color w:val="auto"/>
        </w:rPr>
        <w:t>Substantially all of the Company’s revenues are generated inside the United States, with the Provider Services segment generating insignificant amounts of revenue in Canada. Refer to Note 17 for additional information on the Company’s segments.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4" w:name="page105"/>
    <w:bookmarkEnd w:id="10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Share-Based Compensation</w:t>
      </w:r>
    </w:p>
    <w:p>
      <w:pPr>
        <w:spacing w:after="0" w:line="99" w:lineRule="exact"/>
        <w:rPr>
          <w:sz w:val="20"/>
          <w:szCs w:val="20"/>
          <w:color w:val="auto"/>
        </w:rPr>
      </w:pPr>
    </w:p>
    <w:p>
      <w:pPr>
        <w:ind w:left="640" w:right="739"/>
        <w:spacing w:after="0" w:line="268" w:lineRule="auto"/>
        <w:rPr>
          <w:sz w:val="20"/>
          <w:szCs w:val="20"/>
          <w:color w:val="auto"/>
        </w:rPr>
      </w:pPr>
      <w:r>
        <w:rPr>
          <w:rFonts w:ascii="Times New Roman" w:cs="Times New Roman" w:eastAsia="Times New Roman" w:hAnsi="Times New Roman"/>
          <w:sz w:val="14"/>
          <w:szCs w:val="14"/>
          <w:color w:val="auto"/>
        </w:rPr>
        <w:t>The Company measures and recognizes compensation expense for share-based compensation awards based on the fair value of each award at its grant date and recognizes expense over the related service period on a straight-line basis. The Company accounts for forfeitures of share-based compensation awards as they occur. Compensation expense for share-based payments is included in cost of goods, cost of services, and selling, general, and administrative expenses in our consolidated statements of operations.</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Foreign Currency Translation</w:t>
      </w:r>
    </w:p>
    <w:p>
      <w:pPr>
        <w:spacing w:after="0" w:line="99" w:lineRule="exact"/>
        <w:rPr>
          <w:sz w:val="20"/>
          <w:szCs w:val="20"/>
          <w:color w:val="auto"/>
        </w:rPr>
      </w:pPr>
    </w:p>
    <w:p>
      <w:pPr>
        <w:ind w:left="640" w:right="799"/>
        <w:spacing w:after="0" w:line="268" w:lineRule="auto"/>
        <w:rPr>
          <w:sz w:val="20"/>
          <w:szCs w:val="20"/>
          <w:color w:val="auto"/>
        </w:rPr>
      </w:pPr>
      <w:r>
        <w:rPr>
          <w:rFonts w:ascii="Times New Roman" w:cs="Times New Roman" w:eastAsia="Times New Roman" w:hAnsi="Times New Roman"/>
          <w:sz w:val="14"/>
          <w:szCs w:val="14"/>
          <w:color w:val="auto"/>
        </w:rPr>
        <w:t>BrightSpring’s Canadian subsidiary designates its local currency as its functional currency. Operating results are translated into U.S. dollars using monthly average exchange rates, while balance sheet accounts are translated using period-end exchange rates. The resulting translation adjustments are included as a component of AOCI in shareholders’ equity. Operating results from foreign operations are not material to our consolidated financial statements.</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Recently Adopted Accounting Standards</w:t>
      </w:r>
    </w:p>
    <w:p>
      <w:pPr>
        <w:spacing w:after="0" w:line="97" w:lineRule="exact"/>
        <w:rPr>
          <w:sz w:val="20"/>
          <w:szCs w:val="20"/>
          <w:color w:val="auto"/>
        </w:rPr>
      </w:pPr>
    </w:p>
    <w:p>
      <w:pPr>
        <w:ind w:left="640" w:right="759"/>
        <w:spacing w:after="0" w:line="295"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This ASU requires the following disclosures on an annual basis:</w:t>
      </w:r>
    </w:p>
    <w:p>
      <w:pPr>
        <w:spacing w:after="0" w:line="36" w:lineRule="exact"/>
        <w:rPr>
          <w:sz w:val="20"/>
          <w:szCs w:val="20"/>
          <w:color w:val="auto"/>
        </w:rPr>
      </w:pPr>
    </w:p>
    <w:p>
      <w:pPr>
        <w:ind w:left="1340" w:right="1199" w:hanging="352"/>
        <w:spacing w:after="0" w:line="292" w:lineRule="auto"/>
        <w:tabs>
          <w:tab w:leader="none" w:pos="1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tabular rate reconciliation using both percentages and amounts, broken out into specific categories with certain reconciling items at or above 5% of the statutory tax further broken out by nature and/or jurisdiction;</w:t>
      </w:r>
    </w:p>
    <w:p>
      <w:pPr>
        <w:spacing w:after="0" w:line="37" w:lineRule="exact"/>
        <w:rPr>
          <w:rFonts w:ascii="Times New Roman" w:cs="Times New Roman" w:eastAsia="Times New Roman" w:hAnsi="Times New Roman"/>
          <w:sz w:val="14"/>
          <w:szCs w:val="14"/>
          <w:color w:val="auto"/>
        </w:rPr>
      </w:pPr>
    </w:p>
    <w:p>
      <w:pPr>
        <w:ind w:left="1340" w:right="1119" w:hanging="352"/>
        <w:spacing w:after="0" w:line="292" w:lineRule="auto"/>
        <w:tabs>
          <w:tab w:leader="none" w:pos="1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Qualitative disclosure of the nature and effect of significant reconciling items by specific categories and individual jurisdictions; and</w:t>
      </w:r>
    </w:p>
    <w:p>
      <w:pPr>
        <w:spacing w:after="0" w:line="37" w:lineRule="exact"/>
        <w:rPr>
          <w:rFonts w:ascii="Times New Roman" w:cs="Times New Roman" w:eastAsia="Times New Roman" w:hAnsi="Times New Roman"/>
          <w:sz w:val="14"/>
          <w:szCs w:val="14"/>
          <w:color w:val="auto"/>
        </w:rPr>
      </w:pPr>
    </w:p>
    <w:p>
      <w:pPr>
        <w:ind w:left="1340" w:right="819" w:hanging="352"/>
        <w:spacing w:after="0" w:line="292" w:lineRule="auto"/>
        <w:tabs>
          <w:tab w:leader="none" w:pos="1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taxes paid (net of refunds received), broken out between federal, state/local and foreign, and amounts paid to an individual jurisdiction when 5% or more of the total income taxes paid.</w:t>
      </w:r>
    </w:p>
    <w:p>
      <w:pPr>
        <w:spacing w:after="0" w:line="38" w:lineRule="exact"/>
        <w:rPr>
          <w:sz w:val="20"/>
          <w:szCs w:val="20"/>
          <w:color w:val="auto"/>
        </w:rPr>
      </w:pPr>
    </w:p>
    <w:p>
      <w:pPr>
        <w:ind w:left="640" w:right="739"/>
        <w:spacing w:after="0" w:line="268" w:lineRule="auto"/>
        <w:rPr>
          <w:sz w:val="20"/>
          <w:szCs w:val="20"/>
          <w:color w:val="auto"/>
        </w:rPr>
      </w:pPr>
      <w:r>
        <w:rPr>
          <w:rFonts w:ascii="Times New Roman" w:cs="Times New Roman" w:eastAsia="Times New Roman" w:hAnsi="Times New Roman"/>
          <w:sz w:val="14"/>
          <w:szCs w:val="14"/>
          <w:color w:val="auto"/>
        </w:rPr>
        <w:t>The amendments in this ASU are effective for annual periods beginning after December 15, 2024, with early adoption permitted. The Company adopted this standard effective January 1, 2025, using the retrospective transition method. The adoption resulted in the restatement of comparative periods to reflect the new disclosure requirements. This ASU had no impact on the Company’s consolidated financial condition or results of operations. Refer to Note 8 for the related income tax disclosures.</w:t>
      </w:r>
    </w:p>
    <w:p>
      <w:pPr>
        <w:spacing w:after="0" w:line="52" w:lineRule="exact"/>
        <w:rPr>
          <w:sz w:val="20"/>
          <w:szCs w:val="20"/>
          <w:color w:val="auto"/>
        </w:rPr>
      </w:pPr>
    </w:p>
    <w:p>
      <w:pPr>
        <w:ind w:left="640" w:right="939"/>
        <w:spacing w:after="0" w:line="295" w:lineRule="auto"/>
        <w:rPr>
          <w:sz w:val="20"/>
          <w:szCs w:val="20"/>
          <w:color w:val="auto"/>
        </w:rPr>
      </w:pPr>
      <w:r>
        <w:rPr>
          <w:rFonts w:ascii="Times New Roman" w:cs="Times New Roman" w:eastAsia="Times New Roman" w:hAnsi="Times New Roman"/>
          <w:sz w:val="14"/>
          <w:szCs w:val="14"/>
          <w:color w:val="auto"/>
        </w:rPr>
        <w:t xml:space="preserve">In November 2023, the FASB issued Accounting Standards Update (“ASU”) 2023-07,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This ASU requires the following disclosures on an annual and interim basis:</w:t>
      </w:r>
    </w:p>
    <w:p>
      <w:pPr>
        <w:spacing w:after="0" w:line="36" w:lineRule="exact"/>
        <w:rPr>
          <w:sz w:val="20"/>
          <w:szCs w:val="20"/>
          <w:color w:val="auto"/>
        </w:rPr>
      </w:pPr>
    </w:p>
    <w:p>
      <w:pPr>
        <w:ind w:left="1340" w:right="1059" w:hanging="352"/>
        <w:spacing w:after="0" w:line="292" w:lineRule="auto"/>
        <w:tabs>
          <w:tab w:leader="none" w:pos="13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segment expenses that are regularly provided to the CODM and included with each reported measure of segment profit/loss;</w:t>
      </w:r>
    </w:p>
    <w:p>
      <w:pPr>
        <w:spacing w:after="0" w:line="37" w:lineRule="exact"/>
        <w:rPr>
          <w:rFonts w:ascii="Times New Roman" w:cs="Times New Roman" w:eastAsia="Times New Roman" w:hAnsi="Times New Roman"/>
          <w:sz w:val="14"/>
          <w:szCs w:val="14"/>
          <w:color w:val="auto"/>
        </w:rPr>
      </w:pPr>
    </w:p>
    <w:p>
      <w:pPr>
        <w:ind w:left="1340" w:right="819" w:hanging="352"/>
        <w:spacing w:after="0" w:line="292" w:lineRule="auto"/>
        <w:tabs>
          <w:tab w:leader="none" w:pos="13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by reportable segment, consisting of differences between segment revenue and segment profit/loss not already disclosed above;</w:t>
      </w:r>
    </w:p>
    <w:p>
      <w:pPr>
        <w:spacing w:after="0" w:line="37" w:lineRule="exact"/>
        <w:rPr>
          <w:rFonts w:ascii="Times New Roman" w:cs="Times New Roman" w:eastAsia="Times New Roman" w:hAnsi="Times New Roman"/>
          <w:sz w:val="14"/>
          <w:szCs w:val="14"/>
          <w:color w:val="auto"/>
        </w:rPr>
      </w:pPr>
    </w:p>
    <w:p>
      <w:pPr>
        <w:ind w:left="1340" w:right="779" w:hanging="352"/>
        <w:spacing w:after="0" w:line="292" w:lineRule="auto"/>
        <w:tabs>
          <w:tab w:leader="none" w:pos="13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information by reportable segment, including total assets, depreciation and amortization, and capital expenditures; and</w:t>
      </w:r>
    </w:p>
    <w:p>
      <w:pPr>
        <w:spacing w:after="0" w:line="37" w:lineRule="exact"/>
        <w:rPr>
          <w:rFonts w:ascii="Times New Roman" w:cs="Times New Roman" w:eastAsia="Times New Roman" w:hAnsi="Times New Roman"/>
          <w:sz w:val="14"/>
          <w:szCs w:val="14"/>
          <w:color w:val="auto"/>
        </w:rPr>
      </w:pPr>
    </w:p>
    <w:p>
      <w:pPr>
        <w:ind w:left="1340" w:right="1139" w:hanging="352"/>
        <w:spacing w:after="0" w:line="292" w:lineRule="auto"/>
        <w:tabs>
          <w:tab w:leader="none" w:pos="13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CODM and an explanation of how the CODM uses the reported measures of segment profit/loss in assessing segment performance and deciding how to allocate resources.</w:t>
      </w:r>
    </w:p>
    <w:p>
      <w:pPr>
        <w:spacing w:after="0" w:line="38" w:lineRule="exact"/>
        <w:rPr>
          <w:sz w:val="20"/>
          <w:szCs w:val="20"/>
          <w:color w:val="auto"/>
        </w:rPr>
      </w:pPr>
    </w:p>
    <w:p>
      <w:pPr>
        <w:ind w:left="640" w:right="719"/>
        <w:spacing w:after="0" w:line="268" w:lineRule="auto"/>
        <w:rPr>
          <w:sz w:val="20"/>
          <w:szCs w:val="20"/>
          <w:color w:val="auto"/>
        </w:rPr>
      </w:pPr>
      <w:r>
        <w:rPr>
          <w:rFonts w:ascii="Times New Roman" w:cs="Times New Roman" w:eastAsia="Times New Roman" w:hAnsi="Times New Roman"/>
          <w:sz w:val="14"/>
          <w:szCs w:val="14"/>
          <w:color w:val="auto"/>
        </w:rPr>
        <w:t>The amendments in this ASU are effective for fiscal years beginning after December 15, 2023, and interim periods within fiscal years beginning after December 15, 2024, with early adoption permitted, and should be applied on a retrospective basis. The Company adopted the ASU for the year ended December 31, 2024. This ASU had no impact on the Company’s consolidated financial condition or results of operations. Refer to Note 17 for the related segment disclosures.</w:t>
      </w:r>
    </w:p>
    <w:p>
      <w:pPr>
        <w:spacing w:after="0" w:line="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Recently Issued Accounting Standards</w:t>
      </w:r>
    </w:p>
    <w:p>
      <w:pPr>
        <w:spacing w:after="0" w:line="97" w:lineRule="exact"/>
        <w:rPr>
          <w:sz w:val="20"/>
          <w:szCs w:val="20"/>
          <w:color w:val="auto"/>
        </w:rPr>
      </w:pPr>
    </w:p>
    <w:p>
      <w:pPr>
        <w:ind w:left="640" w:right="739"/>
        <w:spacing w:after="0" w:line="261"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 - Reporting Comprehensive Income - Expense Disaggregation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Disclosures (Subtopic 220-40): Disaggregation of Income Statement Expenses</w:t>
      </w:r>
      <w:r>
        <w:rPr>
          <w:rFonts w:ascii="Times New Roman" w:cs="Times New Roman" w:eastAsia="Times New Roman" w:hAnsi="Times New Roman"/>
          <w:sz w:val="14"/>
          <w:szCs w:val="14"/>
          <w:color w:val="auto"/>
        </w:rPr>
        <w:t>, which was further clarified in January 2025 through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issuance of ASU 2025-01. These ASUs require new financial statement disclosures to provide disaggregated information for certain types of expenses, including purchases of inventory, employee compensation, depreciation, and amortization in commonly presented expense captions such as cost of goods and services and selling, general, and administrative expenses. The amendments in this ASU are effective for annual periods beginning after December 15, 2026, with early adoption permitted. The adoption of this guidance will have no impact on the Company's consolidated financial condition or results of operations. The Company is currently evaluating the impact to the related disclosures.</w:t>
      </w:r>
    </w:p>
    <w:p>
      <w:pPr>
        <w:spacing w:after="0" w:line="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 xml:space="preserve">In September 2025, the FASB issued ASU 2025-06, </w:t>
      </w:r>
      <w:r>
        <w:rPr>
          <w:rFonts w:ascii="Times New Roman" w:cs="Times New Roman" w:eastAsia="Times New Roman" w:hAnsi="Times New Roman"/>
          <w:sz w:val="14"/>
          <w:szCs w:val="14"/>
          <w:i w:val="1"/>
          <w:iCs w:val="1"/>
          <w:color w:val="auto"/>
        </w:rPr>
        <w:t>Intangibles-Goodwill and Other-Internal-Use Software (Subtopic 350-40):</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 xml:space="preserve">Targeted Improvements to the Accounting for Internal-Use Software, </w:t>
      </w:r>
      <w:r>
        <w:rPr>
          <w:rFonts w:ascii="Times New Roman" w:cs="Times New Roman" w:eastAsia="Times New Roman" w:hAnsi="Times New Roman"/>
          <w:sz w:val="14"/>
          <w:szCs w:val="14"/>
          <w:color w:val="auto"/>
        </w:rPr>
        <w:t>which modernizes the accounting for internal-use software costs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5" w:name="page106"/>
    <w:bookmarkEnd w:id="10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659"/>
        <w:spacing w:after="0" w:line="263" w:lineRule="auto"/>
        <w:rPr>
          <w:sz w:val="20"/>
          <w:szCs w:val="20"/>
          <w:color w:val="auto"/>
        </w:rPr>
      </w:pPr>
      <w:r>
        <w:rPr>
          <w:rFonts w:ascii="Times New Roman" w:cs="Times New Roman" w:eastAsia="Times New Roman" w:hAnsi="Times New Roman"/>
          <w:sz w:val="14"/>
          <w:szCs w:val="14"/>
          <w:color w:val="auto"/>
        </w:rPr>
        <w:t xml:space="preserve">by removing all references to prescriptive and sequential software development stages. The new standard requires entities to consider whether significant development uncertainty has been resolved before starting to capitalize software costs and aligns disclosure requirements with ASC 360, </w:t>
      </w:r>
      <w:r>
        <w:rPr>
          <w:rFonts w:ascii="Times New Roman" w:cs="Times New Roman" w:eastAsia="Times New Roman" w:hAnsi="Times New Roman"/>
          <w:sz w:val="14"/>
          <w:szCs w:val="14"/>
          <w:i w:val="1"/>
          <w:iCs w:val="1"/>
          <w:color w:val="auto"/>
        </w:rPr>
        <w:t>Property, Plant, and Equipment</w:t>
      </w:r>
      <w:r>
        <w:rPr>
          <w:rFonts w:ascii="Times New Roman" w:cs="Times New Roman" w:eastAsia="Times New Roman" w:hAnsi="Times New Roman"/>
          <w:sz w:val="14"/>
          <w:szCs w:val="14"/>
          <w:color w:val="auto"/>
        </w:rPr>
        <w:t>. The ASU is effective for annual and interim reporting periods beginning after December 15, 2027, and can be applied prospectively, retrospectively, or using a modified transition method, with early adoption permitted. The Company is currently evaluating the impacts of this guidance on the consolidated financial statements and related disclosures.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2. Discontinued Operations</w:t>
      </w:r>
    </w:p>
    <w:p>
      <w:pPr>
        <w:spacing w:after="0" w:line="185" w:lineRule="exact"/>
        <w:rPr>
          <w:sz w:val="20"/>
          <w:szCs w:val="20"/>
          <w:color w:val="auto"/>
        </w:rPr>
      </w:pPr>
    </w:p>
    <w:p>
      <w:pPr>
        <w:ind w:left="640" w:right="699"/>
        <w:spacing w:after="0" w:line="265" w:lineRule="auto"/>
        <w:rPr>
          <w:sz w:val="20"/>
          <w:szCs w:val="20"/>
          <w:color w:val="auto"/>
        </w:rPr>
      </w:pPr>
      <w:r>
        <w:rPr>
          <w:rFonts w:ascii="Times New Roman" w:cs="Times New Roman" w:eastAsia="Times New Roman" w:hAnsi="Times New Roman"/>
          <w:sz w:val="14"/>
          <w:szCs w:val="14"/>
          <w:color w:val="auto"/>
        </w:rPr>
        <w:t>On January 17, 2025, BrightSpring entered into a definitive agreement to sell its Community Living business to National Mentor Holdings, Inc. (the “Purchaser”), for $835.0 million in cash upon closing, subject to certain post-closing adjustments. We entered into the transaction in order to streamline our service offerings and further focus on the senior and specialty populations. The transaction is currently expected to close in the first fiscal quarter of 2026, subject to receipt of customary regulatory approvals and other closing conditions.</w:t>
      </w:r>
    </w:p>
    <w:p>
      <w:pPr>
        <w:spacing w:after="0" w:line="56" w:lineRule="exact"/>
        <w:rPr>
          <w:sz w:val="20"/>
          <w:szCs w:val="20"/>
          <w:color w:val="auto"/>
        </w:rPr>
      </w:pPr>
    </w:p>
    <w:p>
      <w:pPr>
        <w:ind w:left="640" w:right="659"/>
        <w:spacing w:after="0" w:line="261" w:lineRule="auto"/>
        <w:rPr>
          <w:sz w:val="20"/>
          <w:szCs w:val="20"/>
          <w:color w:val="auto"/>
        </w:rPr>
      </w:pPr>
      <w:r>
        <w:rPr>
          <w:rFonts w:ascii="Times New Roman" w:cs="Times New Roman" w:eastAsia="Times New Roman" w:hAnsi="Times New Roman"/>
          <w:sz w:val="14"/>
          <w:szCs w:val="14"/>
          <w:color w:val="auto"/>
        </w:rPr>
        <w:t xml:space="preserve">The Company has determined the divestiture of the Community Living business represents a strategic shift that will have a major effect on its business and has concluded the criteria for classification as discontinued operations were met during the first fiscal quarter of 2025. Accordingly, the Community Living business is reported as discontinued operations in accordance with ASC 205-20, </w:t>
      </w:r>
      <w:r>
        <w:rPr>
          <w:rFonts w:ascii="Times New Roman" w:cs="Times New Roman" w:eastAsia="Times New Roman" w:hAnsi="Times New Roman"/>
          <w:sz w:val="14"/>
          <w:szCs w:val="14"/>
          <w:i w:val="1"/>
          <w:iCs w:val="1"/>
          <w:color w:val="auto"/>
        </w:rPr>
        <w:t>Discontinued Operations</w:t>
      </w:r>
      <w:r>
        <w:rPr>
          <w:rFonts w:ascii="Times New Roman" w:cs="Times New Roman" w:eastAsia="Times New Roman" w:hAnsi="Times New Roman"/>
          <w:sz w:val="14"/>
          <w:szCs w:val="14"/>
          <w:color w:val="auto"/>
        </w:rPr>
        <w:t>. The related assets and liabilities of the Community Living business are classified as assets and liabilities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held for sale in the accompanying consolidated balance sheets and the results of operations from the Community Living business are classified as discontinued operations in the consolidated statements of operations. Applicable amounts in prior years have been retrospectively revised and recast to conform to this discontinued operations presentation. The Community Living business was historically presented as a part of the Provider Services reportable segment.</w:t>
      </w:r>
    </w:p>
    <w:p>
      <w:pPr>
        <w:spacing w:after="0" w:line="58" w:lineRule="exact"/>
        <w:rPr>
          <w:sz w:val="20"/>
          <w:szCs w:val="20"/>
          <w:color w:val="auto"/>
        </w:rPr>
      </w:pPr>
    </w:p>
    <w:p>
      <w:pPr>
        <w:ind w:left="640" w:right="719"/>
        <w:spacing w:after="0" w:line="262" w:lineRule="auto"/>
        <w:rPr>
          <w:sz w:val="20"/>
          <w:szCs w:val="20"/>
          <w:color w:val="auto"/>
        </w:rPr>
      </w:pPr>
      <w:r>
        <w:rPr>
          <w:rFonts w:ascii="Times New Roman" w:cs="Times New Roman" w:eastAsia="Times New Roman" w:hAnsi="Times New Roman"/>
          <w:sz w:val="14"/>
          <w:szCs w:val="14"/>
          <w:color w:val="auto"/>
        </w:rPr>
        <w:t xml:space="preserve">In accordance with ASC 205-20, </w:t>
      </w:r>
      <w:r>
        <w:rPr>
          <w:rFonts w:ascii="Times New Roman" w:cs="Times New Roman" w:eastAsia="Times New Roman" w:hAnsi="Times New Roman"/>
          <w:sz w:val="14"/>
          <w:szCs w:val="14"/>
          <w:i w:val="1"/>
          <w:iCs w:val="1"/>
          <w:color w:val="auto"/>
        </w:rPr>
        <w:t>Allocation of Interest to Discontinued Operations</w:t>
      </w:r>
      <w:r>
        <w:rPr>
          <w:rFonts w:ascii="Times New Roman" w:cs="Times New Roman" w:eastAsia="Times New Roman" w:hAnsi="Times New Roman"/>
          <w:sz w:val="14"/>
          <w:szCs w:val="14"/>
          <w:color w:val="auto"/>
        </w:rPr>
        <w:t>, the Company elected to allocate interest expense to discontinued operations for the Company’s debt that is not directly attributed to the Community Living business. Interest expense was allocated based on a ratio of net assets held for sale to the sum of consolidated net assets and consolidated debt. In addition, upon closing of the divestiture, we will enter into a transition services agreement (“TSA”) with the Purchaser to support the Purchaser's post-closing operations of the Community Living business by providing the Purchaser with certain transition services in exchange for service fees in the form of both fixed-price and pass through costs. Transition services will primarily include human resources, IT, facilities management, and compliance.</w:t>
      </w:r>
    </w:p>
    <w:p>
      <w:pPr>
        <w:spacing w:after="0" w:line="61" w:lineRule="exact"/>
        <w:rPr>
          <w:sz w:val="20"/>
          <w:szCs w:val="20"/>
          <w:color w:val="auto"/>
        </w:rPr>
      </w:pPr>
    </w:p>
    <w:p>
      <w:pPr>
        <w:ind w:left="640" w:right="899"/>
        <w:spacing w:after="0" w:line="292" w:lineRule="auto"/>
        <w:rPr>
          <w:sz w:val="20"/>
          <w:szCs w:val="20"/>
          <w:color w:val="auto"/>
        </w:rPr>
      </w:pPr>
      <w:r>
        <w:rPr>
          <w:rFonts w:ascii="Times New Roman" w:cs="Times New Roman" w:eastAsia="Times New Roman" w:hAnsi="Times New Roman"/>
          <w:sz w:val="14"/>
          <w:szCs w:val="14"/>
          <w:color w:val="auto"/>
        </w:rPr>
        <w:t>The financial results of the Community Living business are presented as income from discontinued operations on our consolidated statements of operations. The following table presents the financial results of the Community Living business (in thousands):</w:t>
      </w:r>
    </w:p>
    <w:p>
      <w:pPr>
        <w:spacing w:after="0" w:line="119"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5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09"/>
        </w:trPr>
        <w:tc>
          <w:tcPr>
            <w:tcW w:w="5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7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9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90"/>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63"/>
        </w:trPr>
        <w:tc>
          <w:tcPr>
            <w:tcW w:w="5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Services revenue</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1,234,403</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1,194,258</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1,135,159</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840,172</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872,250</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840,361</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3"/>
        </w:trPr>
        <w:tc>
          <w:tcPr>
            <w:tcW w:w="5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394,231</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322,008</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294,798</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254,753</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223,588</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205,743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3"/>
        </w:trPr>
        <w:tc>
          <w:tcPr>
            <w:tcW w:w="5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income of discontinued operations</w:t>
            </w: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139,478</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98,420</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89,055</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29,917</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37,840</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52,694</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3"/>
        </w:trPr>
        <w:tc>
          <w:tcPr>
            <w:tcW w:w="5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from discontinued operations before income taxes</w:t>
            </w: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109,561</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60,580</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36,361</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 from discontinued operations</w:t>
            </w:r>
          </w:p>
        </w:tc>
        <w:tc>
          <w:tcPr>
            <w:tcW w:w="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25,244</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12,170</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10,930</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03"/>
        </w:trPr>
        <w:tc>
          <w:tcPr>
            <w:tcW w:w="520" w:type="dxa"/>
            <w:vAlign w:val="bottom"/>
          </w:tcPr>
          <w:p>
            <w:pPr>
              <w:spacing w:after="0"/>
              <w:rPr>
                <w:sz w:val="17"/>
                <w:szCs w:val="17"/>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from discontinued operations, net of income taxes</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84,317</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48,410</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25,431</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r>
      <w:tr>
        <w:trPr>
          <w:trHeight w:val="487"/>
        </w:trPr>
        <w:tc>
          <w:tcPr>
            <w:tcW w:w="520" w:type="dxa"/>
            <w:vAlign w:val="bottom"/>
          </w:tcPr>
          <w:p>
            <w:pPr>
              <w:spacing w:after="0"/>
              <w:rPr>
                <w:sz w:val="24"/>
                <w:szCs w:val="24"/>
                <w:color w:val="auto"/>
              </w:rPr>
            </w:pPr>
          </w:p>
        </w:tc>
        <w:tc>
          <w:tcPr>
            <w:tcW w:w="3560" w:type="dxa"/>
            <w:vAlign w:val="bottom"/>
            <w:tcBorders>
              <w:top w:val="single" w:sz="8" w:color="CFF0FC"/>
            </w:tcBorders>
          </w:tcPr>
          <w:p>
            <w:pPr>
              <w:spacing w:after="0"/>
              <w:rPr>
                <w:sz w:val="24"/>
                <w:szCs w:val="24"/>
                <w:color w:val="auto"/>
              </w:rPr>
            </w:pPr>
          </w:p>
        </w:tc>
        <w:tc>
          <w:tcPr>
            <w:tcW w:w="980" w:type="dxa"/>
            <w:vAlign w:val="bottom"/>
            <w:tcBorders>
              <w:top w:val="single" w:sz="8" w:color="CFF0FC"/>
            </w:tcBorders>
          </w:tcPr>
          <w:p>
            <w:pPr>
              <w:jc w:val="right"/>
              <w:ind w:right="528"/>
              <w:spacing w:after="0"/>
              <w:rPr>
                <w:sz w:val="20"/>
                <w:szCs w:val="20"/>
                <w:color w:val="auto"/>
              </w:rPr>
            </w:pPr>
            <w:r>
              <w:rPr>
                <w:rFonts w:ascii="Times New Roman" w:cs="Times New Roman" w:eastAsia="Times New Roman" w:hAnsi="Times New Roman"/>
                <w:sz w:val="14"/>
                <w:szCs w:val="14"/>
                <w:color w:val="auto"/>
              </w:rPr>
              <w:t>99</w:t>
            </w: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520" w:type="dxa"/>
            <w:vAlign w:val="bottom"/>
          </w:tcPr>
          <w:p>
            <w:pPr>
              <w:spacing w:after="0"/>
              <w:rPr>
                <w:sz w:val="24"/>
                <w:szCs w:val="24"/>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3876040</wp:posOffset>
            </wp:positionH>
            <wp:positionV relativeFrom="paragraph">
              <wp:posOffset>-742950</wp:posOffset>
            </wp:positionV>
            <wp:extent cx="47625"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3876040</wp:posOffset>
            </wp:positionH>
            <wp:positionV relativeFrom="paragraph">
              <wp:posOffset>-728980</wp:posOffset>
            </wp:positionV>
            <wp:extent cx="47625"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-742950</wp:posOffset>
            </wp:positionV>
            <wp:extent cx="47625"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-728980</wp:posOffset>
            </wp:positionV>
            <wp:extent cx="47625"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-742950</wp:posOffset>
            </wp:positionV>
            <wp:extent cx="47625"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-728980</wp:posOffset>
            </wp:positionV>
            <wp:extent cx="47625" cy="69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6" w:name="page107"/>
    <w:bookmarkEnd w:id="10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759"/>
        <w:spacing w:after="0" w:line="292" w:lineRule="auto"/>
        <w:rPr>
          <w:sz w:val="20"/>
          <w:szCs w:val="20"/>
          <w:color w:val="auto"/>
        </w:rPr>
      </w:pPr>
      <w:r>
        <w:rPr>
          <w:rFonts w:ascii="Times New Roman" w:cs="Times New Roman" w:eastAsia="Times New Roman" w:hAnsi="Times New Roman"/>
          <w:sz w:val="14"/>
          <w:szCs w:val="14"/>
          <w:color w:val="auto"/>
        </w:rPr>
        <w:t>The following table presents the aggregate carrying amounts of assets and liabilities held for sale for the Community Living business in the consolidated balance sheets (in thousands):</w:t>
      </w:r>
    </w:p>
    <w:p>
      <w:pPr>
        <w:spacing w:after="0" w:line="119"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2"/>
        </w:trPr>
        <w:tc>
          <w:tcPr>
            <w:tcW w:w="20" w:type="dxa"/>
            <w:vAlign w:val="bottom"/>
          </w:tcPr>
          <w:p>
            <w:pPr>
              <w:spacing w:after="0"/>
              <w:rPr>
                <w:sz w:val="13"/>
                <w:szCs w:val="13"/>
                <w:color w:val="auto"/>
              </w:rPr>
            </w:pPr>
          </w:p>
        </w:tc>
        <w:tc>
          <w:tcPr>
            <w:tcW w:w="5300" w:type="dxa"/>
            <w:vAlign w:val="bottom"/>
            <w:shd w:val="clear" w:color="auto" w:fill="CFF0FC"/>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 net of allowance for credit losses</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136,875</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125,872</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Inventories</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3,294</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4,007</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2,717</w:t>
            </w: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80" w:type="dxa"/>
            <w:vAlign w:val="bottom"/>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5300" w:type="dxa"/>
            <w:vAlign w:val="bottom"/>
            <w:tcBorders>
              <w:bottom w:val="single" w:sz="8" w:color="CFF0FC"/>
            </w:tcBorders>
            <w:shd w:val="clear" w:color="auto" w:fill="CFF0FC"/>
          </w:tcPr>
          <w:p>
            <w:pPr>
              <w:ind w:left="400"/>
              <w:spacing w:after="0" w:line="152" w:lineRule="exact"/>
              <w:rPr>
                <w:sz w:val="20"/>
                <w:szCs w:val="20"/>
                <w:color w:val="auto"/>
              </w:rPr>
            </w:pPr>
            <w:r>
              <w:rPr>
                <w:rFonts w:ascii="Times New Roman" w:cs="Times New Roman" w:eastAsia="Times New Roman" w:hAnsi="Times New Roman"/>
                <w:sz w:val="14"/>
                <w:szCs w:val="14"/>
                <w:b w:val="1"/>
                <w:bCs w:val="1"/>
                <w:color w:val="auto"/>
              </w:rPr>
              <w:t>Total current assets held for sale</w:t>
            </w:r>
          </w:p>
        </w:tc>
        <w:tc>
          <w:tcPr>
            <w:tcW w:w="8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142,993</w:t>
            </w:r>
          </w:p>
        </w:tc>
        <w:tc>
          <w:tcPr>
            <w:tcW w:w="18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131,447</w:t>
            </w:r>
          </w:p>
        </w:tc>
        <w:tc>
          <w:tcPr>
            <w:tcW w:w="80" w:type="dxa"/>
            <w:vAlign w:val="bottom"/>
            <w:tcBorders>
              <w:bottom w:val="single" w:sz="8" w:color="CFF0FC"/>
            </w:tcBorders>
            <w:shd w:val="clear" w:color="auto" w:fill="CFF0FC"/>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53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Property and equipment, net of accumulated depreciation of $104,314 and $110,417 at</w:t>
            </w:r>
          </w:p>
        </w:tc>
        <w:tc>
          <w:tcPr>
            <w:tcW w:w="8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83,465</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69,715</w:t>
            </w:r>
          </w:p>
        </w:tc>
        <w:tc>
          <w:tcPr>
            <w:tcW w:w="80" w:type="dxa"/>
            <w:vAlign w:val="bottom"/>
          </w:tcPr>
          <w:p>
            <w:pPr>
              <w:spacing w:after="0"/>
              <w:rPr>
                <w:sz w:val="11"/>
                <w:szCs w:val="11"/>
                <w:color w:val="auto"/>
              </w:rPr>
            </w:pPr>
          </w:p>
        </w:tc>
      </w:tr>
      <w:tr>
        <w:trPr>
          <w:trHeight w:val="175"/>
        </w:trPr>
        <w:tc>
          <w:tcPr>
            <w:tcW w:w="20" w:type="dxa"/>
            <w:vAlign w:val="bottom"/>
          </w:tcPr>
          <w:p>
            <w:pPr>
              <w:spacing w:after="0"/>
              <w:rPr>
                <w:sz w:val="15"/>
                <w:szCs w:val="15"/>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December 31, 2025 and 2024, respectively</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Goodwill</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307,640</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307,640</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216,192</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216,258</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129,005</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88,717</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taxes, net</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2,894</w:t>
            </w:r>
          </w:p>
        </w:tc>
        <w:tc>
          <w:tcPr>
            <w:tcW w:w="1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5,343</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5300" w:type="dxa"/>
            <w:vAlign w:val="bottom"/>
          </w:tcPr>
          <w:p>
            <w:pPr>
              <w:ind w:left="400"/>
              <w:spacing w:after="0" w:line="152" w:lineRule="exact"/>
              <w:rPr>
                <w:sz w:val="20"/>
                <w:szCs w:val="20"/>
                <w:color w:val="auto"/>
              </w:rPr>
            </w:pPr>
            <w:r>
              <w:rPr>
                <w:rFonts w:ascii="Times New Roman" w:cs="Times New Roman" w:eastAsia="Times New Roman" w:hAnsi="Times New Roman"/>
                <w:sz w:val="14"/>
                <w:szCs w:val="14"/>
                <w:b w:val="1"/>
                <w:bCs w:val="1"/>
                <w:color w:val="auto"/>
              </w:rPr>
              <w:t>Total assets held for sale</w:t>
            </w:r>
          </w:p>
        </w:tc>
        <w:tc>
          <w:tcPr>
            <w:tcW w:w="8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882,189</w:t>
            </w:r>
          </w:p>
        </w:tc>
        <w:tc>
          <w:tcPr>
            <w:tcW w:w="2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819,407</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530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Trade accounts payable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25,081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17,366</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expenses</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59,038</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60,791</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Current portion of obligations under operating leases</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32,749</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30,755</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4"/>
                <w:szCs w:val="14"/>
                <w:color w:val="auto"/>
              </w:rPr>
              <w:t>Current portion of obligations under financing leases</w:t>
            </w: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7,691</w:t>
            </w:r>
          </w:p>
        </w:tc>
        <w:tc>
          <w:tcPr>
            <w:tcW w:w="18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8,651</w:t>
            </w:r>
          </w:p>
        </w:tc>
        <w:tc>
          <w:tcPr>
            <w:tcW w:w="80" w:type="dxa"/>
            <w:vAlign w:val="bottom"/>
            <w:tcBorders>
              <w:bottom w:val="single" w:sz="8" w:color="CFF0FC"/>
            </w:tcBorders>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5300" w:type="dxa"/>
            <w:vAlign w:val="bottom"/>
            <w:tcBorders>
              <w:bottom w:val="single" w:sz="8" w:color="CFF0FC"/>
            </w:tcBorders>
            <w:shd w:val="clear" w:color="auto" w:fill="CFF0FC"/>
          </w:tcPr>
          <w:p>
            <w:pPr>
              <w:ind w:left="400"/>
              <w:spacing w:after="0" w:line="152" w:lineRule="exact"/>
              <w:rPr>
                <w:sz w:val="20"/>
                <w:szCs w:val="20"/>
                <w:color w:val="auto"/>
              </w:rPr>
            </w:pPr>
            <w:r>
              <w:rPr>
                <w:rFonts w:ascii="Times New Roman" w:cs="Times New Roman" w:eastAsia="Times New Roman" w:hAnsi="Times New Roman"/>
                <w:sz w:val="14"/>
                <w:szCs w:val="14"/>
                <w:b w:val="1"/>
                <w:bCs w:val="1"/>
                <w:color w:val="auto"/>
              </w:rPr>
              <w:t>Total current liabilities held for sale</w:t>
            </w:r>
          </w:p>
        </w:tc>
        <w:tc>
          <w:tcPr>
            <w:tcW w:w="8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124,559</w:t>
            </w:r>
          </w:p>
        </w:tc>
        <w:tc>
          <w:tcPr>
            <w:tcW w:w="18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117,563</w:t>
            </w:r>
          </w:p>
        </w:tc>
        <w:tc>
          <w:tcPr>
            <w:tcW w:w="80" w:type="dxa"/>
            <w:vAlign w:val="bottom"/>
            <w:tcBorders>
              <w:bottom w:val="single" w:sz="8" w:color="CFF0FC"/>
            </w:tcBorders>
            <w:shd w:val="clear" w:color="auto" w:fill="CFF0FC"/>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30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Obligations under operating leases, net of current portion</w:t>
            </w:r>
          </w:p>
        </w:tc>
        <w:tc>
          <w:tcPr>
            <w:tcW w:w="80" w:type="dxa"/>
            <w:vAlign w:val="bottom"/>
          </w:tcPr>
          <w:p>
            <w:pPr>
              <w:spacing w:after="0"/>
              <w:rPr>
                <w:sz w:val="13"/>
                <w:szCs w:val="13"/>
                <w:color w:val="auto"/>
              </w:rPr>
            </w:pPr>
          </w:p>
        </w:tc>
        <w:tc>
          <w:tcPr>
            <w:tcW w:w="10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57,771</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58,147</w:t>
            </w:r>
          </w:p>
        </w:tc>
        <w:tc>
          <w:tcPr>
            <w:tcW w:w="8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Obligations under financing leases, net of current portion</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12,766</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18,461</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taxes, net</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1"/>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Long-term liabilities</w:t>
            </w:r>
          </w:p>
        </w:tc>
        <w:tc>
          <w:tcPr>
            <w:tcW w:w="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5300" w:type="dxa"/>
            <w:vAlign w:val="bottom"/>
          </w:tcPr>
          <w:p>
            <w:pPr>
              <w:ind w:left="400"/>
              <w:spacing w:after="0" w:line="152" w:lineRule="exact"/>
              <w:rPr>
                <w:sz w:val="20"/>
                <w:szCs w:val="20"/>
                <w:color w:val="auto"/>
              </w:rPr>
            </w:pPr>
            <w:r>
              <w:rPr>
                <w:rFonts w:ascii="Times New Roman" w:cs="Times New Roman" w:eastAsia="Times New Roman" w:hAnsi="Times New Roman"/>
                <w:sz w:val="14"/>
                <w:szCs w:val="14"/>
                <w:b w:val="1"/>
                <w:bCs w:val="1"/>
                <w:color w:val="auto"/>
              </w:rPr>
              <w:t>Total liabilities held for sale</w:t>
            </w:r>
          </w:p>
        </w:tc>
        <w:tc>
          <w:tcPr>
            <w:tcW w:w="8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195,994</w:t>
            </w:r>
          </w:p>
        </w:tc>
        <w:tc>
          <w:tcPr>
            <w:tcW w:w="2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194,740</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-2120265</wp:posOffset>
            </wp:positionV>
            <wp:extent cx="47625"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-2120265</wp:posOffset>
            </wp:positionV>
            <wp:extent cx="47625" cy="69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-1397635</wp:posOffset>
            </wp:positionV>
            <wp:extent cx="47625" cy="69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-1397635</wp:posOffset>
            </wp:positionV>
            <wp:extent cx="47625"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4456430</wp:posOffset>
            </wp:positionH>
            <wp:positionV relativeFrom="paragraph">
              <wp:posOffset>-666750</wp:posOffset>
            </wp:positionV>
            <wp:extent cx="73025" cy="1416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3025" cy="141605"/>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-666750</wp:posOffset>
            </wp:positionV>
            <wp:extent cx="73025" cy="1416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3025" cy="14160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-128905</wp:posOffset>
            </wp:positionV>
            <wp:extent cx="47625" cy="69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-128905</wp:posOffset>
            </wp:positionV>
            <wp:extent cx="47625"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51" w:lineRule="exact"/>
        <w:rPr>
          <w:sz w:val="20"/>
          <w:szCs w:val="20"/>
          <w:color w:val="auto"/>
        </w:rPr>
      </w:pPr>
    </w:p>
    <w:p>
      <w:pPr>
        <w:ind w:left="640" w:right="779"/>
        <w:spacing w:after="0" w:line="265" w:lineRule="auto"/>
        <w:rPr>
          <w:sz w:val="20"/>
          <w:szCs w:val="20"/>
          <w:color w:val="auto"/>
        </w:rPr>
      </w:pPr>
      <w:r>
        <w:rPr>
          <w:rFonts w:ascii="Times New Roman" w:cs="Times New Roman" w:eastAsia="Times New Roman" w:hAnsi="Times New Roman"/>
          <w:sz w:val="14"/>
          <w:szCs w:val="14"/>
          <w:color w:val="auto"/>
        </w:rPr>
        <w:t>In accordance with ASC 205-20, all assets and liabilities held for sale are reported as current on the consolidated balance sheet at December 31, 2025 as the Community Living transaction is expected to close within one-year of the balance sheet date. The presentation of assets and liabilities held for sale on the consolidated balance sheet at December 31, 2024 are reported as current and noncurrent, consistent with the conclusion in the period, as the transaction did not meet the requirements of held for sale at that point in time.</w:t>
      </w:r>
    </w:p>
    <w:p>
      <w:pPr>
        <w:spacing w:after="0" w:line="56" w:lineRule="exact"/>
        <w:rPr>
          <w:sz w:val="20"/>
          <w:szCs w:val="20"/>
          <w:color w:val="auto"/>
        </w:rPr>
      </w:pPr>
    </w:p>
    <w:p>
      <w:pPr>
        <w:ind w:left="640" w:right="779"/>
        <w:spacing w:after="0" w:line="292" w:lineRule="auto"/>
        <w:rPr>
          <w:sz w:val="20"/>
          <w:szCs w:val="20"/>
          <w:color w:val="auto"/>
        </w:rPr>
      </w:pPr>
      <w:r>
        <w:rPr>
          <w:rFonts w:ascii="Times New Roman" w:cs="Times New Roman" w:eastAsia="Times New Roman" w:hAnsi="Times New Roman"/>
          <w:sz w:val="14"/>
          <w:szCs w:val="14"/>
          <w:color w:val="auto"/>
        </w:rPr>
        <w:t>The following table presents the significant non-cash items and purchases of property and equipment for the discontinued operations that are included in the accompanying consolidated statements of cash flows (in thousands):</w:t>
      </w:r>
    </w:p>
    <w:p>
      <w:pPr>
        <w:spacing w:after="0" w:line="119"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5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5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7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71"/>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71"/>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flows from operating activities of discontinued operations:</w:t>
            </w: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42,338</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41,779</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10,934</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7,838</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6,238</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8,134</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vMerge w:val="restart"/>
          </w:tcPr>
          <w:p>
            <w:pPr>
              <w:spacing w:after="0"/>
              <w:rPr>
                <w:sz w:val="14"/>
                <w:szCs w:val="14"/>
                <w:color w:val="auto"/>
              </w:rPr>
            </w:pPr>
          </w:p>
        </w:tc>
        <w:tc>
          <w:tcPr>
            <w:tcW w:w="37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investing activities of discontinued operations:</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12,313</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10,429</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11,983</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5"/>
        </w:trPr>
        <w:tc>
          <w:tcPr>
            <w:tcW w:w="5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90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7" w:name="page108"/>
    <w:bookmarkEnd w:id="10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231F20"/>
        </w:rPr>
        <w:t>3. Revenues</w:t>
      </w:r>
    </w:p>
    <w:p>
      <w:pPr>
        <w:spacing w:after="0" w:line="99" w:lineRule="exact"/>
        <w:rPr>
          <w:sz w:val="20"/>
          <w:szCs w:val="20"/>
          <w:color w:val="auto"/>
        </w:rPr>
      </w:pPr>
    </w:p>
    <w:p>
      <w:pPr>
        <w:ind w:left="640" w:right="659"/>
        <w:spacing w:after="0" w:line="268" w:lineRule="auto"/>
        <w:rPr>
          <w:sz w:val="20"/>
          <w:szCs w:val="20"/>
          <w:color w:val="auto"/>
        </w:rPr>
      </w:pPr>
      <w:r>
        <w:rPr>
          <w:rFonts w:ascii="Times New Roman" w:cs="Times New Roman" w:eastAsia="Times New Roman" w:hAnsi="Times New Roman"/>
          <w:sz w:val="14"/>
          <w:szCs w:val="14"/>
          <w:color w:val="231F20"/>
        </w:rPr>
        <w:t>The Company is substantially dependent on revenues received under contracts with federal, state, and local government agencies. Operating funding sources are generally earned from Medicaid, Medicare, commercial insurance reimbursement, and private and other payors. There is no single customer whose revenue was 10% or more of our consolidated revenue. The following tables set forth revenue by payor type (in millions):</w:t>
      </w:r>
    </w:p>
    <w:p>
      <w:pPr>
        <w:spacing w:after="0" w:line="135"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gridSpan w:val="8"/>
          </w:tcPr>
          <w:p>
            <w:pPr>
              <w:jc w:val="center"/>
              <w:ind w:left="373"/>
              <w:spacing w:after="0" w:line="109" w:lineRule="exact"/>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gridSpan w:val="2"/>
          </w:tcPr>
          <w:p>
            <w:pPr>
              <w:jc w:val="right"/>
              <w:ind w:right="6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3"/>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20" w:type="dxa"/>
            <w:vAlign w:val="bottom"/>
            <w:vMerge w:val="restart"/>
          </w:tcPr>
          <w:p>
            <w:pPr>
              <w:spacing w:after="0"/>
              <w:rPr>
                <w:sz w:val="7"/>
                <w:szCs w:val="7"/>
                <w:color w:val="auto"/>
              </w:rPr>
            </w:pPr>
          </w:p>
        </w:tc>
        <w:tc>
          <w:tcPr>
            <w:tcW w:w="580" w:type="dxa"/>
            <w:vAlign w:val="bottom"/>
          </w:tcPr>
          <w:p>
            <w:pPr>
              <w:jc w:val="center"/>
              <w:ind w:right="33"/>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560" w:type="dxa"/>
            <w:vAlign w:val="bottom"/>
          </w:tcPr>
          <w:p>
            <w:pPr>
              <w:jc w:val="center"/>
              <w:ind w:right="52"/>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w w:val="99"/>
              </w:rPr>
              <w:t>Revenue</w:t>
            </w:r>
          </w:p>
        </w:tc>
        <w:tc>
          <w:tcPr>
            <w:tcW w:w="220" w:type="dxa"/>
            <w:vAlign w:val="bottom"/>
            <w:vMerge w:val="restart"/>
          </w:tcPr>
          <w:p>
            <w:pPr>
              <w:spacing w:after="0"/>
              <w:rPr>
                <w:sz w:val="7"/>
                <w:szCs w:val="7"/>
                <w:color w:val="auto"/>
              </w:rPr>
            </w:pPr>
          </w:p>
        </w:tc>
        <w:tc>
          <w:tcPr>
            <w:tcW w:w="560" w:type="dxa"/>
            <w:vAlign w:val="bottom"/>
          </w:tcPr>
          <w:p>
            <w:pPr>
              <w:jc w:val="center"/>
              <w:ind w:right="52"/>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58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56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56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Commercial insurance</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3,114.6</w:t>
            </w:r>
          </w:p>
        </w:tc>
        <w:tc>
          <w:tcPr>
            <w:tcW w:w="220" w:type="dxa"/>
            <w:vAlign w:val="bottom"/>
            <w:tcBorders>
              <w:right w:val="single" w:sz="8" w:color="CFF0FC"/>
            </w:tcBorders>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2,360.0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1,657.7</w:t>
            </w:r>
          </w:p>
        </w:tc>
        <w:tc>
          <w:tcPr>
            <w:tcW w:w="220" w:type="dxa"/>
            <w:vAlign w:val="bottom"/>
            <w:tcBorders>
              <w:right w:val="single" w:sz="8" w:color="CFF0FC"/>
            </w:tcBorders>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172"/>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Medicaid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1,093.2</w:t>
            </w:r>
          </w:p>
        </w:tc>
        <w:tc>
          <w:tcPr>
            <w:tcW w:w="220" w:type="dxa"/>
            <w:vAlign w:val="bottom"/>
          </w:tcPr>
          <w:p>
            <w:pPr>
              <w:spacing w:after="0"/>
              <w:rPr>
                <w:sz w:val="14"/>
                <w:szCs w:val="14"/>
                <w:color w:val="auto"/>
              </w:rPr>
            </w:pPr>
          </w:p>
        </w:tc>
        <w:tc>
          <w:tcPr>
            <w:tcW w:w="78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656.1</w:t>
            </w:r>
          </w:p>
        </w:tc>
        <w:tc>
          <w:tcPr>
            <w:tcW w:w="22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72"/>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Medicare Part A</w:t>
            </w:r>
          </w:p>
        </w:tc>
        <w:tc>
          <w:tcPr>
            <w:tcW w:w="8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572.8</w:t>
            </w:r>
          </w:p>
        </w:tc>
        <w:tc>
          <w:tcPr>
            <w:tcW w:w="220" w:type="dxa"/>
            <w:vAlign w:val="bottom"/>
            <w:tcBorders>
              <w:right w:val="single" w:sz="8" w:color="CFF0FC"/>
            </w:tcBorders>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546.4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549.3</w:t>
            </w:r>
          </w:p>
        </w:tc>
        <w:tc>
          <w:tcPr>
            <w:tcW w:w="220" w:type="dxa"/>
            <w:vAlign w:val="bottom"/>
            <w:tcBorders>
              <w:right w:val="single" w:sz="8" w:color="CFF0FC"/>
            </w:tcBorders>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72"/>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Medicare Part B</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220" w:type="dxa"/>
            <w:vAlign w:val="bottom"/>
          </w:tcPr>
          <w:p>
            <w:pPr>
              <w:spacing w:after="0"/>
              <w:rPr>
                <w:sz w:val="14"/>
                <w:szCs w:val="14"/>
                <w:color w:val="auto"/>
              </w:rPr>
            </w:pPr>
          </w:p>
        </w:tc>
        <w:tc>
          <w:tcPr>
            <w:tcW w:w="78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22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72"/>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Medicare Part C</w:t>
            </w:r>
          </w:p>
        </w:tc>
        <w:tc>
          <w:tcPr>
            <w:tcW w:w="8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2,277.5</w:t>
            </w:r>
          </w:p>
        </w:tc>
        <w:tc>
          <w:tcPr>
            <w:tcW w:w="220" w:type="dxa"/>
            <w:vAlign w:val="bottom"/>
            <w:tcBorders>
              <w:right w:val="single" w:sz="8" w:color="CFF0FC"/>
            </w:tcBorders>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1,547.1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1,384.3</w:t>
            </w:r>
          </w:p>
        </w:tc>
        <w:tc>
          <w:tcPr>
            <w:tcW w:w="220" w:type="dxa"/>
            <w:vAlign w:val="bottom"/>
            <w:tcBorders>
              <w:right w:val="single" w:sz="8" w:color="CFF0FC"/>
            </w:tcBorders>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72"/>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Medicare Part 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4,097.8</w:t>
            </w:r>
          </w:p>
        </w:tc>
        <w:tc>
          <w:tcPr>
            <w:tcW w:w="220" w:type="dxa"/>
            <w:vAlign w:val="bottom"/>
          </w:tcPr>
          <w:p>
            <w:pPr>
              <w:spacing w:after="0"/>
              <w:rPr>
                <w:sz w:val="14"/>
                <w:szCs w:val="14"/>
                <w:color w:val="auto"/>
              </w:rPr>
            </w:pPr>
          </w:p>
        </w:tc>
        <w:tc>
          <w:tcPr>
            <w:tcW w:w="78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31.7%</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2,031.9</w:t>
            </w:r>
          </w:p>
        </w:tc>
        <w:tc>
          <w:tcPr>
            <w:tcW w:w="22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172"/>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Private &amp; other</w:t>
            </w:r>
          </w:p>
        </w:tc>
        <w:tc>
          <w:tcPr>
            <w:tcW w:w="8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213.5</w:t>
            </w:r>
          </w:p>
        </w:tc>
        <w:tc>
          <w:tcPr>
            <w:tcW w:w="220" w:type="dxa"/>
            <w:vAlign w:val="bottom"/>
            <w:tcBorders>
              <w:right w:val="single" w:sz="8" w:color="CFF0FC"/>
            </w:tcBorders>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220" w:type="dxa"/>
            <w:vAlign w:val="bottom"/>
            <w:tcBorders>
              <w:right w:val="single" w:sz="8" w:color="CFF0FC"/>
            </w:tcBorders>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
        </w:trPr>
        <w:tc>
          <w:tcPr>
            <w:tcW w:w="2100" w:type="dxa"/>
            <w:vAlign w:val="bottom"/>
            <w:shd w:val="clear" w:color="auto" w:fill="CFF0FC"/>
          </w:tcPr>
          <w:p>
            <w:pPr>
              <w:spacing w:after="0" w:line="20" w:lineRule="exact"/>
              <w:rPr>
                <w:sz w:val="1"/>
                <w:szCs w:val="1"/>
                <w:color w:val="auto"/>
              </w:rPr>
            </w:pPr>
          </w:p>
        </w:tc>
        <w:tc>
          <w:tcPr>
            <w:tcW w:w="8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1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11,445.8</w:t>
            </w:r>
          </w:p>
        </w:tc>
        <w:tc>
          <w:tcPr>
            <w:tcW w:w="220" w:type="dxa"/>
            <w:vAlign w:val="bottom"/>
          </w:tcPr>
          <w:p>
            <w:pPr>
              <w:spacing w:after="0"/>
              <w:rPr>
                <w:sz w:val="14"/>
                <w:szCs w:val="14"/>
                <w:color w:val="auto"/>
              </w:rPr>
            </w:pPr>
          </w:p>
        </w:tc>
        <w:tc>
          <w:tcPr>
            <w:tcW w:w="78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88.7%</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8,754.3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86.9%</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6,522.5</w:t>
            </w:r>
          </w:p>
        </w:tc>
        <w:tc>
          <w:tcPr>
            <w:tcW w:w="22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84.8%</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5"/>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9"/>
        </w:trPr>
        <w:tc>
          <w:tcPr>
            <w:tcW w:w="2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gridSpan w:val="8"/>
          </w:tcPr>
          <w:p>
            <w:pPr>
              <w:jc w:val="center"/>
              <w:ind w:left="373"/>
              <w:spacing w:after="0" w:line="109" w:lineRule="exact"/>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gridSpan w:val="2"/>
          </w:tcPr>
          <w:p>
            <w:pPr>
              <w:jc w:val="right"/>
              <w:ind w:right="6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3"/>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20" w:type="dxa"/>
            <w:vAlign w:val="bottom"/>
            <w:vMerge w:val="restart"/>
          </w:tcPr>
          <w:p>
            <w:pPr>
              <w:spacing w:after="0"/>
              <w:rPr>
                <w:sz w:val="7"/>
                <w:szCs w:val="7"/>
                <w:color w:val="auto"/>
              </w:rPr>
            </w:pPr>
          </w:p>
        </w:tc>
        <w:tc>
          <w:tcPr>
            <w:tcW w:w="580" w:type="dxa"/>
            <w:vAlign w:val="bottom"/>
          </w:tcPr>
          <w:p>
            <w:pPr>
              <w:jc w:val="center"/>
              <w:ind w:right="33"/>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560" w:type="dxa"/>
            <w:vAlign w:val="bottom"/>
          </w:tcPr>
          <w:p>
            <w:pPr>
              <w:jc w:val="center"/>
              <w:ind w:right="52"/>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w w:val="99"/>
              </w:rPr>
              <w:t>Revenue</w:t>
            </w:r>
          </w:p>
        </w:tc>
        <w:tc>
          <w:tcPr>
            <w:tcW w:w="220" w:type="dxa"/>
            <w:vAlign w:val="bottom"/>
            <w:vMerge w:val="restart"/>
          </w:tcPr>
          <w:p>
            <w:pPr>
              <w:spacing w:after="0"/>
              <w:rPr>
                <w:sz w:val="7"/>
                <w:szCs w:val="7"/>
                <w:color w:val="auto"/>
              </w:rPr>
            </w:pPr>
          </w:p>
        </w:tc>
        <w:tc>
          <w:tcPr>
            <w:tcW w:w="560" w:type="dxa"/>
            <w:vAlign w:val="bottom"/>
          </w:tcPr>
          <w:p>
            <w:pPr>
              <w:jc w:val="center"/>
              <w:ind w:right="52"/>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58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56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56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Commercial insurance</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188.7</w:t>
            </w:r>
          </w:p>
        </w:tc>
        <w:tc>
          <w:tcPr>
            <w:tcW w:w="220" w:type="dxa"/>
            <w:vAlign w:val="bottom"/>
            <w:tcBorders>
              <w:right w:val="single" w:sz="8" w:color="CFF0FC"/>
            </w:tcBorders>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220" w:type="dxa"/>
            <w:vAlign w:val="bottom"/>
            <w:tcBorders>
              <w:right w:val="single" w:sz="8" w:color="CFF0FC"/>
            </w:tcBorders>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72"/>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Medicaid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402.0</w:t>
            </w:r>
          </w:p>
        </w:tc>
        <w:tc>
          <w:tcPr>
            <w:tcW w:w="220" w:type="dxa"/>
            <w:vAlign w:val="bottom"/>
          </w:tcPr>
          <w:p>
            <w:pPr>
              <w:spacing w:after="0"/>
              <w:rPr>
                <w:sz w:val="14"/>
                <w:szCs w:val="14"/>
                <w:color w:val="auto"/>
              </w:rPr>
            </w:pPr>
          </w:p>
        </w:tc>
        <w:tc>
          <w:tcPr>
            <w:tcW w:w="78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323.0</w:t>
            </w:r>
          </w:p>
        </w:tc>
        <w:tc>
          <w:tcPr>
            <w:tcW w:w="22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72"/>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Medicare Part A</w:t>
            </w:r>
          </w:p>
        </w:tc>
        <w:tc>
          <w:tcPr>
            <w:tcW w:w="8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521.5</w:t>
            </w:r>
          </w:p>
        </w:tc>
        <w:tc>
          <w:tcPr>
            <w:tcW w:w="220" w:type="dxa"/>
            <w:vAlign w:val="bottom"/>
            <w:tcBorders>
              <w:right w:val="single" w:sz="8" w:color="CFF0FC"/>
            </w:tcBorders>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453.2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409.3</w:t>
            </w:r>
          </w:p>
        </w:tc>
        <w:tc>
          <w:tcPr>
            <w:tcW w:w="220" w:type="dxa"/>
            <w:vAlign w:val="bottom"/>
            <w:tcBorders>
              <w:right w:val="single" w:sz="8" w:color="CFF0FC"/>
            </w:tcBorders>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72"/>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Medicare Part B</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20" w:type="dxa"/>
            <w:vAlign w:val="bottom"/>
          </w:tcPr>
          <w:p>
            <w:pPr>
              <w:spacing w:after="0"/>
              <w:rPr>
                <w:sz w:val="14"/>
                <w:szCs w:val="14"/>
                <w:color w:val="auto"/>
              </w:rPr>
            </w:pPr>
          </w:p>
        </w:tc>
        <w:tc>
          <w:tcPr>
            <w:tcW w:w="78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0.0%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22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72"/>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Medicare Part C</w:t>
            </w:r>
          </w:p>
        </w:tc>
        <w:tc>
          <w:tcPr>
            <w:tcW w:w="8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220" w:type="dxa"/>
            <w:vAlign w:val="bottom"/>
            <w:tcBorders>
              <w:right w:val="single" w:sz="8" w:color="CFF0FC"/>
            </w:tcBorders>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220" w:type="dxa"/>
            <w:vAlign w:val="bottom"/>
            <w:tcBorders>
              <w:right w:val="single" w:sz="8" w:color="CFF0FC"/>
            </w:tcBorders>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72"/>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Private &amp; other</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210.6</w:t>
            </w:r>
          </w:p>
        </w:tc>
        <w:tc>
          <w:tcPr>
            <w:tcW w:w="220" w:type="dxa"/>
            <w:vAlign w:val="bottom"/>
          </w:tcPr>
          <w:p>
            <w:pPr>
              <w:spacing w:after="0"/>
              <w:rPr>
                <w:sz w:val="14"/>
                <w:szCs w:val="14"/>
                <w:color w:val="auto"/>
              </w:rPr>
            </w:pPr>
          </w:p>
        </w:tc>
        <w:tc>
          <w:tcPr>
            <w:tcW w:w="78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22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1,464.8</w:t>
            </w:r>
          </w:p>
        </w:tc>
        <w:tc>
          <w:tcPr>
            <w:tcW w:w="220" w:type="dxa"/>
            <w:vAlign w:val="bottom"/>
            <w:tcBorders>
              <w:right w:val="single" w:sz="8" w:color="CFF0FC"/>
            </w:tcBorders>
            <w:shd w:val="clear" w:color="auto" w:fill="CFF0FC"/>
          </w:tcPr>
          <w:p>
            <w:pPr>
              <w:spacing w:after="0"/>
              <w:rPr>
                <w:sz w:val="15"/>
                <w:szCs w:val="15"/>
                <w:color w:val="auto"/>
              </w:rPr>
            </w:pPr>
          </w:p>
        </w:tc>
        <w:tc>
          <w:tcPr>
            <w:tcW w:w="780" w:type="dxa"/>
            <w:vAlign w:val="bottom"/>
            <w:tcBorders>
              <w:right w:val="single" w:sz="8" w:color="CFF0FC"/>
            </w:tcBorders>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1,317.9</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1,168.5</w:t>
            </w:r>
          </w:p>
        </w:tc>
        <w:tc>
          <w:tcPr>
            <w:tcW w:w="220" w:type="dxa"/>
            <w:vAlign w:val="bottom"/>
            <w:tcBorders>
              <w:right w:val="single" w:sz="8" w:color="CFF0FC"/>
            </w:tcBorders>
            <w:shd w:val="clear" w:color="auto" w:fill="CFF0FC"/>
          </w:tcPr>
          <w:p>
            <w:pPr>
              <w:spacing w:after="0"/>
              <w:rPr>
                <w:sz w:val="15"/>
                <w:szCs w:val="15"/>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20"/>
        </w:trPr>
        <w:tc>
          <w:tcPr>
            <w:tcW w:w="21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9"/>
        </w:trPr>
        <w:tc>
          <w:tcPr>
            <w:tcW w:w="2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gridSpan w:val="7"/>
          </w:tcPr>
          <w:p>
            <w:pPr>
              <w:jc w:val="center"/>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gridSpan w:val="2"/>
          </w:tcPr>
          <w:p>
            <w:pPr>
              <w:jc w:val="right"/>
              <w:ind w:right="6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3"/>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20" w:type="dxa"/>
            <w:vAlign w:val="bottom"/>
            <w:vMerge w:val="restart"/>
          </w:tcPr>
          <w:p>
            <w:pPr>
              <w:spacing w:after="0"/>
              <w:rPr>
                <w:sz w:val="7"/>
                <w:szCs w:val="7"/>
                <w:color w:val="auto"/>
              </w:rPr>
            </w:pPr>
          </w:p>
        </w:tc>
        <w:tc>
          <w:tcPr>
            <w:tcW w:w="580" w:type="dxa"/>
            <w:vAlign w:val="bottom"/>
          </w:tcPr>
          <w:p>
            <w:pPr>
              <w:jc w:val="center"/>
              <w:ind w:right="33"/>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560" w:type="dxa"/>
            <w:vAlign w:val="bottom"/>
          </w:tcPr>
          <w:p>
            <w:pPr>
              <w:jc w:val="center"/>
              <w:ind w:right="52"/>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w w:val="99"/>
              </w:rPr>
              <w:t>Revenue</w:t>
            </w:r>
          </w:p>
        </w:tc>
        <w:tc>
          <w:tcPr>
            <w:tcW w:w="220" w:type="dxa"/>
            <w:vAlign w:val="bottom"/>
            <w:vMerge w:val="restart"/>
          </w:tcPr>
          <w:p>
            <w:pPr>
              <w:spacing w:after="0"/>
              <w:rPr>
                <w:sz w:val="7"/>
                <w:szCs w:val="7"/>
                <w:color w:val="auto"/>
              </w:rPr>
            </w:pPr>
          </w:p>
        </w:tc>
        <w:tc>
          <w:tcPr>
            <w:tcW w:w="560" w:type="dxa"/>
            <w:vAlign w:val="bottom"/>
          </w:tcPr>
          <w:p>
            <w:pPr>
              <w:jc w:val="center"/>
              <w:ind w:right="52"/>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58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56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56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Commercial insurance</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3,303.3</w:t>
            </w:r>
          </w:p>
        </w:tc>
        <w:tc>
          <w:tcPr>
            <w:tcW w:w="220" w:type="dxa"/>
            <w:vAlign w:val="bottom"/>
            <w:tcBorders>
              <w:right w:val="single" w:sz="8" w:color="CFF0FC"/>
            </w:tcBorders>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2,528.1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1,810.2</w:t>
            </w:r>
          </w:p>
        </w:tc>
        <w:tc>
          <w:tcPr>
            <w:tcW w:w="220" w:type="dxa"/>
            <w:vAlign w:val="bottom"/>
            <w:tcBorders>
              <w:right w:val="single" w:sz="8" w:color="CFF0FC"/>
            </w:tcBorders>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172"/>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Medicaid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1,495.2</w:t>
            </w:r>
          </w:p>
        </w:tc>
        <w:tc>
          <w:tcPr>
            <w:tcW w:w="220" w:type="dxa"/>
            <w:vAlign w:val="bottom"/>
          </w:tcPr>
          <w:p>
            <w:pPr>
              <w:spacing w:after="0"/>
              <w:rPr>
                <w:sz w:val="14"/>
                <w:szCs w:val="14"/>
                <w:color w:val="auto"/>
              </w:rPr>
            </w:pPr>
          </w:p>
        </w:tc>
        <w:tc>
          <w:tcPr>
            <w:tcW w:w="78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979.1</w:t>
            </w:r>
          </w:p>
        </w:tc>
        <w:tc>
          <w:tcPr>
            <w:tcW w:w="22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72"/>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Medicare Part A</w:t>
            </w:r>
          </w:p>
        </w:tc>
        <w:tc>
          <w:tcPr>
            <w:tcW w:w="8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1,094.3</w:t>
            </w:r>
          </w:p>
        </w:tc>
        <w:tc>
          <w:tcPr>
            <w:tcW w:w="220" w:type="dxa"/>
            <w:vAlign w:val="bottom"/>
            <w:tcBorders>
              <w:right w:val="single" w:sz="8" w:color="CFF0FC"/>
            </w:tcBorders>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999.6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958.6</w:t>
            </w:r>
          </w:p>
        </w:tc>
        <w:tc>
          <w:tcPr>
            <w:tcW w:w="220" w:type="dxa"/>
            <w:vAlign w:val="bottom"/>
            <w:tcBorders>
              <w:right w:val="single" w:sz="8" w:color="CFF0FC"/>
            </w:tcBorders>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72"/>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Medicare Part B</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220" w:type="dxa"/>
            <w:vAlign w:val="bottom"/>
          </w:tcPr>
          <w:p>
            <w:pPr>
              <w:spacing w:after="0"/>
              <w:rPr>
                <w:sz w:val="14"/>
                <w:szCs w:val="14"/>
                <w:color w:val="auto"/>
              </w:rPr>
            </w:pPr>
          </w:p>
        </w:tc>
        <w:tc>
          <w:tcPr>
            <w:tcW w:w="78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22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2"/>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Medicare Part C</w:t>
            </w:r>
          </w:p>
        </w:tc>
        <w:tc>
          <w:tcPr>
            <w:tcW w:w="8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2,413.1</w:t>
            </w:r>
          </w:p>
        </w:tc>
        <w:tc>
          <w:tcPr>
            <w:tcW w:w="220" w:type="dxa"/>
            <w:vAlign w:val="bottom"/>
            <w:tcBorders>
              <w:right w:val="single" w:sz="8" w:color="CFF0FC"/>
            </w:tcBorders>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1,665.0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1,450.4</w:t>
            </w:r>
          </w:p>
        </w:tc>
        <w:tc>
          <w:tcPr>
            <w:tcW w:w="220" w:type="dxa"/>
            <w:vAlign w:val="bottom"/>
            <w:tcBorders>
              <w:right w:val="single" w:sz="8" w:color="CFF0FC"/>
            </w:tcBorders>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72"/>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Medicare Part 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4,097.8</w:t>
            </w:r>
          </w:p>
        </w:tc>
        <w:tc>
          <w:tcPr>
            <w:tcW w:w="220" w:type="dxa"/>
            <w:vAlign w:val="bottom"/>
          </w:tcPr>
          <w:p>
            <w:pPr>
              <w:spacing w:after="0"/>
              <w:rPr>
                <w:sz w:val="14"/>
                <w:szCs w:val="14"/>
                <w:color w:val="auto"/>
              </w:rPr>
            </w:pPr>
          </w:p>
        </w:tc>
        <w:tc>
          <w:tcPr>
            <w:tcW w:w="78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31.7%</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2,031.9</w:t>
            </w:r>
          </w:p>
        </w:tc>
        <w:tc>
          <w:tcPr>
            <w:tcW w:w="22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172"/>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Private &amp; other</w:t>
            </w:r>
          </w:p>
        </w:tc>
        <w:tc>
          <w:tcPr>
            <w:tcW w:w="8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424.1</w:t>
            </w:r>
          </w:p>
        </w:tc>
        <w:tc>
          <w:tcPr>
            <w:tcW w:w="220" w:type="dxa"/>
            <w:vAlign w:val="bottom"/>
            <w:tcBorders>
              <w:right w:val="single" w:sz="8" w:color="CFF0FC"/>
            </w:tcBorders>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415.1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378.0</w:t>
            </w:r>
          </w:p>
        </w:tc>
        <w:tc>
          <w:tcPr>
            <w:tcW w:w="220" w:type="dxa"/>
            <w:vAlign w:val="bottom"/>
            <w:tcBorders>
              <w:right w:val="single" w:sz="8" w:color="CFF0FC"/>
            </w:tcBorders>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0"/>
        </w:trPr>
        <w:tc>
          <w:tcPr>
            <w:tcW w:w="2100" w:type="dxa"/>
            <w:vAlign w:val="bottom"/>
            <w:shd w:val="clear" w:color="auto" w:fill="CFF0FC"/>
          </w:tcPr>
          <w:p>
            <w:pPr>
              <w:spacing w:after="0" w:line="20" w:lineRule="exact"/>
              <w:rPr>
                <w:sz w:val="1"/>
                <w:szCs w:val="1"/>
                <w:color w:val="auto"/>
              </w:rPr>
            </w:pPr>
          </w:p>
        </w:tc>
        <w:tc>
          <w:tcPr>
            <w:tcW w:w="8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10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12,910.6</w:t>
            </w:r>
          </w:p>
        </w:tc>
        <w:tc>
          <w:tcPr>
            <w:tcW w:w="220" w:type="dxa"/>
            <w:vAlign w:val="bottom"/>
          </w:tcPr>
          <w:p>
            <w:pPr>
              <w:spacing w:after="0"/>
              <w:rPr>
                <w:sz w:val="14"/>
                <w:szCs w:val="14"/>
                <w:color w:val="auto"/>
              </w:rPr>
            </w:pPr>
          </w:p>
        </w:tc>
        <w:tc>
          <w:tcPr>
            <w:tcW w:w="78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10,072.2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7,691.0</w:t>
            </w:r>
          </w:p>
        </w:tc>
        <w:tc>
          <w:tcPr>
            <w:tcW w:w="22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2696210</wp:posOffset>
            </wp:positionH>
            <wp:positionV relativeFrom="paragraph">
              <wp:posOffset>-2849880</wp:posOffset>
            </wp:positionV>
            <wp:extent cx="47625"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-2849880</wp:posOffset>
            </wp:positionV>
            <wp:extent cx="88900"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3719195</wp:posOffset>
            </wp:positionH>
            <wp:positionV relativeFrom="paragraph">
              <wp:posOffset>-2849880</wp:posOffset>
            </wp:positionV>
            <wp:extent cx="47625"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4217035</wp:posOffset>
            </wp:positionH>
            <wp:positionV relativeFrom="paragraph">
              <wp:posOffset>-2849880</wp:posOffset>
            </wp:positionV>
            <wp:extent cx="88900" cy="69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-2849880</wp:posOffset>
            </wp:positionV>
            <wp:extent cx="47625" cy="69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-2849880</wp:posOffset>
            </wp:positionV>
            <wp:extent cx="88900" cy="69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-1431290</wp:posOffset>
            </wp:positionV>
            <wp:extent cx="47625"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-1417955</wp:posOffset>
            </wp:positionV>
            <wp:extent cx="47625"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-1431290</wp:posOffset>
            </wp:positionV>
            <wp:extent cx="88900"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-1417955</wp:posOffset>
            </wp:positionV>
            <wp:extent cx="88900"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3719195</wp:posOffset>
            </wp:positionH>
            <wp:positionV relativeFrom="paragraph">
              <wp:posOffset>-1431290</wp:posOffset>
            </wp:positionV>
            <wp:extent cx="47625"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3719195</wp:posOffset>
            </wp:positionH>
            <wp:positionV relativeFrom="paragraph">
              <wp:posOffset>-1417955</wp:posOffset>
            </wp:positionV>
            <wp:extent cx="47625"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4217035</wp:posOffset>
            </wp:positionH>
            <wp:positionV relativeFrom="paragraph">
              <wp:posOffset>-1431290</wp:posOffset>
            </wp:positionV>
            <wp:extent cx="88900" cy="69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4217035</wp:posOffset>
            </wp:positionH>
            <wp:positionV relativeFrom="paragraph">
              <wp:posOffset>-1417955</wp:posOffset>
            </wp:positionV>
            <wp:extent cx="88900" cy="69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-1431290</wp:posOffset>
            </wp:positionV>
            <wp:extent cx="47625" cy="69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-1417955</wp:posOffset>
            </wp:positionV>
            <wp:extent cx="47625" cy="69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-1431290</wp:posOffset>
            </wp:positionV>
            <wp:extent cx="88900" cy="69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-1417955</wp:posOffset>
            </wp:positionV>
            <wp:extent cx="88900" cy="69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-135890</wp:posOffset>
            </wp:positionV>
            <wp:extent cx="47625" cy="69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-135890</wp:posOffset>
            </wp:positionV>
            <wp:extent cx="88900" cy="69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3719195</wp:posOffset>
            </wp:positionH>
            <wp:positionV relativeFrom="paragraph">
              <wp:posOffset>-135890</wp:posOffset>
            </wp:positionV>
            <wp:extent cx="47625" cy="69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4217035</wp:posOffset>
            </wp:positionH>
            <wp:positionV relativeFrom="paragraph">
              <wp:posOffset>-135890</wp:posOffset>
            </wp:positionV>
            <wp:extent cx="88900" cy="69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-135890</wp:posOffset>
            </wp:positionV>
            <wp:extent cx="47625" cy="69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-135890</wp:posOffset>
            </wp:positionV>
            <wp:extent cx="88900" cy="69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0" cy="6985"/>
                    </a:xfrm>
                    <a:prstGeom prst="rect">
                      <a:avLst/>
                    </a:prstGeom>
                    <a:noFill/>
                  </pic:spPr>
                </pic:pic>
              </a:graphicData>
            </a:graphic>
          </wp:anchor>
        </w:drawing>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231F20"/>
        </w:rPr>
        <w:t>Refer to Note 17 for the disaggregation of revenues by segment.</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231F20"/>
        </w:rPr>
        <w:t>4. Acquisitions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231F20"/>
        </w:rPr>
        <w:t>2025 Acquisitions</w:t>
      </w:r>
    </w:p>
    <w:p>
      <w:pPr>
        <w:spacing w:after="0" w:line="185" w:lineRule="exact"/>
        <w:rPr>
          <w:sz w:val="20"/>
          <w:szCs w:val="20"/>
          <w:color w:val="auto"/>
        </w:rPr>
      </w:pPr>
    </w:p>
    <w:p>
      <w:pPr>
        <w:ind w:left="640" w:right="1059"/>
        <w:spacing w:after="0" w:line="268" w:lineRule="auto"/>
        <w:rPr>
          <w:sz w:val="20"/>
          <w:szCs w:val="20"/>
          <w:color w:val="auto"/>
        </w:rPr>
      </w:pPr>
      <w:r>
        <w:rPr>
          <w:rFonts w:ascii="Times New Roman" w:cs="Times New Roman" w:eastAsia="Times New Roman" w:hAnsi="Times New Roman"/>
          <w:sz w:val="14"/>
          <w:szCs w:val="14"/>
          <w:color w:val="231F20"/>
        </w:rPr>
        <w:t>During the year ended December 31, 2025, we completed three acquisitions within the Provider Services segment for aggregate consideration net of cash acquired of $247.0 million. We entered into these transactions in order to expand our services and geographic offerings. The operating results of these acquisitions are included in our consolidated financial statements from the respective dates of the acquisition.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8" w:name="page109"/>
    <w:bookmarkEnd w:id="10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u w:val="single" w:color="auto"/>
          <w:color w:val="231F20"/>
        </w:rPr>
        <w:t>Amedisys and LHC Branches Acquisition</w:t>
      </w:r>
    </w:p>
    <w:p>
      <w:pPr>
        <w:spacing w:after="0" w:line="185" w:lineRule="exact"/>
        <w:rPr>
          <w:sz w:val="20"/>
          <w:szCs w:val="20"/>
          <w:color w:val="auto"/>
        </w:rPr>
      </w:pPr>
    </w:p>
    <w:p>
      <w:pPr>
        <w:ind w:left="640" w:right="859"/>
        <w:spacing w:after="0" w:line="262" w:lineRule="auto"/>
        <w:rPr>
          <w:sz w:val="20"/>
          <w:szCs w:val="20"/>
          <w:color w:val="auto"/>
        </w:rPr>
      </w:pPr>
      <w:r>
        <w:rPr>
          <w:rFonts w:ascii="Times New Roman" w:cs="Times New Roman" w:eastAsia="Times New Roman" w:hAnsi="Times New Roman"/>
          <w:sz w:val="14"/>
          <w:szCs w:val="14"/>
          <w:color w:val="231F20"/>
        </w:rPr>
        <w:t xml:space="preserve">The Company entered into a purchase agreement with Amedisys, Inc., UnitedHealth Group Incorporated and certain of their respective subsidiaries, to purchase certain Amedisys home health and hospice care centers and certain UnitedHealth Group care centers (the </w:t>
      </w:r>
      <w:r>
        <w:rPr>
          <w:rFonts w:ascii="Times New Roman" w:cs="Times New Roman" w:eastAsia="Times New Roman" w:hAnsi="Times New Roman"/>
          <w:sz w:val="14"/>
          <w:szCs w:val="14"/>
          <w:color w:val="000000"/>
        </w:rPr>
        <w:t>“Amedisys and LHC Branches Acquisition”</w:t>
      </w:r>
      <w:r>
        <w:rPr>
          <w:rFonts w:ascii="Times New Roman" w:cs="Times New Roman" w:eastAsia="Times New Roman" w:hAnsi="Times New Roman"/>
          <w:sz w:val="14"/>
          <w:szCs w:val="14"/>
          <w:color w:val="231F20"/>
        </w:rPr>
        <w:t xml:space="preserve">), which is comprised of 110 branches, for a total purchase price of $246.4 million, net of cash acquired. On December 1, 2025 and December 31, 2025, the Company closed on 103 branches and 4 branches, respectively, as a part of the </w:t>
      </w:r>
      <w:r>
        <w:rPr>
          <w:rFonts w:ascii="Times New Roman" w:cs="Times New Roman" w:eastAsia="Times New Roman" w:hAnsi="Times New Roman"/>
          <w:sz w:val="14"/>
          <w:szCs w:val="14"/>
          <w:color w:val="000000"/>
        </w:rPr>
        <w:t>Amedisys and LHC Branches Acquisition for aggregate consideration of $238.5 million net of cash</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acquired</w:t>
      </w:r>
      <w:r>
        <w:rPr>
          <w:rFonts w:ascii="Times New Roman" w:cs="Times New Roman" w:eastAsia="Times New Roman" w:hAnsi="Times New Roman"/>
          <w:sz w:val="14"/>
          <w:szCs w:val="14"/>
          <w:color w:val="231F20"/>
        </w:rPr>
        <w:t>. The closing of the remaining three branches is expected to occur in fiscal year 2026, subject to customary regulatory</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approvals and other closing conditions.</w:t>
      </w:r>
    </w:p>
    <w:p>
      <w:pPr>
        <w:spacing w:after="0" w:line="144" w:lineRule="exact"/>
        <w:rPr>
          <w:sz w:val="20"/>
          <w:szCs w:val="20"/>
          <w:color w:val="auto"/>
        </w:rPr>
      </w:pPr>
    </w:p>
    <w:p>
      <w:pPr>
        <w:ind w:left="640" w:right="1039"/>
        <w:spacing w:after="0" w:line="265" w:lineRule="auto"/>
        <w:rPr>
          <w:sz w:val="20"/>
          <w:szCs w:val="20"/>
          <w:color w:val="auto"/>
        </w:rPr>
      </w:pPr>
      <w:r>
        <w:rPr>
          <w:rFonts w:ascii="Times New Roman" w:cs="Times New Roman" w:eastAsia="Times New Roman" w:hAnsi="Times New Roman"/>
          <w:sz w:val="14"/>
          <w:szCs w:val="14"/>
          <w:color w:val="231F20"/>
        </w:rPr>
        <w:t xml:space="preserve">Upon closing, we entered into a one-year TSA with the sellers to support our post-closing operations of the </w:t>
      </w:r>
      <w:r>
        <w:rPr>
          <w:rFonts w:ascii="Times New Roman" w:cs="Times New Roman" w:eastAsia="Times New Roman" w:hAnsi="Times New Roman"/>
          <w:sz w:val="14"/>
          <w:szCs w:val="14"/>
          <w:color w:val="000000"/>
        </w:rPr>
        <w:t>Amedisys and LHC</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Branches Acquisition</w:t>
      </w:r>
      <w:r>
        <w:rPr>
          <w:rFonts w:ascii="Times New Roman" w:cs="Times New Roman" w:eastAsia="Times New Roman" w:hAnsi="Times New Roman"/>
          <w:sz w:val="14"/>
          <w:szCs w:val="14"/>
          <w:color w:val="231F20"/>
        </w:rPr>
        <w:t>. The sellers will continue to provide certain transition services in exchange for fixed-price service fees.</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Transition services primarily include finance and accounting, human resources, IT, and legal and compliance services. The fees associated with the services rendered under the TSA are not material to our results of operations and are recorded within selling, general, and administrative expenses in our consolidated statements of operations.</w:t>
      </w:r>
    </w:p>
    <w:p>
      <w:pPr>
        <w:spacing w:after="0" w:line="142" w:lineRule="exact"/>
        <w:rPr>
          <w:sz w:val="20"/>
          <w:szCs w:val="20"/>
          <w:color w:val="auto"/>
        </w:rPr>
      </w:pPr>
    </w:p>
    <w:p>
      <w:pPr>
        <w:ind w:left="640" w:right="719"/>
        <w:spacing w:after="0" w:line="174" w:lineRule="exact"/>
        <w:rPr>
          <w:sz w:val="20"/>
          <w:szCs w:val="20"/>
          <w:color w:val="auto"/>
        </w:rPr>
      </w:pPr>
      <w:r>
        <w:rPr>
          <w:rFonts w:ascii="Times New Roman" w:cs="Times New Roman" w:eastAsia="Times New Roman" w:hAnsi="Times New Roman"/>
          <w:sz w:val="14"/>
          <w:szCs w:val="14"/>
          <w:color w:val="231F20"/>
        </w:rPr>
        <w:t>T</w:t>
      </w:r>
      <w:r>
        <w:rPr>
          <w:rFonts w:ascii="Times New Roman" w:cs="Times New Roman" w:eastAsia="Times New Roman" w:hAnsi="Times New Roman"/>
          <w:sz w:val="14"/>
          <w:szCs w:val="14"/>
          <w:color w:val="000000"/>
        </w:rPr>
        <w:t>he Amedisys and LHC Branches Acquisition</w:t>
      </w:r>
      <w:r>
        <w:rPr>
          <w:rFonts w:ascii="Times New Roman" w:cs="Times New Roman" w:eastAsia="Times New Roman" w:hAnsi="Times New Roman"/>
          <w:sz w:val="14"/>
          <w:szCs w:val="14"/>
          <w:color w:val="231F20"/>
        </w:rPr>
        <w:t xml:space="preserve"> provides home health and hospice care services through several legal entities in 18 states, of which 17 states have closed as of December 31, 2025. Its results are consolidated within the Provider Services segment. The allocation of the purchase price is provisional as of December 31, 2025. Provisional amounts primarily relate to licenses, certain lease right-of-use assets and lease liabilities, working capital accounts (accounts receivable and certain accruals), and the valuation of redeemable noncontrolling interests. The provisional status is due to pending third</w:t>
      </w:r>
      <w:r>
        <w:rPr>
          <w:rFonts w:ascii="MS PGothic" w:cs="MS PGothic" w:eastAsia="MS PGothic" w:hAnsi="MS PGothic"/>
          <w:sz w:val="14"/>
          <w:szCs w:val="14"/>
          <w:color w:val="231F20"/>
        </w:rPr>
        <w:t>‑</w:t>
      </w:r>
      <w:r>
        <w:rPr>
          <w:rFonts w:ascii="Times New Roman" w:cs="Times New Roman" w:eastAsia="Times New Roman" w:hAnsi="Times New Roman"/>
          <w:sz w:val="14"/>
          <w:szCs w:val="14"/>
          <w:color w:val="231F20"/>
        </w:rPr>
        <w:t>party valuations, receipt of additional information from the sellers, and completion of certain closing procedures. We expect to complete the purchase price allocation no later than December 1, 2026. During the measurement period, we will record adjustments to provisional amounts with a corresponding adjustment to goodwill, reflecting facts and circumstances that existed as of the acquisition dates. The following table summarizes the consideration paid (in thousands) for the Amedisys and LHC Branches Acquisition and the provisional fair value of the assets acquired and the liabilities assumed at the respective acquisition dates.</w:t>
      </w:r>
    </w:p>
    <w:p>
      <w:pPr>
        <w:spacing w:after="0" w:line="174"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20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22,880</w:t>
            </w:r>
          </w:p>
        </w:tc>
        <w:tc>
          <w:tcPr>
            <w:tcW w:w="80" w:type="dxa"/>
            <w:vAlign w:val="bottom"/>
            <w:shd w:val="clear" w:color="auto" w:fill="CFF0FC"/>
          </w:tcPr>
          <w:p>
            <w:pPr>
              <w:spacing w:after="0"/>
              <w:rPr>
                <w:sz w:val="14"/>
                <w:szCs w:val="14"/>
                <w:color w:val="auto"/>
              </w:rPr>
            </w:pPr>
          </w:p>
        </w:tc>
      </w:tr>
      <w:tr>
        <w:trPr>
          <w:trHeight w:val="172"/>
        </w:trPr>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4"/>
                <w:szCs w:val="14"/>
                <w:color w:val="auto"/>
              </w:rPr>
            </w:pPr>
          </w:p>
        </w:tc>
      </w:tr>
      <w:tr>
        <w:trPr>
          <w:trHeight w:val="172"/>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Property and equipment</w:t>
            </w:r>
          </w:p>
        </w:tc>
        <w:tc>
          <w:tcPr>
            <w:tcW w:w="15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5,580</w:t>
            </w:r>
          </w:p>
        </w:tc>
        <w:tc>
          <w:tcPr>
            <w:tcW w:w="80" w:type="dxa"/>
            <w:vAlign w:val="bottom"/>
            <w:shd w:val="clear" w:color="auto" w:fill="CFF0FC"/>
          </w:tcPr>
          <w:p>
            <w:pPr>
              <w:spacing w:after="0"/>
              <w:rPr>
                <w:sz w:val="14"/>
                <w:szCs w:val="14"/>
                <w:color w:val="auto"/>
              </w:rPr>
            </w:pPr>
          </w:p>
        </w:tc>
      </w:tr>
      <w:tr>
        <w:trPr>
          <w:trHeight w:val="172"/>
        </w:trPr>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175,042</w:t>
            </w:r>
          </w:p>
        </w:tc>
        <w:tc>
          <w:tcPr>
            <w:tcW w:w="80" w:type="dxa"/>
            <w:vAlign w:val="bottom"/>
          </w:tcPr>
          <w:p>
            <w:pPr>
              <w:spacing w:after="0"/>
              <w:rPr>
                <w:sz w:val="14"/>
                <w:szCs w:val="14"/>
                <w:color w:val="auto"/>
              </w:rPr>
            </w:pPr>
          </w:p>
        </w:tc>
      </w:tr>
      <w:tr>
        <w:trPr>
          <w:trHeight w:val="172"/>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15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62,897</w:t>
            </w:r>
          </w:p>
        </w:tc>
        <w:tc>
          <w:tcPr>
            <w:tcW w:w="80" w:type="dxa"/>
            <w:vAlign w:val="bottom"/>
            <w:shd w:val="clear" w:color="auto" w:fill="CFF0FC"/>
          </w:tcPr>
          <w:p>
            <w:pPr>
              <w:spacing w:after="0"/>
              <w:rPr>
                <w:sz w:val="14"/>
                <w:szCs w:val="14"/>
                <w:color w:val="auto"/>
              </w:rPr>
            </w:pPr>
          </w:p>
        </w:tc>
      </w:tr>
      <w:tr>
        <w:trPr>
          <w:trHeight w:val="172"/>
        </w:trPr>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12,604</w:t>
            </w:r>
          </w:p>
        </w:tc>
        <w:tc>
          <w:tcPr>
            <w:tcW w:w="80" w:type="dxa"/>
            <w:vAlign w:val="bottom"/>
          </w:tcPr>
          <w:p>
            <w:pPr>
              <w:spacing w:after="0"/>
              <w:rPr>
                <w:sz w:val="14"/>
                <w:szCs w:val="14"/>
                <w:color w:val="auto"/>
              </w:rPr>
            </w:pPr>
          </w:p>
        </w:tc>
      </w:tr>
      <w:tr>
        <w:trPr>
          <w:trHeight w:val="172"/>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5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shd w:val="clear" w:color="auto" w:fill="CFF0FC"/>
          </w:tcPr>
          <w:p>
            <w:pPr>
              <w:spacing w:after="0"/>
              <w:rPr>
                <w:sz w:val="14"/>
                <w:szCs w:val="14"/>
                <w:color w:val="auto"/>
              </w:rPr>
            </w:pPr>
          </w:p>
        </w:tc>
      </w:tr>
      <w:tr>
        <w:trPr>
          <w:trHeight w:val="172"/>
        </w:trPr>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Trade accounts payable</w:t>
            </w: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80" w:type="dxa"/>
            <w:vAlign w:val="bottom"/>
          </w:tcPr>
          <w:p>
            <w:pPr>
              <w:spacing w:after="0"/>
              <w:rPr>
                <w:sz w:val="14"/>
                <w:szCs w:val="14"/>
                <w:color w:val="auto"/>
              </w:rPr>
            </w:pPr>
          </w:p>
        </w:tc>
      </w:tr>
      <w:tr>
        <w:trPr>
          <w:trHeight w:val="172"/>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expenses</w:t>
            </w:r>
          </w:p>
        </w:tc>
        <w:tc>
          <w:tcPr>
            <w:tcW w:w="15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10,631</w:t>
            </w:r>
          </w:p>
        </w:tc>
        <w:tc>
          <w:tcPr>
            <w:tcW w:w="80" w:type="dxa"/>
            <w:vAlign w:val="bottom"/>
            <w:shd w:val="clear" w:color="auto" w:fill="CFF0FC"/>
          </w:tcPr>
          <w:p>
            <w:pPr>
              <w:spacing w:after="0"/>
              <w:rPr>
                <w:sz w:val="14"/>
                <w:szCs w:val="14"/>
                <w:color w:val="auto"/>
              </w:rPr>
            </w:pPr>
          </w:p>
        </w:tc>
      </w:tr>
      <w:tr>
        <w:trPr>
          <w:trHeight w:val="172"/>
        </w:trPr>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Current portion of obligations under operating leases</w:t>
            </w: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4,177</w:t>
            </w:r>
          </w:p>
        </w:tc>
        <w:tc>
          <w:tcPr>
            <w:tcW w:w="80" w:type="dxa"/>
            <w:vAlign w:val="bottom"/>
          </w:tcPr>
          <w:p>
            <w:pPr>
              <w:spacing w:after="0"/>
              <w:rPr>
                <w:sz w:val="14"/>
                <w:szCs w:val="14"/>
                <w:color w:val="auto"/>
              </w:rPr>
            </w:pPr>
          </w:p>
        </w:tc>
      </w:tr>
      <w:tr>
        <w:trPr>
          <w:trHeight w:val="172"/>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portion of obligations under financing leases</w:t>
            </w:r>
          </w:p>
        </w:tc>
        <w:tc>
          <w:tcPr>
            <w:tcW w:w="15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80" w:type="dxa"/>
            <w:vAlign w:val="bottom"/>
            <w:shd w:val="clear" w:color="auto" w:fill="CFF0FC"/>
          </w:tcPr>
          <w:p>
            <w:pPr>
              <w:spacing w:after="0"/>
              <w:rPr>
                <w:sz w:val="14"/>
                <w:szCs w:val="14"/>
                <w:color w:val="auto"/>
              </w:rPr>
            </w:pPr>
          </w:p>
        </w:tc>
      </w:tr>
      <w:tr>
        <w:trPr>
          <w:trHeight w:val="172"/>
        </w:trPr>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Obligations under operating leases, net of current portion</w:t>
            </w: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8,427</w:t>
            </w:r>
          </w:p>
        </w:tc>
        <w:tc>
          <w:tcPr>
            <w:tcW w:w="80" w:type="dxa"/>
            <w:vAlign w:val="bottom"/>
          </w:tcPr>
          <w:p>
            <w:pPr>
              <w:spacing w:after="0"/>
              <w:rPr>
                <w:sz w:val="14"/>
                <w:szCs w:val="14"/>
                <w:color w:val="auto"/>
              </w:rPr>
            </w:pPr>
          </w:p>
        </w:tc>
      </w:tr>
      <w:tr>
        <w:trPr>
          <w:trHeight w:val="172"/>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Obligations under financing leases, net of current portion</w:t>
            </w:r>
          </w:p>
        </w:tc>
        <w:tc>
          <w:tcPr>
            <w:tcW w:w="15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3,570</w:t>
            </w:r>
          </w:p>
        </w:tc>
        <w:tc>
          <w:tcPr>
            <w:tcW w:w="80" w:type="dxa"/>
            <w:vAlign w:val="bottom"/>
            <w:shd w:val="clear" w:color="auto" w:fill="CFF0FC"/>
          </w:tcPr>
          <w:p>
            <w:pPr>
              <w:spacing w:after="0"/>
              <w:rPr>
                <w:sz w:val="14"/>
                <w:szCs w:val="14"/>
                <w:color w:val="auto"/>
              </w:rPr>
            </w:pPr>
          </w:p>
        </w:tc>
      </w:tr>
      <w:tr>
        <w:trPr>
          <w:trHeight w:val="172"/>
        </w:trPr>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Long-term liabilities</w:t>
            </w: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2,773</w:t>
            </w:r>
          </w:p>
        </w:tc>
        <w:tc>
          <w:tcPr>
            <w:tcW w:w="80" w:type="dxa"/>
            <w:vAlign w:val="bottom"/>
          </w:tcPr>
          <w:p>
            <w:pPr>
              <w:spacing w:after="0"/>
              <w:rPr>
                <w:sz w:val="14"/>
                <w:szCs w:val="14"/>
                <w:color w:val="auto"/>
              </w:rPr>
            </w:pPr>
          </w:p>
        </w:tc>
      </w:tr>
      <w:tr>
        <w:trPr>
          <w:trHeight w:val="172"/>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15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8,639</w:t>
            </w:r>
          </w:p>
        </w:tc>
        <w:tc>
          <w:tcPr>
            <w:tcW w:w="80" w:type="dxa"/>
            <w:vAlign w:val="bottom"/>
            <w:shd w:val="clear" w:color="auto" w:fill="CFF0FC"/>
          </w:tcPr>
          <w:p>
            <w:pPr>
              <w:spacing w:after="0"/>
              <w:rPr>
                <w:sz w:val="14"/>
                <w:szCs w:val="14"/>
                <w:color w:val="auto"/>
              </w:rPr>
            </w:pPr>
          </w:p>
        </w:tc>
      </w:tr>
      <w:tr>
        <w:trPr>
          <w:trHeight w:val="172"/>
        </w:trPr>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w:t>
            </w:r>
          </w:p>
        </w:tc>
      </w:tr>
      <w:tr>
        <w:trPr>
          <w:trHeight w:val="20"/>
        </w:trPr>
        <w:tc>
          <w:tcPr>
            <w:tcW w:w="4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4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Aggregate purchase price, net of cash acquired</w:t>
            </w:r>
          </w:p>
        </w:tc>
        <w:tc>
          <w:tcPr>
            <w:tcW w:w="20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238,459</w:t>
            </w:r>
          </w:p>
        </w:tc>
        <w:tc>
          <w:tcPr>
            <w:tcW w:w="80" w:type="dxa"/>
            <w:vAlign w:val="bottom"/>
            <w:shd w:val="clear" w:color="auto" w:fill="CFF0FC"/>
          </w:tcPr>
          <w:p>
            <w:pPr>
              <w:spacing w:after="0"/>
              <w:rPr>
                <w:sz w:val="15"/>
                <w:szCs w:val="15"/>
                <w:color w:val="auto"/>
              </w:rPr>
            </w:pPr>
          </w:p>
        </w:tc>
      </w:tr>
      <w:tr>
        <w:trPr>
          <w:trHeight w:val="20"/>
        </w:trPr>
        <w:tc>
          <w:tcPr>
            <w:tcW w:w="480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739"/>
        <w:spacing w:after="0" w:line="292" w:lineRule="auto"/>
        <w:rPr>
          <w:sz w:val="20"/>
          <w:szCs w:val="20"/>
          <w:color w:val="auto"/>
        </w:rPr>
      </w:pPr>
      <w:r>
        <w:rPr>
          <w:rFonts w:ascii="Times New Roman" w:cs="Times New Roman" w:eastAsia="Times New Roman" w:hAnsi="Times New Roman"/>
          <w:sz w:val="14"/>
          <w:szCs w:val="14"/>
          <w:color w:val="auto"/>
        </w:rPr>
        <w:t>The Company acquired eight joint ventures as a part of the transaction which are recorded as redeemable noncontrolling interests and noncontrolling interests on the consolidated balance sheet.</w:t>
      </w:r>
    </w:p>
    <w:p>
      <w:pPr>
        <w:spacing w:after="0" w:line="124" w:lineRule="exact"/>
        <w:rPr>
          <w:sz w:val="20"/>
          <w:szCs w:val="20"/>
          <w:color w:val="auto"/>
        </w:rPr>
      </w:pPr>
    </w:p>
    <w:p>
      <w:pPr>
        <w:ind w:left="640" w:right="679"/>
        <w:spacing w:after="0" w:line="268" w:lineRule="auto"/>
        <w:rPr>
          <w:sz w:val="20"/>
          <w:szCs w:val="20"/>
          <w:color w:val="auto"/>
        </w:rPr>
      </w:pPr>
      <w:r>
        <w:rPr>
          <w:rFonts w:ascii="Times New Roman" w:cs="Times New Roman" w:eastAsia="Times New Roman" w:hAnsi="Times New Roman"/>
          <w:sz w:val="14"/>
          <w:szCs w:val="14"/>
          <w:color w:val="auto"/>
        </w:rPr>
        <w:t xml:space="preserve">We have estimated the fair value of acquired licenses of $62.9 million based upon a third-party valuation. The definite-lived licenses have an </w:t>
      </w:r>
      <w:r>
        <w:rPr>
          <w:rFonts w:ascii="Times New Roman" w:cs="Times New Roman" w:eastAsia="Times New Roman" w:hAnsi="Times New Roman"/>
          <w:sz w:val="14"/>
          <w:szCs w:val="14"/>
          <w:color w:val="231F20"/>
        </w:rPr>
        <w:t>estimated weighted average useful life of 10.0 years, and $56.0 million of licenses were assigned an indefinite life.</w:t>
      </w:r>
      <w:r>
        <w:rPr>
          <w:rFonts w:ascii="Times New Roman" w:cs="Times New Roman" w:eastAsia="Times New Roman" w:hAnsi="Times New Roman"/>
          <w:sz w:val="14"/>
          <w:szCs w:val="14"/>
          <w:color w:val="auto"/>
        </w:rPr>
        <w:t xml:space="preserve"> We expect all of the goodwill will be deductible for tax purposes. </w:t>
      </w:r>
      <w:r>
        <w:rPr>
          <w:rFonts w:ascii="Times New Roman" w:cs="Times New Roman" w:eastAsia="Times New Roman" w:hAnsi="Times New Roman"/>
          <w:sz w:val="14"/>
          <w:szCs w:val="14"/>
          <w:color w:val="231F20"/>
        </w:rPr>
        <w:t>The Company believes the resulting amount of goodwill reflects its expectation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of synergistic benefits of the acquisition.</w:t>
      </w:r>
    </w:p>
    <w:p>
      <w:pPr>
        <w:spacing w:after="0" w:line="140" w:lineRule="exact"/>
        <w:rPr>
          <w:sz w:val="20"/>
          <w:szCs w:val="20"/>
          <w:color w:val="auto"/>
        </w:rPr>
      </w:pPr>
    </w:p>
    <w:p>
      <w:pPr>
        <w:ind w:left="640" w:right="899"/>
        <w:spacing w:after="0" w:line="292" w:lineRule="auto"/>
        <w:rPr>
          <w:sz w:val="20"/>
          <w:szCs w:val="20"/>
          <w:color w:val="auto"/>
        </w:rPr>
      </w:pPr>
      <w:r>
        <w:rPr>
          <w:rFonts w:ascii="Times New Roman" w:cs="Times New Roman" w:eastAsia="Times New Roman" w:hAnsi="Times New Roman"/>
          <w:sz w:val="14"/>
          <w:szCs w:val="14"/>
          <w:color w:val="auto"/>
        </w:rPr>
        <w:t xml:space="preserve">The Amedisys and LHC Branches Acquisition </w:t>
      </w:r>
      <w:r>
        <w:rPr>
          <w:rFonts w:ascii="Times New Roman" w:cs="Times New Roman" w:eastAsia="Times New Roman" w:hAnsi="Times New Roman"/>
          <w:sz w:val="14"/>
          <w:szCs w:val="14"/>
          <w:color w:val="231F20"/>
        </w:rPr>
        <w:t>contributed $25.3 million in revenue and $1.2 million in operating income from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date acquired through the year ended December 31, 2025.</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9" w:name="page110"/>
    <w:bookmarkEnd w:id="10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right="1039"/>
        <w:spacing w:after="0" w:line="292" w:lineRule="auto"/>
        <w:rPr>
          <w:sz w:val="20"/>
          <w:szCs w:val="20"/>
          <w:color w:val="auto"/>
        </w:rPr>
      </w:pPr>
      <w:r>
        <w:rPr>
          <w:rFonts w:ascii="Times New Roman" w:cs="Times New Roman" w:eastAsia="Times New Roman" w:hAnsi="Times New Roman"/>
          <w:sz w:val="14"/>
          <w:szCs w:val="14"/>
          <w:color w:val="231F20"/>
        </w:rPr>
        <w:t xml:space="preserve">The following table contains the unaudited pro forma consolidated financial information for the year ended December 31, 2025, assuming that the </w:t>
      </w:r>
      <w:r>
        <w:rPr>
          <w:rFonts w:ascii="Times New Roman" w:cs="Times New Roman" w:eastAsia="Times New Roman" w:hAnsi="Times New Roman"/>
          <w:sz w:val="14"/>
          <w:szCs w:val="14"/>
          <w:color w:val="000000"/>
        </w:rPr>
        <w:t>Amedisys and LHC Branches Acquisition</w:t>
      </w:r>
      <w:r>
        <w:rPr>
          <w:rFonts w:ascii="Times New Roman" w:cs="Times New Roman" w:eastAsia="Times New Roman" w:hAnsi="Times New Roman"/>
          <w:sz w:val="14"/>
          <w:szCs w:val="14"/>
          <w:color w:val="231F20"/>
        </w:rPr>
        <w:t xml:space="preserve"> transaction closed on January 1, 2024 (in thousands):</w:t>
      </w:r>
    </w:p>
    <w:p>
      <w:pPr>
        <w:spacing w:after="0" w:line="119" w:lineRule="exact"/>
        <w:rPr>
          <w:sz w:val="20"/>
          <w:szCs w:val="20"/>
          <w:color w:val="auto"/>
        </w:rPr>
      </w:pPr>
    </w:p>
    <w:p>
      <w:pPr>
        <w:jc w:val="center"/>
        <w:ind w:left="5420"/>
        <w:spacing w:after="0"/>
        <w:rPr>
          <w:sz w:val="20"/>
          <w:szCs w:val="20"/>
          <w:color w:val="auto"/>
        </w:rPr>
      </w:pPr>
      <w:r>
        <w:rPr>
          <w:rFonts w:ascii="Times New Roman" w:cs="Times New Roman" w:eastAsia="Times New Roman" w:hAnsi="Times New Roman"/>
          <w:sz w:val="11"/>
          <w:szCs w:val="11"/>
          <w:b w:val="1"/>
          <w:bCs w:val="1"/>
          <w:color w:val="auto"/>
        </w:rPr>
        <w:t>For The Years Ended</w:t>
      </w:r>
    </w:p>
    <w:p>
      <w:pPr>
        <w:spacing w:after="0" w:line="3" w:lineRule="exact"/>
        <w:rPr>
          <w:sz w:val="20"/>
          <w:szCs w:val="20"/>
          <w:color w:val="auto"/>
        </w:rPr>
      </w:pPr>
    </w:p>
    <w:p>
      <w:pPr>
        <w:jc w:val="center"/>
        <w:ind w:left="5420"/>
        <w:spacing w:after="0"/>
        <w:rPr>
          <w:sz w:val="20"/>
          <w:szCs w:val="20"/>
          <w:color w:val="auto"/>
        </w:rPr>
      </w:pPr>
      <w:r>
        <w:rPr>
          <w:rFonts w:ascii="Times New Roman" w:cs="Times New Roman" w:eastAsia="Times New Roman" w:hAnsi="Times New Roman"/>
          <w:sz w:val="11"/>
          <w:szCs w:val="11"/>
          <w:b w:val="1"/>
          <w:bCs w:val="1"/>
          <w:color w:val="auto"/>
        </w:rPr>
        <w:t>December 31,</w:t>
      </w:r>
    </w:p>
    <w:tbl>
      <w:tblPr>
        <w:tblLayout w:type="fixed"/>
        <w:tblInd w:w="640" w:type="dxa"/>
        <w:tblCellMar>
          <w:top w:w="0" w:type="dxa"/>
          <w:left w:w="0" w:type="dxa"/>
          <w:bottom w:w="0" w:type="dxa"/>
          <w:right w:w="0" w:type="dxa"/>
        </w:tblCellMar>
      </w:tblPr>
      <w:tr>
        <w:trPr>
          <w:trHeight w:val="109"/>
        </w:trPr>
        <w:tc>
          <w:tcPr>
            <w:tcW w:w="4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760" w:type="dxa"/>
            <w:vAlign w:val="bottom"/>
            <w:tcBorders>
              <w:top w:val="single" w:sz="8" w:color="auto"/>
              <w:bottom w:val="single" w:sz="8" w:color="auto"/>
            </w:tcBorders>
          </w:tcPr>
          <w:p>
            <w:pPr>
              <w:jc w:val="right"/>
              <w:ind w:right="29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Borders>
              <w:top w:val="single" w:sz="8" w:color="auto"/>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760" w:type="dxa"/>
            <w:vAlign w:val="bottom"/>
            <w:tcBorders>
              <w:top w:val="single" w:sz="8" w:color="auto"/>
              <w:bottom w:val="single" w:sz="8" w:color="auto"/>
            </w:tcBorders>
          </w:tcPr>
          <w:p>
            <w:pPr>
              <w:jc w:val="right"/>
              <w:ind w:right="292"/>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r>
      <w:tr>
        <w:trPr>
          <w:trHeight w:val="16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13,255,587</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10,413,024</w:t>
            </w:r>
          </w:p>
        </w:tc>
        <w:tc>
          <w:tcPr>
            <w:tcW w:w="80" w:type="dxa"/>
            <w:vAlign w:val="bottom"/>
            <w:shd w:val="clear" w:color="auto" w:fill="CFF0FC"/>
          </w:tcPr>
          <w:p>
            <w:pPr>
              <w:spacing w:after="0"/>
              <w:rPr>
                <w:sz w:val="14"/>
                <w:szCs w:val="14"/>
                <w:color w:val="auto"/>
              </w:rPr>
            </w:pPr>
          </w:p>
        </w:tc>
      </w:tr>
      <w:tr>
        <w:trPr>
          <w:trHeight w:val="172"/>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318,968</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135,722</w:t>
            </w:r>
          </w:p>
        </w:tc>
        <w:tc>
          <w:tcPr>
            <w:tcW w:w="80" w:type="dxa"/>
            <w:vAlign w:val="bottom"/>
          </w:tcPr>
          <w:p>
            <w:pPr>
              <w:spacing w:after="0"/>
              <w:rPr>
                <w:sz w:val="14"/>
                <w:szCs w:val="14"/>
                <w:color w:val="auto"/>
              </w:rPr>
            </w:pPr>
          </w:p>
        </w:tc>
      </w:tr>
      <w:tr>
        <w:trPr>
          <w:trHeight w:val="172"/>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(loss) attributable to BrightSpring Health Services, Inc.</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123,662</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(46,201)</w:t>
            </w:r>
          </w:p>
        </w:tc>
      </w:tr>
    </w:tbl>
    <w:p>
      <w:pPr>
        <w:spacing w:after="0" w:line="157"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4"/>
          <w:szCs w:val="14"/>
          <w:color w:val="231F20"/>
        </w:rPr>
        <w:t>These pro forma results include adjustments for current factors that would affect the business, including non-recurring transaction costs, depreciation, amortization of acquired intangible assets, and income taxes based on the Company's statutory tax rate. The unaudited pro forma financial information is not necessarily indicative of either future results of operations or results of operations that might have been achieved had the acquisition been consummated as of January 1, 2024 and does not reflect any operating efficiencies and cost savings that may be realized from the integration of the acquisition.</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u w:val="single" w:color="auto"/>
          <w:color w:val="auto"/>
        </w:rPr>
        <w:t>Others</w:t>
      </w:r>
    </w:p>
    <w:p>
      <w:pPr>
        <w:spacing w:after="0" w:line="185" w:lineRule="exact"/>
        <w:rPr>
          <w:sz w:val="20"/>
          <w:szCs w:val="20"/>
          <w:color w:val="auto"/>
        </w:rPr>
      </w:pPr>
    </w:p>
    <w:p>
      <w:pPr>
        <w:ind w:left="640" w:right="739"/>
        <w:spacing w:after="0" w:line="268" w:lineRule="auto"/>
        <w:rPr>
          <w:sz w:val="20"/>
          <w:szCs w:val="20"/>
          <w:color w:val="auto"/>
        </w:rPr>
      </w:pPr>
      <w:r>
        <w:rPr>
          <w:rFonts w:ascii="Times New Roman" w:cs="Times New Roman" w:eastAsia="Times New Roman" w:hAnsi="Times New Roman"/>
          <w:sz w:val="14"/>
          <w:szCs w:val="14"/>
          <w:color w:val="231F20"/>
        </w:rPr>
        <w:t>Aggregate consideration for the two other acquisitions completed in 2025 was approximately $8.5 million. No cash was acquired as a part of these transactions. The operating results of the acquisitions are not material to our results of operations. Measurement period adjustments for these acquisitions recorded in the year ended December 31, 2025 were not material to the consolidated financial statements.</w:t>
      </w:r>
    </w:p>
    <w:p>
      <w:pPr>
        <w:spacing w:after="0" w:line="140" w:lineRule="exact"/>
        <w:rPr>
          <w:sz w:val="20"/>
          <w:szCs w:val="20"/>
          <w:color w:val="auto"/>
        </w:rPr>
      </w:pPr>
    </w:p>
    <w:p>
      <w:pPr>
        <w:ind w:left="640" w:right="659"/>
        <w:spacing w:after="0" w:line="268" w:lineRule="auto"/>
        <w:rPr>
          <w:sz w:val="20"/>
          <w:szCs w:val="20"/>
          <w:color w:val="auto"/>
        </w:rPr>
      </w:pPr>
      <w:r>
        <w:rPr>
          <w:rFonts w:ascii="Times New Roman" w:cs="Times New Roman" w:eastAsia="Times New Roman" w:hAnsi="Times New Roman"/>
          <w:sz w:val="14"/>
          <w:szCs w:val="14"/>
          <w:color w:val="231F20"/>
        </w:rPr>
        <w:t>The Company expects to finalize the purchase price allocation for the 2025 acquisitions prior to the one-year anniversary date of each acquisition. During the year ended December 31, 2025, the Company incurred approximately $14.5 million in transaction costs related to all aforementioned acquisitions completed in 2025. These costs are included in selling, general, and administrative expenses in our consolidated statements of operations.</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231F20"/>
        </w:rPr>
        <w:t>2024 Acquisitions</w:t>
      </w:r>
    </w:p>
    <w:p>
      <w:pPr>
        <w:spacing w:after="0" w:line="99" w:lineRule="exact"/>
        <w:rPr>
          <w:sz w:val="20"/>
          <w:szCs w:val="20"/>
          <w:color w:val="auto"/>
        </w:rPr>
      </w:pPr>
    </w:p>
    <w:p>
      <w:pPr>
        <w:ind w:left="640" w:right="679"/>
        <w:spacing w:after="0" w:line="268" w:lineRule="auto"/>
        <w:rPr>
          <w:sz w:val="20"/>
          <w:szCs w:val="20"/>
          <w:color w:val="auto"/>
        </w:rPr>
      </w:pPr>
      <w:r>
        <w:rPr>
          <w:rFonts w:ascii="Times New Roman" w:cs="Times New Roman" w:eastAsia="Times New Roman" w:hAnsi="Times New Roman"/>
          <w:sz w:val="14"/>
          <w:szCs w:val="14"/>
          <w:color w:val="231F20"/>
        </w:rPr>
        <w:t>During the year ended December 31, 2024, we completed eight acquisitions within the Pharmacy Solutions and Provider Services segments. We entered these transactions in order to expand our services and geographic offerings. Aggregate consideration net of cash acquired for these acquisitions was approximately $110.6 million. The operating results of these acquisitions are included in our consolidated financial statements from the respective dates of the acquisition.</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u w:val="single" w:color="auto"/>
          <w:color w:val="231F20"/>
        </w:rPr>
        <w:t>Haven Hospice</w:t>
      </w:r>
    </w:p>
    <w:p>
      <w:pPr>
        <w:spacing w:after="0" w:line="99" w:lineRule="exact"/>
        <w:rPr>
          <w:sz w:val="20"/>
          <w:szCs w:val="20"/>
          <w:color w:val="auto"/>
        </w:rPr>
      </w:pPr>
    </w:p>
    <w:p>
      <w:pPr>
        <w:ind w:left="640" w:right="699"/>
        <w:spacing w:after="0" w:line="268" w:lineRule="auto"/>
        <w:rPr>
          <w:sz w:val="20"/>
          <w:szCs w:val="20"/>
          <w:color w:val="auto"/>
        </w:rPr>
      </w:pPr>
      <w:r>
        <w:rPr>
          <w:rFonts w:ascii="Times New Roman" w:cs="Times New Roman" w:eastAsia="Times New Roman" w:hAnsi="Times New Roman"/>
          <w:sz w:val="14"/>
          <w:szCs w:val="14"/>
          <w:color w:val="231F20"/>
        </w:rPr>
        <w:t>The following table summarizes the consideration paid (in thousands) for the September 1, 2024 acquisition of North Central Florida Hospice, Inc. (</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231F20"/>
        </w:rPr>
        <w:t>Haven Hospice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231F20"/>
        </w:rPr>
        <w:t>) and the fair value of the assets acquired and the liabilities assumed at the acquisition date, which has been adjusted for immaterial measurement-period adjustments through September 1, 2025. Haven Hospice provides hospice and palliative care services in the state of Florida. Its results are consolidated within the Provider Services segment.</w:t>
      </w:r>
    </w:p>
    <w:p>
      <w:pPr>
        <w:spacing w:after="0" w:line="155"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Inventories</w:t>
            </w:r>
          </w:p>
        </w:tc>
        <w:tc>
          <w:tcPr>
            <w:tcW w:w="20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FF0FC"/>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w:t>
            </w:r>
          </w:p>
        </w:tc>
        <w:tc>
          <w:tcPr>
            <w:tcW w:w="1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tcPr>
          <w:p>
            <w:pPr>
              <w:spacing w:after="0"/>
              <w:rPr>
                <w:sz w:val="14"/>
                <w:szCs w:val="14"/>
                <w:color w:val="auto"/>
              </w:rPr>
            </w:pPr>
          </w:p>
        </w:tc>
      </w:tr>
      <w:tr>
        <w:trPr>
          <w:trHeight w:val="172"/>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Goodwill</w:t>
            </w:r>
          </w:p>
        </w:tc>
        <w:tc>
          <w:tcPr>
            <w:tcW w:w="15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45,614</w:t>
            </w:r>
          </w:p>
        </w:tc>
        <w:tc>
          <w:tcPr>
            <w:tcW w:w="80" w:type="dxa"/>
            <w:vAlign w:val="bottom"/>
            <w:shd w:val="clear" w:color="auto" w:fill="CFF0FC"/>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1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19,860</w:t>
            </w:r>
          </w:p>
        </w:tc>
        <w:tc>
          <w:tcPr>
            <w:tcW w:w="80" w:type="dxa"/>
            <w:vAlign w:val="bottom"/>
          </w:tcPr>
          <w:p>
            <w:pPr>
              <w:spacing w:after="0"/>
              <w:rPr>
                <w:sz w:val="14"/>
                <w:szCs w:val="14"/>
                <w:color w:val="auto"/>
              </w:rPr>
            </w:pPr>
          </w:p>
        </w:tc>
      </w:tr>
      <w:tr>
        <w:trPr>
          <w:trHeight w:val="172"/>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5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7,157</w:t>
            </w:r>
          </w:p>
        </w:tc>
        <w:tc>
          <w:tcPr>
            <w:tcW w:w="80" w:type="dxa"/>
            <w:vAlign w:val="bottom"/>
            <w:shd w:val="clear" w:color="auto" w:fill="CFF0FC"/>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Trade accounts payable</w:t>
            </w:r>
          </w:p>
        </w:tc>
        <w:tc>
          <w:tcPr>
            <w:tcW w:w="1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80" w:type="dxa"/>
            <w:vAlign w:val="bottom"/>
          </w:tcPr>
          <w:p>
            <w:pPr>
              <w:spacing w:after="0"/>
              <w:rPr>
                <w:sz w:val="14"/>
                <w:szCs w:val="14"/>
                <w:color w:val="auto"/>
              </w:rPr>
            </w:pPr>
          </w:p>
        </w:tc>
      </w:tr>
      <w:tr>
        <w:trPr>
          <w:trHeight w:val="172"/>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portion of obligations under operating leases</w:t>
            </w:r>
          </w:p>
        </w:tc>
        <w:tc>
          <w:tcPr>
            <w:tcW w:w="15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80" w:type="dxa"/>
            <w:vAlign w:val="bottom"/>
            <w:shd w:val="clear" w:color="auto" w:fill="CFF0FC"/>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Obligations under operating leases, net of current portion</w:t>
            </w:r>
          </w:p>
        </w:tc>
        <w:tc>
          <w:tcPr>
            <w:tcW w:w="15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4,922</w:t>
            </w:r>
          </w:p>
        </w:tc>
        <w:tc>
          <w:tcPr>
            <w:tcW w:w="80" w:type="dxa"/>
            <w:vAlign w:val="bottom"/>
          </w:tcPr>
          <w:p>
            <w:pPr>
              <w:spacing w:after="0"/>
              <w:rPr>
                <w:sz w:val="14"/>
                <w:szCs w:val="14"/>
                <w:color w:val="auto"/>
              </w:rPr>
            </w:pPr>
          </w:p>
        </w:tc>
      </w:tr>
      <w:tr>
        <w:trPr>
          <w:trHeight w:val="183"/>
        </w:trPr>
        <w:tc>
          <w:tcPr>
            <w:tcW w:w="4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Aggregate purchase price</w:t>
            </w:r>
          </w:p>
        </w:tc>
        <w:tc>
          <w:tcPr>
            <w:tcW w:w="20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64,750</w:t>
            </w:r>
          </w:p>
        </w:tc>
        <w:tc>
          <w:tcPr>
            <w:tcW w:w="80" w:type="dxa"/>
            <w:vAlign w:val="bottom"/>
            <w:shd w:val="clear" w:color="auto" w:fill="CFF0FC"/>
          </w:tcPr>
          <w:p>
            <w:pPr>
              <w:spacing w:after="0"/>
              <w:rPr>
                <w:sz w:val="15"/>
                <w:szCs w:val="15"/>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719"/>
        <w:spacing w:after="0" w:line="263" w:lineRule="auto"/>
        <w:rPr>
          <w:sz w:val="20"/>
          <w:szCs w:val="20"/>
          <w:color w:val="auto"/>
        </w:rPr>
      </w:pPr>
      <w:r>
        <w:rPr>
          <w:rFonts w:ascii="Times New Roman" w:cs="Times New Roman" w:eastAsia="Times New Roman" w:hAnsi="Times New Roman"/>
          <w:sz w:val="14"/>
          <w:szCs w:val="14"/>
          <w:color w:val="auto"/>
        </w:rPr>
        <w:t>Consideration for the Haven Hospice acquisition included a $15.0 million cash payment, $15.0 million seller note payable in 2028, and $30.0 million of the Company's common stock equal to 2,471,251 shares. The number of shares was calculated by dividing $30.0 million by a price per share equal to the average of the volume weighted average trading price of the Company's common stock on each of the fifteen consecutive trading days ending on and including the trading day that is three trading days prior to the closing date, as required by the asset purchase agreement. The sellers were restricted from trading during a 180-day lock-up period from closing with agreed-upon sale volume limitations for four years thereafter. The asset purchase agreement also includes a post-closing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0" w:name="page111"/>
    <w:bookmarkEnd w:id="11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right="1099"/>
        <w:spacing w:after="0" w:line="292" w:lineRule="auto"/>
        <w:rPr>
          <w:sz w:val="20"/>
          <w:szCs w:val="20"/>
          <w:color w:val="auto"/>
        </w:rPr>
      </w:pPr>
      <w:r>
        <w:rPr>
          <w:rFonts w:ascii="Times New Roman" w:cs="Times New Roman" w:eastAsia="Times New Roman" w:hAnsi="Times New Roman"/>
          <w:sz w:val="14"/>
          <w:szCs w:val="14"/>
          <w:color w:val="auto"/>
        </w:rPr>
        <w:t>adjustment feature to the extent any losses are incurred by the sellers in the sale of their common stock for four years following closing with a final equity adjustment feature (see Note 14).</w:t>
      </w:r>
    </w:p>
    <w:p>
      <w:pPr>
        <w:spacing w:after="0" w:line="38" w:lineRule="exact"/>
        <w:rPr>
          <w:sz w:val="20"/>
          <w:szCs w:val="20"/>
          <w:color w:val="auto"/>
        </w:rPr>
      </w:pPr>
    </w:p>
    <w:p>
      <w:pPr>
        <w:ind w:left="640" w:right="739"/>
        <w:spacing w:after="0" w:line="268" w:lineRule="auto"/>
        <w:rPr>
          <w:sz w:val="20"/>
          <w:szCs w:val="20"/>
          <w:color w:val="auto"/>
        </w:rPr>
      </w:pPr>
      <w:r>
        <w:rPr>
          <w:rFonts w:ascii="Times New Roman" w:cs="Times New Roman" w:eastAsia="Times New Roman" w:hAnsi="Times New Roman"/>
          <w:sz w:val="14"/>
          <w:szCs w:val="14"/>
          <w:color w:val="auto"/>
        </w:rPr>
        <w:t>The intangible assets consist of $14.8 million in indefinite-lived licenses and $5.1 million of trade name that have an estimated useful life of 10.0 years. The fair value of acquired licenses and trade name were based upon a third-party valuation. We expect all of the goodwill will be deductible for tax purposes. The Company believes the resulting amount of goodwill reflects its expectation of synergistic benefits of the acquisition.</w:t>
      </w:r>
    </w:p>
    <w:p>
      <w:pPr>
        <w:spacing w:after="0" w:line="54" w:lineRule="exact"/>
        <w:rPr>
          <w:sz w:val="20"/>
          <w:szCs w:val="20"/>
          <w:color w:val="auto"/>
        </w:rPr>
      </w:pPr>
    </w:p>
    <w:p>
      <w:pPr>
        <w:jc w:val="both"/>
        <w:ind w:left="640" w:right="779"/>
        <w:spacing w:after="0" w:line="274" w:lineRule="auto"/>
        <w:rPr>
          <w:sz w:val="20"/>
          <w:szCs w:val="20"/>
          <w:color w:val="auto"/>
        </w:rPr>
      </w:pPr>
      <w:r>
        <w:rPr>
          <w:rFonts w:ascii="Times New Roman" w:cs="Times New Roman" w:eastAsia="Times New Roman" w:hAnsi="Times New Roman"/>
          <w:sz w:val="14"/>
          <w:szCs w:val="14"/>
          <w:color w:val="auto"/>
        </w:rPr>
        <w:t>Haven Hospice contributed $68.9 million and $19.8 million in revenue and $7.8 million and $1.0 million of operating income during the years ended December 31, 2025 and 2024, respectively. Pro forma financial data for the Haven Hospice acquisition has not been included as the results of the operations are not material to our consolidated financial statements.</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u w:val="single" w:color="auto"/>
          <w:color w:val="auto"/>
        </w:rPr>
        <w:t>Others</w:t>
      </w:r>
    </w:p>
    <w:p>
      <w:pPr>
        <w:spacing w:after="0" w:line="99" w:lineRule="exact"/>
        <w:rPr>
          <w:sz w:val="20"/>
          <w:szCs w:val="20"/>
          <w:color w:val="auto"/>
        </w:rPr>
      </w:pPr>
    </w:p>
    <w:p>
      <w:pPr>
        <w:ind w:left="640" w:right="699"/>
        <w:spacing w:after="0" w:line="268" w:lineRule="auto"/>
        <w:rPr>
          <w:sz w:val="20"/>
          <w:szCs w:val="20"/>
          <w:color w:val="auto"/>
        </w:rPr>
      </w:pPr>
      <w:r>
        <w:rPr>
          <w:rFonts w:ascii="Times New Roman" w:cs="Times New Roman" w:eastAsia="Times New Roman" w:hAnsi="Times New Roman"/>
          <w:sz w:val="14"/>
          <w:szCs w:val="14"/>
          <w:color w:val="auto"/>
        </w:rPr>
        <w:t>The following table summarizes the consideration paid (in thousands) for 2024 acquisitions, excluding Haven Hospice, and the estimated fair value of the assets acquired and the liabilities assumed at the acquisition dates, which were adjusted for immaterial measurement-period adjustments through December 31, 2025. Consideration for acquisitions by the Pharmacy Solutions and Provider Services segments was $27.0 million and $18.9 million, respectively.</w:t>
      </w:r>
    </w:p>
    <w:p>
      <w:pPr>
        <w:spacing w:after="0" w:line="155"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480" w:type="dxa"/>
            <w:vAlign w:val="bottom"/>
            <w:gridSpan w:val="2"/>
            <w:shd w:val="clear" w:color="auto" w:fill="CFF0FC"/>
          </w:tcPr>
          <w:p>
            <w:pPr>
              <w:jc w:val="right"/>
              <w:ind w:right="39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3,749</w:t>
            </w:r>
          </w:p>
        </w:tc>
        <w:tc>
          <w:tcPr>
            <w:tcW w:w="80" w:type="dxa"/>
            <w:vAlign w:val="bottom"/>
            <w:shd w:val="clear" w:color="auto" w:fill="CFF0FC"/>
          </w:tcPr>
          <w:p>
            <w:pPr>
              <w:spacing w:after="0"/>
              <w:rPr>
                <w:sz w:val="14"/>
                <w:szCs w:val="14"/>
                <w:color w:val="auto"/>
              </w:rPr>
            </w:pPr>
          </w:p>
        </w:tc>
      </w:tr>
      <w:tr>
        <w:trPr>
          <w:trHeight w:val="172"/>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Inventories</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80" w:type="dxa"/>
            <w:vAlign w:val="bottom"/>
          </w:tcPr>
          <w:p>
            <w:pPr>
              <w:spacing w:after="0"/>
              <w:rPr>
                <w:sz w:val="14"/>
                <w:szCs w:val="14"/>
                <w:color w:val="auto"/>
              </w:rPr>
            </w:pPr>
          </w:p>
        </w:tc>
      </w:tr>
      <w:tr>
        <w:trPr>
          <w:trHeight w:val="172"/>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shd w:val="clear" w:color="auto" w:fill="CFF0FC"/>
          </w:tcPr>
          <w:p>
            <w:pPr>
              <w:spacing w:after="0"/>
              <w:rPr>
                <w:sz w:val="14"/>
                <w:szCs w:val="14"/>
                <w:color w:val="auto"/>
              </w:rPr>
            </w:pPr>
          </w:p>
        </w:tc>
      </w:tr>
      <w:tr>
        <w:trPr>
          <w:trHeight w:val="172"/>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80" w:type="dxa"/>
            <w:vAlign w:val="bottom"/>
          </w:tcPr>
          <w:p>
            <w:pPr>
              <w:spacing w:after="0"/>
              <w:rPr>
                <w:sz w:val="14"/>
                <w:szCs w:val="14"/>
                <w:color w:val="auto"/>
              </w:rPr>
            </w:pPr>
          </w:p>
        </w:tc>
      </w:tr>
      <w:tr>
        <w:trPr>
          <w:trHeight w:val="172"/>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Goodwill</w:t>
            </w:r>
          </w:p>
        </w:tc>
        <w:tc>
          <w:tcPr>
            <w:tcW w:w="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17,721</w:t>
            </w:r>
          </w:p>
        </w:tc>
        <w:tc>
          <w:tcPr>
            <w:tcW w:w="80" w:type="dxa"/>
            <w:vAlign w:val="bottom"/>
            <w:shd w:val="clear" w:color="auto" w:fill="CFF0FC"/>
          </w:tcPr>
          <w:p>
            <w:pPr>
              <w:spacing w:after="0"/>
              <w:rPr>
                <w:sz w:val="14"/>
                <w:szCs w:val="14"/>
                <w:color w:val="auto"/>
              </w:rPr>
            </w:pPr>
          </w:p>
        </w:tc>
      </w:tr>
      <w:tr>
        <w:trPr>
          <w:trHeight w:val="172"/>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31,233</w:t>
            </w:r>
          </w:p>
        </w:tc>
        <w:tc>
          <w:tcPr>
            <w:tcW w:w="80" w:type="dxa"/>
            <w:vAlign w:val="bottom"/>
          </w:tcPr>
          <w:p>
            <w:pPr>
              <w:spacing w:after="0"/>
              <w:rPr>
                <w:sz w:val="14"/>
                <w:szCs w:val="14"/>
                <w:color w:val="auto"/>
              </w:rPr>
            </w:pPr>
          </w:p>
        </w:tc>
      </w:tr>
      <w:tr>
        <w:trPr>
          <w:trHeight w:val="172"/>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shd w:val="clear" w:color="auto" w:fill="CFF0FC"/>
          </w:tcPr>
          <w:p>
            <w:pPr>
              <w:spacing w:after="0"/>
              <w:rPr>
                <w:sz w:val="14"/>
                <w:szCs w:val="14"/>
                <w:color w:val="auto"/>
              </w:rPr>
            </w:pPr>
          </w:p>
        </w:tc>
      </w:tr>
      <w:tr>
        <w:trPr>
          <w:trHeight w:val="172"/>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80" w:type="dxa"/>
            <w:vAlign w:val="bottom"/>
          </w:tcPr>
          <w:p>
            <w:pPr>
              <w:spacing w:after="0"/>
              <w:rPr>
                <w:sz w:val="14"/>
                <w:szCs w:val="14"/>
                <w:color w:val="auto"/>
              </w:rPr>
            </w:pPr>
          </w:p>
        </w:tc>
      </w:tr>
      <w:tr>
        <w:trPr>
          <w:trHeight w:val="172"/>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Trade accounts payable</w:t>
            </w:r>
          </w:p>
        </w:tc>
        <w:tc>
          <w:tcPr>
            <w:tcW w:w="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80" w:type="dxa"/>
            <w:vAlign w:val="bottom"/>
            <w:shd w:val="clear" w:color="auto" w:fill="CFF0FC"/>
          </w:tcPr>
          <w:p>
            <w:pPr>
              <w:spacing w:after="0"/>
              <w:rPr>
                <w:sz w:val="14"/>
                <w:szCs w:val="14"/>
                <w:color w:val="auto"/>
              </w:rPr>
            </w:pPr>
          </w:p>
        </w:tc>
      </w:tr>
      <w:tr>
        <w:trPr>
          <w:trHeight w:val="172"/>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Accrued expenses</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7,657</w:t>
            </w:r>
          </w:p>
        </w:tc>
        <w:tc>
          <w:tcPr>
            <w:tcW w:w="80" w:type="dxa"/>
            <w:vAlign w:val="bottom"/>
          </w:tcPr>
          <w:p>
            <w:pPr>
              <w:spacing w:after="0"/>
              <w:rPr>
                <w:sz w:val="14"/>
                <w:szCs w:val="14"/>
                <w:color w:val="auto"/>
              </w:rPr>
            </w:pPr>
          </w:p>
        </w:tc>
      </w:tr>
      <w:tr>
        <w:trPr>
          <w:trHeight w:val="172"/>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portion of obligations under operating leases</w:t>
            </w:r>
          </w:p>
        </w:tc>
        <w:tc>
          <w:tcPr>
            <w:tcW w:w="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FF0FC"/>
          </w:tcPr>
          <w:p>
            <w:pPr>
              <w:spacing w:after="0"/>
              <w:rPr>
                <w:sz w:val="14"/>
                <w:szCs w:val="14"/>
                <w:color w:val="auto"/>
              </w:rPr>
            </w:pPr>
          </w:p>
        </w:tc>
      </w:tr>
      <w:tr>
        <w:trPr>
          <w:trHeight w:val="172"/>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Current portion of obligations under financing leases</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4"/>
                <w:szCs w:val="14"/>
                <w:color w:val="auto"/>
              </w:rPr>
            </w:pPr>
          </w:p>
        </w:tc>
      </w:tr>
      <w:tr>
        <w:trPr>
          <w:trHeight w:val="172"/>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Obligations under operating leases, net of current portion</w:t>
            </w:r>
          </w:p>
        </w:tc>
        <w:tc>
          <w:tcPr>
            <w:tcW w:w="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80" w:type="dxa"/>
            <w:vAlign w:val="bottom"/>
            <w:shd w:val="clear" w:color="auto" w:fill="CFF0FC"/>
          </w:tcPr>
          <w:p>
            <w:pPr>
              <w:spacing w:after="0"/>
              <w:rPr>
                <w:sz w:val="14"/>
                <w:szCs w:val="14"/>
                <w:color w:val="auto"/>
              </w:rPr>
            </w:pPr>
          </w:p>
        </w:tc>
      </w:tr>
      <w:tr>
        <w:trPr>
          <w:trHeight w:val="172"/>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Obligations under financing leases, net of current portion</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4"/>
                <w:szCs w:val="14"/>
                <w:color w:val="auto"/>
              </w:rPr>
            </w:pPr>
          </w:p>
        </w:tc>
      </w:tr>
      <w:tr>
        <w:trPr>
          <w:trHeight w:val="172"/>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income taxes, net</w:t>
            </w:r>
          </w:p>
        </w:tc>
        <w:tc>
          <w:tcPr>
            <w:tcW w:w="20" w:type="dxa"/>
            <w:vAlign w:val="bottom"/>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80" w:type="dxa"/>
            <w:vAlign w:val="bottom"/>
            <w:shd w:val="clear" w:color="auto" w:fill="CFF0FC"/>
          </w:tcPr>
          <w:p>
            <w:pPr>
              <w:spacing w:after="0"/>
              <w:rPr>
                <w:sz w:val="14"/>
                <w:szCs w:val="14"/>
                <w:color w:val="auto"/>
              </w:rPr>
            </w:pPr>
          </w:p>
        </w:tc>
      </w:tr>
      <w:tr>
        <w:trPr>
          <w:trHeight w:val="163"/>
        </w:trPr>
        <w:tc>
          <w:tcPr>
            <w:tcW w:w="6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Aggregate purchase price, net of cash acquired</w:t>
            </w: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45,893</w:t>
            </w:r>
          </w:p>
        </w:tc>
        <w:tc>
          <w:tcPr>
            <w:tcW w:w="80" w:type="dxa"/>
            <w:vAlign w:val="bottom"/>
          </w:tcPr>
          <w:p>
            <w:pPr>
              <w:spacing w:after="0"/>
              <w:rPr>
                <w:sz w:val="14"/>
                <w:szCs w:val="14"/>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7" w:lineRule="exact"/>
        <w:rPr>
          <w:sz w:val="20"/>
          <w:szCs w:val="20"/>
          <w:color w:val="auto"/>
        </w:rPr>
      </w:pPr>
    </w:p>
    <w:p>
      <w:pPr>
        <w:ind w:left="640" w:right="679"/>
        <w:spacing w:after="0" w:line="263" w:lineRule="auto"/>
        <w:rPr>
          <w:sz w:val="20"/>
          <w:szCs w:val="20"/>
          <w:color w:val="auto"/>
        </w:rPr>
      </w:pPr>
      <w:r>
        <w:rPr>
          <w:rFonts w:ascii="Times New Roman" w:cs="Times New Roman" w:eastAsia="Times New Roman" w:hAnsi="Times New Roman"/>
          <w:sz w:val="14"/>
          <w:szCs w:val="14"/>
          <w:color w:val="auto"/>
        </w:rPr>
        <w:t>We have estimated the fair value of acquired customer relationships, licenses, trade names, and covenants not to compete based upon third-party valuations and/or the values assigned in prior acquisitions that were deemed comparable in nature. The intangible assets consist primarily of $22.3 million in customer relationships, $5.7 million in definite-lived licenses, $2.1 million in indefinite-lived licenses, $0.6 million in covenants not to compete, and $0.5 million in trade names. Definite-lived intangible assets have an estimated weighted average useful life of 14.9 years. We expect $12.0 million of the goodwill will be deductible for tax purposes. The Company believes the resulting amount of goodwill reflects its expectation of synergistic benefits of the acquisitions.</w:t>
      </w:r>
    </w:p>
    <w:p>
      <w:pPr>
        <w:spacing w:after="0" w:line="58" w:lineRule="exact"/>
        <w:rPr>
          <w:sz w:val="20"/>
          <w:szCs w:val="20"/>
          <w:color w:val="auto"/>
        </w:rPr>
      </w:pPr>
    </w:p>
    <w:p>
      <w:pPr>
        <w:ind w:left="640" w:right="679"/>
        <w:spacing w:after="0" w:line="268" w:lineRule="auto"/>
        <w:rPr>
          <w:sz w:val="20"/>
          <w:szCs w:val="20"/>
          <w:color w:val="auto"/>
        </w:rPr>
      </w:pPr>
      <w:r>
        <w:rPr>
          <w:rFonts w:ascii="Times New Roman" w:cs="Times New Roman" w:eastAsia="Times New Roman" w:hAnsi="Times New Roman"/>
          <w:sz w:val="14"/>
          <w:szCs w:val="14"/>
          <w:color w:val="auto"/>
        </w:rPr>
        <w:t>The above acquisitions contributed approximately $81.3 million and $59.9 million in revenue and $(0.4) million, which included $3.0 million of non-cash intangible impairment, and $5.0 million in operating (loss) income during the years ended December 31, 2025 and 2024, respectively. Pro forma financial data for the 2024 acquisitions has not been included as the results of the operations are not material to our consolidated financial statements.</w:t>
      </w:r>
    </w:p>
    <w:p>
      <w:pPr>
        <w:spacing w:after="0" w:line="54" w:lineRule="exact"/>
        <w:rPr>
          <w:sz w:val="20"/>
          <w:szCs w:val="20"/>
          <w:color w:val="auto"/>
        </w:rPr>
      </w:pPr>
    </w:p>
    <w:p>
      <w:pPr>
        <w:ind w:left="640" w:right="699"/>
        <w:spacing w:after="0" w:line="274" w:lineRule="auto"/>
        <w:rPr>
          <w:sz w:val="20"/>
          <w:szCs w:val="20"/>
          <w:color w:val="auto"/>
        </w:rPr>
      </w:pPr>
      <w:r>
        <w:rPr>
          <w:rFonts w:ascii="Times New Roman" w:cs="Times New Roman" w:eastAsia="Times New Roman" w:hAnsi="Times New Roman"/>
          <w:sz w:val="14"/>
          <w:szCs w:val="14"/>
          <w:color w:val="auto"/>
        </w:rPr>
        <w:t>Measurement period adjustments for all aforementioned acquisitions completed in 2024 recorded during the year ended December 31, 2025 were not material to the consolidated financial statements. The Company finalized the purchase price allocation for the 2024 acquisitions prior to the one-year anniversary date of each acquisition.</w:t>
      </w:r>
    </w:p>
    <w:p>
      <w:pPr>
        <w:spacing w:after="0" w:line="50" w:lineRule="exact"/>
        <w:rPr>
          <w:sz w:val="20"/>
          <w:szCs w:val="20"/>
          <w:color w:val="auto"/>
        </w:rPr>
      </w:pPr>
    </w:p>
    <w:p>
      <w:pPr>
        <w:jc w:val="both"/>
        <w:ind w:left="640" w:right="1079"/>
        <w:spacing w:after="0" w:line="274" w:lineRule="auto"/>
        <w:rPr>
          <w:sz w:val="20"/>
          <w:szCs w:val="20"/>
          <w:color w:val="auto"/>
        </w:rPr>
      </w:pPr>
      <w:r>
        <w:rPr>
          <w:rFonts w:ascii="Times New Roman" w:cs="Times New Roman" w:eastAsia="Times New Roman" w:hAnsi="Times New Roman"/>
          <w:sz w:val="14"/>
          <w:szCs w:val="14"/>
          <w:color w:val="auto"/>
        </w:rPr>
        <w:t>During the year ended December 31, 2024, the Company incurred approximately $3.4 million in transaction costs related to all aforementioned acquisitions completed in 2024. These costs are included in selling, general, and administrative expenses in our consolidated statements of operations.</w:t>
      </w:r>
    </w:p>
    <w:p>
      <w:pPr>
        <w:spacing w:after="0" w:line="50" w:lineRule="exact"/>
        <w:rPr>
          <w:sz w:val="20"/>
          <w:szCs w:val="20"/>
          <w:color w:val="auto"/>
        </w:rPr>
      </w:pPr>
    </w:p>
    <w:p>
      <w:pPr>
        <w:jc w:val="both"/>
        <w:ind w:left="640" w:right="899"/>
        <w:spacing w:after="0" w:line="274" w:lineRule="auto"/>
        <w:rPr>
          <w:sz w:val="20"/>
          <w:szCs w:val="20"/>
          <w:color w:val="auto"/>
        </w:rPr>
      </w:pPr>
      <w:r>
        <w:rPr>
          <w:rFonts w:ascii="Times New Roman" w:cs="Times New Roman" w:eastAsia="Times New Roman" w:hAnsi="Times New Roman"/>
          <w:sz w:val="14"/>
          <w:szCs w:val="14"/>
          <w:color w:val="auto"/>
        </w:rPr>
        <w:t>The Company also purchased the remaining 30% noncontrolling interest in Gateway Pediatric Therapy, LLC during the first fiscal quarter of 2024 and the remaining 45% noncontrolling interest in Harvest Grove LTC, LLC during the third fiscal quarter of 2024. These transactions did not meet the definition of a business combination in accordance with ASC 805</w:t>
      </w:r>
      <w:r>
        <w:rPr>
          <w:rFonts w:ascii="Times New Roman" w:cs="Times New Roman" w:eastAsia="Times New Roman" w:hAnsi="Times New Roman"/>
          <w:sz w:val="14"/>
          <w:szCs w:val="14"/>
          <w:i w:val="1"/>
          <w:iCs w:val="1"/>
          <w:color w:val="auto"/>
        </w:rPr>
        <w:t>, Business Combinations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1" w:name="page112"/>
    <w:bookmarkEnd w:id="11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5. Goodwill and Intangible Assets</w:t>
      </w:r>
    </w:p>
    <w:p>
      <w:pPr>
        <w:spacing w:after="0" w:line="185" w:lineRule="exact"/>
        <w:rPr>
          <w:sz w:val="20"/>
          <w:szCs w:val="20"/>
          <w:color w:val="auto"/>
        </w:rPr>
      </w:pPr>
    </w:p>
    <w:p>
      <w:pPr>
        <w:ind w:left="640" w:right="1079"/>
        <w:spacing w:after="0" w:line="292" w:lineRule="auto"/>
        <w:rPr>
          <w:sz w:val="20"/>
          <w:szCs w:val="20"/>
          <w:color w:val="auto"/>
        </w:rPr>
      </w:pPr>
      <w:r>
        <w:rPr>
          <w:rFonts w:ascii="Times New Roman" w:cs="Times New Roman" w:eastAsia="Times New Roman" w:hAnsi="Times New Roman"/>
          <w:sz w:val="14"/>
          <w:szCs w:val="14"/>
          <w:color w:val="auto"/>
        </w:rPr>
        <w:t>In 2025, 2024, and 2023, the Company performed a quantitative assessment of all reporting units as of October 1. We utilized a combination of the discounted cash flow analysis or “income approach” (50%) and the “market approach” (50%).</w:t>
      </w:r>
    </w:p>
    <w:p>
      <w:pPr>
        <w:spacing w:after="0" w:line="38" w:lineRule="exact"/>
        <w:rPr>
          <w:sz w:val="20"/>
          <w:szCs w:val="20"/>
          <w:color w:val="auto"/>
        </w:rPr>
      </w:pPr>
    </w:p>
    <w:p>
      <w:pPr>
        <w:ind w:left="640" w:right="659"/>
        <w:spacing w:after="0" w:line="274" w:lineRule="auto"/>
        <w:rPr>
          <w:sz w:val="20"/>
          <w:szCs w:val="20"/>
          <w:color w:val="auto"/>
        </w:rPr>
      </w:pPr>
      <w:r>
        <w:rPr>
          <w:rFonts w:ascii="Times New Roman" w:cs="Times New Roman" w:eastAsia="Times New Roman" w:hAnsi="Times New Roman"/>
          <w:sz w:val="14"/>
          <w:szCs w:val="14"/>
          <w:color w:val="auto"/>
        </w:rPr>
        <w:t>Our 2025, 2024, and 2023 goodwill impairment analyses concluded that the fair values of all reporting units were in excess of their carrying amounts. Subsequent to completing our goodwill impairment tests, no further indicators of impairment were identified. Based on these analyses, we recorded no goodwill impairment for the years ended December 31, 2025, 2024, and 2023.</w:t>
      </w:r>
    </w:p>
    <w:p>
      <w:pPr>
        <w:spacing w:after="0" w:line="50" w:lineRule="exact"/>
        <w:rPr>
          <w:sz w:val="20"/>
          <w:szCs w:val="20"/>
          <w:color w:val="auto"/>
        </w:rPr>
      </w:pPr>
    </w:p>
    <w:p>
      <w:pPr>
        <w:ind w:left="640" w:right="759"/>
        <w:spacing w:after="0" w:line="268" w:lineRule="auto"/>
        <w:rPr>
          <w:sz w:val="20"/>
          <w:szCs w:val="20"/>
          <w:color w:val="auto"/>
        </w:rPr>
      </w:pPr>
      <w:r>
        <w:rPr>
          <w:rFonts w:ascii="Times New Roman" w:cs="Times New Roman" w:eastAsia="Times New Roman" w:hAnsi="Times New Roman"/>
          <w:sz w:val="14"/>
          <w:szCs w:val="14"/>
          <w:color w:val="auto"/>
        </w:rPr>
        <w:t>The determination of whether the carrying value of the reporting unit exceeds its fair value involves a high degree of estimation and can be affected by a number of industry and company-specific risk factors that are subject to change over time. If actual performance does not achieve the projections, or if the assumptions used change in the future, we may be required to recognize additional impairment charges in future periods.</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 summary of changes to goodwill is as follows (in thousands):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Goodwill</w:t>
            </w: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9"/>
        </w:trPr>
        <w:tc>
          <w:tcPr>
            <w:tcW w:w="3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ind w:right="70"/>
              <w:spacing w:after="0" w:line="109" w:lineRule="exact"/>
              <w:rPr>
                <w:sz w:val="20"/>
                <w:szCs w:val="20"/>
                <w:color w:val="auto"/>
              </w:rPr>
            </w:pPr>
            <w:r>
              <w:rPr>
                <w:rFonts w:ascii="Times New Roman" w:cs="Times New Roman" w:eastAsia="Times New Roman" w:hAnsi="Times New Roman"/>
                <w:sz w:val="11"/>
                <w:szCs w:val="11"/>
                <w:b w:val="1"/>
                <w:bCs w:val="1"/>
                <w:color w:val="auto"/>
              </w:rPr>
              <w:t>Pharmacy Solutions</w:t>
            </w: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jc w:val="right"/>
              <w:ind w:right="131"/>
              <w:spacing w:after="0" w:line="109" w:lineRule="exact"/>
              <w:rPr>
                <w:sz w:val="20"/>
                <w:szCs w:val="20"/>
                <w:color w:val="auto"/>
              </w:rPr>
            </w:pPr>
            <w:r>
              <w:rPr>
                <w:rFonts w:ascii="Times New Roman" w:cs="Times New Roman" w:eastAsia="Times New Roman" w:hAnsi="Times New Roman"/>
                <w:sz w:val="11"/>
                <w:szCs w:val="11"/>
                <w:b w:val="1"/>
                <w:bCs w:val="1"/>
                <w:color w:val="auto"/>
              </w:rPr>
              <w:t>Provider Services</w:t>
            </w:r>
          </w:p>
        </w:tc>
        <w:tc>
          <w:tcPr>
            <w:tcW w:w="1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430"/>
              <w:spacing w:after="0" w:line="109" w:lineRule="exact"/>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9"/>
                <w:szCs w:val="9"/>
                <w:color w:val="auto"/>
              </w:rPr>
            </w:pPr>
          </w:p>
        </w:tc>
      </w:tr>
      <w:tr>
        <w:trPr>
          <w:trHeight w:val="163"/>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Goodwill at January 1, 2024*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833,989</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1,466,783</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2,300,772</w:t>
            </w:r>
          </w:p>
        </w:tc>
        <w:tc>
          <w:tcPr>
            <w:tcW w:w="80" w:type="dxa"/>
            <w:vAlign w:val="bottom"/>
            <w:shd w:val="clear" w:color="auto" w:fill="CFF0FC"/>
          </w:tcPr>
          <w:p>
            <w:pPr>
              <w:spacing w:after="0"/>
              <w:rPr>
                <w:sz w:val="14"/>
                <w:szCs w:val="14"/>
                <w:color w:val="auto"/>
              </w:rPr>
            </w:pPr>
          </w:p>
        </w:tc>
      </w:tr>
      <w:tr>
        <w:trPr>
          <w:trHeight w:val="172"/>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Goodwill added through acquisitions</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56,144</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63,207</w:t>
            </w:r>
          </w:p>
        </w:tc>
        <w:tc>
          <w:tcPr>
            <w:tcW w:w="80" w:type="dxa"/>
            <w:vAlign w:val="bottom"/>
          </w:tcPr>
          <w:p>
            <w:pPr>
              <w:spacing w:after="0"/>
              <w:rPr>
                <w:sz w:val="14"/>
                <w:szCs w:val="14"/>
                <w:color w:val="auto"/>
              </w:rPr>
            </w:pPr>
          </w:p>
        </w:tc>
      </w:tr>
      <w:tr>
        <w:trPr>
          <w:trHeight w:val="172"/>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Measurement period adjustments</w:t>
            </w: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80" w:type="dxa"/>
            <w:vAlign w:val="bottom"/>
            <w:shd w:val="clear" w:color="auto" w:fill="CFF0FC"/>
          </w:tcPr>
          <w:p>
            <w:pPr>
              <w:spacing w:after="0"/>
              <w:rPr>
                <w:sz w:val="14"/>
                <w:szCs w:val="14"/>
                <w:color w:val="auto"/>
              </w:rPr>
            </w:pPr>
          </w:p>
        </w:tc>
      </w:tr>
      <w:tr>
        <w:trPr>
          <w:trHeight w:val="172"/>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adjustments</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(332)</w:t>
            </w:r>
          </w:p>
        </w:tc>
        <w:tc>
          <w:tcPr>
            <w:tcW w:w="28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(332)</w:t>
            </w:r>
          </w:p>
        </w:tc>
      </w:tr>
      <w:tr>
        <w:trPr>
          <w:trHeight w:val="20"/>
        </w:trPr>
        <w:tc>
          <w:tcPr>
            <w:tcW w:w="3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3"/>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Goodwill at December 31, 2024*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841,052</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1,522,832</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2,363,884</w:t>
            </w:r>
          </w:p>
        </w:tc>
        <w:tc>
          <w:tcPr>
            <w:tcW w:w="80" w:type="dxa"/>
            <w:vAlign w:val="bottom"/>
            <w:shd w:val="clear" w:color="auto" w:fill="CFF0FC"/>
          </w:tcPr>
          <w:p>
            <w:pPr>
              <w:spacing w:after="0"/>
              <w:rPr>
                <w:sz w:val="14"/>
                <w:szCs w:val="14"/>
                <w:color w:val="auto"/>
              </w:rPr>
            </w:pPr>
          </w:p>
        </w:tc>
      </w:tr>
      <w:tr>
        <w:trPr>
          <w:trHeight w:val="172"/>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Goodwill added through acquisitions</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181,472</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181,472</w:t>
            </w:r>
          </w:p>
        </w:tc>
        <w:tc>
          <w:tcPr>
            <w:tcW w:w="80" w:type="dxa"/>
            <w:vAlign w:val="bottom"/>
          </w:tcPr>
          <w:p>
            <w:pPr>
              <w:spacing w:after="0"/>
              <w:rPr>
                <w:sz w:val="14"/>
                <w:szCs w:val="14"/>
                <w:color w:val="auto"/>
              </w:rPr>
            </w:pPr>
          </w:p>
        </w:tc>
      </w:tr>
      <w:tr>
        <w:trPr>
          <w:trHeight w:val="172"/>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Measurement period adjustments</w:t>
            </w: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shd w:val="clear" w:color="auto" w:fill="CFF0FC"/>
          </w:tcPr>
          <w:p>
            <w:pPr>
              <w:spacing w:after="0"/>
              <w:rPr>
                <w:sz w:val="14"/>
                <w:szCs w:val="14"/>
                <w:color w:val="auto"/>
              </w:rPr>
            </w:pPr>
          </w:p>
        </w:tc>
      </w:tr>
      <w:tr>
        <w:trPr>
          <w:trHeight w:val="172"/>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adjustments</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Pr>
          <w:p>
            <w:pPr>
              <w:spacing w:after="0"/>
              <w:rPr>
                <w:sz w:val="14"/>
                <w:szCs w:val="14"/>
                <w:color w:val="auto"/>
              </w:rPr>
            </w:pPr>
          </w:p>
        </w:tc>
      </w:tr>
      <w:tr>
        <w:trPr>
          <w:trHeight w:val="183"/>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Goodwill at December 31, 2025*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841,052</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1,704,621</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2,545,673</w:t>
            </w:r>
          </w:p>
        </w:tc>
        <w:tc>
          <w:tcPr>
            <w:tcW w:w="80" w:type="dxa"/>
            <w:vAlign w:val="bottom"/>
            <w:shd w:val="clear" w:color="auto" w:fill="CFF0FC"/>
          </w:tcPr>
          <w:p>
            <w:pPr>
              <w:spacing w:after="0"/>
              <w:rPr>
                <w:sz w:val="15"/>
                <w:szCs w:val="15"/>
                <w:color w:val="auto"/>
              </w:rPr>
            </w:pPr>
          </w:p>
        </w:tc>
      </w:tr>
      <w:tr>
        <w:trPr>
          <w:trHeight w:val="20"/>
        </w:trPr>
        <w:tc>
          <w:tcPr>
            <w:tcW w:w="36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-19685</wp:posOffset>
            </wp:positionV>
            <wp:extent cx="47625" cy="69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-6350</wp:posOffset>
            </wp:positionV>
            <wp:extent cx="47625" cy="69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-19685</wp:posOffset>
            </wp:positionV>
            <wp:extent cx="47625" cy="69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-6350</wp:posOffset>
            </wp:positionV>
            <wp:extent cx="47625" cy="69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979" w:hanging="2"/>
        <w:spacing w:after="0" w:line="292" w:lineRule="auto"/>
        <w:tabs>
          <w:tab w:leader="none" w:pos="747"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periods presented, the carrying amount of goodwill is presented net of accumulated impairment losses of $40.9 million, which were incurred in fiscal year 2022.</w:t>
      </w:r>
    </w:p>
    <w:p>
      <w:pPr>
        <w:spacing w:after="0" w:line="1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231F20"/>
        </w:rPr>
        <w:t>Intangible assets are as follows (in thousands):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Life</w:t>
            </w: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restart"/>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Gross</w:t>
            </w:r>
          </w:p>
        </w:tc>
        <w:tc>
          <w:tcPr>
            <w:tcW w:w="220" w:type="dxa"/>
            <w:vAlign w:val="bottom"/>
          </w:tcPr>
          <w:p>
            <w:pPr>
              <w:spacing w:after="0"/>
              <w:rPr>
                <w:sz w:val="7"/>
                <w:szCs w:val="7"/>
                <w:color w:val="auto"/>
              </w:rPr>
            </w:pPr>
          </w:p>
        </w:tc>
        <w:tc>
          <w:tcPr>
            <w:tcW w:w="900" w:type="dxa"/>
            <w:vAlign w:val="bottom"/>
            <w:gridSpan w:val="2"/>
          </w:tcPr>
          <w:p>
            <w:pPr>
              <w:jc w:val="center"/>
              <w:ind w:right="240"/>
              <w:spacing w:after="0" w:line="90"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76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b w:val="1"/>
                <w:bCs w:val="1"/>
                <w:color w:val="auto"/>
              </w:rPr>
              <w:t>Net Carrying</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restart"/>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Gross</w:t>
            </w:r>
          </w:p>
        </w:tc>
        <w:tc>
          <w:tcPr>
            <w:tcW w:w="160" w:type="dxa"/>
            <w:vAlign w:val="bottom"/>
          </w:tcPr>
          <w:p>
            <w:pPr>
              <w:spacing w:after="0"/>
              <w:rPr>
                <w:sz w:val="7"/>
                <w:szCs w:val="7"/>
                <w:color w:val="auto"/>
              </w:rPr>
            </w:pPr>
          </w:p>
        </w:tc>
        <w:tc>
          <w:tcPr>
            <w:tcW w:w="920" w:type="dxa"/>
            <w:vAlign w:val="bottom"/>
            <w:gridSpan w:val="3"/>
          </w:tcPr>
          <w:p>
            <w:pPr>
              <w:ind w:left="60"/>
              <w:spacing w:after="0" w:line="90"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680" w:type="dxa"/>
            <w:vAlign w:val="bottom"/>
            <w:gridSpan w:val="2"/>
          </w:tcPr>
          <w:p>
            <w:pPr>
              <w:ind w:left="20"/>
              <w:spacing w:after="0" w:line="90" w:lineRule="exact"/>
              <w:rPr>
                <w:sz w:val="20"/>
                <w:szCs w:val="20"/>
                <w:color w:val="auto"/>
              </w:rPr>
            </w:pPr>
            <w:r>
              <w:rPr>
                <w:rFonts w:ascii="Times New Roman" w:cs="Times New Roman" w:eastAsia="Times New Roman" w:hAnsi="Times New Roman"/>
                <w:sz w:val="10"/>
                <w:szCs w:val="10"/>
                <w:b w:val="1"/>
                <w:bCs w:val="1"/>
                <w:color w:val="auto"/>
              </w:rPr>
              <w:t>Net Carrying</w:t>
            </w:r>
          </w:p>
        </w:tc>
        <w:tc>
          <w:tcPr>
            <w:tcW w:w="1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60" w:type="dxa"/>
            <w:vAlign w:val="bottom"/>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(Years)</w:t>
            </w:r>
          </w:p>
        </w:tc>
        <w:tc>
          <w:tcPr>
            <w:tcW w:w="0" w:type="dxa"/>
            <w:vAlign w:val="bottom"/>
          </w:tcPr>
          <w:p>
            <w:pPr>
              <w:spacing w:after="0"/>
              <w:rPr>
                <w:sz w:val="1"/>
                <w:szCs w:val="1"/>
                <w:color w:val="auto"/>
              </w:rPr>
            </w:pPr>
          </w:p>
        </w:tc>
      </w:tr>
      <w:tr>
        <w:trPr>
          <w:trHeight w:val="152"/>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Customer relationships</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502,160</w:t>
            </w: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356,146</w:t>
            </w:r>
          </w:p>
        </w:tc>
        <w:tc>
          <w:tcPr>
            <w:tcW w:w="18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146,014</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542,137</w:t>
            </w:r>
          </w:p>
        </w:tc>
        <w:tc>
          <w:tcPr>
            <w:tcW w:w="36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335,647</w:t>
            </w:r>
          </w:p>
        </w:tc>
        <w:tc>
          <w:tcPr>
            <w:tcW w:w="16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206,490</w:t>
            </w:r>
          </w:p>
        </w:tc>
        <w:tc>
          <w:tcPr>
            <w:tcW w:w="800" w:type="dxa"/>
            <w:vAlign w:val="bottom"/>
            <w:gridSpan w:val="2"/>
            <w:shd w:val="clear" w:color="auto" w:fill="CFF0FC"/>
          </w:tcPr>
          <w:p>
            <w:pPr>
              <w:jc w:val="center"/>
              <w:ind w:left="76"/>
              <w:spacing w:after="0"/>
              <w:rPr>
                <w:sz w:val="20"/>
                <w:szCs w:val="20"/>
                <w:color w:val="auto"/>
              </w:rPr>
            </w:pPr>
            <w:r>
              <w:rPr>
                <w:rFonts w:ascii="Times New Roman" w:cs="Times New Roman" w:eastAsia="Times New Roman" w:hAnsi="Times New Roman"/>
                <w:sz w:val="13"/>
                <w:szCs w:val="13"/>
                <w:color w:val="auto"/>
                <w:w w:val="92"/>
              </w:rPr>
              <w:t>5-20</w:t>
            </w:r>
          </w:p>
        </w:tc>
        <w:tc>
          <w:tcPr>
            <w:tcW w:w="0" w:type="dxa"/>
            <w:vAlign w:val="bottom"/>
          </w:tcPr>
          <w:p>
            <w:pPr>
              <w:spacing w:after="0"/>
              <w:rPr>
                <w:sz w:val="1"/>
                <w:szCs w:val="1"/>
                <w:color w:val="auto"/>
              </w:rPr>
            </w:pPr>
          </w:p>
        </w:tc>
      </w:tr>
      <w:tr>
        <w:trPr>
          <w:trHeight w:val="161"/>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Trade names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318,768</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154,601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164,167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332,977</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192,957</w:t>
            </w:r>
          </w:p>
        </w:tc>
        <w:tc>
          <w:tcPr>
            <w:tcW w:w="800" w:type="dxa"/>
            <w:vAlign w:val="bottom"/>
            <w:gridSpan w:val="2"/>
          </w:tcPr>
          <w:p>
            <w:pPr>
              <w:jc w:val="center"/>
              <w:ind w:left="76"/>
              <w:spacing w:after="0"/>
              <w:rPr>
                <w:sz w:val="20"/>
                <w:szCs w:val="20"/>
                <w:color w:val="auto"/>
              </w:rPr>
            </w:pPr>
            <w:r>
              <w:rPr>
                <w:rFonts w:ascii="Times New Roman" w:cs="Times New Roman" w:eastAsia="Times New Roman" w:hAnsi="Times New Roman"/>
                <w:sz w:val="13"/>
                <w:szCs w:val="13"/>
                <w:color w:val="auto"/>
                <w:w w:val="92"/>
              </w:rPr>
              <w:t>2-20</w:t>
            </w:r>
          </w:p>
        </w:tc>
        <w:tc>
          <w:tcPr>
            <w:tcW w:w="0" w:type="dxa"/>
            <w:vAlign w:val="bottom"/>
          </w:tcPr>
          <w:p>
            <w:pPr>
              <w:spacing w:after="0"/>
              <w:rPr>
                <w:sz w:val="1"/>
                <w:szCs w:val="1"/>
                <w:color w:val="auto"/>
              </w:rPr>
            </w:pPr>
          </w:p>
        </w:tc>
      </w:tr>
      <w:tr>
        <w:trPr>
          <w:trHeight w:val="161"/>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Licenses</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67,395</w:t>
            </w:r>
          </w:p>
        </w:tc>
        <w:tc>
          <w:tcPr>
            <w:tcW w:w="220" w:type="dxa"/>
            <w:vAlign w:val="bottom"/>
            <w:tcBorders>
              <w:right w:val="single" w:sz="8" w:color="CFF0FC"/>
            </w:tcBorders>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18,886</w:t>
            </w:r>
          </w:p>
        </w:tc>
        <w:tc>
          <w:tcPr>
            <w:tcW w:w="18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48,509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68,425</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17,528</w:t>
            </w: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50,897</w:t>
            </w:r>
          </w:p>
        </w:tc>
        <w:tc>
          <w:tcPr>
            <w:tcW w:w="800" w:type="dxa"/>
            <w:vAlign w:val="bottom"/>
            <w:gridSpan w:val="2"/>
            <w:shd w:val="clear" w:color="auto" w:fill="CFF0FC"/>
          </w:tcPr>
          <w:p>
            <w:pPr>
              <w:jc w:val="center"/>
              <w:ind w:left="76"/>
              <w:spacing w:after="0"/>
              <w:rPr>
                <w:sz w:val="20"/>
                <w:szCs w:val="20"/>
                <w:color w:val="auto"/>
              </w:rPr>
            </w:pPr>
            <w:r>
              <w:rPr>
                <w:rFonts w:ascii="Times New Roman" w:cs="Times New Roman" w:eastAsia="Times New Roman" w:hAnsi="Times New Roman"/>
                <w:sz w:val="13"/>
                <w:szCs w:val="13"/>
                <w:color w:val="auto"/>
                <w:w w:val="98"/>
              </w:rPr>
              <w:t>10-20</w:t>
            </w:r>
          </w:p>
        </w:tc>
        <w:tc>
          <w:tcPr>
            <w:tcW w:w="0" w:type="dxa"/>
            <w:vAlign w:val="bottom"/>
          </w:tcPr>
          <w:p>
            <w:pPr>
              <w:spacing w:after="0"/>
              <w:rPr>
                <w:sz w:val="1"/>
                <w:szCs w:val="1"/>
                <w:color w:val="auto"/>
              </w:rPr>
            </w:pPr>
          </w:p>
        </w:tc>
      </w:tr>
      <w:tr>
        <w:trPr>
          <w:trHeight w:val="161"/>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Doctor/payor network</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5,650</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12,730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10,965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1,765</w:t>
            </w:r>
          </w:p>
        </w:tc>
        <w:tc>
          <w:tcPr>
            <w:tcW w:w="800" w:type="dxa"/>
            <w:vAlign w:val="bottom"/>
            <w:gridSpan w:val="2"/>
          </w:tcPr>
          <w:p>
            <w:pPr>
              <w:jc w:val="center"/>
              <w:ind w:left="76"/>
              <w:spacing w:after="0"/>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61"/>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Covenants not to compete</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6,654</w:t>
            </w:r>
          </w:p>
        </w:tc>
        <w:tc>
          <w:tcPr>
            <w:tcW w:w="220" w:type="dxa"/>
            <w:vAlign w:val="bottom"/>
            <w:tcBorders>
              <w:right w:val="single" w:sz="8" w:color="CFF0FC"/>
            </w:tcBorders>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4,717</w:t>
            </w:r>
          </w:p>
        </w:tc>
        <w:tc>
          <w:tcPr>
            <w:tcW w:w="18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8,790</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5,886</w:t>
            </w: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2,904</w:t>
            </w:r>
          </w:p>
        </w:tc>
        <w:tc>
          <w:tcPr>
            <w:tcW w:w="800" w:type="dxa"/>
            <w:vAlign w:val="bottom"/>
            <w:gridSpan w:val="2"/>
            <w:shd w:val="clear" w:color="auto" w:fill="CFF0FC"/>
          </w:tcPr>
          <w:p>
            <w:pPr>
              <w:jc w:val="center"/>
              <w:ind w:left="76"/>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61"/>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Other intangible assets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10,940</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7,925</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3,015</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10,940</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6,362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4,578</w:t>
            </w:r>
          </w:p>
        </w:tc>
        <w:tc>
          <w:tcPr>
            <w:tcW w:w="800" w:type="dxa"/>
            <w:vAlign w:val="bottom"/>
            <w:gridSpan w:val="2"/>
          </w:tcPr>
          <w:p>
            <w:pPr>
              <w:jc w:val="center"/>
              <w:ind w:left="76"/>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52"/>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definite-lived assets</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911,567</w:t>
            </w: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547,262</w:t>
            </w:r>
          </w:p>
        </w:tc>
        <w:tc>
          <w:tcPr>
            <w:tcW w:w="18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364,305</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975,999</w:t>
            </w:r>
          </w:p>
        </w:tc>
        <w:tc>
          <w:tcPr>
            <w:tcW w:w="36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516,408</w:t>
            </w:r>
          </w:p>
        </w:tc>
        <w:tc>
          <w:tcPr>
            <w:tcW w:w="16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459,591</w:t>
            </w: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Licenses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193,250</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193,250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135,633</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135,633</w:t>
            </w: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Indefinite</w:t>
            </w:r>
          </w:p>
        </w:tc>
        <w:tc>
          <w:tcPr>
            <w:tcW w:w="0" w:type="dxa"/>
            <w:vAlign w:val="bottom"/>
          </w:tcPr>
          <w:p>
            <w:pPr>
              <w:spacing w:after="0"/>
              <w:rPr>
                <w:sz w:val="1"/>
                <w:szCs w:val="1"/>
                <w:color w:val="auto"/>
              </w:rPr>
            </w:pPr>
          </w:p>
        </w:tc>
      </w:tr>
      <w:tr>
        <w:trPr>
          <w:trHeight w:val="172"/>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intangible assets</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1,104,817</w:t>
            </w: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547,262</w:t>
            </w:r>
          </w:p>
        </w:tc>
        <w:tc>
          <w:tcPr>
            <w:tcW w:w="18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557,555</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1,111,632</w:t>
            </w:r>
          </w:p>
        </w:tc>
        <w:tc>
          <w:tcPr>
            <w:tcW w:w="360" w:type="dxa"/>
            <w:vAlign w:val="bottom"/>
            <w:gridSpan w:val="2"/>
            <w:shd w:val="clear" w:color="auto" w:fill="CFF0FC"/>
          </w:tcPr>
          <w:p>
            <w:pPr>
              <w:jc w:val="right"/>
              <w:ind w:right="86"/>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516,408</w:t>
            </w: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595,224</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1939290</wp:posOffset>
            </wp:positionH>
            <wp:positionV relativeFrom="paragraph">
              <wp:posOffset>-19685</wp:posOffset>
            </wp:positionV>
            <wp:extent cx="54610" cy="6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1939290</wp:posOffset>
            </wp:positionH>
            <wp:positionV relativeFrom="paragraph">
              <wp:posOffset>-6350</wp:posOffset>
            </wp:positionV>
            <wp:extent cx="54610" cy="69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2546350</wp:posOffset>
            </wp:positionH>
            <wp:positionV relativeFrom="paragraph">
              <wp:posOffset>-19685</wp:posOffset>
            </wp:positionV>
            <wp:extent cx="54610" cy="69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2546350</wp:posOffset>
            </wp:positionH>
            <wp:positionV relativeFrom="paragraph">
              <wp:posOffset>-6350</wp:posOffset>
            </wp:positionV>
            <wp:extent cx="54610" cy="69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3139440</wp:posOffset>
            </wp:positionH>
            <wp:positionV relativeFrom="paragraph">
              <wp:posOffset>-19685</wp:posOffset>
            </wp:positionV>
            <wp:extent cx="47625" cy="69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3139440</wp:posOffset>
            </wp:positionH>
            <wp:positionV relativeFrom="paragraph">
              <wp:posOffset>-6350</wp:posOffset>
            </wp:positionV>
            <wp:extent cx="47625"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3698875</wp:posOffset>
            </wp:positionH>
            <wp:positionV relativeFrom="paragraph">
              <wp:posOffset>-19685</wp:posOffset>
            </wp:positionV>
            <wp:extent cx="47625" cy="69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3698875</wp:posOffset>
            </wp:positionH>
            <wp:positionV relativeFrom="paragraph">
              <wp:posOffset>-6350</wp:posOffset>
            </wp:positionV>
            <wp:extent cx="47625" cy="69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4284980</wp:posOffset>
            </wp:positionH>
            <wp:positionV relativeFrom="paragraph">
              <wp:posOffset>-19685</wp:posOffset>
            </wp:positionV>
            <wp:extent cx="47625"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4284980</wp:posOffset>
            </wp:positionH>
            <wp:positionV relativeFrom="paragraph">
              <wp:posOffset>-6350</wp:posOffset>
            </wp:positionV>
            <wp:extent cx="47625"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-19685</wp:posOffset>
            </wp:positionV>
            <wp:extent cx="47625" cy="69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-6350</wp:posOffset>
            </wp:positionV>
            <wp:extent cx="47625" cy="6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69" w:lineRule="exact"/>
        <w:rPr>
          <w:sz w:val="20"/>
          <w:szCs w:val="20"/>
          <w:color w:val="auto"/>
        </w:rPr>
      </w:pPr>
    </w:p>
    <w:p>
      <w:pPr>
        <w:ind w:left="640" w:right="779"/>
        <w:spacing w:after="0" w:line="292" w:lineRule="auto"/>
        <w:rPr>
          <w:sz w:val="20"/>
          <w:szCs w:val="20"/>
          <w:color w:val="auto"/>
        </w:rPr>
      </w:pPr>
      <w:r>
        <w:rPr>
          <w:rFonts w:ascii="Times New Roman" w:cs="Times New Roman" w:eastAsia="Times New Roman" w:hAnsi="Times New Roman"/>
          <w:sz w:val="14"/>
          <w:szCs w:val="14"/>
          <w:color w:val="auto"/>
        </w:rPr>
        <w:t>Amortization expense for the years ended December 31, 2025, 2024, and 2023 was $91.1 million, $95.3 million, and $103.3 million, respectively.</w:t>
      </w:r>
    </w:p>
    <w:p>
      <w:pPr>
        <w:spacing w:after="0" w:line="38" w:lineRule="exact"/>
        <w:rPr>
          <w:sz w:val="20"/>
          <w:szCs w:val="20"/>
          <w:color w:val="auto"/>
        </w:rPr>
      </w:pPr>
    </w:p>
    <w:p>
      <w:pPr>
        <w:ind w:left="640" w:right="899"/>
        <w:spacing w:after="0" w:line="292" w:lineRule="auto"/>
        <w:rPr>
          <w:sz w:val="20"/>
          <w:szCs w:val="20"/>
          <w:color w:val="auto"/>
        </w:rPr>
      </w:pPr>
      <w:r>
        <w:rPr>
          <w:rFonts w:ascii="Times New Roman" w:cs="Times New Roman" w:eastAsia="Times New Roman" w:hAnsi="Times New Roman"/>
          <w:sz w:val="14"/>
          <w:szCs w:val="14"/>
          <w:color w:val="auto"/>
        </w:rPr>
        <w:t>As of December 31, 2025, total estimated amortization expense for the Company’s definite-lived intangible assets for the next five years and thereafter is as follows (in thousands):</w:t>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520" w:type="dxa"/>
            <w:vAlign w:val="bottom"/>
          </w:tcPr>
          <w:p>
            <w:pPr>
              <w:spacing w:after="0"/>
              <w:rPr>
                <w:sz w:val="14"/>
                <w:szCs w:val="14"/>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2026</w:t>
            </w:r>
          </w:p>
        </w:tc>
        <w:tc>
          <w:tcPr>
            <w:tcW w:w="46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79,888</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4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46,935</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2028</w:t>
            </w:r>
          </w:p>
        </w:tc>
        <w:tc>
          <w:tcPr>
            <w:tcW w:w="41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39,876</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4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34,000</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2030</w:t>
            </w:r>
          </w:p>
        </w:tc>
        <w:tc>
          <w:tcPr>
            <w:tcW w:w="41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33,108</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Thereafter</w:t>
            </w:r>
          </w:p>
        </w:tc>
        <w:tc>
          <w:tcPr>
            <w:tcW w:w="4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130,498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03"/>
        </w:trPr>
        <w:tc>
          <w:tcPr>
            <w:tcW w:w="520" w:type="dxa"/>
            <w:vAlign w:val="bottom"/>
          </w:tcPr>
          <w:p>
            <w:pPr>
              <w:spacing w:after="0"/>
              <w:rPr>
                <w:sz w:val="17"/>
                <w:szCs w:val="17"/>
                <w:color w:val="auto"/>
              </w:rPr>
            </w:pPr>
          </w:p>
        </w:tc>
        <w:tc>
          <w:tcPr>
            <w:tcW w:w="2180" w:type="dxa"/>
            <w:vAlign w:val="bottom"/>
            <w:shd w:val="clear" w:color="auto" w:fill="CFF0FC"/>
          </w:tcPr>
          <w:p>
            <w:pPr>
              <w:spacing w:after="0"/>
              <w:rPr>
                <w:sz w:val="17"/>
                <w:szCs w:val="17"/>
                <w:color w:val="auto"/>
              </w:rPr>
            </w:pPr>
          </w:p>
        </w:tc>
        <w:tc>
          <w:tcPr>
            <w:tcW w:w="46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364,305</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r>
      <w:tr>
        <w:trPr>
          <w:trHeight w:val="487"/>
        </w:trPr>
        <w:tc>
          <w:tcPr>
            <w:tcW w:w="520" w:type="dxa"/>
            <w:vAlign w:val="bottom"/>
          </w:tcPr>
          <w:p>
            <w:pPr>
              <w:spacing w:after="0"/>
              <w:rPr>
                <w:sz w:val="24"/>
                <w:szCs w:val="24"/>
                <w:color w:val="auto"/>
              </w:rPr>
            </w:pPr>
          </w:p>
        </w:tc>
        <w:tc>
          <w:tcPr>
            <w:tcW w:w="2180" w:type="dxa"/>
            <w:vAlign w:val="bottom"/>
            <w:tcBorders>
              <w:top w:val="single" w:sz="8" w:color="CFF0FC"/>
            </w:tcBorders>
          </w:tcPr>
          <w:p>
            <w:pPr>
              <w:spacing w:after="0"/>
              <w:rPr>
                <w:sz w:val="24"/>
                <w:szCs w:val="24"/>
                <w:color w:val="auto"/>
              </w:rPr>
            </w:pPr>
          </w:p>
        </w:tc>
        <w:tc>
          <w:tcPr>
            <w:tcW w:w="4180" w:type="dxa"/>
            <w:vAlign w:val="bottom"/>
            <w:tcBorders>
              <w:top w:val="single" w:sz="8" w:color="CFF0FC"/>
            </w:tcBorders>
          </w:tcPr>
          <w:p>
            <w:pPr>
              <w:jc w:val="right"/>
              <w:ind w:right="2308"/>
              <w:spacing w:after="0"/>
              <w:rPr>
                <w:sz w:val="20"/>
                <w:szCs w:val="20"/>
                <w:color w:val="auto"/>
              </w:rPr>
            </w:pPr>
            <w:r>
              <w:rPr>
                <w:rFonts w:ascii="Times New Roman" w:cs="Times New Roman" w:eastAsia="Times New Roman" w:hAnsi="Times New Roman"/>
                <w:sz w:val="14"/>
                <w:szCs w:val="14"/>
                <w:color w:val="auto"/>
              </w:rPr>
              <w:t>105</w:t>
            </w:r>
          </w:p>
        </w:tc>
        <w:tc>
          <w:tcPr>
            <w:tcW w:w="4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520" w:type="dxa"/>
            <w:vAlign w:val="bottom"/>
          </w:tcPr>
          <w:p>
            <w:pPr>
              <w:spacing w:after="0"/>
              <w:rPr>
                <w:sz w:val="24"/>
                <w:szCs w:val="24"/>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-742950</wp:posOffset>
            </wp:positionV>
            <wp:extent cx="47625" cy="6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-728980</wp:posOffset>
            </wp:positionV>
            <wp:extent cx="47625" cy="6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2" w:name="page113"/>
    <w:bookmarkEnd w:id="11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6. Debt and Derivatives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 table below summarizes the total outstanding debt of the Company (in thousands):</w:t>
      </w:r>
    </w:p>
    <w:p>
      <w:pPr>
        <w:spacing w:after="0" w:line="221"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520" w:type="dxa"/>
            <w:vAlign w:val="bottom"/>
            <w:gridSpan w:val="4"/>
          </w:tcPr>
          <w:p>
            <w:pPr>
              <w:jc w:val="right"/>
              <w:ind w:right="23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60" w:type="dxa"/>
            <w:vAlign w:val="bottom"/>
          </w:tcPr>
          <w:p>
            <w:pPr>
              <w:spacing w:after="0"/>
              <w:rPr>
                <w:sz w:val="11"/>
                <w:szCs w:val="11"/>
                <w:color w:val="auto"/>
              </w:rPr>
            </w:pPr>
          </w:p>
        </w:tc>
        <w:tc>
          <w:tcPr>
            <w:tcW w:w="1540" w:type="dxa"/>
            <w:vAlign w:val="bottom"/>
            <w:gridSpan w:val="5"/>
          </w:tcPr>
          <w:p>
            <w:pPr>
              <w:ind w:left="260"/>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09"/>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520" w:type="dxa"/>
            <w:vAlign w:val="bottom"/>
            <w:tcBorders>
              <w:top w:val="single" w:sz="8" w:color="auto"/>
              <w:bottom w:val="single" w:sz="8" w:color="auto"/>
            </w:tcBorders>
          </w:tcPr>
          <w:p>
            <w:pPr>
              <w:ind w:left="140"/>
              <w:spacing w:after="0" w:line="109" w:lineRule="exact"/>
              <w:rPr>
                <w:sz w:val="20"/>
                <w:szCs w:val="20"/>
                <w:color w:val="auto"/>
              </w:rPr>
            </w:pPr>
            <w:r>
              <w:rPr>
                <w:rFonts w:ascii="Times New Roman" w:cs="Times New Roman" w:eastAsia="Times New Roman" w:hAnsi="Times New Roman"/>
                <w:sz w:val="11"/>
                <w:szCs w:val="11"/>
                <w:b w:val="1"/>
                <w:bCs w:val="1"/>
                <w:color w:val="auto"/>
              </w:rPr>
              <w:t>Rate</w:t>
            </w:r>
          </w:p>
        </w:tc>
        <w:tc>
          <w:tcPr>
            <w:tcW w:w="240" w:type="dxa"/>
            <w:vAlign w:val="bottom"/>
            <w:tcBorders>
              <w:top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110"/>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9"/>
                <w:szCs w:val="9"/>
                <w:color w:val="auto"/>
              </w:rPr>
            </w:pPr>
          </w:p>
        </w:tc>
        <w:tc>
          <w:tcPr>
            <w:tcW w:w="480" w:type="dxa"/>
            <w:vAlign w:val="bottom"/>
            <w:tcBorders>
              <w:top w:val="single" w:sz="8" w:color="auto"/>
              <w:bottom w:val="single" w:sz="8" w:color="auto"/>
            </w:tcBorders>
          </w:tcPr>
          <w:p>
            <w:pPr>
              <w:ind w:left="120"/>
              <w:spacing w:after="0" w:line="109" w:lineRule="exact"/>
              <w:rPr>
                <w:sz w:val="20"/>
                <w:szCs w:val="20"/>
                <w:color w:val="auto"/>
              </w:rPr>
            </w:pPr>
            <w:r>
              <w:rPr>
                <w:rFonts w:ascii="Times New Roman" w:cs="Times New Roman" w:eastAsia="Times New Roman" w:hAnsi="Times New Roman"/>
                <w:sz w:val="11"/>
                <w:szCs w:val="11"/>
                <w:b w:val="1"/>
                <w:bCs w:val="1"/>
                <w:color w:val="auto"/>
              </w:rPr>
              <w:t>Rate</w:t>
            </w:r>
          </w:p>
        </w:tc>
        <w:tc>
          <w:tcPr>
            <w:tcW w:w="240" w:type="dxa"/>
            <w:vAlign w:val="bottom"/>
            <w:tcBorders>
              <w:top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110"/>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9"/>
                <w:szCs w:val="9"/>
                <w:color w:val="auto"/>
              </w:rPr>
            </w:pPr>
          </w:p>
        </w:tc>
      </w:tr>
      <w:tr>
        <w:trPr>
          <w:trHeight w:val="148"/>
        </w:trPr>
        <w:tc>
          <w:tcPr>
            <w:tcW w:w="20" w:type="dxa"/>
            <w:vAlign w:val="bottom"/>
          </w:tcPr>
          <w:p>
            <w:pPr>
              <w:spacing w:after="0"/>
              <w:rPr>
                <w:sz w:val="12"/>
                <w:szCs w:val="12"/>
                <w:color w:val="auto"/>
              </w:rPr>
            </w:pPr>
          </w:p>
        </w:tc>
        <w:tc>
          <w:tcPr>
            <w:tcW w:w="450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4"/>
                <w:szCs w:val="14"/>
                <w:color w:val="auto"/>
              </w:rPr>
              <w:t>First Lien Incremental Term Loan Tranche B-5 - payable to lenders at</w:t>
            </w:r>
          </w:p>
        </w:tc>
        <w:tc>
          <w:tcPr>
            <w:tcW w:w="760" w:type="dxa"/>
            <w:vAlign w:val="bottom"/>
            <w:gridSpan w:val="2"/>
            <w:shd w:val="clear" w:color="auto" w:fill="CFF0FC"/>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6.22%</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2,521,255</w:t>
            </w:r>
          </w:p>
        </w:tc>
        <w:tc>
          <w:tcPr>
            <w:tcW w:w="880" w:type="dxa"/>
            <w:vAlign w:val="bottom"/>
            <w:gridSpan w:val="3"/>
            <w:shd w:val="clear" w:color="auto" w:fill="CFF0FC"/>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6.86%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2,546,787</w:t>
            </w:r>
          </w:p>
        </w:tc>
        <w:tc>
          <w:tcPr>
            <w:tcW w:w="80" w:type="dxa"/>
            <w:vAlign w:val="bottom"/>
            <w:shd w:val="clear" w:color="auto" w:fill="CFF0FC"/>
          </w:tcPr>
          <w:p>
            <w:pPr>
              <w:spacing w:after="0"/>
              <w:rPr>
                <w:sz w:val="12"/>
                <w:szCs w:val="12"/>
                <w:color w:val="auto"/>
              </w:rPr>
            </w:pPr>
          </w:p>
        </w:tc>
      </w:tr>
      <w:tr>
        <w:trPr>
          <w:trHeight w:val="187"/>
        </w:trPr>
        <w:tc>
          <w:tcPr>
            <w:tcW w:w="20" w:type="dxa"/>
            <w:vAlign w:val="bottom"/>
          </w:tcPr>
          <w:p>
            <w:pPr>
              <w:spacing w:after="0"/>
              <w:rPr>
                <w:sz w:val="16"/>
                <w:szCs w:val="16"/>
                <w:color w:val="auto"/>
              </w:rPr>
            </w:pPr>
          </w:p>
        </w:tc>
        <w:tc>
          <w:tcPr>
            <w:tcW w:w="4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SOFR plus applicable margin</w:t>
            </w:r>
          </w:p>
        </w:tc>
        <w:tc>
          <w:tcPr>
            <w:tcW w:w="5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2"/>
        </w:trPr>
        <w:tc>
          <w:tcPr>
            <w:tcW w:w="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Revolving Credit Loans - payable to lenders at SOFR plus applicable margin</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6.47%</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7.61%</w:t>
            </w:r>
          </w:p>
        </w:tc>
        <w:tc>
          <w:tcPr>
            <w:tcW w:w="1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Swingline/Base Rate - payable to lenders at ABR plus applicable margin</w:t>
            </w: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8.50%</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9.75%</w:t>
            </w: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63,300</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00" w:type="dxa"/>
            <w:vAlign w:val="bottom"/>
          </w:tcPr>
          <w:p>
            <w:pPr>
              <w:spacing w:after="0" w:line="172" w:lineRule="exact"/>
              <w:rPr>
                <w:sz w:val="20"/>
                <w:szCs w:val="20"/>
                <w:color w:val="auto"/>
              </w:rPr>
            </w:pPr>
            <w:r>
              <w:rPr>
                <w:rFonts w:ascii="Times New Roman" w:cs="Times New Roman" w:eastAsia="Times New Roman" w:hAnsi="Times New Roman"/>
                <w:sz w:val="14"/>
                <w:szCs w:val="14"/>
                <w:color w:val="auto"/>
              </w:rPr>
              <w:t xml:space="preserve">Amortizing Notes </w:t>
            </w:r>
            <w:r>
              <w:rPr>
                <w:rFonts w:ascii="Times New Roman" w:cs="Times New Roman" w:eastAsia="Times New Roman" w:hAnsi="Times New Roman"/>
                <w:sz w:val="19"/>
                <w:szCs w:val="19"/>
                <w:color w:val="auto"/>
                <w:vertAlign w:val="superscript"/>
              </w:rPr>
              <w:t>(1)</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31,360</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53,804</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Notes payable and other</w:t>
            </w:r>
          </w:p>
        </w:tc>
        <w:tc>
          <w:tcPr>
            <w:tcW w:w="5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17,129</w:t>
            </w:r>
          </w:p>
        </w:tc>
        <w:tc>
          <w:tcPr>
            <w:tcW w:w="16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19,428</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Total debt</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2,569,744</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2,683,319</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debt issuance costs, net</w:t>
            </w:r>
          </w:p>
        </w:tc>
        <w:tc>
          <w:tcPr>
            <w:tcW w:w="5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62,200</w:t>
            </w:r>
          </w:p>
        </w:tc>
        <w:tc>
          <w:tcPr>
            <w:tcW w:w="16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72,736</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Total debt, net of debt issuance costs</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2,507,544</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2,610,583</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5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52,340</w:t>
            </w:r>
          </w:p>
        </w:tc>
        <w:tc>
          <w:tcPr>
            <w:tcW w:w="16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48,725</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Total long-term debt, net of current portion</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2,455,204</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2,561,858</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4244340</wp:posOffset>
            </wp:positionH>
            <wp:positionV relativeFrom="paragraph">
              <wp:posOffset>-586105</wp:posOffset>
            </wp:positionV>
            <wp:extent cx="47625"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-586105</wp:posOffset>
            </wp:positionV>
            <wp:extent cx="47625" cy="69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-360680</wp:posOffset>
            </wp:positionV>
            <wp:extent cx="47625" cy="69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-360680</wp:posOffset>
            </wp:positionV>
            <wp:extent cx="47625" cy="69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-135890</wp:posOffset>
            </wp:positionV>
            <wp:extent cx="47625"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4"/>
          <w:szCs w:val="14"/>
          <w:color w:val="auto"/>
        </w:rPr>
        <w:t xml:space="preserve"> See Note 7 for discussion of Amortizing Notes.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As of December 31, 2025, maturities of long-term debt for the next five years and thereafter are as follows (in thousands):</w:t>
      </w:r>
    </w:p>
    <w:p>
      <w:pPr>
        <w:spacing w:after="0" w:line="197"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2026</w:t>
            </w:r>
          </w:p>
        </w:tc>
        <w:tc>
          <w:tcPr>
            <w:tcW w:w="32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52,340</w:t>
            </w:r>
          </w:p>
        </w:tc>
        <w:tc>
          <w:tcPr>
            <w:tcW w:w="80" w:type="dxa"/>
            <w:vAlign w:val="bottom"/>
            <w:shd w:val="clear" w:color="auto" w:fill="CFF0FC"/>
          </w:tcPr>
          <w:p>
            <w:pPr>
              <w:spacing w:after="0"/>
              <w:rPr>
                <w:sz w:val="14"/>
                <w:szCs w:val="14"/>
                <w:color w:val="auto"/>
              </w:rPr>
            </w:pPr>
          </w:p>
        </w:tc>
      </w:tr>
      <w:tr>
        <w:trPr>
          <w:trHeight w:val="172"/>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2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32,135</w:t>
            </w:r>
          </w:p>
        </w:tc>
        <w:tc>
          <w:tcPr>
            <w:tcW w:w="80" w:type="dxa"/>
            <w:vAlign w:val="bottom"/>
          </w:tcPr>
          <w:p>
            <w:pPr>
              <w:spacing w:after="0"/>
              <w:rPr>
                <w:sz w:val="14"/>
                <w:szCs w:val="14"/>
                <w:color w:val="auto"/>
              </w:rPr>
            </w:pPr>
          </w:p>
        </w:tc>
      </w:tr>
      <w:tr>
        <w:trPr>
          <w:trHeight w:val="172"/>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2028</w:t>
            </w:r>
          </w:p>
        </w:tc>
        <w:tc>
          <w:tcPr>
            <w:tcW w:w="28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40,549</w:t>
            </w:r>
          </w:p>
        </w:tc>
        <w:tc>
          <w:tcPr>
            <w:tcW w:w="80" w:type="dxa"/>
            <w:vAlign w:val="bottom"/>
            <w:shd w:val="clear" w:color="auto" w:fill="CFF0FC"/>
          </w:tcPr>
          <w:p>
            <w:pPr>
              <w:spacing w:after="0"/>
              <w:rPr>
                <w:sz w:val="14"/>
                <w:szCs w:val="14"/>
                <w:color w:val="auto"/>
              </w:rPr>
            </w:pPr>
          </w:p>
        </w:tc>
      </w:tr>
      <w:tr>
        <w:trPr>
          <w:trHeight w:val="172"/>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2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25,549</w:t>
            </w:r>
          </w:p>
        </w:tc>
        <w:tc>
          <w:tcPr>
            <w:tcW w:w="80" w:type="dxa"/>
            <w:vAlign w:val="bottom"/>
          </w:tcPr>
          <w:p>
            <w:pPr>
              <w:spacing w:after="0"/>
              <w:rPr>
                <w:sz w:val="14"/>
                <w:szCs w:val="14"/>
                <w:color w:val="auto"/>
              </w:rPr>
            </w:pPr>
          </w:p>
        </w:tc>
      </w:tr>
      <w:tr>
        <w:trPr>
          <w:trHeight w:val="172"/>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2030</w:t>
            </w:r>
          </w:p>
        </w:tc>
        <w:tc>
          <w:tcPr>
            <w:tcW w:w="28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25,549</w:t>
            </w:r>
          </w:p>
        </w:tc>
        <w:tc>
          <w:tcPr>
            <w:tcW w:w="80" w:type="dxa"/>
            <w:vAlign w:val="bottom"/>
            <w:shd w:val="clear" w:color="auto" w:fill="CFF0FC"/>
          </w:tcPr>
          <w:p>
            <w:pPr>
              <w:spacing w:after="0"/>
              <w:rPr>
                <w:sz w:val="14"/>
                <w:szCs w:val="14"/>
                <w:color w:val="auto"/>
              </w:rPr>
            </w:pPr>
          </w:p>
        </w:tc>
      </w:tr>
      <w:tr>
        <w:trPr>
          <w:trHeight w:val="172"/>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Thereafter</w:t>
            </w:r>
          </w:p>
        </w:tc>
        <w:tc>
          <w:tcPr>
            <w:tcW w:w="28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2,393,622</w:t>
            </w:r>
          </w:p>
        </w:tc>
        <w:tc>
          <w:tcPr>
            <w:tcW w:w="80" w:type="dxa"/>
            <w:vAlign w:val="bottom"/>
          </w:tcPr>
          <w:p>
            <w:pPr>
              <w:spacing w:after="0"/>
              <w:rPr>
                <w:sz w:val="14"/>
                <w:szCs w:val="14"/>
                <w:color w:val="auto"/>
              </w:rPr>
            </w:pPr>
          </w:p>
        </w:tc>
      </w:tr>
      <w:tr>
        <w:trPr>
          <w:trHeight w:val="183"/>
        </w:trPr>
        <w:tc>
          <w:tcPr>
            <w:tcW w:w="3480" w:type="dxa"/>
            <w:vAlign w:val="bottom"/>
            <w:shd w:val="clear" w:color="auto" w:fill="CFF0FC"/>
          </w:tcPr>
          <w:p>
            <w:pPr>
              <w:spacing w:after="0"/>
              <w:rPr>
                <w:sz w:val="15"/>
                <w:szCs w:val="15"/>
                <w:color w:val="auto"/>
              </w:rPr>
            </w:pPr>
          </w:p>
        </w:tc>
        <w:tc>
          <w:tcPr>
            <w:tcW w:w="32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2,569,744</w:t>
            </w:r>
          </w:p>
        </w:tc>
        <w:tc>
          <w:tcPr>
            <w:tcW w:w="80" w:type="dxa"/>
            <w:vAlign w:val="bottom"/>
            <w:shd w:val="clear" w:color="auto" w:fill="CFF0FC"/>
          </w:tcPr>
          <w:p>
            <w:pPr>
              <w:spacing w:after="0"/>
              <w:rPr>
                <w:sz w:val="15"/>
                <w:szCs w:val="15"/>
                <w:color w:val="auto"/>
              </w:rPr>
            </w:pPr>
          </w:p>
        </w:tc>
      </w:tr>
      <w:tr>
        <w:trPr>
          <w:trHeight w:val="20"/>
        </w:trPr>
        <w:tc>
          <w:tcPr>
            <w:tcW w:w="3480" w:type="dxa"/>
            <w:vAlign w:val="bottom"/>
            <w:tcBorders>
              <w:top w:val="single" w:sz="8" w:color="CFF0FC"/>
            </w:tcBorders>
            <w:shd w:val="clear" w:color="auto" w:fill="CFF0FC"/>
          </w:tcPr>
          <w:p>
            <w:pPr>
              <w:spacing w:after="0" w:line="20" w:lineRule="exact"/>
              <w:rPr>
                <w:sz w:val="1"/>
                <w:szCs w:val="1"/>
                <w:color w:val="auto"/>
              </w:rPr>
            </w:pPr>
          </w:p>
        </w:tc>
        <w:tc>
          <w:tcPr>
            <w:tcW w:w="28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See Note 13 for maturities of obligations under financing leases.</w:t>
      </w:r>
    </w:p>
    <w:p>
      <w:pPr>
        <w:spacing w:after="0" w:line="97" w:lineRule="exact"/>
        <w:rPr>
          <w:sz w:val="20"/>
          <w:szCs w:val="20"/>
          <w:color w:val="auto"/>
        </w:rPr>
      </w:pPr>
    </w:p>
    <w:p>
      <w:pPr>
        <w:ind w:left="640" w:right="1199"/>
        <w:spacing w:after="0" w:line="292" w:lineRule="auto"/>
        <w:rPr>
          <w:sz w:val="20"/>
          <w:szCs w:val="20"/>
          <w:color w:val="auto"/>
        </w:rPr>
      </w:pPr>
      <w:r>
        <w:rPr>
          <w:rFonts w:ascii="Times New Roman" w:cs="Times New Roman" w:eastAsia="Times New Roman" w:hAnsi="Times New Roman"/>
          <w:sz w:val="14"/>
          <w:szCs w:val="14"/>
          <w:color w:val="auto"/>
        </w:rPr>
        <w:t>The following discussion summarizes the debt agreements and related extinguishments and modifications for the years ended December 31, 2025 and 2024.</w:t>
      </w:r>
    </w:p>
    <w:p>
      <w:pPr>
        <w:spacing w:after="0" w:line="38" w:lineRule="exact"/>
        <w:rPr>
          <w:sz w:val="20"/>
          <w:szCs w:val="20"/>
          <w:color w:val="auto"/>
        </w:rPr>
      </w:pPr>
    </w:p>
    <w:p>
      <w:pPr>
        <w:ind w:left="640" w:right="759"/>
        <w:spacing w:after="0" w:line="265" w:lineRule="auto"/>
        <w:rPr>
          <w:sz w:val="20"/>
          <w:szCs w:val="20"/>
          <w:color w:val="auto"/>
        </w:rPr>
      </w:pPr>
      <w:r>
        <w:rPr>
          <w:rFonts w:ascii="Times New Roman" w:cs="Times New Roman" w:eastAsia="Times New Roman" w:hAnsi="Times New Roman"/>
          <w:sz w:val="14"/>
          <w:szCs w:val="14"/>
          <w:color w:val="auto"/>
        </w:rPr>
        <w:t>Obligations under the First Lien Facility is guaranteed by Phoenix Guarantor, Inc., a subsidiary of the Company, and each of its current and future direct and indirect subsidiaries other than (among others) (i) foreign subsidiaries, (ii) unrestricted subsidiaries, (iii) non-wholly owned subsidiaries, (iv) certain receivables financing subsidiaries, (v) certain immaterial subsidiaries and (vi) certain holding companies of foreign subsidiaries, and are secured by a first lien on substantially all of their assets, including capital stock of subsidiaries.</w:t>
      </w:r>
    </w:p>
    <w:p>
      <w:pPr>
        <w:spacing w:after="0" w:line="56" w:lineRule="exact"/>
        <w:rPr>
          <w:sz w:val="20"/>
          <w:szCs w:val="20"/>
          <w:color w:val="auto"/>
        </w:rPr>
      </w:pPr>
    </w:p>
    <w:p>
      <w:pPr>
        <w:ind w:left="640" w:right="679"/>
        <w:spacing w:after="0" w:line="261" w:lineRule="auto"/>
        <w:rPr>
          <w:sz w:val="20"/>
          <w:szCs w:val="20"/>
          <w:color w:val="auto"/>
        </w:rPr>
      </w:pPr>
      <w:r>
        <w:rPr>
          <w:rFonts w:ascii="Times New Roman" w:cs="Times New Roman" w:eastAsia="Times New Roman" w:hAnsi="Times New Roman"/>
          <w:sz w:val="14"/>
          <w:szCs w:val="14"/>
          <w:color w:val="auto"/>
        </w:rPr>
        <w:t>The current credit facilities described below contain customary negative covenants, including, but not limited to, restrictions on the Company and its restricted subsidiaries’ ability to merge and consolidate with other companies, incur indebtedness, grant liens or security interests on assets, make acquisitions, loans, advances or investments, pay dividends, sell or otherwise transfer assets, prepay or modify terms of certain junior indebtedness, enter into transactions with affiliates, or change their lines of business or fiscal year. In addition, the terms of the credit facilities will not permit the consolidated First Lien secured debt to consolidated earnings before interest, taxes, depreciation, and amortization (“EBITDA”) to be greater than 6.90 to 1.00, which shall be tested as of the end of the most recent quarter at any time when the aggregate Revolving Credit Facility loans exceed 35% of the total revolving credit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3" w:name="page114"/>
    <w:bookmarkEnd w:id="11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640" w:right="799"/>
        <w:spacing w:after="0" w:line="274" w:lineRule="auto"/>
        <w:rPr>
          <w:sz w:val="20"/>
          <w:szCs w:val="20"/>
          <w:color w:val="auto"/>
        </w:rPr>
      </w:pPr>
      <w:r>
        <w:rPr>
          <w:rFonts w:ascii="Times New Roman" w:cs="Times New Roman" w:eastAsia="Times New Roman" w:hAnsi="Times New Roman"/>
          <w:sz w:val="14"/>
          <w:szCs w:val="14"/>
          <w:color w:val="auto"/>
        </w:rPr>
        <w:t>We are required to disclose the fair value of financial instruments for which it is practicable to estimate the value, even though these instruments are not recognized at fair value in the consolidated balance sheets. The following table presents the estimated fair values of the Company’s debt obligations as of December 31, 2025 (in millions):</w:t>
      </w:r>
    </w:p>
    <w:p>
      <w:pPr>
        <w:spacing w:after="0" w:line="2"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Carrying Value as of</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rPr>
              <w:t>Fair Value at Reporting Date Using</w:t>
            </w:r>
          </w:p>
        </w:tc>
        <w:tc>
          <w:tcPr>
            <w:tcW w:w="11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Financial Instrument</w:t>
            </w:r>
          </w:p>
        </w:tc>
        <w:tc>
          <w:tcPr>
            <w:tcW w:w="6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rPr>
              <w:t>Markets for Identical</w:t>
            </w:r>
          </w:p>
        </w:tc>
        <w:tc>
          <w:tcPr>
            <w:tcW w:w="160" w:type="dxa"/>
            <w:vAlign w:val="bottom"/>
          </w:tcPr>
          <w:p>
            <w:pPr>
              <w:spacing w:after="0"/>
              <w:rPr>
                <w:sz w:val="7"/>
                <w:szCs w:val="7"/>
                <w:color w:val="auto"/>
              </w:rPr>
            </w:pPr>
          </w:p>
        </w:tc>
        <w:tc>
          <w:tcPr>
            <w:tcW w:w="1580" w:type="dxa"/>
            <w:vAlign w:val="bottom"/>
            <w:gridSpan w:val="2"/>
          </w:tcPr>
          <w:p>
            <w:pPr>
              <w:jc w:val="right"/>
              <w:ind w:right="35"/>
              <w:spacing w:after="0" w:line="90" w:lineRule="exact"/>
              <w:rPr>
                <w:sz w:val="20"/>
                <w:szCs w:val="20"/>
                <w:color w:val="auto"/>
              </w:rPr>
            </w:pPr>
            <w:r>
              <w:rPr>
                <w:rFonts w:ascii="Times New Roman" w:cs="Times New Roman" w:eastAsia="Times New Roman" w:hAnsi="Times New Roman"/>
                <w:sz w:val="10"/>
                <w:szCs w:val="10"/>
                <w:b w:val="1"/>
                <w:bCs w:val="1"/>
                <w:color w:val="auto"/>
              </w:rPr>
              <w:t>Significant Other Observable</w:t>
            </w:r>
          </w:p>
        </w:tc>
        <w:tc>
          <w:tcPr>
            <w:tcW w:w="160" w:type="dxa"/>
            <w:vAlign w:val="bottom"/>
          </w:tcPr>
          <w:p>
            <w:pPr>
              <w:spacing w:after="0"/>
              <w:rPr>
                <w:sz w:val="7"/>
                <w:szCs w:val="7"/>
                <w:color w:val="auto"/>
              </w:rPr>
            </w:pPr>
          </w:p>
        </w:tc>
        <w:tc>
          <w:tcPr>
            <w:tcW w:w="134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rPr>
              <w:t>Significant Unobservable</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9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95"/>
              <w:spacing w:after="0"/>
              <w:rPr>
                <w:sz w:val="20"/>
                <w:szCs w:val="20"/>
                <w:color w:val="auto"/>
              </w:rPr>
            </w:pPr>
            <w:r>
              <w:rPr>
                <w:rFonts w:ascii="Times New Roman" w:cs="Times New Roman" w:eastAsia="Times New Roman" w:hAnsi="Times New Roman"/>
                <w:sz w:val="11"/>
                <w:szCs w:val="11"/>
                <w:b w:val="1"/>
                <w:bCs w:val="1"/>
                <w:color w:val="auto"/>
              </w:rPr>
              <w:t>Item (Level 1)</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right"/>
              <w:ind w:right="355"/>
              <w:spacing w:after="0"/>
              <w:rPr>
                <w:sz w:val="20"/>
                <w:szCs w:val="20"/>
                <w:color w:val="auto"/>
              </w:rPr>
            </w:pPr>
            <w:r>
              <w:rPr>
                <w:rFonts w:ascii="Times New Roman" w:cs="Times New Roman" w:eastAsia="Times New Roman" w:hAnsi="Times New Roman"/>
                <w:sz w:val="11"/>
                <w:szCs w:val="11"/>
                <w:b w:val="1"/>
                <w:bCs w:val="1"/>
                <w:color w:val="auto"/>
              </w:rPr>
              <w:t>Inputs (Level 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Inputs (Level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continue"/>
          </w:tcPr>
          <w:p>
            <w:pPr>
              <w:spacing w:after="0"/>
              <w:rPr>
                <w:sz w:val="13"/>
                <w:szCs w:val="13"/>
                <w:color w:val="auto"/>
              </w:rPr>
            </w:pPr>
          </w:p>
        </w:tc>
        <w:tc>
          <w:tcPr>
            <w:tcW w:w="1920" w:type="dxa"/>
            <w:vAlign w:val="bottom"/>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auto"/>
              </w:rPr>
              <w:t>First Lien Term Loan</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2,521,255</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ind w:left="840"/>
              <w:spacing w:after="0" w:line="152" w:lineRule="exact"/>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gridSpan w:val="2"/>
            <w:shd w:val="clear" w:color="auto" w:fill="CFF0FC"/>
          </w:tcPr>
          <w:p>
            <w:pPr>
              <w:jc w:val="right"/>
              <w:ind w:right="106"/>
              <w:spacing w:after="0" w:line="152"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2,540,164</w:t>
            </w:r>
          </w:p>
        </w:tc>
        <w:tc>
          <w:tcPr>
            <w:tcW w:w="320" w:type="dxa"/>
            <w:vAlign w:val="bottom"/>
            <w:gridSpan w:val="2"/>
            <w:shd w:val="clear" w:color="auto" w:fill="CFF0FC"/>
          </w:tcPr>
          <w:p>
            <w:pPr>
              <w:jc w:val="right"/>
              <w:ind w:right="48"/>
              <w:spacing w:after="0" w:line="15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ind w:left="1020"/>
              <w:spacing w:after="0" w:line="15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Amortizing Notes</w:t>
            </w: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31,360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31,948</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20" w:type="dxa"/>
            <w:vAlign w:val="bottom"/>
            <w:shd w:val="clear" w:color="auto" w:fill="CFF0FC"/>
          </w:tcPr>
          <w:p>
            <w:pPr>
              <w:ind w:left="200"/>
              <w:spacing w:after="0" w:line="152" w:lineRule="exact"/>
              <w:rPr>
                <w:sz w:val="20"/>
                <w:szCs w:val="20"/>
                <w:color w:val="auto"/>
              </w:rPr>
            </w:pPr>
            <w:r>
              <w:rPr>
                <w:rFonts w:ascii="Times New Roman" w:cs="Times New Roman" w:eastAsia="Times New Roman" w:hAnsi="Times New Roman"/>
                <w:sz w:val="14"/>
                <w:szCs w:val="14"/>
                <w:color w:val="auto"/>
              </w:rPr>
              <w:t>Total debt instruments</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2,552,615</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ind w:left="840"/>
              <w:spacing w:after="0" w:line="152" w:lineRule="exact"/>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gridSpan w:val="2"/>
            <w:shd w:val="clear" w:color="auto" w:fill="CFF0FC"/>
          </w:tcPr>
          <w:p>
            <w:pPr>
              <w:jc w:val="right"/>
              <w:ind w:right="106"/>
              <w:spacing w:after="0" w:line="152"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2,572,112</w:t>
            </w:r>
          </w:p>
        </w:tc>
        <w:tc>
          <w:tcPr>
            <w:tcW w:w="320" w:type="dxa"/>
            <w:vAlign w:val="bottom"/>
            <w:gridSpan w:val="2"/>
            <w:shd w:val="clear" w:color="auto" w:fill="CFF0FC"/>
          </w:tcPr>
          <w:p>
            <w:pPr>
              <w:jc w:val="right"/>
              <w:ind w:right="48"/>
              <w:spacing w:after="0" w:line="15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ind w:left="1020"/>
              <w:spacing w:after="0" w:line="15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2389505</wp:posOffset>
            </wp:positionH>
            <wp:positionV relativeFrom="paragraph">
              <wp:posOffset>-19685</wp:posOffset>
            </wp:positionV>
            <wp:extent cx="47625" cy="69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2389505</wp:posOffset>
            </wp:positionH>
            <wp:positionV relativeFrom="paragraph">
              <wp:posOffset>-6350</wp:posOffset>
            </wp:positionV>
            <wp:extent cx="47625" cy="69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3208020</wp:posOffset>
            </wp:positionH>
            <wp:positionV relativeFrom="paragraph">
              <wp:posOffset>-19685</wp:posOffset>
            </wp:positionV>
            <wp:extent cx="47625" cy="69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3208020</wp:posOffset>
            </wp:positionH>
            <wp:positionV relativeFrom="paragraph">
              <wp:posOffset>-6350</wp:posOffset>
            </wp:positionV>
            <wp:extent cx="47625" cy="69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-19685</wp:posOffset>
            </wp:positionV>
            <wp:extent cx="47625" cy="69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-6350</wp:posOffset>
            </wp:positionV>
            <wp:extent cx="47625" cy="69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First Lien Credit Agreement</w:t>
      </w:r>
    </w:p>
    <w:p>
      <w:pPr>
        <w:spacing w:after="0" w:line="99" w:lineRule="exact"/>
        <w:rPr>
          <w:sz w:val="20"/>
          <w:szCs w:val="20"/>
          <w:color w:val="auto"/>
        </w:rPr>
      </w:pPr>
    </w:p>
    <w:p>
      <w:pPr>
        <w:ind w:left="640" w:right="719"/>
        <w:spacing w:after="0" w:line="262" w:lineRule="auto"/>
        <w:rPr>
          <w:sz w:val="20"/>
          <w:szCs w:val="20"/>
          <w:color w:val="auto"/>
        </w:rPr>
      </w:pPr>
      <w:r>
        <w:rPr>
          <w:rFonts w:ascii="Times New Roman" w:cs="Times New Roman" w:eastAsia="Times New Roman" w:hAnsi="Times New Roman"/>
          <w:sz w:val="14"/>
          <w:szCs w:val="14"/>
          <w:color w:val="auto"/>
        </w:rPr>
        <w:t>On March 5, 2019, the Company entered into a First Lien Credit Agreement (the “First Lien”), with Morgan Stanley Senior Funding, Inc., as the Administrative Agent and the Collateral Agent. The First Lien originally consisted of a principal amount of $1,650.0 million. In 2019, an additional delayed draw of $150.0 million was made on the First Lien, resulting in a gross borrowing of $1,800.0 million (“Tranche B-1”). Borrowings of Tranche B-1 Term Loans (as defined in the First Lien) under the First Lien bore interest at a rate equal to, at our option, (a) Secured Overnight Financing Rate (“SOFR”) (with a floor of 0.00%) plus 3.25% or (b) Alternate Base Rate (“ABR”) plus 2.25%. Principal payments were due on the last business day of each quarter, commencing in September 2019 at 0.25% of the aggregate principal of the original loan amount, with a balloon payment due in March 2026.</w:t>
      </w:r>
    </w:p>
    <w:p>
      <w:pPr>
        <w:spacing w:after="0" w:line="59" w:lineRule="exact"/>
        <w:rPr>
          <w:sz w:val="20"/>
          <w:szCs w:val="20"/>
          <w:color w:val="auto"/>
        </w:rPr>
      </w:pPr>
    </w:p>
    <w:p>
      <w:pPr>
        <w:jc w:val="both"/>
        <w:ind w:left="640" w:right="719"/>
        <w:spacing w:after="0" w:line="262" w:lineRule="auto"/>
        <w:rPr>
          <w:sz w:val="20"/>
          <w:szCs w:val="20"/>
          <w:color w:val="auto"/>
        </w:rPr>
      </w:pPr>
      <w:r>
        <w:rPr>
          <w:rFonts w:ascii="Times New Roman" w:cs="Times New Roman" w:eastAsia="Times New Roman" w:hAnsi="Times New Roman"/>
          <w:sz w:val="14"/>
          <w:szCs w:val="14"/>
          <w:color w:val="auto"/>
        </w:rPr>
        <w:t>The First Lien, as amended in 2020, established a Tranche B-2 Term Loan (“Tranche B-2”) in an aggregate principal amount equal to $550.0 million. The First Lien, as amended in 2021, established a Tranche B-3 Term Loan (“Tranche B-3”) in an aggregate principal amount equal to $675.0 million. Borrowings under Tranche B-2 and Tranche B-3, bore interest at a rate equal to, at our option, (a)</w:t>
      </w:r>
    </w:p>
    <w:p>
      <w:pPr>
        <w:spacing w:after="0" w:line="2" w:lineRule="exact"/>
        <w:rPr>
          <w:sz w:val="20"/>
          <w:szCs w:val="20"/>
          <w:color w:val="auto"/>
        </w:rPr>
      </w:pPr>
    </w:p>
    <w:p>
      <w:pPr>
        <w:ind w:left="640" w:right="699"/>
        <w:spacing w:after="0" w:line="264" w:lineRule="auto"/>
        <w:rPr>
          <w:sz w:val="20"/>
          <w:szCs w:val="20"/>
          <w:color w:val="auto"/>
        </w:rPr>
      </w:pPr>
      <w:r>
        <w:rPr>
          <w:rFonts w:ascii="Times New Roman" w:cs="Times New Roman" w:eastAsia="Times New Roman" w:hAnsi="Times New Roman"/>
          <w:sz w:val="14"/>
          <w:szCs w:val="14"/>
          <w:color w:val="auto"/>
        </w:rPr>
        <w:t>SOFR (with a floor of 0.00%) plus 3.50% or (b) ABR plus 2.50%. Principal payments were due on the last business day of each fiscal quarter, commencing in June 2021 at 0.25% of the aggregate principal of the original loan amount, with a balloon payment due in March 2026.</w:t>
      </w:r>
    </w:p>
    <w:p>
      <w:pPr>
        <w:spacing w:after="0" w:line="56" w:lineRule="exact"/>
        <w:rPr>
          <w:sz w:val="20"/>
          <w:szCs w:val="20"/>
          <w:color w:val="auto"/>
        </w:rPr>
      </w:pPr>
    </w:p>
    <w:p>
      <w:pPr>
        <w:ind w:left="640" w:right="659"/>
        <w:spacing w:after="0" w:line="262" w:lineRule="auto"/>
        <w:rPr>
          <w:sz w:val="20"/>
          <w:szCs w:val="20"/>
          <w:color w:val="auto"/>
        </w:rPr>
      </w:pPr>
      <w:r>
        <w:rPr>
          <w:rFonts w:ascii="Times New Roman" w:cs="Times New Roman" w:eastAsia="Times New Roman" w:hAnsi="Times New Roman"/>
          <w:sz w:val="14"/>
          <w:szCs w:val="14"/>
          <w:color w:val="auto"/>
        </w:rPr>
        <w:t>On February 21, 2024, we used a portion of the net proceeds received from the IPO Offerings to repay $343.3 million of the borrowings under the First Lien, and amended the First Lien to establish a new Tranche B-4 Term Loan (“Tranche B-4”) in an aggregate principal amount of $2,566.0 million. The proceeds from Tranche B-4 borrowings were used to refinance the equivalent amount of the remaining First Lien Tranches B-1, B-2, and B-3 borrowings at a rate equal to SOFR plus 3.25% with a maturity date of February 21, 2031. The transaction was accounted for as a debt modification. Principal payments were due on the last business day of each quarter, which commenced in the second fiscal quarter of 2024 and equated to 0.25% of the principal at issuance, with a balloon payment due in February 2031.</w:t>
      </w:r>
    </w:p>
    <w:p>
      <w:pPr>
        <w:spacing w:after="0" w:line="59" w:lineRule="exact"/>
        <w:rPr>
          <w:sz w:val="20"/>
          <w:szCs w:val="20"/>
          <w:color w:val="auto"/>
        </w:rPr>
      </w:pPr>
    </w:p>
    <w:p>
      <w:pPr>
        <w:jc w:val="both"/>
        <w:ind w:left="640" w:right="679"/>
        <w:spacing w:after="0" w:line="265" w:lineRule="auto"/>
        <w:rPr>
          <w:sz w:val="20"/>
          <w:szCs w:val="20"/>
          <w:color w:val="auto"/>
        </w:rPr>
      </w:pPr>
      <w:r>
        <w:rPr>
          <w:rFonts w:ascii="Times New Roman" w:cs="Times New Roman" w:eastAsia="Times New Roman" w:hAnsi="Times New Roman"/>
          <w:sz w:val="14"/>
          <w:szCs w:val="14"/>
          <w:color w:val="auto"/>
        </w:rPr>
        <w:t>On December 11, 2024, we amended the First Lien to refinance Tranche B-4 by establishing a Tranche B-5 Term Loan (“Tranche B-5”) in an aggregate principal amount of $2,553.2 million at a rate equal to, at our option, (a) SOFR plus 2.50% or (b) ABR plus 1.50% with a maturity date of February 21, 2031. The non-cash transaction was accounted for as a debt modification. Principal payments are due on the last business day of each quarter, which commenced in the first fiscal quarter of 2025 and equate to 0.25% of the principal at issuance, with a balloon payment due in February 2031.</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Revolving Credit Facility</w:t>
      </w:r>
    </w:p>
    <w:p>
      <w:pPr>
        <w:spacing w:after="0" w:line="99" w:lineRule="exact"/>
        <w:rPr>
          <w:sz w:val="20"/>
          <w:szCs w:val="20"/>
          <w:color w:val="auto"/>
        </w:rPr>
      </w:pPr>
    </w:p>
    <w:p>
      <w:pPr>
        <w:ind w:left="640" w:right="679"/>
        <w:spacing w:after="0" w:line="261" w:lineRule="auto"/>
        <w:rPr>
          <w:sz w:val="20"/>
          <w:szCs w:val="20"/>
          <w:color w:val="auto"/>
        </w:rPr>
      </w:pPr>
      <w:r>
        <w:rPr>
          <w:rFonts w:ascii="Times New Roman" w:cs="Times New Roman" w:eastAsia="Times New Roman" w:hAnsi="Times New Roman"/>
          <w:sz w:val="14"/>
          <w:szCs w:val="14"/>
          <w:color w:val="auto"/>
        </w:rPr>
        <w:t>The First Lien also extends credit in the form of Revolving Credit Facility with a borrowing capacity of $475.0 million (the “Revolver”), of which up to $50.0 million is available as swingline loans and up to $82.5 million is available as letters of credit (the “LC Sublimit”). The Revolver will mature on June 30, 2028. In connection with the First Lien modification on February 21, 2024, borrowings of the Revolver bear interest at a rate equal to SOFR (with a floor of 0.00%) plus 3.25% for the Revolving Credit Loans or ABR plus 2.25% for the Swingline Loans. As of December 31, 2025, the Company had $475.0 million of borrowing capacity available under the Revolver as there were no borrowings under the Revolver or letters of credit outstanding. As of December 31, 2024, the Company had $63.3 million of borrowings outstanding under the Revolver and no letters of credit reducing the available borrowing capacity to approximately $411.7 million.</w:t>
      </w:r>
    </w:p>
    <w:p>
      <w:pPr>
        <w:spacing w:after="0" w:line="60"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4"/>
          <w:szCs w:val="14"/>
          <w:color w:val="auto"/>
        </w:rPr>
        <w:t>The Company’s First Lien also provides for an additional letter of credit commitments (the “LC Facility”), which are not subject to the LC Sublimit and do not reduce the Revolver borrowing capacity. On September 17, 2024, the Company amended the First Lien to increase the LC Facility from $55.0 million to $65.0 million. As of December 31, 2025 and 2024, there were $62.8 million and $61.8 million of letters of credit outstanding under the LC Facility, respectively, resulting in an available borrowing capacity of $2.2 million and $3.2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4" w:name="page115"/>
    <w:bookmarkEnd w:id="11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Second Lien Credit Agreement</w:t>
      </w:r>
    </w:p>
    <w:p>
      <w:pPr>
        <w:spacing w:after="0" w:line="99" w:lineRule="exact"/>
        <w:rPr>
          <w:sz w:val="20"/>
          <w:szCs w:val="20"/>
          <w:color w:val="auto"/>
        </w:rPr>
      </w:pPr>
    </w:p>
    <w:p>
      <w:pPr>
        <w:ind w:left="640" w:right="959"/>
        <w:spacing w:after="0" w:line="274" w:lineRule="auto"/>
        <w:rPr>
          <w:sz w:val="20"/>
          <w:szCs w:val="20"/>
          <w:color w:val="auto"/>
        </w:rPr>
      </w:pPr>
      <w:r>
        <w:rPr>
          <w:rFonts w:ascii="Times New Roman" w:cs="Times New Roman" w:eastAsia="Times New Roman" w:hAnsi="Times New Roman"/>
          <w:sz w:val="14"/>
          <w:szCs w:val="14"/>
          <w:color w:val="auto"/>
        </w:rPr>
        <w:t>The Company’s amended and restated Second Lien Credit Agreement (the “Second Lien Facility”), with certain Lenders and Wilmington Trust, National Association, as the Administrative Agent and the Collateral Agent consisted of a principal amount of $450.0 million.</w:t>
      </w:r>
    </w:p>
    <w:p>
      <w:pPr>
        <w:spacing w:after="0" w:line="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Borrowings under the Second Lien Facility term were subordinated to the First Lien and bore interest at a rate equal to, at our option,</w:t>
      </w:r>
    </w:p>
    <w:p>
      <w:pPr>
        <w:spacing w:after="0" w:line="25" w:lineRule="exact"/>
        <w:rPr>
          <w:sz w:val="20"/>
          <w:szCs w:val="20"/>
          <w:color w:val="auto"/>
        </w:rPr>
      </w:pPr>
    </w:p>
    <w:p>
      <w:pPr>
        <w:ind w:left="640" w:right="959" w:hanging="2"/>
        <w:spacing w:after="0" w:line="272" w:lineRule="auto"/>
        <w:tabs>
          <w:tab w:leader="none" w:pos="835"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SOFR (with a floor of 1.00%) plus 8.50% or (b) ABR plus 7.50%. The aggregate principal was due with a balloon payment in March 2027.</w:t>
      </w:r>
    </w:p>
    <w:p>
      <w:pPr>
        <w:spacing w:after="0" w:line="51" w:lineRule="exact"/>
        <w:rPr>
          <w:sz w:val="20"/>
          <w:szCs w:val="20"/>
          <w:color w:val="auto"/>
        </w:rPr>
      </w:pPr>
    </w:p>
    <w:p>
      <w:pPr>
        <w:ind w:left="640" w:right="659"/>
        <w:spacing w:after="0" w:line="268" w:lineRule="auto"/>
        <w:rPr>
          <w:sz w:val="20"/>
          <w:szCs w:val="20"/>
          <w:color w:val="auto"/>
        </w:rPr>
      </w:pPr>
      <w:r>
        <w:rPr>
          <w:rFonts w:ascii="Times New Roman" w:cs="Times New Roman" w:eastAsia="Times New Roman" w:hAnsi="Times New Roman"/>
          <w:sz w:val="14"/>
          <w:szCs w:val="14"/>
          <w:color w:val="auto"/>
        </w:rPr>
        <w:t>On January 30, 2024, we used a portion of the net proceeds received from the IPO Offerings to repay all outstanding borrowings under the Second Lien Facility. No remaining obligation exists related to the Second Lien Facility. This transaction was accounted for as a debt extinguishment and the Company incurred a loss on extinguishment of debt of $12.7 million related to the write-off of unamortized debt issuance costs during the first fiscal quarter of 2024.</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Derivative Financial Instruments</w:t>
      </w:r>
    </w:p>
    <w:p>
      <w:pPr>
        <w:spacing w:after="0" w:line="99" w:lineRule="exact"/>
        <w:rPr>
          <w:sz w:val="20"/>
          <w:szCs w:val="20"/>
          <w:color w:val="auto"/>
        </w:rPr>
      </w:pPr>
    </w:p>
    <w:p>
      <w:pPr>
        <w:ind w:left="640" w:right="679"/>
        <w:spacing w:after="0" w:line="260" w:lineRule="auto"/>
        <w:rPr>
          <w:sz w:val="20"/>
          <w:szCs w:val="20"/>
          <w:color w:val="auto"/>
        </w:rPr>
      </w:pPr>
      <w:r>
        <w:rPr>
          <w:rFonts w:ascii="Times New Roman" w:cs="Times New Roman" w:eastAsia="Times New Roman" w:hAnsi="Times New Roman"/>
          <w:sz w:val="14"/>
          <w:szCs w:val="14"/>
          <w:color w:val="auto"/>
        </w:rPr>
        <w:t>To manage fluctuations in cash flows resulting from changes in the variable rates, the Company entered into receive-variable, pay-fixed interest rate swap agreements. Taken together with the related debt, these swaps create the economic equivalent of fixed-rate debt, up to the notional amount of the hedged debt. By using a derivative instrument to hedge exposures to changes in interest rates, we expose ourselves to credit risk. Credit risk is the failure of the counterparty to perform under the terms of the derivative contract. When the fair value of a derivative contract is positive, the counterparty owes the Company, which creates credit risk for the Company. When the fair value of a derivative contract is negative, the Company owes the counterparty and, therefore, the Company is not exposed to the counterparty’s credit risk in those circumstances. The Company mitigates counterparty credit risk in derivative instruments by entering into transactions with high-quality counterparties. The derivative instruments entered into by the Company do not contain credit-risk-related contingent features.</w:t>
      </w:r>
    </w:p>
    <w:p>
      <w:pPr>
        <w:spacing w:after="0" w:line="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 following table summarizes our interest rate swaps designated as cash flow hedges (in millions):</w:t>
      </w:r>
    </w:p>
    <w:p>
      <w:pPr>
        <w:spacing w:after="0" w:line="221"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Notional Amount as of</w:t>
            </w:r>
          </w:p>
        </w:tc>
        <w:tc>
          <w:tcPr>
            <w:tcW w:w="1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74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Financial Institution</w:t>
            </w:r>
          </w:p>
        </w:tc>
        <w:tc>
          <w:tcPr>
            <w:tcW w:w="7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40" w:type="dxa"/>
            <w:vAlign w:val="bottom"/>
          </w:tcPr>
          <w:p>
            <w:pPr>
              <w:spacing w:after="0"/>
              <w:rPr>
                <w:sz w:val="7"/>
                <w:szCs w:val="7"/>
                <w:color w:val="auto"/>
              </w:rPr>
            </w:pPr>
          </w:p>
        </w:tc>
        <w:tc>
          <w:tcPr>
            <w:tcW w:w="720" w:type="dxa"/>
            <w:vAlign w:val="bottom"/>
            <w:gridSpan w:val="2"/>
          </w:tcPr>
          <w:p>
            <w:pPr>
              <w:ind w:left="20"/>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60" w:type="dxa"/>
            <w:vAlign w:val="bottom"/>
          </w:tcPr>
          <w:p>
            <w:pPr>
              <w:spacing w:after="0"/>
              <w:rPr>
                <w:sz w:val="7"/>
                <w:szCs w:val="7"/>
                <w:color w:val="auto"/>
              </w:rPr>
            </w:pPr>
          </w:p>
        </w:tc>
        <w:tc>
          <w:tcPr>
            <w:tcW w:w="23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Effective Dates</w:t>
            </w:r>
          </w:p>
        </w:tc>
        <w:tc>
          <w:tcPr>
            <w:tcW w:w="100" w:type="dxa"/>
            <w:vAlign w:val="bottom"/>
          </w:tcPr>
          <w:p>
            <w:pPr>
              <w:spacing w:after="0"/>
              <w:rPr>
                <w:sz w:val="7"/>
                <w:szCs w:val="7"/>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Fixed Rates</w:t>
            </w:r>
          </w:p>
        </w:tc>
        <w:tc>
          <w:tcPr>
            <w:tcW w:w="0" w:type="dxa"/>
            <w:vAlign w:val="bottom"/>
          </w:tcPr>
          <w:p>
            <w:pPr>
              <w:spacing w:after="0"/>
              <w:rPr>
                <w:sz w:val="1"/>
                <w:szCs w:val="1"/>
                <w:color w:val="auto"/>
              </w:rPr>
            </w:pPr>
          </w:p>
        </w:tc>
      </w:tr>
      <w:tr>
        <w:trPr>
          <w:trHeight w:val="137"/>
        </w:trPr>
        <w:tc>
          <w:tcPr>
            <w:tcW w:w="27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11"/>
                <w:szCs w:val="11"/>
                <w:color w:val="auto"/>
              </w:rPr>
            </w:pPr>
          </w:p>
        </w:tc>
        <w:tc>
          <w:tcPr>
            <w:tcW w:w="2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continue"/>
          </w:tcPr>
          <w:p>
            <w:pPr>
              <w:spacing w:after="0"/>
              <w:rPr>
                <w:sz w:val="13"/>
                <w:szCs w:val="13"/>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Credit Suisse</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60" w:type="dxa"/>
            <w:vAlign w:val="bottom"/>
            <w:shd w:val="clear" w:color="auto" w:fill="CFF0FC"/>
          </w:tcPr>
          <w:p>
            <w:pPr>
              <w:spacing w:after="0"/>
              <w:rPr>
                <w:sz w:val="13"/>
                <w:szCs w:val="13"/>
                <w:color w:val="auto"/>
              </w:rPr>
            </w:pPr>
          </w:p>
        </w:tc>
        <w:tc>
          <w:tcPr>
            <w:tcW w:w="2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3-year period ending September 30, 2025</w:t>
            </w: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3.41650%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Morgan Stanley</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w:t>
            </w:r>
          </w:p>
        </w:tc>
        <w:tc>
          <w:tcPr>
            <w:tcW w:w="1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3-year period ending September 30, 2025</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3.42000%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Credit Agricole Corporate and Investment Bank</w:t>
            </w:r>
          </w:p>
        </w:tc>
        <w:tc>
          <w:tcPr>
            <w:tcW w:w="16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160" w:type="dxa"/>
            <w:vAlign w:val="bottom"/>
            <w:tcBorders>
              <w:bottom w:val="single" w:sz="8" w:color="CFF0FC"/>
            </w:tcBorders>
            <w:shd w:val="clear" w:color="auto" w:fill="CFF0FC"/>
          </w:tcPr>
          <w:p>
            <w:pPr>
              <w:spacing w:after="0"/>
              <w:rPr>
                <w:sz w:val="14"/>
                <w:szCs w:val="14"/>
                <w:color w:val="auto"/>
              </w:rPr>
            </w:pPr>
          </w:p>
        </w:tc>
        <w:tc>
          <w:tcPr>
            <w:tcW w:w="23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3-year period ending September 30, 2025</w:t>
            </w:r>
          </w:p>
        </w:tc>
        <w:tc>
          <w:tcPr>
            <w:tcW w:w="90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3.52410%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7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Matured contracts</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1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restart"/>
          </w:tcPr>
          <w:p>
            <w:pPr>
              <w:spacing w:after="0"/>
              <w:rPr>
                <w:sz w:val="11"/>
                <w:szCs w:val="11"/>
                <w:color w:val="auto"/>
              </w:rPr>
            </w:pPr>
          </w:p>
        </w:tc>
        <w:tc>
          <w:tcPr>
            <w:tcW w:w="2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Credit Agricole Corporate and Investment Bank</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1-year period ending September 30, 2026</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3.72500%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Mizuho Capital Markets</w:t>
            </w: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2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1-year period ending September 30, 2026</w:t>
            </w:r>
          </w:p>
        </w:tc>
        <w:tc>
          <w:tcPr>
            <w:tcW w:w="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3.61121%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Credit Agricole Corporate and Investment Bank</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3-year period ending September 30, 2028</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3.33150%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Morgan Stanley</w:t>
            </w:r>
          </w:p>
        </w:tc>
        <w:tc>
          <w:tcPr>
            <w:tcW w:w="16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FF0FC"/>
            </w:tcBorders>
            <w:shd w:val="clear" w:color="auto" w:fill="CFF0FC"/>
          </w:tcPr>
          <w:p>
            <w:pPr>
              <w:spacing w:after="0"/>
              <w:rPr>
                <w:sz w:val="14"/>
                <w:szCs w:val="14"/>
                <w:color w:val="auto"/>
              </w:rPr>
            </w:pPr>
          </w:p>
        </w:tc>
        <w:tc>
          <w:tcPr>
            <w:tcW w:w="23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3-year period ending September 30, 2028</w:t>
            </w:r>
          </w:p>
        </w:tc>
        <w:tc>
          <w:tcPr>
            <w:tcW w:w="90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3.17700%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7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Existing contracts</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restart"/>
          </w:tcPr>
          <w:p>
            <w:pPr>
              <w:spacing w:after="0"/>
              <w:rPr>
                <w:sz w:val="11"/>
                <w:szCs w:val="11"/>
                <w:color w:val="auto"/>
              </w:rPr>
            </w:pPr>
          </w:p>
        </w:tc>
        <w:tc>
          <w:tcPr>
            <w:tcW w:w="2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Mizuho Capital Markets</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2-year period ending September 30, 2028</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3.20220%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20" w:type="dxa"/>
            <w:vAlign w:val="bottom"/>
            <w:tcBorders>
              <w:bottom w:val="single" w:sz="8" w:color="CFF0FC"/>
            </w:tcBorders>
            <w:gridSpan w:val="2"/>
            <w:shd w:val="clear" w:color="auto" w:fill="CFF0FC"/>
          </w:tcPr>
          <w:p>
            <w:pPr>
              <w:ind w:left="200"/>
              <w:spacing w:after="0" w:line="152" w:lineRule="exact"/>
              <w:rPr>
                <w:sz w:val="20"/>
                <w:szCs w:val="20"/>
                <w:color w:val="auto"/>
              </w:rPr>
            </w:pPr>
            <w:r>
              <w:rPr>
                <w:rFonts w:ascii="Times New Roman" w:cs="Times New Roman" w:eastAsia="Times New Roman" w:hAnsi="Times New Roman"/>
                <w:sz w:val="13"/>
                <w:szCs w:val="13"/>
                <w:b w:val="1"/>
                <w:bCs w:val="1"/>
                <w:color w:val="auto"/>
              </w:rPr>
              <w:t xml:space="preserve">Forward starting contracts </w:t>
            </w:r>
            <w:r>
              <w:rPr>
                <w:rFonts w:ascii="Times New Roman" w:cs="Times New Roman" w:eastAsia="Times New Roman" w:hAnsi="Times New Roman"/>
                <w:sz w:val="17"/>
                <w:szCs w:val="17"/>
                <w:b w:val="1"/>
                <w:bCs w:val="1"/>
                <w:color w:val="auto"/>
                <w:vertAlign w:val="superscript"/>
              </w:rPr>
              <w:t>(1)</w:t>
            </w: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FF0FC"/>
            </w:tcBorders>
            <w:shd w:val="clear" w:color="auto" w:fill="CFF0FC"/>
          </w:tcPr>
          <w:p>
            <w:pPr>
              <w:spacing w:after="0"/>
              <w:rPr>
                <w:sz w:val="16"/>
                <w:szCs w:val="16"/>
                <w:color w:val="auto"/>
              </w:rPr>
            </w:pPr>
          </w:p>
        </w:tc>
        <w:tc>
          <w:tcPr>
            <w:tcW w:w="23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-1104265</wp:posOffset>
            </wp:positionV>
            <wp:extent cx="47625" cy="6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3153410</wp:posOffset>
            </wp:positionH>
            <wp:positionV relativeFrom="paragraph">
              <wp:posOffset>-1104265</wp:posOffset>
            </wp:positionV>
            <wp:extent cx="47625" cy="69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-462915</wp:posOffset>
            </wp:positionV>
            <wp:extent cx="47625"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3153410</wp:posOffset>
            </wp:positionH>
            <wp:positionV relativeFrom="paragraph">
              <wp:posOffset>-462915</wp:posOffset>
            </wp:positionV>
            <wp:extent cx="47625" cy="6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-19685</wp:posOffset>
            </wp:positionV>
            <wp:extent cx="47625"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-6350</wp:posOffset>
            </wp:positionV>
            <wp:extent cx="47625"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3153410</wp:posOffset>
            </wp:positionH>
            <wp:positionV relativeFrom="paragraph">
              <wp:posOffset>-19685</wp:posOffset>
            </wp:positionV>
            <wp:extent cx="47625" cy="69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3153410</wp:posOffset>
            </wp:positionH>
            <wp:positionV relativeFrom="paragraph">
              <wp:posOffset>-6350</wp:posOffset>
            </wp:positionV>
            <wp:extent cx="47625" cy="69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69" w:lineRule="exact"/>
        <w:rPr>
          <w:sz w:val="20"/>
          <w:szCs w:val="20"/>
          <w:color w:val="auto"/>
        </w:rPr>
      </w:pPr>
    </w:p>
    <w:p>
      <w:pPr>
        <w:ind w:left="980" w:right="799" w:hanging="342"/>
        <w:spacing w:after="0" w:line="268" w:lineRule="auto"/>
        <w:tabs>
          <w:tab w:leader="none" w:pos="9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fourth fiscal quarter of 2025, we entered into a forward starting interest rate swap agreement, with a $500 million notional amount, to hedge the cash flow risk of variability in interest payment on our variable rate borrowings. The effective date of the forward starting interest rate swap agreement is September 30, 2026. As of December 31, 2025, this contract meets the criteria of a cash flow hedge.</w:t>
      </w:r>
    </w:p>
    <w:p>
      <w:pPr>
        <w:spacing w:after="0" w:line="162" w:lineRule="exact"/>
        <w:rPr>
          <w:sz w:val="20"/>
          <w:szCs w:val="20"/>
          <w:color w:val="auto"/>
        </w:rPr>
      </w:pPr>
    </w:p>
    <w:p>
      <w:pPr>
        <w:ind w:left="640" w:right="799"/>
        <w:spacing w:after="0" w:line="274" w:lineRule="auto"/>
        <w:rPr>
          <w:sz w:val="20"/>
          <w:szCs w:val="20"/>
          <w:color w:val="auto"/>
        </w:rPr>
      </w:pPr>
      <w:r>
        <w:rPr>
          <w:rFonts w:ascii="Times New Roman" w:cs="Times New Roman" w:eastAsia="Times New Roman" w:hAnsi="Times New Roman"/>
          <w:sz w:val="14"/>
          <w:szCs w:val="14"/>
          <w:color w:val="auto"/>
        </w:rPr>
        <w:t>The net fair value of the cash flow hedges as of December 31, 2025 and 2024 was $0.4 million liability and $10.6 million asset, respectively, and is reflected in prepaid expenses and other current assets, other assets, accrued expenses, and long-term liabilities in the consolidated balance sheets.</w:t>
      </w:r>
    </w:p>
    <w:p>
      <w:pPr>
        <w:spacing w:after="0" w:line="50" w:lineRule="exact"/>
        <w:rPr>
          <w:sz w:val="20"/>
          <w:szCs w:val="20"/>
          <w:color w:val="auto"/>
        </w:rPr>
      </w:pPr>
    </w:p>
    <w:p>
      <w:pPr>
        <w:ind w:left="640" w:right="719"/>
        <w:spacing w:after="0" w:line="268" w:lineRule="auto"/>
        <w:rPr>
          <w:sz w:val="20"/>
          <w:szCs w:val="20"/>
          <w:color w:val="auto"/>
        </w:rPr>
      </w:pPr>
      <w:r>
        <w:rPr>
          <w:rFonts w:ascii="Times New Roman" w:cs="Times New Roman" w:eastAsia="Times New Roman" w:hAnsi="Times New Roman"/>
          <w:sz w:val="14"/>
          <w:szCs w:val="14"/>
          <w:color w:val="auto"/>
        </w:rPr>
        <w:t>Amounts reported in AOCI related to derivatives will be reclassified to interest expense as interest payments are made on the Company’s variable-rate debt. Interest received, including payments made or received under the cash flow hedges, was $15.2 million, $35.3 million, and $31.4 million for the years ended December 31, 2025, 2024, and 2023, respectively. During the next twelve months, the Company expects approximately $0.8 million of losses will be reclassified into pre-tax earnings out of AOCI.</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5" w:name="page116"/>
    <w:bookmarkEnd w:id="11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7. Tangible Equity Units</w:t>
      </w:r>
    </w:p>
    <w:p>
      <w:pPr>
        <w:spacing w:after="0" w:line="185"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4"/>
          <w:szCs w:val="14"/>
          <w:color w:val="auto"/>
        </w:rPr>
        <w:t>Concurrently with the IPO, we issued 8,000,000 TEUs, which have a stated amount of $50.00 per unit. Each TEU is comprised of a prepaid stock purchase contract (“Purchase Contract”) and a senior amortizing note (“Amortizing Note”) due February 1, 2027, each issued by the Company. Each TEU may be separated by a holder into its constituent Purchase Contract and Amortizing Note, each of which is considered a freestanding financial instrument. The proceeds from the issuance were allocated to equity and debt based on the relative fair value of the respective components of each TEU as follows (in thousands, except per unit values):</w:t>
      </w:r>
    </w:p>
    <w:p>
      <w:pPr>
        <w:spacing w:after="0" w:line="1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Equity Component</w:t>
            </w:r>
          </w:p>
        </w:tc>
        <w:tc>
          <w:tcPr>
            <w:tcW w:w="180" w:type="dxa"/>
            <w:vAlign w:val="bottom"/>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Debt Component</w:t>
            </w: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Fair value per unit</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41.3382</w:t>
            </w:r>
          </w:p>
        </w:tc>
        <w:tc>
          <w:tcPr>
            <w:tcW w:w="1540" w:type="dxa"/>
            <w:vAlign w:val="bottom"/>
            <w:gridSpan w:val="2"/>
            <w:shd w:val="clear" w:color="auto" w:fill="CFF0FC"/>
          </w:tcPr>
          <w:p>
            <w:pPr>
              <w:jc w:val="right"/>
              <w:ind w:right="121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3"/>
              </w:rPr>
              <w:t>8.6618</w:t>
            </w:r>
          </w:p>
        </w:tc>
        <w:tc>
          <w:tcPr>
            <w:tcW w:w="4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proceeds</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330,706</w:t>
            </w:r>
          </w:p>
        </w:tc>
        <w:tc>
          <w:tcPr>
            <w:tcW w:w="1540" w:type="dxa"/>
            <w:vAlign w:val="bottom"/>
            <w:gridSpan w:val="2"/>
            <w:shd w:val="clear" w:color="auto" w:fill="CFF0FC"/>
          </w:tcPr>
          <w:p>
            <w:pPr>
              <w:jc w:val="right"/>
              <w:ind w:right="121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3"/>
              </w:rPr>
              <w:t>69,294</w:t>
            </w:r>
          </w:p>
        </w:tc>
        <w:tc>
          <w:tcPr>
            <w:tcW w:w="4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Less: issuance costs</w:t>
            </w: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9,095</w:t>
            </w:r>
          </w:p>
        </w:tc>
        <w:tc>
          <w:tcPr>
            <w:tcW w:w="18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proceeds</w:t>
            </w:r>
          </w:p>
        </w:tc>
        <w:tc>
          <w:tcPr>
            <w:tcW w:w="14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321,611</w:t>
            </w:r>
          </w:p>
        </w:tc>
        <w:tc>
          <w:tcPr>
            <w:tcW w:w="18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121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3"/>
              </w:rPr>
              <w:t>67,389</w:t>
            </w:r>
          </w:p>
        </w:tc>
        <w:tc>
          <w:tcPr>
            <w:tcW w:w="1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389,000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-19685</wp:posOffset>
            </wp:positionV>
            <wp:extent cx="47625" cy="6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-6350</wp:posOffset>
            </wp:positionV>
            <wp:extent cx="47625" cy="69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-19685</wp:posOffset>
            </wp:positionV>
            <wp:extent cx="47625" cy="69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-6350</wp:posOffset>
            </wp:positionV>
            <wp:extent cx="47625" cy="69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719"/>
        <w:spacing w:after="0" w:line="262" w:lineRule="auto"/>
        <w:rPr>
          <w:sz w:val="20"/>
          <w:szCs w:val="20"/>
          <w:color w:val="auto"/>
        </w:rPr>
      </w:pPr>
      <w:r>
        <w:rPr>
          <w:rFonts w:ascii="Times New Roman" w:cs="Times New Roman" w:eastAsia="Times New Roman" w:hAnsi="Times New Roman"/>
          <w:sz w:val="14"/>
          <w:szCs w:val="14"/>
          <w:color w:val="auto"/>
        </w:rPr>
        <w:t>The value allocated to the Purchase Contract is reflected net of issuance costs in additional paid-in capital on the consolidated balance sheet. The value allocated to the Amortizing Notes are reflected in long-term debt, with payments expected in the next twelve months reflected in current portion of long-term debt, in the consolidated balance sheet. The long-term portion of the Amortizing Notes as of December 31, 2025 and 2024 was $6.6 million and $32.9 million, respectively. The short-term portion of the Amortizing Notes as of December 31, 2025 and 2024 was $24.8 million and $20.9 million, respectively. Issuance costs related to the Amortizing Notes are reflected as a reduction of the carrying amount and will be amortized through the maturity date using the effective interest rate method.</w:t>
      </w:r>
    </w:p>
    <w:p>
      <w:pPr>
        <w:spacing w:after="0" w:line="234" w:lineRule="exact"/>
        <w:rPr>
          <w:sz w:val="20"/>
          <w:szCs w:val="20"/>
          <w:color w:val="auto"/>
        </w:rPr>
      </w:pPr>
    </w:p>
    <w:p>
      <w:pPr>
        <w:ind w:left="640" w:right="739"/>
        <w:spacing w:after="0" w:line="265" w:lineRule="auto"/>
        <w:rPr>
          <w:sz w:val="20"/>
          <w:szCs w:val="20"/>
          <w:color w:val="auto"/>
        </w:rPr>
      </w:pPr>
      <w:r>
        <w:rPr>
          <w:rFonts w:ascii="Times New Roman" w:cs="Times New Roman" w:eastAsia="Times New Roman" w:hAnsi="Times New Roman"/>
          <w:sz w:val="14"/>
          <w:szCs w:val="14"/>
          <w:color w:val="auto"/>
        </w:rPr>
        <w:t>On each February 1, May 1, August 1, and November 1, we pay equal quarterly cash installments of $0.8438 per Amortizing Note commencing on May 1, 2024, except for the May 1, 2024 installment payment, which was $0.8531 per Amortizing Note, with a final installment payment date of February 1, 2027. Each installment payment constitutes a payment of interest and a partial repayment of principal. The Company paid $27.0 and $20.3 million in TEU principal and interest payments during the years ended December 31, 2025 and 2024, respectively.</w:t>
      </w:r>
    </w:p>
    <w:p>
      <w:pPr>
        <w:spacing w:after="0" w:line="56" w:lineRule="exact"/>
        <w:rPr>
          <w:sz w:val="20"/>
          <w:szCs w:val="20"/>
          <w:color w:val="auto"/>
        </w:rPr>
      </w:pPr>
    </w:p>
    <w:p>
      <w:pPr>
        <w:ind w:left="640" w:right="819"/>
        <w:spacing w:after="0" w:line="262" w:lineRule="auto"/>
        <w:rPr>
          <w:sz w:val="20"/>
          <w:szCs w:val="20"/>
          <w:color w:val="auto"/>
        </w:rPr>
      </w:pPr>
      <w:r>
        <w:rPr>
          <w:rFonts w:ascii="Times New Roman" w:cs="Times New Roman" w:eastAsia="Times New Roman" w:hAnsi="Times New Roman"/>
          <w:sz w:val="14"/>
          <w:szCs w:val="14"/>
          <w:color w:val="auto"/>
        </w:rPr>
        <w:t>The Amortizing Notes rank equally in right of payment with all other existing and future unsecured senior indebtedness and rank senior to all of our existing and future indebtedness, if any, that is subordinated to the Amortizing Notes. At any time prior to the second scheduled trading day immediately preceding February 1, 2027, a holder may elect to settle its Purchase Contract early, in whole or in part, at an early settlement rate equal to the minimum settlement rate. The Company has the right to settle the Purchase Contracts on or after November 1, 2024, in whole but not in part, on a date fixed by it at an early mandatory settlement rate equal to the maximum settlement rate, subject to certain exceptions. During the years ended December 31, 2025 and 2024, 4,384,020 and 31,211 TEUs were converted at the holder's option.</w:t>
      </w:r>
    </w:p>
    <w:p>
      <w:pPr>
        <w:spacing w:after="0" w:line="59" w:lineRule="exact"/>
        <w:rPr>
          <w:sz w:val="20"/>
          <w:szCs w:val="20"/>
          <w:color w:val="auto"/>
        </w:rPr>
      </w:pPr>
    </w:p>
    <w:p>
      <w:pPr>
        <w:ind w:left="640" w:right="699"/>
        <w:spacing w:after="0" w:line="274" w:lineRule="auto"/>
        <w:rPr>
          <w:sz w:val="20"/>
          <w:szCs w:val="20"/>
          <w:color w:val="auto"/>
        </w:rPr>
      </w:pPr>
      <w:r>
        <w:rPr>
          <w:rFonts w:ascii="Times New Roman" w:cs="Times New Roman" w:eastAsia="Times New Roman" w:hAnsi="Times New Roman"/>
          <w:sz w:val="14"/>
          <w:szCs w:val="14"/>
          <w:color w:val="auto"/>
        </w:rPr>
        <w:t>Unless settled earlier at the holder’s option or at the Company's election, each Purchase Contract will, subject to postponement in certain limited circumstances, automatically settle on February 1, 2027 for a number of shares of our common stock, subject to certain anti-dilution adjustments, based upon the 20-day volume-weighted average price (“VWAP”) of our common stock as follows:</w:t>
      </w:r>
    </w:p>
    <w:p>
      <w:pPr>
        <w:spacing w:after="0" w:line="138"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3"/>
                <w:szCs w:val="13"/>
                <w:b w:val="1"/>
                <w:bCs w:val="1"/>
                <w:color w:val="auto"/>
              </w:rPr>
              <w:t>VWAP of BTSG Common Stock</w:t>
            </w:r>
          </w:p>
        </w:tc>
        <w:tc>
          <w:tcPr>
            <w:tcW w:w="80" w:type="dxa"/>
            <w:vAlign w:val="bottom"/>
          </w:tcPr>
          <w:p>
            <w:pPr>
              <w:spacing w:after="0"/>
              <w:rPr>
                <w:sz w:val="14"/>
                <w:szCs w:val="14"/>
                <w:color w:val="auto"/>
              </w:rPr>
            </w:pPr>
          </w:p>
        </w:tc>
        <w:tc>
          <w:tcPr>
            <w:tcW w:w="32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3"/>
                <w:szCs w:val="13"/>
                <w:b w:val="1"/>
                <w:bCs w:val="1"/>
                <w:color w:val="auto"/>
              </w:rPr>
              <w:t>Common Stock Issued</w:t>
            </w:r>
          </w:p>
        </w:tc>
      </w:tr>
      <w:tr>
        <w:trPr>
          <w:trHeight w:val="165"/>
        </w:trPr>
        <w:tc>
          <w:tcPr>
            <w:tcW w:w="20" w:type="dxa"/>
            <w:vAlign w:val="bottom"/>
          </w:tcPr>
          <w:p>
            <w:pPr>
              <w:spacing w:after="0"/>
              <w:rPr>
                <w:sz w:val="14"/>
                <w:szCs w:val="14"/>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Greater than $15.28</w:t>
            </w:r>
          </w:p>
        </w:tc>
        <w:tc>
          <w:tcPr>
            <w:tcW w:w="80" w:type="dxa"/>
            <w:vAlign w:val="bottom"/>
            <w:shd w:val="clear" w:color="auto" w:fill="CFF0FC"/>
          </w:tcPr>
          <w:p>
            <w:pPr>
              <w:spacing w:after="0"/>
              <w:rPr>
                <w:sz w:val="14"/>
                <w:szCs w:val="14"/>
                <w:color w:val="auto"/>
              </w:rPr>
            </w:pPr>
          </w:p>
        </w:tc>
        <w:tc>
          <w:tcPr>
            <w:tcW w:w="3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3.2733 shares (minimum settlement rate)</w:t>
            </w:r>
          </w:p>
        </w:tc>
      </w:tr>
      <w:tr>
        <w:trPr>
          <w:trHeight w:val="172"/>
        </w:trPr>
        <w:tc>
          <w:tcPr>
            <w:tcW w:w="20" w:type="dxa"/>
            <w:vAlign w:val="bottom"/>
          </w:tcPr>
          <w:p>
            <w:pPr>
              <w:spacing w:after="0"/>
              <w:rPr>
                <w:sz w:val="14"/>
                <w:szCs w:val="14"/>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Equal to or less than $15.28 but greater than or equal to $13.00</w:t>
            </w:r>
          </w:p>
        </w:tc>
        <w:tc>
          <w:tcPr>
            <w:tcW w:w="80" w:type="dxa"/>
            <w:vAlign w:val="bottom"/>
          </w:tcPr>
          <w:p>
            <w:pPr>
              <w:spacing w:after="0"/>
              <w:rPr>
                <w:sz w:val="14"/>
                <w:szCs w:val="14"/>
                <w:color w:val="auto"/>
              </w:rPr>
            </w:pPr>
          </w:p>
        </w:tc>
        <w:tc>
          <w:tcPr>
            <w:tcW w:w="3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$50 divided by VWAP</w:t>
            </w:r>
          </w:p>
        </w:tc>
      </w:tr>
      <w:tr>
        <w:trPr>
          <w:trHeight w:val="172"/>
        </w:trPr>
        <w:tc>
          <w:tcPr>
            <w:tcW w:w="20" w:type="dxa"/>
            <w:vAlign w:val="bottom"/>
          </w:tcPr>
          <w:p>
            <w:pPr>
              <w:spacing w:after="0"/>
              <w:rPr>
                <w:sz w:val="14"/>
                <w:szCs w:val="14"/>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than $13.00</w:t>
            </w:r>
          </w:p>
        </w:tc>
        <w:tc>
          <w:tcPr>
            <w:tcW w:w="80" w:type="dxa"/>
            <w:vAlign w:val="bottom"/>
            <w:shd w:val="clear" w:color="auto" w:fill="CFF0FC"/>
          </w:tcPr>
          <w:p>
            <w:pPr>
              <w:spacing w:after="0"/>
              <w:rPr>
                <w:sz w:val="14"/>
                <w:szCs w:val="14"/>
                <w:color w:val="auto"/>
              </w:rPr>
            </w:pPr>
          </w:p>
        </w:tc>
        <w:tc>
          <w:tcPr>
            <w:tcW w:w="3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3.8461 shares (maximum settlement rate)</w:t>
            </w:r>
          </w:p>
        </w:tc>
      </w:tr>
    </w:tbl>
    <w:p>
      <w:pPr>
        <w:spacing w:after="0" w:line="157" w:lineRule="exact"/>
        <w:rPr>
          <w:sz w:val="20"/>
          <w:szCs w:val="20"/>
          <w:color w:val="auto"/>
        </w:rPr>
      </w:pPr>
    </w:p>
    <w:p>
      <w:pPr>
        <w:ind w:left="640" w:right="759"/>
        <w:spacing w:after="0" w:line="263" w:lineRule="auto"/>
        <w:rPr>
          <w:sz w:val="20"/>
          <w:szCs w:val="20"/>
          <w:color w:val="auto"/>
        </w:rPr>
      </w:pPr>
      <w:r>
        <w:rPr>
          <w:rFonts w:ascii="Times New Roman" w:cs="Times New Roman" w:eastAsia="Times New Roman" w:hAnsi="Times New Roman"/>
          <w:sz w:val="14"/>
          <w:szCs w:val="14"/>
          <w:color w:val="auto"/>
        </w:rPr>
        <w:t>The Purchase Contracts are mandatorily convertible into a minimum of 26.2 million shares or a maximum of 30.8 million shares of our common stock on the mandatory settlement date (unless redeemed by us or settled earlier at the unit holder's option). The 26.2 million minimum shares are included in the calculation of basic weighted average shares outstanding. The difference between the minimum and maximum shares represents potentially dilutive securities, which are included in the calculation of diluted weighted average shares outstanding on a pro rata basis to the extent that the average applicable market value is equal to or greater than $13.00 but is less than or equal to $15.28 during the period (see Note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6" w:name="page117"/>
    <w:bookmarkEnd w:id="11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8. Income Taxes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Income (loss) from continuing operations before income taxes consists of the following (in thousands):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6"/>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9"/>
        </w:trPr>
        <w:tc>
          <w:tcPr>
            <w:tcW w:w="3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94"/>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72"/>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72"/>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9"/>
                <w:szCs w:val="9"/>
                <w:color w:val="auto"/>
              </w:rPr>
            </w:pPr>
          </w:p>
        </w:tc>
      </w:tr>
      <w:tr>
        <w:trPr>
          <w:trHeight w:val="163"/>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U.S. operations</w:t>
            </w:r>
          </w:p>
        </w:tc>
        <w:tc>
          <w:tcPr>
            <w:tcW w:w="15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137,723</w:t>
            </w:r>
          </w:p>
        </w:tc>
        <w:tc>
          <w:tcPr>
            <w:tcW w:w="3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(95,555)</w:t>
            </w:r>
          </w:p>
        </w:tc>
        <w:tc>
          <w:tcPr>
            <w:tcW w:w="28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(213,971)</w:t>
            </w:r>
          </w:p>
        </w:tc>
      </w:tr>
      <w:tr>
        <w:trPr>
          <w:trHeight w:val="172"/>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Foreign operations</w:t>
            </w:r>
          </w:p>
        </w:tc>
        <w:tc>
          <w:tcPr>
            <w:tcW w:w="1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4"/>
                <w:szCs w:val="14"/>
                <w:color w:val="auto"/>
              </w:rPr>
            </w:pPr>
          </w:p>
        </w:tc>
      </w:tr>
      <w:tr>
        <w:trPr>
          <w:trHeight w:val="183"/>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3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137,941</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(95,318)</w:t>
            </w:r>
          </w:p>
        </w:tc>
        <w:tc>
          <w:tcPr>
            <w:tcW w:w="28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(213,774)</w:t>
            </w:r>
          </w:p>
        </w:tc>
      </w:tr>
      <w:tr>
        <w:trPr>
          <w:trHeight w:val="20"/>
        </w:trPr>
        <w:tc>
          <w:tcPr>
            <w:tcW w:w="326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-19685</wp:posOffset>
            </wp:positionV>
            <wp:extent cx="47625"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3883025</wp:posOffset>
            </wp:positionH>
            <wp:positionV relativeFrom="paragraph">
              <wp:posOffset>-6350</wp:posOffset>
            </wp:positionV>
            <wp:extent cx="47625" cy="69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-19685</wp:posOffset>
            </wp:positionV>
            <wp:extent cx="47625" cy="69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-6350</wp:posOffset>
            </wp:positionV>
            <wp:extent cx="47625"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-19685</wp:posOffset>
            </wp:positionV>
            <wp:extent cx="54610"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-6350</wp:posOffset>
            </wp:positionV>
            <wp:extent cx="54610" cy="69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137" w:lineRule="exact"/>
        <w:rPr>
          <w:sz w:val="20"/>
          <w:szCs w:val="20"/>
          <w:color w:val="auto"/>
        </w:rPr>
      </w:pPr>
    </w:p>
    <w:p>
      <w:pPr>
        <w:ind w:left="640" w:right="799"/>
        <w:spacing w:after="0" w:line="292" w:lineRule="auto"/>
        <w:rPr>
          <w:sz w:val="20"/>
          <w:szCs w:val="20"/>
          <w:color w:val="auto"/>
        </w:rPr>
      </w:pPr>
      <w:r>
        <w:rPr>
          <w:rFonts w:ascii="Times New Roman" w:cs="Times New Roman" w:eastAsia="Times New Roman" w:hAnsi="Times New Roman"/>
          <w:sz w:val="14"/>
          <w:szCs w:val="14"/>
          <w:color w:val="auto"/>
        </w:rPr>
        <w:t>Income tax expense (benefit) attributable to income (loss) from continuing operations before income taxes is summarized as follows (in thousands):</w:t>
      </w:r>
    </w:p>
    <w:p>
      <w:pPr>
        <w:spacing w:after="0" w:line="119"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6"/>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9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7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70"/>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provision:</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Federal</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19,538</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180" w:type="dxa"/>
            <w:vAlign w:val="bottom"/>
          </w:tcPr>
          <w:p>
            <w:pPr>
              <w:spacing w:after="0"/>
              <w:rPr>
                <w:sz w:val="14"/>
                <w:szCs w:val="14"/>
                <w:color w:val="auto"/>
              </w:rPr>
            </w:pP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State</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8,024</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1,998</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current provision</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27,597</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3,344</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16,763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Deferred provision:</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Federal</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(25,004)</w:t>
            </w:r>
          </w:p>
        </w:tc>
        <w:tc>
          <w:tcPr>
            <w:tcW w:w="2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(40,106)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State</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4,024</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(4,727)</w:t>
            </w:r>
          </w:p>
        </w:tc>
        <w:tc>
          <w:tcPr>
            <w:tcW w:w="2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(8,165)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deferred provision</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5,548</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(29,731)</w:t>
            </w:r>
          </w:p>
        </w:tc>
        <w:tc>
          <w:tcPr>
            <w:tcW w:w="2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(48,271)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Total income tax provision:</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Federal</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21,062</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(23,708)</w:t>
            </w:r>
          </w:p>
        </w:tc>
        <w:tc>
          <w:tcPr>
            <w:tcW w:w="2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(27,557)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State</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12,048</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(2,729)</w:t>
            </w:r>
          </w:p>
        </w:tc>
        <w:tc>
          <w:tcPr>
            <w:tcW w:w="2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(3,990)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Foreign</w:t>
            </w: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33,145</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(26,387)</w:t>
            </w: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(31,508)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-135890</wp:posOffset>
            </wp:positionV>
            <wp:extent cx="47625" cy="69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-135890</wp:posOffset>
            </wp:positionV>
            <wp:extent cx="47625" cy="69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-135890</wp:posOffset>
            </wp:positionV>
            <wp:extent cx="54610" cy="69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137" w:lineRule="exact"/>
        <w:rPr>
          <w:sz w:val="20"/>
          <w:szCs w:val="20"/>
          <w:color w:val="auto"/>
        </w:rPr>
      </w:pPr>
    </w:p>
    <w:p>
      <w:pPr>
        <w:ind w:left="640" w:right="739"/>
        <w:spacing w:after="0" w:line="292" w:lineRule="auto"/>
        <w:rPr>
          <w:sz w:val="20"/>
          <w:szCs w:val="20"/>
          <w:color w:val="auto"/>
        </w:rPr>
      </w:pPr>
      <w:r>
        <w:rPr>
          <w:rFonts w:ascii="Times New Roman" w:cs="Times New Roman" w:eastAsia="Times New Roman" w:hAnsi="Times New Roman"/>
          <w:sz w:val="14"/>
          <w:szCs w:val="14"/>
          <w:color w:val="auto"/>
        </w:rPr>
        <w:t>A reconciliation of the U.S. federal income tax rate of 21.0% to income tax expense (benefit) expressed as a percent of pretax income (loss) is as follows (in thousands):</w:t>
      </w:r>
    </w:p>
    <w:p>
      <w:pPr>
        <w:spacing w:after="0" w:line="162"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3"/>
          </w:tcPr>
          <w:p>
            <w:pPr>
              <w:jc w:val="right"/>
              <w:ind w:right="6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3"/>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2"/>
          </w:tcPr>
          <w:p>
            <w:pPr>
              <w:jc w:val="right"/>
              <w:ind w:right="60"/>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4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30"/>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110"/>
              <w:spacing w:after="0" w:line="109" w:lineRule="exact"/>
              <w:rPr>
                <w:sz w:val="20"/>
                <w:szCs w:val="20"/>
                <w:color w:val="auto"/>
              </w:rPr>
            </w:pPr>
            <w:r>
              <w:rPr>
                <w:rFonts w:ascii="Times New Roman" w:cs="Times New Roman" w:eastAsia="Times New Roman" w:hAnsi="Times New Roman"/>
                <w:sz w:val="11"/>
                <w:szCs w:val="11"/>
                <w:b w:val="1"/>
                <w:bCs w:val="1"/>
                <w:color w:val="auto"/>
              </w:rPr>
              <w:t>Rate</w:t>
            </w: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70"/>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ind w:left="80"/>
              <w:spacing w:after="0" w:line="109" w:lineRule="exact"/>
              <w:rPr>
                <w:sz w:val="20"/>
                <w:szCs w:val="20"/>
                <w:color w:val="auto"/>
              </w:rPr>
            </w:pPr>
            <w:r>
              <w:rPr>
                <w:rFonts w:ascii="Times New Roman" w:cs="Times New Roman" w:eastAsia="Times New Roman" w:hAnsi="Times New Roman"/>
                <w:sz w:val="11"/>
                <w:szCs w:val="11"/>
                <w:b w:val="1"/>
                <w:bCs w:val="1"/>
                <w:color w:val="auto"/>
              </w:rPr>
              <w:t>Rate</w:t>
            </w: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90"/>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90"/>
              <w:spacing w:after="0" w:line="109" w:lineRule="exact"/>
              <w:rPr>
                <w:sz w:val="20"/>
                <w:szCs w:val="20"/>
                <w:color w:val="auto"/>
              </w:rPr>
            </w:pPr>
            <w:r>
              <w:rPr>
                <w:rFonts w:ascii="Times New Roman" w:cs="Times New Roman" w:eastAsia="Times New Roman" w:hAnsi="Times New Roman"/>
                <w:sz w:val="11"/>
                <w:szCs w:val="11"/>
                <w:b w:val="1"/>
                <w:bCs w:val="1"/>
                <w:color w:val="auto"/>
              </w:rPr>
              <w:t>Rate</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U.S. federal statutory tax rate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28,968</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83"/>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(20,017)</w:t>
            </w:r>
          </w:p>
        </w:tc>
        <w:tc>
          <w:tcPr>
            <w:tcW w:w="100" w:type="dxa"/>
            <w:vAlign w:val="bottom"/>
            <w:shd w:val="clear" w:color="auto" w:fill="CFF0FC"/>
          </w:tcPr>
          <w:p>
            <w:pPr>
              <w:spacing w:after="0"/>
              <w:rPr>
                <w:sz w:val="14"/>
                <w:szCs w:val="14"/>
                <w:color w:val="auto"/>
              </w:rPr>
            </w:pPr>
          </w:p>
        </w:tc>
        <w:tc>
          <w:tcPr>
            <w:tcW w:w="7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(44,893)</w:t>
            </w: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18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State and local income taxes, net of federal income</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ind w:left="80"/>
              <w:spacing w:after="0" w:line="203" w:lineRule="exact"/>
              <w:rPr>
                <w:sz w:val="20"/>
                <w:szCs w:val="20"/>
                <w:color w:val="auto"/>
              </w:rPr>
            </w:pPr>
            <w:r>
              <w:rPr>
                <w:rFonts w:ascii="Times New Roman" w:cs="Times New Roman" w:eastAsia="Times New Roman" w:hAnsi="Times New Roman"/>
                <w:sz w:val="14"/>
                <w:szCs w:val="14"/>
                <w:color w:val="auto"/>
              </w:rPr>
              <w:t xml:space="preserve">tax effect </w:t>
            </w:r>
            <w:r>
              <w:rPr>
                <w:rFonts w:ascii="Times New Roman" w:cs="Times New Roman" w:eastAsia="Times New Roman" w:hAnsi="Times New Roman"/>
                <w:sz w:val="19"/>
                <w:szCs w:val="19"/>
                <w:color w:val="auto"/>
                <w:vertAlign w:val="superscript"/>
              </w:rPr>
              <w:t>(1)</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83"/>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(5,029)</w:t>
            </w: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Foreign tax effects</w:t>
            </w: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83"/>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80" w:type="dxa"/>
            <w:vAlign w:val="bottom"/>
            <w:shd w:val="clear" w:color="auto" w:fill="CFF0FC"/>
          </w:tcPr>
          <w:p>
            <w:pPr>
              <w:spacing w:after="0"/>
              <w:rPr>
                <w:sz w:val="14"/>
                <w:szCs w:val="14"/>
                <w:color w:val="auto"/>
              </w:rPr>
            </w:pPr>
          </w:p>
        </w:tc>
        <w:tc>
          <w:tcPr>
            <w:tcW w:w="58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Tax credits: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Employment tax credits</w:t>
            </w: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(1,752)</w:t>
            </w: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3"/>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(2,609)</w:t>
            </w:r>
          </w:p>
        </w:tc>
        <w:tc>
          <w:tcPr>
            <w:tcW w:w="100" w:type="dxa"/>
            <w:vAlign w:val="bottom"/>
            <w:shd w:val="clear" w:color="auto" w:fill="CFF0FC"/>
          </w:tcPr>
          <w:p>
            <w:pPr>
              <w:spacing w:after="0"/>
              <w:rPr>
                <w:sz w:val="14"/>
                <w:szCs w:val="14"/>
                <w:color w:val="auto"/>
              </w:rPr>
            </w:pPr>
          </w:p>
        </w:tc>
        <w:tc>
          <w:tcPr>
            <w:tcW w:w="7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FF0FC"/>
          </w:tcPr>
          <w:p>
            <w:pPr>
              <w:spacing w:after="0"/>
              <w:rPr>
                <w:sz w:val="14"/>
                <w:szCs w:val="14"/>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(2,963)</w:t>
            </w: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tax credits</w:t>
            </w: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tcPr>
          <w:p>
            <w:pPr>
              <w:spacing w:after="0"/>
              <w:rPr>
                <w:sz w:val="14"/>
                <w:szCs w:val="14"/>
                <w:color w:val="auto"/>
              </w:rPr>
            </w:pPr>
          </w:p>
        </w:tc>
        <w:tc>
          <w:tcPr>
            <w:tcW w:w="72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Nontaxable or nondeductible items:</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Legal claims</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83"/>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(12,915)</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4"/>
                <w:szCs w:val="14"/>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24,150</w:t>
            </w:r>
          </w:p>
        </w:tc>
        <w:tc>
          <w:tcPr>
            <w:tcW w:w="12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 based compensation</w:t>
            </w: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(12,663)</w:t>
            </w: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3"/>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4,380</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FF0FC"/>
          </w:tcPr>
          <w:p>
            <w:pPr>
              <w:spacing w:after="0"/>
              <w:rPr>
                <w:sz w:val="14"/>
                <w:szCs w:val="14"/>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Executive compensation</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83"/>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Acquisition impacts</w:t>
            </w:r>
          </w:p>
        </w:tc>
        <w:tc>
          <w:tcPr>
            <w:tcW w:w="8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20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1,819</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83"/>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1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Changes in unrecognized tax benefits</w:t>
            </w: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(1,322)</w:t>
            </w: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3"/>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FF0FC"/>
          </w:tcPr>
          <w:p>
            <w:pPr>
              <w:spacing w:after="0"/>
              <w:rPr>
                <w:sz w:val="14"/>
                <w:szCs w:val="14"/>
                <w:color w:val="auto"/>
              </w:rPr>
            </w:pPr>
          </w:p>
        </w:tc>
        <w:tc>
          <w:tcPr>
            <w:tcW w:w="7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FF0FC"/>
          </w:tcPr>
          <w:p>
            <w:pPr>
              <w:spacing w:after="0"/>
              <w:rPr>
                <w:sz w:val="14"/>
                <w:szCs w:val="14"/>
                <w:color w:val="auto"/>
              </w:rPr>
            </w:pPr>
          </w:p>
        </w:tc>
        <w:tc>
          <w:tcPr>
            <w:tcW w:w="58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1,014</w:t>
            </w: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33,145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83"/>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(26,387)</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(31,508)</w:t>
            </w:r>
          </w:p>
        </w:tc>
        <w:tc>
          <w:tcPr>
            <w:tcW w:w="1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2819400</wp:posOffset>
            </wp:positionH>
            <wp:positionV relativeFrom="paragraph">
              <wp:posOffset>-135890</wp:posOffset>
            </wp:positionV>
            <wp:extent cx="47625" cy="6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3241675</wp:posOffset>
            </wp:positionH>
            <wp:positionV relativeFrom="paragraph">
              <wp:posOffset>-135890</wp:posOffset>
            </wp:positionV>
            <wp:extent cx="116205" cy="69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-135890</wp:posOffset>
            </wp:positionV>
            <wp:extent cx="47625" cy="69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-135890</wp:posOffset>
            </wp:positionV>
            <wp:extent cx="116205" cy="69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-135890</wp:posOffset>
            </wp:positionV>
            <wp:extent cx="47625" cy="69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-135890</wp:posOffset>
            </wp:positionV>
            <wp:extent cx="116205"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16205" cy="6985"/>
                    </a:xfrm>
                    <a:prstGeom prst="rect">
                      <a:avLst/>
                    </a:prstGeom>
                    <a:noFill/>
                  </pic:spPr>
                </pic:pic>
              </a:graphicData>
            </a:graphic>
          </wp:anchor>
        </w:drawing>
      </w:r>
    </w:p>
    <w:p>
      <w:pPr>
        <w:spacing w:after="0" w:line="137" w:lineRule="exact"/>
        <w:rPr>
          <w:sz w:val="20"/>
          <w:szCs w:val="20"/>
          <w:color w:val="auto"/>
        </w:rPr>
      </w:pPr>
    </w:p>
    <w:p>
      <w:pPr>
        <w:ind w:left="640" w:right="859" w:hanging="2"/>
        <w:spacing w:after="0" w:line="292" w:lineRule="auto"/>
        <w:tabs>
          <w:tab w:leader="none" w:pos="843"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State/local taxes in California, New York, New York City, Virginia, New Jersey and Florida made up the majority (greater than 50%) of the tax effect in this category.</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7" w:name="page118"/>
    <w:bookmarkEnd w:id="11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40" w:right="939"/>
        <w:spacing w:after="0" w:line="274" w:lineRule="auto"/>
        <w:rPr>
          <w:sz w:val="20"/>
          <w:szCs w:val="20"/>
          <w:color w:val="auto"/>
        </w:rPr>
      </w:pPr>
      <w:r>
        <w:rPr>
          <w:rFonts w:ascii="Times New Roman" w:cs="Times New Roman" w:eastAsia="Times New Roman" w:hAnsi="Times New Roman"/>
          <w:sz w:val="14"/>
          <w:szCs w:val="14"/>
          <w:color w:val="auto"/>
        </w:rPr>
        <w:t>On December 27, 2020, the Consolidated Appropriations Act was signed into law and extended the jobs credit provisions through 2025. Accordingly, jobs credits generated during the year have been recognized in the provision for income taxes for all years presented.</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Net cash paid for income taxes consisted of the following (in thousands):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9"/>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93"/>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71"/>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71"/>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9"/>
                <w:szCs w:val="9"/>
                <w:color w:val="auto"/>
              </w:rPr>
            </w:pPr>
          </w:p>
        </w:tc>
      </w:tr>
      <w:tr>
        <w:trPr>
          <w:trHeight w:val="163"/>
        </w:trPr>
        <w:tc>
          <w:tcPr>
            <w:tcW w:w="20" w:type="dxa"/>
            <w:vAlign w:val="bottom"/>
          </w:tcPr>
          <w:p>
            <w:pPr>
              <w:spacing w:after="0"/>
              <w:rPr>
                <w:sz w:val="14"/>
                <w:szCs w:val="14"/>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Federal</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18,431</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19,347</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27,297</w:t>
            </w:r>
          </w:p>
        </w:tc>
        <w:tc>
          <w:tcPr>
            <w:tcW w:w="10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Aggregated state and local jurisdictions</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8,449</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4,156</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10,202</w:t>
            </w: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Disaggregated state and local jurisdictions:</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Virginia</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4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Foreign</w:t>
            </w: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Net cash paid for income taxes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26,970</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24,953</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37,499</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-135890</wp:posOffset>
            </wp:positionV>
            <wp:extent cx="47625" cy="69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-135890</wp:posOffset>
            </wp:positionV>
            <wp:extent cx="47625" cy="69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-135890</wp:posOffset>
            </wp:positionV>
            <wp:extent cx="54610" cy="69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 The amount of income taxes paid during the year does not meet the 5% disaggregation threshold.</w:t>
      </w:r>
    </w:p>
    <w:p>
      <w:pPr>
        <w:spacing w:after="0" w:line="97" w:lineRule="exact"/>
        <w:rPr>
          <w:sz w:val="20"/>
          <w:szCs w:val="20"/>
          <w:color w:val="auto"/>
        </w:rPr>
      </w:pPr>
    </w:p>
    <w:p>
      <w:pPr>
        <w:ind w:left="640" w:right="939"/>
        <w:spacing w:after="0" w:line="292" w:lineRule="auto"/>
        <w:rPr>
          <w:sz w:val="20"/>
          <w:szCs w:val="20"/>
          <w:color w:val="auto"/>
        </w:rPr>
      </w:pPr>
      <w:r>
        <w:rPr>
          <w:rFonts w:ascii="Times New Roman" w:cs="Times New Roman" w:eastAsia="Times New Roman" w:hAnsi="Times New Roman"/>
          <w:sz w:val="14"/>
          <w:szCs w:val="14"/>
          <w:color w:val="auto"/>
        </w:rPr>
        <w:t>The tax effects of temporary differences that give rise to significant portions of the deferred tax assets and liabilities are presented below (in thousands):</w:t>
      </w:r>
    </w:p>
    <w:p>
      <w:pPr>
        <w:spacing w:after="0" w:line="162"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32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expenses</w:t>
            </w: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53,538</w:t>
            </w:r>
          </w:p>
        </w:tc>
        <w:tc>
          <w:tcPr>
            <w:tcW w:w="180" w:type="dxa"/>
            <w:vAlign w:val="bottom"/>
          </w:tcPr>
          <w:p>
            <w:pPr>
              <w:spacing w:after="0"/>
              <w:rPr>
                <w:sz w:val="14"/>
                <w:szCs w:val="14"/>
                <w:color w:val="auto"/>
              </w:rPr>
            </w:pP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44,957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Allowance for credit losses and contractual allowances</w:t>
            </w:r>
          </w:p>
        </w:tc>
        <w:tc>
          <w:tcPr>
            <w:tcW w:w="3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36,980</w:t>
            </w:r>
          </w:p>
        </w:tc>
        <w:tc>
          <w:tcPr>
            <w:tcW w:w="180" w:type="dxa"/>
            <w:vAlign w:val="bottom"/>
            <w:tcBorders>
              <w:right w:val="single" w:sz="8" w:color="CFF0FC"/>
            </w:tcBorders>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22,546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operating losses</w:t>
            </w: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13,389</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18,796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Share-based compensation</w:t>
            </w:r>
          </w:p>
        </w:tc>
        <w:tc>
          <w:tcPr>
            <w:tcW w:w="3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22,361</w:t>
            </w:r>
          </w:p>
        </w:tc>
        <w:tc>
          <w:tcPr>
            <w:tcW w:w="180" w:type="dxa"/>
            <w:vAlign w:val="bottom"/>
            <w:tcBorders>
              <w:right w:val="single" w:sz="8" w:color="CFF0FC"/>
            </w:tcBorders>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15,799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IRC §163(j) interest</w:t>
            </w: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67,438</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96,961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3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65,906</w:t>
            </w:r>
          </w:p>
        </w:tc>
        <w:tc>
          <w:tcPr>
            <w:tcW w:w="180" w:type="dxa"/>
            <w:vAlign w:val="bottom"/>
            <w:tcBorders>
              <w:right w:val="single" w:sz="8" w:color="CFF0FC"/>
            </w:tcBorders>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62,587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rate swaps</w:t>
            </w: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29,870</w:t>
            </w:r>
          </w:p>
        </w:tc>
        <w:tc>
          <w:tcPr>
            <w:tcW w:w="180" w:type="dxa"/>
            <w:vAlign w:val="bottom"/>
            <w:tcBorders>
              <w:bottom w:val="single" w:sz="8" w:color="CFF0FC"/>
              <w:right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21,325</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tax assets</w:t>
            </w: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289,575</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282,971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Valuation allowances</w:t>
            </w:r>
          </w:p>
        </w:tc>
        <w:tc>
          <w:tcPr>
            <w:tcW w:w="320" w:type="dxa"/>
            <w:vAlign w:val="bottom"/>
            <w:shd w:val="clear" w:color="auto" w:fill="CFF0FC"/>
          </w:tcPr>
          <w:p>
            <w:pPr>
              <w:spacing w:after="0"/>
              <w:rPr>
                <w:sz w:val="14"/>
                <w:szCs w:val="14"/>
                <w:color w:val="auto"/>
              </w:rPr>
            </w:pPr>
          </w:p>
        </w:tc>
        <w:tc>
          <w:tcPr>
            <w:tcW w:w="9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(7,128)</w:t>
            </w:r>
          </w:p>
        </w:tc>
        <w:tc>
          <w:tcPr>
            <w:tcW w:w="3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(8,968)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Borders>
              <w:top w:val="single" w:sz="8" w:color="CFF0FC"/>
            </w:tcBorders>
          </w:tcPr>
          <w:p>
            <w:pPr>
              <w:ind w:left="260"/>
              <w:spacing w:after="0"/>
              <w:rPr>
                <w:sz w:val="20"/>
                <w:szCs w:val="20"/>
                <w:color w:val="auto"/>
              </w:rPr>
            </w:pPr>
            <w:r>
              <w:rPr>
                <w:rFonts w:ascii="Times New Roman" w:cs="Times New Roman" w:eastAsia="Times New Roman" w:hAnsi="Times New Roman"/>
                <w:sz w:val="14"/>
                <w:szCs w:val="14"/>
                <w:color w:val="auto"/>
              </w:rPr>
              <w:t>Deferred tax assets, net</w:t>
            </w:r>
          </w:p>
        </w:tc>
        <w:tc>
          <w:tcPr>
            <w:tcW w:w="3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282,447</w:t>
            </w:r>
          </w:p>
        </w:tc>
        <w:tc>
          <w:tcPr>
            <w:tcW w:w="180" w:type="dxa"/>
            <w:vAlign w:val="bottom"/>
            <w:tcBorders>
              <w:top w:val="single" w:sz="8" w:color="CFF0FC"/>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274,003</w:t>
            </w: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53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Operating lease right-of-use asset</w:t>
            </w:r>
          </w:p>
        </w:tc>
        <w:tc>
          <w:tcPr>
            <w:tcW w:w="320" w:type="dxa"/>
            <w:vAlign w:val="bottom"/>
            <w:shd w:val="clear" w:color="auto" w:fill="CFF0FC"/>
          </w:tcPr>
          <w:p>
            <w:pPr>
              <w:spacing w:after="0"/>
              <w:rPr>
                <w:sz w:val="14"/>
                <w:szCs w:val="14"/>
                <w:color w:val="auto"/>
              </w:rPr>
            </w:pPr>
          </w:p>
        </w:tc>
        <w:tc>
          <w:tcPr>
            <w:tcW w:w="9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(74,027)</w:t>
            </w:r>
          </w:p>
        </w:tc>
        <w:tc>
          <w:tcPr>
            <w:tcW w:w="3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(60,587)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and equipment</w:t>
            </w:r>
          </w:p>
        </w:tc>
        <w:tc>
          <w:tcPr>
            <w:tcW w:w="32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(11,789)</w:t>
            </w:r>
          </w:p>
        </w:tc>
        <w:tc>
          <w:tcPr>
            <w:tcW w:w="32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(6,575)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Goodwill and other intangible assets</w:t>
            </w:r>
          </w:p>
        </w:tc>
        <w:tc>
          <w:tcPr>
            <w:tcW w:w="320" w:type="dxa"/>
            <w:vAlign w:val="bottom"/>
            <w:shd w:val="clear" w:color="auto" w:fill="CFF0FC"/>
          </w:tcPr>
          <w:p>
            <w:pPr>
              <w:spacing w:after="0"/>
              <w:rPr>
                <w:sz w:val="14"/>
                <w:szCs w:val="14"/>
                <w:color w:val="auto"/>
              </w:rPr>
            </w:pPr>
          </w:p>
        </w:tc>
        <w:tc>
          <w:tcPr>
            <w:tcW w:w="9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(198,377)</w:t>
            </w:r>
          </w:p>
        </w:tc>
        <w:tc>
          <w:tcPr>
            <w:tcW w:w="3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(190,272)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Insurance recovery</w:t>
            </w:r>
          </w:p>
        </w:tc>
        <w:tc>
          <w:tcPr>
            <w:tcW w:w="32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(4,432)</w:t>
            </w:r>
          </w:p>
        </w:tc>
        <w:tc>
          <w:tcPr>
            <w:tcW w:w="32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(8,677)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Interest rate swaps</w:t>
            </w:r>
          </w:p>
        </w:tc>
        <w:tc>
          <w:tcPr>
            <w:tcW w:w="3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FF0FC"/>
            </w:tcBorders>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tax liabilities</w:t>
            </w:r>
          </w:p>
        </w:tc>
        <w:tc>
          <w:tcPr>
            <w:tcW w:w="32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(288,625)</w:t>
            </w:r>
          </w:p>
        </w:tc>
        <w:tc>
          <w:tcPr>
            <w:tcW w:w="32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(268,715)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3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32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(6,178)</w:t>
            </w:r>
          </w:p>
        </w:tc>
        <w:tc>
          <w:tcPr>
            <w:tcW w:w="32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5,288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-1363345</wp:posOffset>
            </wp:positionV>
            <wp:extent cx="47625" cy="69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-1363345</wp:posOffset>
            </wp:positionV>
            <wp:extent cx="47625" cy="69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-1137920</wp:posOffset>
            </wp:positionV>
            <wp:extent cx="47625" cy="69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-1137920</wp:posOffset>
            </wp:positionV>
            <wp:extent cx="47625" cy="69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-251460</wp:posOffset>
            </wp:positionV>
            <wp:extent cx="47625" cy="69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-251460</wp:posOffset>
            </wp:positionV>
            <wp:extent cx="47625" cy="69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-19685</wp:posOffset>
            </wp:positionV>
            <wp:extent cx="47625" cy="69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-6350</wp:posOffset>
            </wp:positionV>
            <wp:extent cx="47625" cy="69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659"/>
        <w:spacing w:after="0" w:line="263" w:lineRule="auto"/>
        <w:rPr>
          <w:sz w:val="20"/>
          <w:szCs w:val="20"/>
          <w:color w:val="auto"/>
        </w:rPr>
      </w:pPr>
      <w:r>
        <w:rPr>
          <w:rFonts w:ascii="Times New Roman" w:cs="Times New Roman" w:eastAsia="Times New Roman" w:hAnsi="Times New Roman"/>
          <w:sz w:val="14"/>
          <w:szCs w:val="14"/>
          <w:color w:val="auto"/>
        </w:rPr>
        <w:t>As of December 31, 2025, the Company has federal net operating loss (“NOL”) carryforwards of $11.3 million ($2.4 million deferred tax asset) that resulted from stock acquisitions the Company completed from 2013 through 2024. These NOLs are subject to limitations under Internal Revenue Code (“IRC”) §382. However, the Company expects that it will more-likely-than-not be able to use the recorded amount which takes into account the limitations of the carryforwards. The deferred tax asset for state NOL carryforwards is $4.3 million, net of the federal tax impact and valuation allowances of $7.1 million. The state NOLs have carryforward periods ranging from 1 to 20 years depending on the taxing jurisdiction.</w:t>
      </w:r>
    </w:p>
    <w:p>
      <w:pPr>
        <w:spacing w:after="0" w:line="58" w:lineRule="exact"/>
        <w:rPr>
          <w:sz w:val="20"/>
          <w:szCs w:val="20"/>
          <w:color w:val="auto"/>
        </w:rPr>
      </w:pPr>
    </w:p>
    <w:p>
      <w:pPr>
        <w:ind w:left="640" w:right="679"/>
        <w:spacing w:after="0" w:line="263" w:lineRule="auto"/>
        <w:rPr>
          <w:sz w:val="20"/>
          <w:szCs w:val="20"/>
          <w:color w:val="auto"/>
        </w:rPr>
      </w:pPr>
      <w:r>
        <w:rPr>
          <w:rFonts w:ascii="Times New Roman" w:cs="Times New Roman" w:eastAsia="Times New Roman" w:hAnsi="Times New Roman"/>
          <w:sz w:val="14"/>
          <w:szCs w:val="14"/>
          <w:color w:val="auto"/>
        </w:rPr>
        <w:t>The Company is subject to the business interest expense limitation under IRC §163(j), which generally caps deductible interest at 30% of adjusted taxable income. The limitation in any given year may be carried forward indefinitely and deducted as interest expense in future periods. The One Big Beautiful Bill Act, enacted July 4, 2025, introduced modifications to the §163(j) framework that may affect the Company’s future utilization of interest expense carryforwards. As of the reporting date, the Company has federal interest expense carryforwards of $259.6 million, resulting in a deferred tax asset of $54.5 million, and state deferred tax assets of $12.9 million available for utilization in future years.</w:t>
      </w:r>
    </w:p>
    <w:p>
      <w:pPr>
        <w:spacing w:after="0" w:line="58" w:lineRule="exact"/>
        <w:rPr>
          <w:sz w:val="20"/>
          <w:szCs w:val="20"/>
          <w:color w:val="auto"/>
        </w:rPr>
      </w:pPr>
    </w:p>
    <w:p>
      <w:pPr>
        <w:ind w:left="640" w:right="759"/>
        <w:spacing w:after="0" w:line="292" w:lineRule="auto"/>
        <w:rPr>
          <w:sz w:val="20"/>
          <w:szCs w:val="20"/>
          <w:color w:val="auto"/>
        </w:rPr>
      </w:pPr>
      <w:r>
        <w:rPr>
          <w:rFonts w:ascii="Times New Roman" w:cs="Times New Roman" w:eastAsia="Times New Roman" w:hAnsi="Times New Roman"/>
          <w:sz w:val="14"/>
          <w:szCs w:val="14"/>
          <w:color w:val="auto"/>
        </w:rPr>
        <w:t>A valuation allowance for deferred tax assets was provided as of December 31, 2025 and 2024 related to state income tax NOL carryforwards. The realization of deferred tax assets is dependent upon generating future taxable income when temporary differences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8" w:name="page119"/>
    <w:bookmarkEnd w:id="11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640" w:right="659"/>
        <w:spacing w:after="0" w:line="292" w:lineRule="auto"/>
        <w:rPr>
          <w:sz w:val="20"/>
          <w:szCs w:val="20"/>
          <w:color w:val="auto"/>
        </w:rPr>
      </w:pPr>
      <w:r>
        <w:rPr>
          <w:rFonts w:ascii="Times New Roman" w:cs="Times New Roman" w:eastAsia="Times New Roman" w:hAnsi="Times New Roman"/>
          <w:sz w:val="14"/>
          <w:szCs w:val="14"/>
          <w:color w:val="auto"/>
        </w:rPr>
        <w:t>become deductible. Based upon the historical and projected levels of taxable income, we believe it is more-likely-than-not that we will realize the benefits of the deductible differences after consideration of the valuation allowance.</w:t>
      </w:r>
    </w:p>
    <w:p>
      <w:pPr>
        <w:spacing w:after="0" w:line="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 reconciliation of the beginning and ending amount of total unrecognized tax benefits is as follows (in thousands):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5320" w:type="dxa"/>
            <w:vAlign w:val="bottom"/>
          </w:tcPr>
          <w:p>
            <w:pPr>
              <w:spacing w:after="0"/>
              <w:rPr>
                <w:sz w:val="11"/>
                <w:szCs w:val="11"/>
                <w:color w:val="auto"/>
              </w:rPr>
            </w:pPr>
          </w:p>
        </w:tc>
        <w:tc>
          <w:tcPr>
            <w:tcW w:w="10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0" w:type="dxa"/>
            <w:vAlign w:val="bottom"/>
          </w:tcPr>
          <w:p>
            <w:pPr>
              <w:spacing w:after="0"/>
              <w:rPr>
                <w:sz w:val="11"/>
                <w:szCs w:val="11"/>
                <w:color w:val="auto"/>
              </w:rPr>
            </w:pPr>
          </w:p>
        </w:tc>
      </w:tr>
      <w:tr>
        <w:trPr>
          <w:trHeight w:val="16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380" w:type="dxa"/>
            <w:vAlign w:val="bottom"/>
            <w:shd w:val="clear" w:color="auto" w:fill="CFF0FC"/>
          </w:tcPr>
          <w:p>
            <w:pPr>
              <w:jc w:val="right"/>
              <w:ind w:right="233"/>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12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256"/>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80" w:type="dxa"/>
            <w:vAlign w:val="bottom"/>
            <w:shd w:val="clear" w:color="auto" w:fill="CFF0FC"/>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Decrease related to prior year tax positions</w:t>
            </w:r>
          </w:p>
        </w:tc>
        <w:tc>
          <w:tcPr>
            <w:tcW w:w="3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w:t>
            </w:r>
          </w:p>
        </w:tc>
      </w:tr>
      <w:tr>
        <w:trPr>
          <w:trHeight w:val="172"/>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Payments</w:t>
            </w:r>
          </w:p>
        </w:tc>
        <w:tc>
          <w:tcPr>
            <w:tcW w:w="3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(146)</w:t>
            </w:r>
          </w:p>
        </w:tc>
        <w:tc>
          <w:tcPr>
            <w:tcW w:w="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Lapse of statute of limitations</w:t>
            </w:r>
          </w:p>
        </w:tc>
        <w:tc>
          <w:tcPr>
            <w:tcW w:w="3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(1,322)</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end of year</w:t>
            </w:r>
          </w:p>
        </w:tc>
        <w:tc>
          <w:tcPr>
            <w:tcW w:w="380" w:type="dxa"/>
            <w:vAlign w:val="bottom"/>
            <w:tcBorders>
              <w:top w:val="single" w:sz="8" w:color="auto"/>
              <w:bottom w:val="single" w:sz="8" w:color="auto"/>
            </w:tcBorders>
            <w:shd w:val="clear" w:color="auto" w:fill="CFF0FC"/>
          </w:tcPr>
          <w:p>
            <w:pPr>
              <w:jc w:val="right"/>
              <w:ind w:right="233"/>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top w:val="single" w:sz="8" w:color="auto"/>
              <w:bottom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-19685</wp:posOffset>
            </wp:positionV>
            <wp:extent cx="47625" cy="69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-6350</wp:posOffset>
            </wp:positionV>
            <wp:extent cx="47625" cy="69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69" w:lineRule="exact"/>
        <w:rPr>
          <w:sz w:val="20"/>
          <w:szCs w:val="20"/>
          <w:color w:val="auto"/>
        </w:rPr>
      </w:pPr>
    </w:p>
    <w:p>
      <w:pPr>
        <w:jc w:val="both"/>
        <w:ind w:left="640" w:right="679"/>
        <w:spacing w:after="0" w:line="274" w:lineRule="auto"/>
        <w:rPr>
          <w:sz w:val="20"/>
          <w:szCs w:val="20"/>
          <w:color w:val="auto"/>
        </w:rPr>
      </w:pPr>
      <w:r>
        <w:rPr>
          <w:rFonts w:ascii="Times New Roman" w:cs="Times New Roman" w:eastAsia="Times New Roman" w:hAnsi="Times New Roman"/>
          <w:sz w:val="14"/>
          <w:szCs w:val="14"/>
          <w:color w:val="auto"/>
        </w:rPr>
        <w:t>The potential benefits included in the balance of total unrecognized tax benefits at December 31, 2025 and 2024 are immaterial, which if recognized, would have an immaterial effect on the effective tax rate in each respective year. Unrecognized tax benefits that reduce a NOL, similar tax loss or tax credit carryforward are presented as a reduction to deferred income taxes.</w:t>
      </w:r>
    </w:p>
    <w:p>
      <w:pPr>
        <w:spacing w:after="0" w:line="136" w:lineRule="exact"/>
        <w:rPr>
          <w:sz w:val="20"/>
          <w:szCs w:val="20"/>
          <w:color w:val="auto"/>
        </w:rPr>
      </w:pPr>
    </w:p>
    <w:p>
      <w:pPr>
        <w:ind w:left="640" w:right="719"/>
        <w:spacing w:after="0" w:line="263" w:lineRule="auto"/>
        <w:rPr>
          <w:sz w:val="20"/>
          <w:szCs w:val="20"/>
          <w:color w:val="auto"/>
        </w:rPr>
      </w:pPr>
      <w:r>
        <w:rPr>
          <w:rFonts w:ascii="Times New Roman" w:cs="Times New Roman" w:eastAsia="Times New Roman" w:hAnsi="Times New Roman"/>
          <w:sz w:val="14"/>
          <w:szCs w:val="14"/>
          <w:color w:val="auto"/>
        </w:rPr>
        <w:t xml:space="preserve">We file numerous consolidated and separate income tax returns in the U.S. federal and various state and foreign jurisdictions. With few exceptions, we are no longer subject to income tax examinations by the taxing authorities for years prior to 2020. We believe that we have appropriate support for the income tax positions taken and to be taken on our income tax returns and that our accruals for income tax liabilities are adequate for all open years based on an assessment of many factors including past experience and interpretations of the tax laws as applied to the facts of each matter. Total accrued interest and penalties as of December 31, 2025 and 2024 </w:t>
      </w:r>
      <w:r>
        <w:rPr>
          <w:rFonts w:ascii="Times New Roman" w:cs="Times New Roman" w:eastAsia="Times New Roman" w:hAnsi="Times New Roman"/>
          <w:sz w:val="14"/>
          <w:szCs w:val="14"/>
          <w:color w:val="231F20"/>
        </w:rPr>
        <w:t>are not material</w:t>
      </w:r>
      <w:r>
        <w:rPr>
          <w:rFonts w:ascii="Times New Roman" w:cs="Times New Roman" w:eastAsia="Times New Roman" w:hAnsi="Times New Roman"/>
          <w:sz w:val="14"/>
          <w:szCs w:val="14"/>
          <w:color w:val="auto"/>
        </w:rPr>
        <w:t xml:space="preserve"> and are included in accrued expenses on the consolidated balance sheets.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231F20"/>
        </w:rPr>
        <w:t>9. Detail of Certain Balance Sheet Accounts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231F20"/>
        </w:rPr>
        <w:t>Prepaid expenses and other current assets consist of the following (in thousands):</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5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80" w:type="dxa"/>
            <w:vAlign w:val="bottom"/>
          </w:tcPr>
          <w:p>
            <w:pPr>
              <w:spacing w:after="0"/>
              <w:rPr>
                <w:sz w:val="11"/>
                <w:szCs w:val="11"/>
                <w:color w:val="auto"/>
              </w:rPr>
            </w:pPr>
          </w:p>
        </w:tc>
        <w:tc>
          <w:tcPr>
            <w:tcW w:w="10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600" w:type="dxa"/>
            <w:vAlign w:val="bottom"/>
            <w:gridSpan w:val="2"/>
          </w:tcPr>
          <w:p>
            <w:pPr>
              <w:spacing w:after="0"/>
              <w:rPr>
                <w:sz w:val="11"/>
                <w:szCs w:val="11"/>
                <w:color w:val="auto"/>
              </w:rPr>
            </w:pPr>
          </w:p>
        </w:tc>
      </w:tr>
      <w:tr>
        <w:trPr>
          <w:trHeight w:val="163"/>
        </w:trPr>
        <w:tc>
          <w:tcPr>
            <w:tcW w:w="520" w:type="dxa"/>
            <w:vAlign w:val="bottom"/>
          </w:tcPr>
          <w:p>
            <w:pPr>
              <w:spacing w:after="0"/>
              <w:rPr>
                <w:sz w:val="14"/>
                <w:szCs w:val="14"/>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Non-trade receivables</w:t>
            </w:r>
          </w:p>
        </w:tc>
        <w:tc>
          <w:tcPr>
            <w:tcW w:w="2300" w:type="dxa"/>
            <w:vAlign w:val="bottom"/>
            <w:gridSpan w:val="2"/>
            <w:shd w:val="clear" w:color="auto" w:fill="CFF0FC"/>
          </w:tcPr>
          <w:p>
            <w:pPr>
              <w:jc w:val="right"/>
              <w:ind w:right="19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38,196</w:t>
            </w:r>
          </w:p>
        </w:tc>
        <w:tc>
          <w:tcPr>
            <w:tcW w:w="520" w:type="dxa"/>
            <w:vAlign w:val="bottom"/>
            <w:gridSpan w:val="2"/>
            <w:shd w:val="clear" w:color="auto" w:fill="CFF0FC"/>
          </w:tcPr>
          <w:p>
            <w:pPr>
              <w:jc w:val="right"/>
              <w:ind w:right="19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45,428</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Rebate receivable</w:t>
            </w:r>
          </w:p>
        </w:tc>
        <w:tc>
          <w:tcPr>
            <w:tcW w:w="1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32,407</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49,538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Prepaid insurance</w:t>
            </w:r>
          </w:p>
        </w:tc>
        <w:tc>
          <w:tcPr>
            <w:tcW w:w="19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13,255</w:t>
            </w:r>
          </w:p>
        </w:tc>
        <w:tc>
          <w:tcPr>
            <w:tcW w:w="1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13,892</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Inventory returns receivable</w:t>
            </w:r>
          </w:p>
        </w:tc>
        <w:tc>
          <w:tcPr>
            <w:tcW w:w="1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11,019</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11,245</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Prepaid maintenance</w:t>
            </w:r>
          </w:p>
        </w:tc>
        <w:tc>
          <w:tcPr>
            <w:tcW w:w="19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6,025</w:t>
            </w:r>
          </w:p>
        </w:tc>
        <w:tc>
          <w:tcPr>
            <w:tcW w:w="1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3,644</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Income tax receivable</w:t>
            </w:r>
          </w:p>
        </w:tc>
        <w:tc>
          <w:tcPr>
            <w:tcW w:w="1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19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10,633</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Other prepaid expenses and current assets</w:t>
            </w:r>
          </w:p>
        </w:tc>
        <w:tc>
          <w:tcPr>
            <w:tcW w:w="19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16,826</w:t>
            </w: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13,462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03"/>
        </w:trPr>
        <w:tc>
          <w:tcPr>
            <w:tcW w:w="520" w:type="dxa"/>
            <w:vAlign w:val="bottom"/>
          </w:tcPr>
          <w:p>
            <w:pPr>
              <w:spacing w:after="0"/>
              <w:rPr>
                <w:sz w:val="17"/>
                <w:szCs w:val="17"/>
                <w:color w:val="auto"/>
              </w:rPr>
            </w:pPr>
          </w:p>
        </w:tc>
        <w:tc>
          <w:tcPr>
            <w:tcW w:w="3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prepaid expenses and other current assets</w:t>
            </w:r>
          </w:p>
        </w:tc>
        <w:tc>
          <w:tcPr>
            <w:tcW w:w="19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9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118,592</w:t>
            </w:r>
          </w:p>
        </w:tc>
        <w:tc>
          <w:tcPr>
            <w:tcW w:w="1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9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161,310</w:t>
            </w:r>
          </w:p>
        </w:tc>
        <w:tc>
          <w:tcPr>
            <w:tcW w:w="80" w:type="dxa"/>
            <w:vAlign w:val="bottom"/>
            <w:tcBorders>
              <w:bottom w:val="single" w:sz="8" w:color="CFF0FC"/>
            </w:tcBorders>
            <w:shd w:val="clear" w:color="auto" w:fill="CFF0FC"/>
          </w:tcPr>
          <w:p>
            <w:pPr>
              <w:spacing w:after="0"/>
              <w:rPr>
                <w:sz w:val="17"/>
                <w:szCs w:val="17"/>
                <w:color w:val="auto"/>
              </w:rPr>
            </w:pPr>
          </w:p>
        </w:tc>
        <w:tc>
          <w:tcPr>
            <w:tcW w:w="520" w:type="dxa"/>
            <w:vAlign w:val="bottom"/>
          </w:tcPr>
          <w:p>
            <w:pPr>
              <w:spacing w:after="0"/>
              <w:rPr>
                <w:sz w:val="17"/>
                <w:szCs w:val="17"/>
                <w:color w:val="auto"/>
              </w:rPr>
            </w:pPr>
          </w:p>
        </w:tc>
      </w:tr>
      <w:tr>
        <w:trPr>
          <w:trHeight w:val="315"/>
        </w:trPr>
        <w:tc>
          <w:tcPr>
            <w:tcW w:w="38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231F20"/>
              </w:rPr>
              <w:t>Other assets consist of the following (in thousands):</w:t>
            </w: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91"/>
        </w:trPr>
        <w:tc>
          <w:tcPr>
            <w:tcW w:w="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80" w:type="dxa"/>
            <w:vAlign w:val="bottom"/>
          </w:tcPr>
          <w:p>
            <w:pPr>
              <w:spacing w:after="0"/>
              <w:rPr>
                <w:sz w:val="24"/>
                <w:szCs w:val="24"/>
                <w:color w:val="auto"/>
              </w:rPr>
            </w:pPr>
          </w:p>
        </w:tc>
        <w:tc>
          <w:tcPr>
            <w:tcW w:w="10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600" w:type="dxa"/>
            <w:vAlign w:val="bottom"/>
            <w:gridSpan w:val="2"/>
          </w:tcPr>
          <w:p>
            <w:pPr>
              <w:spacing w:after="0"/>
              <w:rPr>
                <w:sz w:val="24"/>
                <w:szCs w:val="24"/>
                <w:color w:val="auto"/>
              </w:rPr>
            </w:pPr>
          </w:p>
        </w:tc>
      </w:tr>
      <w:tr>
        <w:trPr>
          <w:trHeight w:val="163"/>
        </w:trPr>
        <w:tc>
          <w:tcPr>
            <w:tcW w:w="520" w:type="dxa"/>
            <w:vAlign w:val="bottom"/>
          </w:tcPr>
          <w:p>
            <w:pPr>
              <w:spacing w:after="0"/>
              <w:rPr>
                <w:sz w:val="14"/>
                <w:szCs w:val="14"/>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investments</w:t>
            </w:r>
          </w:p>
        </w:tc>
        <w:tc>
          <w:tcPr>
            <w:tcW w:w="2300" w:type="dxa"/>
            <w:vAlign w:val="bottom"/>
            <w:gridSpan w:val="2"/>
            <w:shd w:val="clear" w:color="auto" w:fill="CFF0FC"/>
          </w:tcPr>
          <w:p>
            <w:pPr>
              <w:jc w:val="right"/>
              <w:ind w:right="19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7,481</w:t>
            </w:r>
          </w:p>
        </w:tc>
        <w:tc>
          <w:tcPr>
            <w:tcW w:w="520" w:type="dxa"/>
            <w:vAlign w:val="bottom"/>
            <w:gridSpan w:val="2"/>
            <w:shd w:val="clear" w:color="auto" w:fill="CFF0FC"/>
          </w:tcPr>
          <w:p>
            <w:pPr>
              <w:jc w:val="right"/>
              <w:ind w:right="19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1,427</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Insurance recoveries</w:t>
            </w:r>
          </w:p>
        </w:tc>
        <w:tc>
          <w:tcPr>
            <w:tcW w:w="1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7,251</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7,564</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Cloud computing</w:t>
            </w:r>
          </w:p>
        </w:tc>
        <w:tc>
          <w:tcPr>
            <w:tcW w:w="19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6,017</w:t>
            </w:r>
          </w:p>
        </w:tc>
        <w:tc>
          <w:tcPr>
            <w:tcW w:w="1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7,362</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Deposits</w:t>
            </w:r>
          </w:p>
        </w:tc>
        <w:tc>
          <w:tcPr>
            <w:tcW w:w="1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5,722</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compensation</w:t>
            </w:r>
          </w:p>
        </w:tc>
        <w:tc>
          <w:tcPr>
            <w:tcW w:w="19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4,702</w:t>
            </w:r>
          </w:p>
        </w:tc>
        <w:tc>
          <w:tcPr>
            <w:tcW w:w="1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3,777</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Notes receivable</w:t>
            </w:r>
          </w:p>
        </w:tc>
        <w:tc>
          <w:tcPr>
            <w:tcW w:w="1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4,012</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8,577</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debt issuance costs</w:t>
            </w:r>
          </w:p>
        </w:tc>
        <w:tc>
          <w:tcPr>
            <w:tcW w:w="19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1,764</w:t>
            </w:r>
          </w:p>
        </w:tc>
        <w:tc>
          <w:tcPr>
            <w:tcW w:w="1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2,470</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1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Equity method investments</w:t>
            </w:r>
          </w:p>
        </w:tc>
        <w:tc>
          <w:tcPr>
            <w:tcW w:w="19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9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03"/>
        </w:trPr>
        <w:tc>
          <w:tcPr>
            <w:tcW w:w="520" w:type="dxa"/>
            <w:vAlign w:val="bottom"/>
          </w:tcPr>
          <w:p>
            <w:pPr>
              <w:spacing w:after="0"/>
              <w:rPr>
                <w:sz w:val="17"/>
                <w:szCs w:val="17"/>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other assets</w:t>
            </w:r>
          </w:p>
        </w:tc>
        <w:tc>
          <w:tcPr>
            <w:tcW w:w="2300" w:type="dxa"/>
            <w:vAlign w:val="bottom"/>
            <w:gridSpan w:val="2"/>
            <w:shd w:val="clear" w:color="auto" w:fill="CFF0FC"/>
          </w:tcPr>
          <w:p>
            <w:pPr>
              <w:jc w:val="right"/>
              <w:ind w:right="19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39,712</w:t>
            </w:r>
          </w:p>
        </w:tc>
        <w:tc>
          <w:tcPr>
            <w:tcW w:w="520" w:type="dxa"/>
            <w:vAlign w:val="bottom"/>
            <w:gridSpan w:val="2"/>
            <w:shd w:val="clear" w:color="auto" w:fill="CFF0FC"/>
          </w:tcPr>
          <w:p>
            <w:pPr>
              <w:jc w:val="right"/>
              <w:ind w:right="19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39,128</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r>
      <w:tr>
        <w:trPr>
          <w:trHeight w:val="487"/>
        </w:trPr>
        <w:tc>
          <w:tcPr>
            <w:tcW w:w="520" w:type="dxa"/>
            <w:vAlign w:val="bottom"/>
          </w:tcPr>
          <w:p>
            <w:pPr>
              <w:spacing w:after="0"/>
              <w:rPr>
                <w:sz w:val="24"/>
                <w:szCs w:val="24"/>
                <w:color w:val="auto"/>
              </w:rPr>
            </w:pPr>
          </w:p>
        </w:tc>
        <w:tc>
          <w:tcPr>
            <w:tcW w:w="3360" w:type="dxa"/>
            <w:vAlign w:val="bottom"/>
            <w:tcBorders>
              <w:top w:val="single" w:sz="8" w:color="CFF0FC"/>
            </w:tcBorders>
          </w:tcPr>
          <w:p>
            <w:pPr>
              <w:spacing w:after="0"/>
              <w:rPr>
                <w:sz w:val="24"/>
                <w:szCs w:val="24"/>
                <w:color w:val="auto"/>
              </w:rPr>
            </w:pPr>
          </w:p>
        </w:tc>
        <w:tc>
          <w:tcPr>
            <w:tcW w:w="1960" w:type="dxa"/>
            <w:vAlign w:val="bottom"/>
            <w:tcBorders>
              <w:top w:val="single" w:sz="8" w:color="CFF0FC"/>
            </w:tcBorders>
          </w:tcPr>
          <w:p>
            <w:pPr>
              <w:jc w:val="right"/>
              <w:ind w:right="1268"/>
              <w:spacing w:after="0"/>
              <w:rPr>
                <w:sz w:val="20"/>
                <w:szCs w:val="20"/>
                <w:color w:val="auto"/>
              </w:rPr>
            </w:pPr>
            <w:r>
              <w:rPr>
                <w:rFonts w:ascii="Times New Roman" w:cs="Times New Roman" w:eastAsia="Times New Roman" w:hAnsi="Times New Roman"/>
                <w:sz w:val="14"/>
                <w:szCs w:val="14"/>
                <w:color w:val="auto"/>
              </w:rPr>
              <w:t>112</w:t>
            </w:r>
          </w:p>
        </w:tc>
        <w:tc>
          <w:tcPr>
            <w:tcW w:w="3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520" w:type="dxa"/>
            <w:vAlign w:val="bottom"/>
          </w:tcPr>
          <w:p>
            <w:pPr>
              <w:spacing w:after="0"/>
              <w:rPr>
                <w:sz w:val="24"/>
                <w:szCs w:val="24"/>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-2379345</wp:posOffset>
            </wp:positionV>
            <wp:extent cx="47625" cy="69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-2366010</wp:posOffset>
            </wp:positionV>
            <wp:extent cx="47625" cy="69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-2379345</wp:posOffset>
            </wp:positionV>
            <wp:extent cx="47625" cy="69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-2366010</wp:posOffset>
            </wp:positionV>
            <wp:extent cx="47625"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-742950</wp:posOffset>
            </wp:positionV>
            <wp:extent cx="47625"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-728980</wp:posOffset>
            </wp:positionV>
            <wp:extent cx="47625" cy="69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-742950</wp:posOffset>
            </wp:positionV>
            <wp:extent cx="47625" cy="69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-728980</wp:posOffset>
            </wp:positionV>
            <wp:extent cx="47625" cy="69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9" w:name="page120"/>
    <w:bookmarkEnd w:id="11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231F20"/>
        </w:rPr>
        <w:t>Accrued expenses consist of the following (in thousands):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80" w:type="dxa"/>
            <w:vAlign w:val="bottom"/>
          </w:tcPr>
          <w:p>
            <w:pPr>
              <w:spacing w:after="0"/>
              <w:rPr>
                <w:sz w:val="11"/>
                <w:szCs w:val="11"/>
                <w:color w:val="auto"/>
              </w:rPr>
            </w:pPr>
          </w:p>
        </w:tc>
        <w:tc>
          <w:tcPr>
            <w:tcW w:w="10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Wages and payroll taxes</w:t>
            </w:r>
          </w:p>
        </w:tc>
        <w:tc>
          <w:tcPr>
            <w:tcW w:w="340" w:type="dxa"/>
            <w:vAlign w:val="bottom"/>
            <w:shd w:val="clear" w:color="auto" w:fill="CFF0FC"/>
          </w:tcPr>
          <w:p>
            <w:pPr>
              <w:jc w:val="right"/>
              <w:ind w:right="193"/>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131,162</w:t>
            </w:r>
          </w:p>
        </w:tc>
        <w:tc>
          <w:tcPr>
            <w:tcW w:w="520" w:type="dxa"/>
            <w:vAlign w:val="bottom"/>
            <w:gridSpan w:val="2"/>
            <w:shd w:val="clear" w:color="auto" w:fill="CFF0FC"/>
          </w:tcPr>
          <w:p>
            <w:pPr>
              <w:jc w:val="right"/>
              <w:ind w:right="203"/>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98,245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Checks in excess of cash balance</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34,824</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27,643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Compensated absences</w:t>
            </w: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31,543</w:t>
            </w:r>
          </w:p>
        </w:tc>
        <w:tc>
          <w:tcPr>
            <w:tcW w:w="1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24,360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Workers compensation insurance reserves</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24,897</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19,966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Health insurance reserves</w:t>
            </w: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15,389</w:t>
            </w:r>
          </w:p>
        </w:tc>
        <w:tc>
          <w:tcPr>
            <w:tcW w:w="1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14,934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Property insurance reserves</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11,170</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Legal settlements and professional fees</w:t>
            </w: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10,525</w:t>
            </w:r>
          </w:p>
        </w:tc>
        <w:tc>
          <w:tcPr>
            <w:tcW w:w="1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13,982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9,039</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General and professional liability insurance reserves</w:t>
            </w: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7,696</w:t>
            </w:r>
          </w:p>
        </w:tc>
        <w:tc>
          <w:tcPr>
            <w:tcW w:w="1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8,328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Automobile insurance reserves</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5,585</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21,353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3,506</w:t>
            </w:r>
          </w:p>
        </w:tc>
        <w:tc>
          <w:tcPr>
            <w:tcW w:w="1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Interest</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1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44,776</w:t>
            </w:r>
          </w:p>
        </w:tc>
        <w:tc>
          <w:tcPr>
            <w:tcW w:w="18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32,960</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Total accrued expenses</w:t>
            </w: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333,024</w:t>
            </w:r>
          </w:p>
        </w:tc>
        <w:tc>
          <w:tcPr>
            <w:tcW w:w="520" w:type="dxa"/>
            <w:vAlign w:val="bottom"/>
            <w:gridSpan w:val="2"/>
          </w:tcPr>
          <w:p>
            <w:pPr>
              <w:jc w:val="right"/>
              <w:ind w:right="203"/>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295,746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231F20"/>
              </w:rPr>
              <w:t>Long-term liabilities consist of the following (in thousands):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53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0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80" w:type="dxa"/>
            <w:vAlign w:val="bottom"/>
          </w:tcPr>
          <w:p>
            <w:pPr>
              <w:spacing w:after="0"/>
              <w:rPr>
                <w:sz w:val="24"/>
                <w:szCs w:val="24"/>
                <w:color w:val="auto"/>
              </w:rPr>
            </w:pPr>
          </w:p>
        </w:tc>
        <w:tc>
          <w:tcPr>
            <w:tcW w:w="10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Workers compensation insurance reserves</w:t>
            </w:r>
          </w:p>
        </w:tc>
        <w:tc>
          <w:tcPr>
            <w:tcW w:w="340" w:type="dxa"/>
            <w:vAlign w:val="bottom"/>
            <w:shd w:val="clear" w:color="auto" w:fill="CFF0FC"/>
          </w:tcPr>
          <w:p>
            <w:pPr>
              <w:jc w:val="right"/>
              <w:ind w:right="193"/>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25,369</w:t>
            </w:r>
          </w:p>
        </w:tc>
        <w:tc>
          <w:tcPr>
            <w:tcW w:w="520" w:type="dxa"/>
            <w:vAlign w:val="bottom"/>
            <w:gridSpan w:val="2"/>
            <w:shd w:val="clear" w:color="auto" w:fill="CFF0FC"/>
          </w:tcPr>
          <w:p>
            <w:pPr>
              <w:jc w:val="right"/>
              <w:ind w:right="203"/>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25,360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General and professional liability insurance reserves</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25,032</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Automobile insurance reserves</w:t>
            </w: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9,849</w:t>
            </w:r>
          </w:p>
        </w:tc>
        <w:tc>
          <w:tcPr>
            <w:tcW w:w="1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9,034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Deferred compensation</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4,702</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5,250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8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6,587</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66,565</w:t>
            </w:r>
          </w:p>
        </w:tc>
        <w:tc>
          <w:tcPr>
            <w:tcW w:w="520" w:type="dxa"/>
            <w:vAlign w:val="bottom"/>
            <w:gridSpan w:val="2"/>
          </w:tcPr>
          <w:p>
            <w:pPr>
              <w:jc w:val="right"/>
              <w:ind w:right="203"/>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71,190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-1445260</wp:posOffset>
            </wp:positionV>
            <wp:extent cx="47625" cy="69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-1445260</wp:posOffset>
            </wp:positionV>
            <wp:extent cx="47625" cy="69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-135890</wp:posOffset>
            </wp:positionV>
            <wp:extent cx="47625" cy="698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3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10. Earnings Per Share (“EPS”)</w:t>
      </w:r>
    </w:p>
    <w:p>
      <w:pPr>
        <w:spacing w:after="0" w:line="185" w:lineRule="exact"/>
        <w:rPr>
          <w:sz w:val="20"/>
          <w:szCs w:val="20"/>
          <w:color w:val="auto"/>
        </w:rPr>
      </w:pPr>
    </w:p>
    <w:p>
      <w:pPr>
        <w:ind w:left="640" w:right="679"/>
        <w:spacing w:after="0" w:line="268" w:lineRule="auto"/>
        <w:rPr>
          <w:sz w:val="20"/>
          <w:szCs w:val="20"/>
          <w:color w:val="auto"/>
        </w:rPr>
      </w:pPr>
      <w:r>
        <w:rPr>
          <w:rFonts w:ascii="Times New Roman" w:cs="Times New Roman" w:eastAsia="Times New Roman" w:hAnsi="Times New Roman"/>
          <w:sz w:val="14"/>
          <w:szCs w:val="14"/>
          <w:color w:val="auto"/>
        </w:rPr>
        <w:t>Basic net income (loss) per share of common stock is calculated by dividing net income (loss) attributable to common shareholders by the weighted average number of shares outstanding for the reporting period. Diluted net income (loss) per share of common stock is computed by giving effect to all potential weighted average dilutive common stock. In periods of net loss, no potentially dilutive common shares are included in the diluted shares outstanding as the effect is anti-dilutive.</w:t>
      </w:r>
    </w:p>
    <w:p>
      <w:pPr>
        <w:spacing w:after="0" w:line="54" w:lineRule="exact"/>
        <w:rPr>
          <w:sz w:val="20"/>
          <w:szCs w:val="20"/>
          <w:color w:val="auto"/>
        </w:rPr>
      </w:pPr>
    </w:p>
    <w:p>
      <w:pPr>
        <w:ind w:left="640" w:right="659"/>
        <w:spacing w:after="0" w:line="262" w:lineRule="auto"/>
        <w:rPr>
          <w:sz w:val="20"/>
          <w:szCs w:val="20"/>
          <w:color w:val="auto"/>
        </w:rPr>
      </w:pPr>
      <w:r>
        <w:rPr>
          <w:rFonts w:ascii="Times New Roman" w:cs="Times New Roman" w:eastAsia="Times New Roman" w:hAnsi="Times New Roman"/>
          <w:sz w:val="14"/>
          <w:szCs w:val="14"/>
          <w:color w:val="auto"/>
        </w:rPr>
        <w:t>The number of additional shares of common stock related to stock option awards subject to only a time-based condition is calculated using the treasury stock method, if dilutive. Stock option awards subject to a performance condition are not included in the denominator of the diluted EPS calculation using the treasury stock method for the year ended December 31, 2023, as the performance condition had not been satisfied. Upon completion of the IPO in January 2024, the performance condition was met and a portion of the Tier I options vested (Note 11). Thus, the number of additional shares of common stock related to stock option awards subject to a performance condition are included in the denominator of the diluted EPS calculation using the treasury stock method for the years ended December 31, 2025 and 2024, if dilutive.</w:t>
      </w:r>
    </w:p>
    <w:p>
      <w:pPr>
        <w:spacing w:after="0" w:line="59" w:lineRule="exact"/>
        <w:rPr>
          <w:sz w:val="20"/>
          <w:szCs w:val="20"/>
          <w:color w:val="auto"/>
        </w:rPr>
      </w:pPr>
    </w:p>
    <w:p>
      <w:pPr>
        <w:ind w:left="640" w:right="959"/>
        <w:spacing w:after="0" w:line="292" w:lineRule="auto"/>
        <w:rPr>
          <w:sz w:val="20"/>
          <w:szCs w:val="20"/>
          <w:color w:val="auto"/>
        </w:rPr>
      </w:pPr>
      <w:r>
        <w:rPr>
          <w:rFonts w:ascii="Times New Roman" w:cs="Times New Roman" w:eastAsia="Times New Roman" w:hAnsi="Times New Roman"/>
          <w:sz w:val="14"/>
          <w:szCs w:val="14"/>
          <w:color w:val="auto"/>
        </w:rPr>
        <w:t>The number of additional shares of common stock related to restricted stock units (“RSUs”) is reflected in the denominator of the diluted EPS calculation using the treasury stock method, if dilutive.</w:t>
      </w:r>
    </w:p>
    <w:p>
      <w:pPr>
        <w:spacing w:after="0" w:line="38" w:lineRule="exact"/>
        <w:rPr>
          <w:sz w:val="20"/>
          <w:szCs w:val="20"/>
          <w:color w:val="auto"/>
        </w:rPr>
      </w:pPr>
    </w:p>
    <w:p>
      <w:pPr>
        <w:ind w:left="640" w:right="719"/>
        <w:spacing w:after="0" w:line="268" w:lineRule="auto"/>
        <w:rPr>
          <w:sz w:val="20"/>
          <w:szCs w:val="20"/>
          <w:color w:val="auto"/>
        </w:rPr>
      </w:pPr>
      <w:r>
        <w:rPr>
          <w:rFonts w:ascii="Times New Roman" w:cs="Times New Roman" w:eastAsia="Times New Roman" w:hAnsi="Times New Roman"/>
          <w:sz w:val="14"/>
          <w:szCs w:val="14"/>
          <w:color w:val="auto"/>
        </w:rPr>
        <w:t>For the years ended December 31, 2025 and 2024, the TEUs were assumed to be outstanding at the minimum settlement amount for weighted-average shares for basic EPS. For diluted EPS, the shares were assumed to be settled at a conversion factor based on the 20-day VWAP per share of the Company's common stock not to exceed 3.8461 shares per Purchase Contract, if dilutive. See Note 7 for further discussion of TEUs.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0" w:name="page121"/>
    <w:bookmarkEnd w:id="12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659"/>
        <w:spacing w:after="0" w:line="263" w:lineRule="auto"/>
        <w:rPr>
          <w:sz w:val="20"/>
          <w:szCs w:val="20"/>
          <w:color w:val="auto"/>
        </w:rPr>
      </w:pPr>
      <w:r>
        <w:rPr>
          <w:rFonts w:ascii="Times New Roman" w:cs="Times New Roman" w:eastAsia="Times New Roman" w:hAnsi="Times New Roman"/>
          <w:sz w:val="14"/>
          <w:szCs w:val="14"/>
          <w:color w:val="auto"/>
        </w:rPr>
        <w:t>The following table sets forth the computation of basic and diluted net income (loss) per share attributable to common shareholders (in thousands, except per share amounts):</w:t>
      </w:r>
    </w:p>
    <w:tbl>
      <w:tblPr>
        <w:tblLayout w:type="fixed"/>
        <w:tblInd w:w="64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80" w:type="dxa"/>
            <w:vAlign w:val="bottom"/>
            <w:gridSpan w:val="8"/>
          </w:tcPr>
          <w:p>
            <w:pPr>
              <w:jc w:val="right"/>
              <w:ind w:right="440"/>
              <w:spacing w:after="0" w:line="124" w:lineRule="exact"/>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ind w:right="19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Borders>
              <w:top w:val="single" w:sz="8" w:color="auto"/>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ind w:right="169"/>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top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ind w:right="169"/>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Numerator:</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(loss) from continuing operations</w:t>
            </w:r>
          </w:p>
        </w:tc>
        <w:tc>
          <w:tcPr>
            <w:tcW w:w="3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104,796</w:t>
            </w:r>
          </w:p>
        </w:tc>
        <w:tc>
          <w:tcPr>
            <w:tcW w:w="14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(68,931)</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(182,266)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(1,553)</w:t>
            </w:r>
          </w:p>
        </w:tc>
        <w:tc>
          <w:tcPr>
            <w:tcW w:w="160" w:type="dxa"/>
            <w:vAlign w:val="bottom"/>
            <w:shd w:val="clear" w:color="auto" w:fill="CFF0FC"/>
          </w:tcPr>
          <w:p>
            <w:pPr>
              <w:spacing w:after="0"/>
              <w:rPr>
                <w:sz w:val="14"/>
                <w:szCs w:val="14"/>
                <w:color w:val="auto"/>
              </w:rPr>
            </w:pPr>
          </w:p>
        </w:tc>
        <w:tc>
          <w:tcPr>
            <w:tcW w:w="7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(2,459)</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(loss) from continuing operations attributable to common shareholders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106,349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(66,472)</w:t>
            </w: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(180,034)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income from discontinued operations</w:t>
            </w: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84,317</w:t>
            </w:r>
          </w:p>
        </w:tc>
        <w:tc>
          <w:tcPr>
            <w:tcW w:w="140" w:type="dxa"/>
            <w:vAlign w:val="bottom"/>
            <w:tcBorders>
              <w:bottom w:val="single" w:sz="8" w:color="CFF0FC"/>
              <w:right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48,410</w:t>
            </w:r>
          </w:p>
        </w:tc>
        <w:tc>
          <w:tcPr>
            <w:tcW w:w="160" w:type="dxa"/>
            <w:vAlign w:val="bottom"/>
            <w:tcBorders>
              <w:bottom w:val="single" w:sz="8" w:color="CFF0FC"/>
              <w:right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25,431</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(loss) attributable to common shareholders</w:t>
            </w:r>
          </w:p>
        </w:tc>
        <w:tc>
          <w:tcPr>
            <w:tcW w:w="3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190,666</w:t>
            </w:r>
          </w:p>
        </w:tc>
        <w:tc>
          <w:tcPr>
            <w:tcW w:w="14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(18,062)</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(154,603)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50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Denominator: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Weighted-average shares outstanding - basic</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202,564</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192,997</w:t>
            </w:r>
          </w:p>
        </w:tc>
        <w:tc>
          <w:tcPr>
            <w:tcW w:w="16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117,868</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 options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RSUs</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8,345</w:t>
            </w:r>
          </w:p>
        </w:tc>
        <w:tc>
          <w:tcPr>
            <w:tcW w:w="14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TEUs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Borders>
              <w:top w:val="single" w:sz="8" w:color="CFF0FC"/>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Weighted-average shares outstanding - diluted</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219,774</w:t>
            </w:r>
          </w:p>
        </w:tc>
        <w:tc>
          <w:tcPr>
            <w:tcW w:w="140" w:type="dxa"/>
            <w:vAlign w:val="bottom"/>
            <w:tcBorders>
              <w:top w:val="single" w:sz="8" w:color="CFF0FC"/>
              <w:bottom w:val="single" w:sz="8" w:color="CFF0FC"/>
              <w:right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192,997</w:t>
            </w:r>
          </w:p>
        </w:tc>
        <w:tc>
          <w:tcPr>
            <w:tcW w:w="160" w:type="dxa"/>
            <w:vAlign w:val="bottom"/>
            <w:tcBorders>
              <w:top w:val="single" w:sz="8" w:color="CFF0FC"/>
              <w:bottom w:val="single" w:sz="8" w:color="CFF0FC"/>
              <w:right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117,868</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i w:val="1"/>
                <w:iCs w:val="1"/>
                <w:color w:val="auto"/>
              </w:rPr>
              <w:t>Basic income (loss) per share attributable to common shareholders:</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Continuing operations</w:t>
            </w:r>
          </w:p>
        </w:tc>
        <w:tc>
          <w:tcPr>
            <w:tcW w:w="3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14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(0.34)</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Discontinued operations</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0.41</w:t>
            </w:r>
          </w:p>
        </w:tc>
        <w:tc>
          <w:tcPr>
            <w:tcW w:w="14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(loss) per share</w:t>
            </w:r>
          </w:p>
        </w:tc>
        <w:tc>
          <w:tcPr>
            <w:tcW w:w="1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0.94</w:t>
            </w:r>
          </w:p>
        </w:tc>
        <w:tc>
          <w:tcPr>
            <w:tcW w:w="14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(0.09)</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50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Diluted income (loss) per share attributable to common shareholders: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Continuing operations</w:t>
            </w:r>
          </w:p>
        </w:tc>
        <w:tc>
          <w:tcPr>
            <w:tcW w:w="3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14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(0.34)</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Discontinued operations</w:t>
            </w:r>
          </w:p>
        </w:tc>
        <w:tc>
          <w:tcPr>
            <w:tcW w:w="1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14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60" w:type="dxa"/>
            <w:vAlign w:val="bottom"/>
          </w:tcPr>
          <w:p>
            <w:pPr>
              <w:spacing w:after="0"/>
              <w:rPr>
                <w:sz w:val="14"/>
                <w:szCs w:val="14"/>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income (loss) per share</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0.87</w:t>
            </w:r>
          </w:p>
        </w:tc>
        <w:tc>
          <w:tcPr>
            <w:tcW w:w="14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(0.09)</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4176395</wp:posOffset>
            </wp:positionH>
            <wp:positionV relativeFrom="paragraph">
              <wp:posOffset>-2536190</wp:posOffset>
            </wp:positionV>
            <wp:extent cx="47625" cy="69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-2536190</wp:posOffset>
            </wp:positionV>
            <wp:extent cx="47625" cy="69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-2536190</wp:posOffset>
            </wp:positionV>
            <wp:extent cx="47625" cy="69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4176395</wp:posOffset>
            </wp:positionH>
            <wp:positionV relativeFrom="paragraph">
              <wp:posOffset>-2311400</wp:posOffset>
            </wp:positionV>
            <wp:extent cx="47625" cy="69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-2311400</wp:posOffset>
            </wp:positionV>
            <wp:extent cx="47625" cy="69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-2311400</wp:posOffset>
            </wp:positionV>
            <wp:extent cx="47625" cy="69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4176395</wp:posOffset>
            </wp:positionH>
            <wp:positionV relativeFrom="paragraph">
              <wp:posOffset>-1847215</wp:posOffset>
            </wp:positionV>
            <wp:extent cx="47625" cy="69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4176395</wp:posOffset>
            </wp:positionH>
            <wp:positionV relativeFrom="paragraph">
              <wp:posOffset>-1833880</wp:posOffset>
            </wp:positionV>
            <wp:extent cx="47625" cy="69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-1847215</wp:posOffset>
            </wp:positionV>
            <wp:extent cx="47625" cy="69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-1833880</wp:posOffset>
            </wp:positionV>
            <wp:extent cx="47625" cy="698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-1847215</wp:posOffset>
            </wp:positionV>
            <wp:extent cx="47625" cy="69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-1833880</wp:posOffset>
            </wp:positionV>
            <wp:extent cx="47625" cy="69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4176395</wp:posOffset>
            </wp:positionH>
            <wp:positionV relativeFrom="paragraph">
              <wp:posOffset>-1165225</wp:posOffset>
            </wp:positionV>
            <wp:extent cx="47625" cy="69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4176395</wp:posOffset>
            </wp:positionH>
            <wp:positionV relativeFrom="paragraph">
              <wp:posOffset>-1151890</wp:posOffset>
            </wp:positionV>
            <wp:extent cx="47625" cy="69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4176395</wp:posOffset>
            </wp:positionH>
            <wp:positionV relativeFrom="paragraph">
              <wp:posOffset>-1281430</wp:posOffset>
            </wp:positionV>
            <wp:extent cx="47625" cy="69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-1165225</wp:posOffset>
            </wp:positionV>
            <wp:extent cx="47625" cy="69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-1151890</wp:posOffset>
            </wp:positionV>
            <wp:extent cx="47625" cy="69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-1281430</wp:posOffset>
            </wp:positionV>
            <wp:extent cx="47625" cy="69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-1165225</wp:posOffset>
            </wp:positionV>
            <wp:extent cx="47625" cy="69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-1151890</wp:posOffset>
            </wp:positionV>
            <wp:extent cx="47625" cy="69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-1281430</wp:posOffset>
            </wp:positionV>
            <wp:extent cx="47625" cy="69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4176395</wp:posOffset>
            </wp:positionH>
            <wp:positionV relativeFrom="paragraph">
              <wp:posOffset>-708660</wp:posOffset>
            </wp:positionV>
            <wp:extent cx="47625" cy="69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-708660</wp:posOffset>
            </wp:positionV>
            <wp:extent cx="47625" cy="69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-708660</wp:posOffset>
            </wp:positionV>
            <wp:extent cx="47625" cy="69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4176395</wp:posOffset>
            </wp:positionH>
            <wp:positionV relativeFrom="paragraph">
              <wp:posOffset>-19685</wp:posOffset>
            </wp:positionV>
            <wp:extent cx="47625" cy="69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4176395</wp:posOffset>
            </wp:positionH>
            <wp:positionV relativeFrom="paragraph">
              <wp:posOffset>-6350</wp:posOffset>
            </wp:positionV>
            <wp:extent cx="47625" cy="69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-19685</wp:posOffset>
            </wp:positionV>
            <wp:extent cx="47625" cy="69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-6350</wp:posOffset>
            </wp:positionV>
            <wp:extent cx="47625" cy="69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659"/>
        <w:spacing w:after="0" w:line="274" w:lineRule="auto"/>
        <w:rPr>
          <w:sz w:val="20"/>
          <w:szCs w:val="20"/>
          <w:color w:val="auto"/>
        </w:rPr>
      </w:pPr>
      <w:r>
        <w:rPr>
          <w:rFonts w:ascii="Times New Roman" w:cs="Times New Roman" w:eastAsia="Times New Roman" w:hAnsi="Times New Roman"/>
          <w:sz w:val="14"/>
          <w:szCs w:val="14"/>
          <w:color w:val="auto"/>
        </w:rPr>
        <w:t>The following potentially common share equivalents were excluded from the computation of diluted net income (loss) per share because their effect would have been anti-dilutive for the periods presented, as well as options that are contingent upon the satisfaction of certain conditions which were not satisfied by the end of the period (in thousands):</w:t>
      </w:r>
    </w:p>
    <w:p>
      <w:pPr>
        <w:spacing w:after="0" w:line="12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bl>
      <w:tblPr>
        <w:tblLayout w:type="fixed"/>
        <w:tblInd w:w="640" w:type="dxa"/>
        <w:tblCellMar>
          <w:top w:w="0" w:type="dxa"/>
          <w:left w:w="0" w:type="dxa"/>
          <w:bottom w:w="0" w:type="dxa"/>
          <w:right w:w="0" w:type="dxa"/>
        </w:tblCellMar>
      </w:tblPr>
      <w:tr>
        <w:trPr>
          <w:trHeight w:val="143"/>
        </w:trPr>
        <w:tc>
          <w:tcPr>
            <w:tcW w:w="5180" w:type="dxa"/>
            <w:vAlign w:val="bottom"/>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bottom w:val="single" w:sz="8" w:color="auto"/>
            </w:tcBorders>
          </w:tcPr>
          <w:p>
            <w:pPr>
              <w:jc w:val="right"/>
              <w:ind w:right="133"/>
              <w:spacing w:after="0" w:line="144" w:lineRule="exact"/>
              <w:rPr>
                <w:sz w:val="20"/>
                <w:szCs w:val="20"/>
                <w:color w:val="auto"/>
              </w:rPr>
            </w:pPr>
            <w:r>
              <w:rPr>
                <w:rFonts w:ascii="Times New Roman" w:cs="Times New Roman" w:eastAsia="Times New Roman" w:hAnsi="Times New Roman"/>
                <w:sz w:val="11"/>
                <w:szCs w:val="11"/>
                <w:b w:val="1"/>
                <w:bCs w:val="1"/>
                <w:color w:val="auto"/>
              </w:rPr>
              <w:t xml:space="preserve">2024 </w:t>
            </w:r>
            <w:r>
              <w:rPr>
                <w:rFonts w:ascii="Times New Roman" w:cs="Times New Roman" w:eastAsia="Times New Roman" w:hAnsi="Times New Roman"/>
                <w:sz w:val="15"/>
                <w:szCs w:val="15"/>
                <w:b w:val="1"/>
                <w:bCs w:val="1"/>
                <w:color w:val="auto"/>
                <w:vertAlign w:val="superscript"/>
              </w:rPr>
              <w:t>(1)</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132"/>
              <w:spacing w:after="0" w:line="144" w:lineRule="exact"/>
              <w:rPr>
                <w:sz w:val="20"/>
                <w:szCs w:val="20"/>
                <w:color w:val="auto"/>
              </w:rPr>
            </w:pPr>
            <w:r>
              <w:rPr>
                <w:rFonts w:ascii="Times New Roman" w:cs="Times New Roman" w:eastAsia="Times New Roman" w:hAnsi="Times New Roman"/>
                <w:sz w:val="11"/>
                <w:szCs w:val="11"/>
                <w:b w:val="1"/>
                <w:bCs w:val="1"/>
                <w:color w:val="auto"/>
              </w:rPr>
              <w:t xml:space="preserve">2023 </w:t>
            </w:r>
            <w:r>
              <w:rPr>
                <w:rFonts w:ascii="Times New Roman" w:cs="Times New Roman" w:eastAsia="Times New Roman" w:hAnsi="Times New Roman"/>
                <w:sz w:val="15"/>
                <w:szCs w:val="15"/>
                <w:b w:val="1"/>
                <w:bCs w:val="1"/>
                <w:color w:val="auto"/>
                <w:vertAlign w:val="superscript"/>
              </w:rPr>
              <w:t>(1)</w:t>
            </w:r>
          </w:p>
        </w:tc>
        <w:tc>
          <w:tcPr>
            <w:tcW w:w="80" w:type="dxa"/>
            <w:vAlign w:val="bottom"/>
          </w:tcPr>
          <w:p>
            <w:pPr>
              <w:spacing w:after="0"/>
              <w:rPr>
                <w:sz w:val="12"/>
                <w:szCs w:val="12"/>
                <w:color w:val="auto"/>
              </w:rPr>
            </w:pPr>
          </w:p>
        </w:tc>
      </w:tr>
      <w:tr>
        <w:trPr>
          <w:trHeight w:val="163"/>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5"/>
              </w:rPr>
              <w:t>259</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14,936</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14,140</w:t>
            </w:r>
          </w:p>
        </w:tc>
        <w:tc>
          <w:tcPr>
            <w:tcW w:w="80" w:type="dxa"/>
            <w:vAlign w:val="bottom"/>
            <w:shd w:val="clear" w:color="auto" w:fill="CFF0FC"/>
          </w:tcPr>
          <w:p>
            <w:pPr>
              <w:spacing w:after="0"/>
              <w:rPr>
                <w:sz w:val="14"/>
                <w:szCs w:val="14"/>
                <w:color w:val="auto"/>
              </w:rPr>
            </w:pPr>
          </w:p>
        </w:tc>
      </w:tr>
      <w:tr>
        <w:trPr>
          <w:trHeight w:val="172"/>
        </w:trPr>
        <w:tc>
          <w:tcPr>
            <w:tcW w:w="5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RSUs</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10,587</w:t>
            </w:r>
          </w:p>
        </w:tc>
        <w:tc>
          <w:tcPr>
            <w:tcW w:w="1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TEUs</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5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259</w:t>
            </w:r>
          </w:p>
        </w:tc>
        <w:tc>
          <w:tcPr>
            <w:tcW w:w="14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25,523</w:t>
            </w:r>
          </w:p>
        </w:tc>
        <w:tc>
          <w:tcPr>
            <w:tcW w:w="16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14,140</w:t>
            </w:r>
          </w:p>
        </w:tc>
        <w:tc>
          <w:tcPr>
            <w:tcW w:w="80" w:type="dxa"/>
            <w:vAlign w:val="bottom"/>
          </w:tcPr>
          <w:p>
            <w:pPr>
              <w:spacing w:after="0"/>
              <w:rPr>
                <w:sz w:val="14"/>
                <w:szCs w:val="14"/>
                <w:color w:val="auto"/>
              </w:rPr>
            </w:pPr>
          </w:p>
        </w:tc>
      </w:tr>
      <w:tr>
        <w:trPr>
          <w:trHeight w:val="20"/>
        </w:trPr>
        <w:tc>
          <w:tcPr>
            <w:tcW w:w="5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-551815</wp:posOffset>
            </wp:positionV>
            <wp:extent cx="1575435" cy="69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575435" cy="6985"/>
                    </a:xfrm>
                    <a:prstGeom prst="rect">
                      <a:avLst/>
                    </a:prstGeom>
                    <a:noFill/>
                  </pic:spPr>
                </pic:pic>
              </a:graphicData>
            </a:graphic>
          </wp:anchor>
        </w:drawing>
      </w:r>
    </w:p>
    <w:p>
      <w:pPr>
        <w:spacing w:after="0" w:line="148" w:lineRule="exact"/>
        <w:rPr>
          <w:sz w:val="20"/>
          <w:szCs w:val="20"/>
          <w:color w:val="auto"/>
        </w:rPr>
      </w:pPr>
    </w:p>
    <w:p>
      <w:pPr>
        <w:ind w:left="640" w:right="819" w:hanging="2"/>
        <w:spacing w:after="0" w:line="226" w:lineRule="auto"/>
        <w:tabs>
          <w:tab w:leader="none" w:pos="787" w:val="left"/>
        </w:tabs>
        <w:numPr>
          <w:ilvl w:val="0"/>
          <w:numId w:val="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dilutive effect of stock options were excluded from the computation of loss per share because the assumed proceeds from the awards' exercise were greater than the average market price of the common shares.</w:t>
      </w:r>
    </w:p>
    <w:p>
      <w:pPr>
        <w:spacing w:after="0" w:line="158" w:lineRule="exact"/>
        <w:rPr>
          <w:sz w:val="20"/>
          <w:szCs w:val="20"/>
          <w:color w:val="auto"/>
        </w:rPr>
      </w:pPr>
    </w:p>
    <w:p>
      <w:pPr>
        <w:ind w:left="640" w:right="699"/>
        <w:spacing w:after="0" w:line="292" w:lineRule="auto"/>
        <w:rPr>
          <w:sz w:val="20"/>
          <w:szCs w:val="20"/>
          <w:color w:val="auto"/>
        </w:rPr>
      </w:pPr>
      <w:r>
        <w:rPr>
          <w:rFonts w:ascii="Times New Roman" w:cs="Times New Roman" w:eastAsia="Times New Roman" w:hAnsi="Times New Roman"/>
          <w:sz w:val="14"/>
          <w:szCs w:val="14"/>
          <w:color w:val="auto"/>
        </w:rPr>
        <w:t>All share and per share amounts have been retroactively adjusted to reflect the effects of a 15.7027-for-one stock split that occurred in January 2024 in conjunction with the IPO Offerings.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11. Share-Based Compensation</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Share-Based Compensation Plans</w:t>
      </w:r>
    </w:p>
    <w:p>
      <w:pPr>
        <w:spacing w:after="0" w:line="99" w:lineRule="exact"/>
        <w:rPr>
          <w:sz w:val="20"/>
          <w:szCs w:val="20"/>
          <w:color w:val="auto"/>
        </w:rPr>
      </w:pPr>
    </w:p>
    <w:p>
      <w:pPr>
        <w:ind w:left="640" w:right="939"/>
        <w:spacing w:after="0" w:line="268" w:lineRule="auto"/>
        <w:rPr>
          <w:sz w:val="20"/>
          <w:szCs w:val="20"/>
          <w:color w:val="auto"/>
        </w:rPr>
      </w:pPr>
      <w:r>
        <w:rPr>
          <w:rFonts w:ascii="Times New Roman" w:cs="Times New Roman" w:eastAsia="Times New Roman" w:hAnsi="Times New Roman"/>
          <w:sz w:val="14"/>
          <w:szCs w:val="14"/>
          <w:color w:val="auto"/>
        </w:rPr>
        <w:t>On January 24, 2024, the Board of Directors adopted the 2024 Incentive Plan. Concurrent with the adoption of the 2024 Incentive Plan, the previously existing share-based compensation plan, the 2017 Stock Plan, was terminated and no further issuances are permitted under the 2017 Stock Plan; however, awards granted under the 2017 Stock Plan will continue to be governed by their existing terms.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1" w:name="page122"/>
    <w:bookmarkEnd w:id="12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839"/>
        <w:spacing w:after="0" w:line="292" w:lineRule="auto"/>
        <w:rPr>
          <w:sz w:val="20"/>
          <w:szCs w:val="20"/>
          <w:color w:val="auto"/>
        </w:rPr>
      </w:pPr>
      <w:r>
        <w:rPr>
          <w:rFonts w:ascii="Times New Roman" w:cs="Times New Roman" w:eastAsia="Times New Roman" w:hAnsi="Times New Roman"/>
          <w:sz w:val="14"/>
          <w:szCs w:val="14"/>
          <w:color w:val="auto"/>
        </w:rPr>
        <w:t>The Company recorded share-based compensation expense on the consolidated statements of operations for the periods indicated as follows (in thousands):</w:t>
      </w:r>
    </w:p>
    <w:p>
      <w:pPr>
        <w:spacing w:after="0" w:line="162"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44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52"/>
        </w:trPr>
        <w:tc>
          <w:tcPr>
            <w:tcW w:w="44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r>
      <w:tr>
        <w:trPr>
          <w:trHeight w:val="163"/>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goods</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2,704</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2,115</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3,884</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3,296</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52,577</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55,925</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3,780</w:t>
            </w:r>
          </w:p>
        </w:tc>
        <w:tc>
          <w:tcPr>
            <w:tcW w:w="80" w:type="dxa"/>
            <w:vAlign w:val="bottom"/>
            <w:shd w:val="clear" w:color="auto" w:fill="CFF0FC"/>
          </w:tcPr>
          <w:p>
            <w:pPr>
              <w:spacing w:after="0"/>
              <w:rPr>
                <w:sz w:val="14"/>
                <w:szCs w:val="14"/>
                <w:color w:val="auto"/>
              </w:rPr>
            </w:pPr>
          </w:p>
        </w:tc>
      </w:tr>
    </w:tbl>
    <w:p>
      <w:pPr>
        <w:spacing w:after="0" w:line="157" w:lineRule="exact"/>
        <w:rPr>
          <w:sz w:val="20"/>
          <w:szCs w:val="20"/>
          <w:color w:val="auto"/>
        </w:rPr>
      </w:pPr>
    </w:p>
    <w:p>
      <w:pPr>
        <w:jc w:val="both"/>
        <w:ind w:left="640" w:right="959"/>
        <w:spacing w:after="0" w:line="274" w:lineRule="auto"/>
        <w:rPr>
          <w:sz w:val="20"/>
          <w:szCs w:val="20"/>
          <w:color w:val="auto"/>
        </w:rPr>
      </w:pPr>
      <w:r>
        <w:rPr>
          <w:rFonts w:ascii="Times New Roman" w:cs="Times New Roman" w:eastAsia="Times New Roman" w:hAnsi="Times New Roman"/>
          <w:sz w:val="14"/>
          <w:szCs w:val="14"/>
          <w:color w:val="auto"/>
        </w:rPr>
        <w:t>In addition to the amounts above, the Company recognized $10.9 million, and $7.8 million of share-based compensation expense attributable to discontinued operations for the years ended December 31, 2025 and 2024, respectively. Share-based compensation expense attributable to discontinued operations for the year ended December 31, 2023 was immaterial.</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2017 Stock Plan</w:t>
      </w:r>
    </w:p>
    <w:p>
      <w:pPr>
        <w:spacing w:after="0" w:line="99" w:lineRule="exact"/>
        <w:rPr>
          <w:sz w:val="20"/>
          <w:szCs w:val="20"/>
          <w:color w:val="auto"/>
        </w:rPr>
      </w:pPr>
    </w:p>
    <w:p>
      <w:pPr>
        <w:ind w:left="640" w:right="739"/>
        <w:spacing w:after="0" w:line="265" w:lineRule="auto"/>
        <w:rPr>
          <w:sz w:val="20"/>
          <w:szCs w:val="20"/>
          <w:color w:val="auto"/>
        </w:rPr>
      </w:pPr>
      <w:r>
        <w:rPr>
          <w:rFonts w:ascii="Times New Roman" w:cs="Times New Roman" w:eastAsia="Times New Roman" w:hAnsi="Times New Roman"/>
          <w:sz w:val="14"/>
          <w:szCs w:val="14"/>
          <w:color w:val="auto"/>
        </w:rPr>
        <w:t>In January 2018, the Compensation Committee of the Company’s Board of Directors approved a grant of 4,874,558 options in the Company under a stock option plan established in 2017 to key members of the Company’s management. The options are divided into tranches: (i) 50% vest based on the passage of time over five (5) years (the “Time-Based Options”), (ii) 25% vest based on the achievement of annual adjusted EBITDA targets over five (5) years (the “Tier I Performance Options”) and (iii) 25% vest based on KKR recovering a specified return on its investment or internal rate of return (the “Tier II Performance Options”).</w:t>
      </w:r>
    </w:p>
    <w:p>
      <w:pPr>
        <w:spacing w:after="0" w:line="56" w:lineRule="exact"/>
        <w:rPr>
          <w:sz w:val="20"/>
          <w:szCs w:val="20"/>
          <w:color w:val="auto"/>
        </w:rPr>
      </w:pPr>
    </w:p>
    <w:p>
      <w:pPr>
        <w:ind w:left="640" w:right="679"/>
        <w:spacing w:after="0" w:line="262" w:lineRule="auto"/>
        <w:rPr>
          <w:sz w:val="20"/>
          <w:szCs w:val="20"/>
          <w:color w:val="auto"/>
        </w:rPr>
      </w:pPr>
      <w:r>
        <w:rPr>
          <w:rFonts w:ascii="Times New Roman" w:cs="Times New Roman" w:eastAsia="Times New Roman" w:hAnsi="Times New Roman"/>
          <w:sz w:val="14"/>
          <w:szCs w:val="14"/>
          <w:color w:val="auto"/>
        </w:rPr>
        <w:t>Following the BrightSpring Corp. Acquisition in 2019, the Compensation Committee of the Company’s Board of Directors approved the modification of the previously granted Tier I and Tier II Performance Options. Tier 1 Performance options now vest upon the attainment of Sponsor Month over Month (“MoM”) (quotient obtained by dividing sponsor cash available by sponsor cash invested) of at least 2.0 or greater and Tier II Performance Options vest upon the attainment of a Sponsor MoM of at least 2.5 or greater. The MoM levels are considered a market condition which also create an implied performance condition because the MoM levels cannot be achieved without the occurrence of a liquidity event. In January 2024, the Compensation Committee of the Company’s Board of Directors approved the vesting of Tier I performance-vesting options in connection with the IPO Offerings.</w:t>
      </w:r>
    </w:p>
    <w:p>
      <w:pPr>
        <w:spacing w:after="0" w:line="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All options have a 10-year life and we record forfeitures as they occur.</w:t>
      </w:r>
    </w:p>
    <w:p>
      <w:pPr>
        <w:spacing w:after="0" w:line="97" w:lineRule="exact"/>
        <w:rPr>
          <w:sz w:val="20"/>
          <w:szCs w:val="20"/>
          <w:color w:val="auto"/>
        </w:rPr>
      </w:pPr>
    </w:p>
    <w:p>
      <w:pPr>
        <w:ind w:left="640" w:right="679"/>
        <w:spacing w:after="0" w:line="292" w:lineRule="auto"/>
        <w:rPr>
          <w:sz w:val="20"/>
          <w:szCs w:val="20"/>
          <w:color w:val="auto"/>
        </w:rPr>
      </w:pPr>
      <w:r>
        <w:rPr>
          <w:rFonts w:ascii="Times New Roman" w:cs="Times New Roman" w:eastAsia="Times New Roman" w:hAnsi="Times New Roman"/>
          <w:sz w:val="14"/>
          <w:szCs w:val="14"/>
          <w:color w:val="auto"/>
        </w:rPr>
        <w:t>Concurrent with the adoption of the 2024 Incentive Plan on January 24, 2024, no further awards are authorized to be granted under the 2017 Stock Plan.</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2024 Incentive Plan</w:t>
      </w:r>
    </w:p>
    <w:p>
      <w:pPr>
        <w:spacing w:after="0" w:line="99" w:lineRule="exact"/>
        <w:rPr>
          <w:sz w:val="20"/>
          <w:szCs w:val="20"/>
          <w:color w:val="auto"/>
        </w:rPr>
      </w:pPr>
    </w:p>
    <w:p>
      <w:pPr>
        <w:ind w:left="640" w:right="659"/>
        <w:spacing w:after="0" w:line="274" w:lineRule="auto"/>
        <w:rPr>
          <w:sz w:val="20"/>
          <w:szCs w:val="20"/>
          <w:color w:val="auto"/>
        </w:rPr>
      </w:pPr>
      <w:r>
        <w:rPr>
          <w:rFonts w:ascii="Times New Roman" w:cs="Times New Roman" w:eastAsia="Times New Roman" w:hAnsi="Times New Roman"/>
          <w:sz w:val="14"/>
          <w:szCs w:val="14"/>
          <w:color w:val="auto"/>
        </w:rPr>
        <w:t>The 2024 Incentive Plan initially reserved 17,119,039 shares for issuance and provides for the granting of various forms of equity awards including non-qualified options and incentive stock options, restricted shares of our common stock, restricted stock units, other equity-based awards tied to the value of shares, and cash-based awards.</w:t>
      </w:r>
    </w:p>
    <w:p>
      <w:pPr>
        <w:spacing w:after="0" w:line="136" w:lineRule="exact"/>
        <w:rPr>
          <w:sz w:val="20"/>
          <w:szCs w:val="20"/>
          <w:color w:val="auto"/>
        </w:rPr>
      </w:pPr>
    </w:p>
    <w:p>
      <w:pPr>
        <w:ind w:left="640" w:right="659"/>
        <w:spacing w:after="0" w:line="262" w:lineRule="auto"/>
        <w:rPr>
          <w:sz w:val="20"/>
          <w:szCs w:val="20"/>
          <w:color w:val="auto"/>
        </w:rPr>
      </w:pPr>
      <w:r>
        <w:rPr>
          <w:rFonts w:ascii="Times New Roman" w:cs="Times New Roman" w:eastAsia="Times New Roman" w:hAnsi="Times New Roman"/>
          <w:sz w:val="14"/>
          <w:szCs w:val="14"/>
          <w:color w:val="auto"/>
        </w:rPr>
        <w:t>Under the 2024 Incentive Plan, the Company granted stock options, representing options to purchase shares of the Company’s common stock at a stated price, and RSUs, which represent the conditional right to receive one share of common stock, both upon satisfaction of a vesting requirement. Stock options and RSUs granted under the 2024 Incentive Plan vest upon the satisfaction of time-based requirements. We recognize expense for stock options and RSUs over the vesting term based on the grant date fair value of the award. In each case, vesting of the Company’s outstanding and unvested stock options and RSUs is contingent upon the holder’s continued service through the date of each applicable vesting event. The options all have a 10-year life and we record forfeitures as they occur.</w:t>
      </w:r>
    </w:p>
    <w:p>
      <w:pPr>
        <w:spacing w:after="0" w:line="3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Summary details for RSUs</w:t>
      </w:r>
    </w:p>
    <w:p>
      <w:pPr>
        <w:spacing w:after="0" w:line="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231F20"/>
        </w:rPr>
        <w:t xml:space="preserve">The following table summarizes the </w:t>
      </w:r>
      <w:r>
        <w:rPr>
          <w:rFonts w:ascii="Times New Roman" w:cs="Times New Roman" w:eastAsia="Times New Roman" w:hAnsi="Times New Roman"/>
          <w:sz w:val="14"/>
          <w:szCs w:val="14"/>
          <w:color w:val="000000"/>
        </w:rPr>
        <w:t>RSU activity under the 2024 Incentive Plan for the period presented:</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5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140" w:type="dxa"/>
            <w:vAlign w:val="bottom"/>
          </w:tcPr>
          <w:p>
            <w:pPr>
              <w:spacing w:after="0"/>
              <w:rPr>
                <w:sz w:val="10"/>
                <w:szCs w:val="10"/>
                <w:color w:val="auto"/>
              </w:rPr>
            </w:pPr>
          </w:p>
        </w:tc>
        <w:tc>
          <w:tcPr>
            <w:tcW w:w="164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Weighted Average Remaining</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8"/>
        </w:trPr>
        <w:tc>
          <w:tcPr>
            <w:tcW w:w="5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40" w:type="dxa"/>
            <w:vAlign w:val="bottom"/>
            <w:vMerge w:val="restart"/>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Units</w:t>
            </w:r>
          </w:p>
        </w:tc>
        <w:tc>
          <w:tcPr>
            <w:tcW w:w="8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4"/>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Intrinsic Value</w:t>
            </w:r>
          </w:p>
        </w:tc>
        <w:tc>
          <w:tcPr>
            <w:tcW w:w="0" w:type="dxa"/>
            <w:vAlign w:val="bottom"/>
          </w:tcPr>
          <w:p>
            <w:pPr>
              <w:spacing w:after="0"/>
              <w:rPr>
                <w:sz w:val="1"/>
                <w:szCs w:val="1"/>
                <w:color w:val="auto"/>
              </w:rPr>
            </w:pPr>
          </w:p>
        </w:tc>
      </w:tr>
      <w:tr>
        <w:trPr>
          <w:trHeight w:val="137"/>
        </w:trPr>
        <w:tc>
          <w:tcPr>
            <w:tcW w:w="5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Grant Date Fair Value</w:t>
            </w:r>
          </w:p>
        </w:tc>
        <w:tc>
          <w:tcPr>
            <w:tcW w:w="140" w:type="dxa"/>
            <w:vAlign w:val="bottom"/>
          </w:tcPr>
          <w:p>
            <w:pPr>
              <w:spacing w:after="0"/>
              <w:rPr>
                <w:sz w:val="11"/>
                <w:szCs w:val="11"/>
                <w:color w:val="auto"/>
              </w:rPr>
            </w:pPr>
          </w:p>
        </w:tc>
        <w:tc>
          <w:tcPr>
            <w:tcW w:w="164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Contractual Term (years)</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6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Outstanding RSUs at January 1, 2025</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10,587,226</w:t>
            </w:r>
          </w:p>
        </w:tc>
        <w:tc>
          <w:tcPr>
            <w:tcW w:w="8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363"/>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2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1,931,654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17.93</w:t>
            </w: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Forfeited</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(1,364,458)</w:t>
            </w: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14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Vested</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(1,948,306)</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2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Outstanding RSUs at December 31, 2025</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9,206,116</w:t>
            </w:r>
          </w:p>
        </w:tc>
        <w:tc>
          <w:tcPr>
            <w:tcW w:w="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gridSpan w:val="2"/>
            <w:shd w:val="clear" w:color="auto" w:fill="CFF0FC"/>
          </w:tcPr>
          <w:p>
            <w:pPr>
              <w:jc w:val="right"/>
              <w:ind w:right="363"/>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17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22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344.8</w:t>
            </w:r>
          </w:p>
        </w:tc>
        <w:tc>
          <w:tcPr>
            <w:tcW w:w="80" w:type="dxa"/>
            <w:vAlign w:val="bottom"/>
            <w:tcBorders>
              <w:bottom w:val="single" w:sz="8" w:color="CFF0FC"/>
            </w:tcBorders>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7"/>
        </w:trPr>
        <w:tc>
          <w:tcPr>
            <w:tcW w:w="5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263"/>
              <w:spacing w:after="0"/>
              <w:rPr>
                <w:sz w:val="20"/>
                <w:szCs w:val="20"/>
                <w:color w:val="auto"/>
              </w:rPr>
            </w:pPr>
            <w:r>
              <w:rPr>
                <w:rFonts w:ascii="Times New Roman" w:cs="Times New Roman" w:eastAsia="Times New Roman" w:hAnsi="Times New Roman"/>
                <w:sz w:val="14"/>
                <w:szCs w:val="14"/>
                <w:color w:val="auto"/>
              </w:rPr>
              <w:t>115</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-742950</wp:posOffset>
            </wp:positionV>
            <wp:extent cx="47625" cy="69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-728980</wp:posOffset>
            </wp:positionV>
            <wp:extent cx="47625" cy="69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2" w:name="page123"/>
    <w:bookmarkEnd w:id="12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4"/>
          <w:szCs w:val="14"/>
          <w:color w:val="auto"/>
        </w:rPr>
        <w:t>As of December 31, 2025, there was $53.9 million of unrecognized compensation cost that is expected to be recognized over a weighted-average period of 2.9 years related to unvested RSUs, of which, $13.3 million relates to awards associated with discontinued operations. The vesting terms of all RSUs range from 0.25 to 5 years. The total intrinsic value of RSUs vested during the years ended December 31, 2025 and 2024 was $42.0 million and $3.1 million, respectively. The excess tax benefit associated with vested RSUs for the years ended December 31, 2025 and 2024 was not material.</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Summary details for Stock Options</w:t>
      </w:r>
    </w:p>
    <w:p>
      <w:pPr>
        <w:spacing w:after="0" w:line="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 following table summarizes the Time-Based Options stock incentive plan activity under the 2017 Stock Plan and the 2024</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Incentive Plan for the period presented:</w:t>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0" w:right="220"/>
        <w:spacing w:after="0" w:line="266" w:lineRule="auto"/>
        <w:rPr>
          <w:sz w:val="20"/>
          <w:szCs w:val="20"/>
          <w:color w:val="auto"/>
        </w:rPr>
      </w:pPr>
      <w:r>
        <w:rPr>
          <w:rFonts w:ascii="Times New Roman" w:cs="Times New Roman" w:eastAsia="Times New Roman" w:hAnsi="Times New Roman"/>
          <w:sz w:val="14"/>
          <w:szCs w:val="14"/>
          <w:color w:val="auto"/>
        </w:rPr>
        <w:t>Outstanding options at January 1, 2025 Granted</w:t>
      </w:r>
    </w:p>
    <w:p>
      <w:pPr>
        <w:spacing w:after="0" w:line="1" w:lineRule="exact"/>
        <w:rPr>
          <w:sz w:val="20"/>
          <w:szCs w:val="20"/>
          <w:color w:val="auto"/>
        </w:rPr>
      </w:pPr>
    </w:p>
    <w:p>
      <w:pPr>
        <w:ind w:left="640" w:right="560"/>
        <w:spacing w:after="0" w:line="277" w:lineRule="auto"/>
        <w:rPr>
          <w:sz w:val="20"/>
          <w:szCs w:val="20"/>
          <w:color w:val="auto"/>
        </w:rPr>
      </w:pPr>
      <w:r>
        <w:rPr>
          <w:rFonts w:ascii="Times New Roman" w:cs="Times New Roman" w:eastAsia="Times New Roman" w:hAnsi="Times New Roman"/>
          <w:sz w:val="14"/>
          <w:szCs w:val="14"/>
          <w:color w:val="auto"/>
        </w:rPr>
        <w:t>Forfeited, repurchased or expired Exercised</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Outstanding options at December 31, 2025</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Exercisable options at December 31, 2025</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73"/>
              <w:spacing w:after="0"/>
              <w:rPr>
                <w:sz w:val="20"/>
                <w:szCs w:val="20"/>
                <w:color w:val="auto"/>
              </w:rPr>
            </w:pPr>
            <w:r>
              <w:rPr>
                <w:rFonts w:ascii="Times New Roman" w:cs="Times New Roman" w:eastAsia="Times New Roman" w:hAnsi="Times New Roman"/>
                <w:sz w:val="12"/>
                <w:szCs w:val="12"/>
                <w:b w:val="1"/>
                <w:bCs w:val="1"/>
                <w:color w:val="auto"/>
              </w:rPr>
              <w:t>Weighted</w:t>
            </w:r>
          </w:p>
        </w:tc>
        <w:tc>
          <w:tcPr>
            <w:tcW w:w="140" w:type="dxa"/>
            <w:vAlign w:val="bottom"/>
          </w:tcPr>
          <w:p>
            <w:pPr>
              <w:spacing w:after="0"/>
              <w:rPr>
                <w:sz w:val="12"/>
                <w:szCs w:val="12"/>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Weighted Average</w:t>
            </w:r>
          </w:p>
        </w:tc>
        <w:tc>
          <w:tcPr>
            <w:tcW w:w="80" w:type="dxa"/>
            <w:vAlign w:val="bottom"/>
          </w:tcPr>
          <w:p>
            <w:pPr>
              <w:spacing w:after="0"/>
              <w:rPr>
                <w:sz w:val="12"/>
                <w:szCs w:val="12"/>
                <w:color w:val="auto"/>
              </w:rPr>
            </w:pPr>
          </w:p>
        </w:tc>
        <w:tc>
          <w:tcPr>
            <w:tcW w:w="680" w:type="dxa"/>
            <w:vAlign w:val="bottom"/>
          </w:tcPr>
          <w:p>
            <w:pPr>
              <w:jc w:val="center"/>
              <w:ind w:right="74"/>
              <w:spacing w:after="0"/>
              <w:rPr>
                <w:sz w:val="20"/>
                <w:szCs w:val="20"/>
                <w:color w:val="auto"/>
              </w:rPr>
            </w:pPr>
            <w:r>
              <w:rPr>
                <w:rFonts w:ascii="Times New Roman" w:cs="Times New Roman" w:eastAsia="Times New Roman" w:hAnsi="Times New Roman"/>
                <w:sz w:val="12"/>
                <w:szCs w:val="12"/>
                <w:b w:val="1"/>
                <w:bCs w:val="1"/>
                <w:color w:val="auto"/>
              </w:rPr>
              <w:t>Aggregate</w:t>
            </w:r>
          </w:p>
        </w:tc>
        <w:tc>
          <w:tcPr>
            <w:tcW w:w="16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Weighted Average</w:t>
            </w:r>
          </w:p>
        </w:tc>
      </w:tr>
      <w:tr>
        <w:trPr>
          <w:trHeight w:val="129"/>
        </w:trPr>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53"/>
              <w:spacing w:after="0" w:line="129" w:lineRule="exact"/>
              <w:rPr>
                <w:sz w:val="20"/>
                <w:szCs w:val="20"/>
                <w:color w:val="auto"/>
              </w:rPr>
            </w:pPr>
            <w:r>
              <w:rPr>
                <w:rFonts w:ascii="Times New Roman" w:cs="Times New Roman" w:eastAsia="Times New Roman" w:hAnsi="Times New Roman"/>
                <w:sz w:val="12"/>
                <w:szCs w:val="12"/>
                <w:b w:val="1"/>
                <w:bCs w:val="1"/>
                <w:color w:val="auto"/>
              </w:rPr>
              <w:t>Average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2"/>
                <w:szCs w:val="12"/>
                <w:b w:val="1"/>
                <w:bCs w:val="1"/>
                <w:color w:val="auto"/>
              </w:rPr>
              <w:t>Grant Date Fair</w:t>
            </w:r>
          </w:p>
        </w:tc>
        <w:tc>
          <w:tcPr>
            <w:tcW w:w="80" w:type="dxa"/>
            <w:vAlign w:val="bottom"/>
          </w:tcPr>
          <w:p>
            <w:pPr>
              <w:spacing w:after="0"/>
              <w:rPr>
                <w:sz w:val="11"/>
                <w:szCs w:val="11"/>
                <w:color w:val="auto"/>
              </w:rPr>
            </w:pPr>
          </w:p>
        </w:tc>
        <w:tc>
          <w:tcPr>
            <w:tcW w:w="680" w:type="dxa"/>
            <w:vAlign w:val="bottom"/>
          </w:tcPr>
          <w:p>
            <w:pPr>
              <w:jc w:val="center"/>
              <w:ind w:right="54"/>
              <w:spacing w:after="0" w:line="129" w:lineRule="exact"/>
              <w:rPr>
                <w:sz w:val="20"/>
                <w:szCs w:val="20"/>
                <w:color w:val="auto"/>
              </w:rPr>
            </w:pPr>
            <w:r>
              <w:rPr>
                <w:rFonts w:ascii="Times New Roman" w:cs="Times New Roman" w:eastAsia="Times New Roman" w:hAnsi="Times New Roman"/>
                <w:sz w:val="12"/>
                <w:szCs w:val="12"/>
                <w:b w:val="1"/>
                <w:bCs w:val="1"/>
                <w:color w:val="auto"/>
                <w:w w:val="99"/>
              </w:rPr>
              <w:t>Intrinsic</w:t>
            </w:r>
          </w:p>
        </w:tc>
        <w:tc>
          <w:tcPr>
            <w:tcW w:w="160" w:type="dxa"/>
            <w:vAlign w:val="bottom"/>
          </w:tcPr>
          <w:p>
            <w:pPr>
              <w:spacing w:after="0"/>
              <w:rPr>
                <w:sz w:val="11"/>
                <w:szCs w:val="11"/>
                <w:color w:val="auto"/>
              </w:rPr>
            </w:pPr>
          </w:p>
        </w:tc>
        <w:tc>
          <w:tcPr>
            <w:tcW w:w="118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9"/>
              </w:rPr>
              <w:t>Remaining</w:t>
            </w:r>
          </w:p>
        </w:tc>
      </w:tr>
      <w:tr>
        <w:trPr>
          <w:trHeight w:val="129"/>
        </w:trPr>
        <w:tc>
          <w:tcPr>
            <w:tcW w:w="88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53"/>
              <w:spacing w:after="0" w:line="129" w:lineRule="exact"/>
              <w:rPr>
                <w:sz w:val="20"/>
                <w:szCs w:val="20"/>
                <w:color w:val="auto"/>
              </w:rPr>
            </w:pPr>
            <w:r>
              <w:rPr>
                <w:rFonts w:ascii="Times New Roman" w:cs="Times New Roman" w:eastAsia="Times New Roman" w:hAnsi="Times New Roman"/>
                <w:sz w:val="12"/>
                <w:szCs w:val="12"/>
                <w:b w:val="1"/>
                <w:bCs w:val="1"/>
                <w:color w:val="auto"/>
              </w:rPr>
              <w:t>Exercise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2"/>
                <w:szCs w:val="12"/>
                <w:b w:val="1"/>
                <w:bCs w:val="1"/>
                <w:color w:val="auto"/>
                <w:w w:val="99"/>
              </w:rPr>
              <w:t>Value</w:t>
            </w:r>
          </w:p>
        </w:tc>
        <w:tc>
          <w:tcPr>
            <w:tcW w:w="80" w:type="dxa"/>
            <w:vAlign w:val="bottom"/>
          </w:tcPr>
          <w:p>
            <w:pPr>
              <w:spacing w:after="0"/>
              <w:rPr>
                <w:sz w:val="11"/>
                <w:szCs w:val="11"/>
                <w:color w:val="auto"/>
              </w:rPr>
            </w:pPr>
          </w:p>
        </w:tc>
        <w:tc>
          <w:tcPr>
            <w:tcW w:w="680" w:type="dxa"/>
            <w:vAlign w:val="bottom"/>
          </w:tcPr>
          <w:p>
            <w:pPr>
              <w:jc w:val="center"/>
              <w:ind w:right="34"/>
              <w:spacing w:after="0" w:line="129" w:lineRule="exact"/>
              <w:rPr>
                <w:sz w:val="20"/>
                <w:szCs w:val="20"/>
                <w:color w:val="auto"/>
              </w:rPr>
            </w:pPr>
            <w:r>
              <w:rPr>
                <w:rFonts w:ascii="Times New Roman" w:cs="Times New Roman" w:eastAsia="Times New Roman" w:hAnsi="Times New Roman"/>
                <w:sz w:val="12"/>
                <w:szCs w:val="12"/>
                <w:b w:val="1"/>
                <w:bCs w:val="1"/>
                <w:color w:val="auto"/>
                <w:w w:val="99"/>
              </w:rPr>
              <w:t>Value</w:t>
            </w:r>
          </w:p>
        </w:tc>
        <w:tc>
          <w:tcPr>
            <w:tcW w:w="160" w:type="dxa"/>
            <w:vAlign w:val="bottom"/>
          </w:tcPr>
          <w:p>
            <w:pPr>
              <w:spacing w:after="0"/>
              <w:rPr>
                <w:sz w:val="11"/>
                <w:szCs w:val="11"/>
                <w:color w:val="auto"/>
              </w:rPr>
            </w:pPr>
          </w:p>
        </w:tc>
        <w:tc>
          <w:tcPr>
            <w:tcW w:w="118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rPr>
              <w:t>Contractual Term</w:t>
            </w:r>
          </w:p>
        </w:tc>
      </w:tr>
      <w:tr>
        <w:trPr>
          <w:trHeight w:val="146"/>
        </w:trPr>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33"/>
              <w:spacing w:after="0"/>
              <w:rPr>
                <w:sz w:val="20"/>
                <w:szCs w:val="20"/>
                <w:color w:val="auto"/>
              </w:rPr>
            </w:pPr>
            <w:r>
              <w:rPr>
                <w:rFonts w:ascii="Times New Roman" w:cs="Times New Roman" w:eastAsia="Times New Roman" w:hAnsi="Times New Roman"/>
                <w:sz w:val="12"/>
                <w:szCs w:val="12"/>
                <w:b w:val="1"/>
                <w:bCs w:val="1"/>
                <w:color w:val="auto"/>
                <w:w w:val="97"/>
              </w:rPr>
              <w:t>Price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6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(years)</w:t>
            </w:r>
          </w:p>
        </w:tc>
      </w:tr>
      <w:tr>
        <w:trPr>
          <w:trHeight w:val="148"/>
        </w:trPr>
        <w:tc>
          <w:tcPr>
            <w:tcW w:w="78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8,278,818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9.98</w:t>
            </w:r>
          </w:p>
        </w:tc>
        <w:tc>
          <w:tcPr>
            <w:tcW w:w="140" w:type="dxa"/>
            <w:vAlign w:val="bottom"/>
          </w:tcPr>
          <w:p>
            <w:pPr>
              <w:spacing w:after="0"/>
              <w:rPr>
                <w:sz w:val="12"/>
                <w:szCs w:val="12"/>
                <w:color w:val="auto"/>
              </w:rPr>
            </w:pPr>
          </w:p>
        </w:tc>
        <w:tc>
          <w:tcPr>
            <w:tcW w:w="8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35.5</w:t>
            </w:r>
          </w:p>
        </w:tc>
        <w:tc>
          <w:tcPr>
            <w:tcW w:w="140" w:type="dxa"/>
            <w:vAlign w:val="bottom"/>
          </w:tcPr>
          <w:p>
            <w:pPr>
              <w:spacing w:after="0"/>
              <w:rPr>
                <w:sz w:val="12"/>
                <w:szCs w:val="12"/>
                <w:color w:val="auto"/>
              </w:rPr>
            </w:pPr>
          </w:p>
        </w:tc>
        <w:tc>
          <w:tcPr>
            <w:tcW w:w="8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64.2</w:t>
            </w:r>
          </w:p>
        </w:tc>
        <w:tc>
          <w:tcPr>
            <w:tcW w:w="160" w:type="dxa"/>
            <w:vAlign w:val="bottom"/>
          </w:tcPr>
          <w:p>
            <w:pPr>
              <w:spacing w:after="0"/>
              <w:rPr>
                <w:sz w:val="12"/>
                <w:szCs w:val="12"/>
                <w:color w:val="auto"/>
              </w:rPr>
            </w:pPr>
          </w:p>
        </w:tc>
        <w:tc>
          <w:tcPr>
            <w:tcW w:w="118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6.1</w:t>
            </w:r>
          </w:p>
        </w:tc>
      </w:tr>
      <w:tr>
        <w:trPr>
          <w:trHeight w:val="172"/>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3,009,601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(406,848)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7"/>
        </w:trPr>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(1,010,014)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63"/>
        </w:trPr>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9,871,557</w:t>
            </w:r>
          </w:p>
        </w:tc>
        <w:tc>
          <w:tcPr>
            <w:tcW w:w="10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315"/>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6,065,430</w:t>
            </w:r>
          </w:p>
        </w:tc>
        <w:tc>
          <w:tcPr>
            <w:tcW w:w="10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23.70</w:t>
            </w:r>
          </w:p>
        </w:tc>
        <w:tc>
          <w:tcPr>
            <w:tcW w:w="1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-789940</wp:posOffset>
            </wp:positionV>
            <wp:extent cx="4909820" cy="1092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909820" cy="109220"/>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-571500</wp:posOffset>
            </wp:positionV>
            <wp:extent cx="4909820" cy="1092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909820" cy="109220"/>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-107950</wp:posOffset>
            </wp:positionV>
            <wp:extent cx="4909820" cy="1092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909820" cy="109220"/>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-346710</wp:posOffset>
            </wp:positionV>
            <wp:extent cx="4909820" cy="1295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909820" cy="129540"/>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3100" w:space="100"/>
            <w:col w:w="5819"/>
          </w:cols>
          <w:pgMar w:left="1440" w:top="123" w:right="1440" w:bottom="1440" w:gutter="0" w:footer="0" w:header="0"/>
          <w:type w:val="continuous"/>
        </w:sectPr>
      </w:pPr>
    </w:p>
    <w:p>
      <w:pPr>
        <w:ind w:left="640" w:right="779"/>
        <w:spacing w:after="0" w:line="292" w:lineRule="auto"/>
        <w:rPr>
          <w:sz w:val="20"/>
          <w:szCs w:val="20"/>
          <w:color w:val="auto"/>
        </w:rPr>
      </w:pPr>
      <w:r>
        <w:rPr>
          <w:rFonts w:ascii="Times New Roman" w:cs="Times New Roman" w:eastAsia="Times New Roman" w:hAnsi="Times New Roman"/>
          <w:sz w:val="14"/>
          <w:szCs w:val="14"/>
          <w:color w:val="auto"/>
        </w:rPr>
        <w:t>The following table summarizes the Tier I and II Performance Option stock incentive plan activity under the 2017 Stock Plan for the period presented:</w:t>
      </w:r>
    </w:p>
    <w:p>
      <w:pPr>
        <w:sectPr>
          <w:pgSz w:w="11900" w:h="16838" w:orient="portrait"/>
          <w:cols w:equalWidth="0" w:num="1">
            <w:col w:w="9019"/>
          </w:cols>
          <w:pgMar w:left="1440" w:top="1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right="220"/>
        <w:spacing w:after="0" w:line="266" w:lineRule="auto"/>
        <w:rPr>
          <w:sz w:val="20"/>
          <w:szCs w:val="20"/>
          <w:color w:val="auto"/>
        </w:rPr>
      </w:pPr>
      <w:r>
        <w:rPr>
          <w:rFonts w:ascii="Times New Roman" w:cs="Times New Roman" w:eastAsia="Times New Roman" w:hAnsi="Times New Roman"/>
          <w:sz w:val="14"/>
          <w:szCs w:val="14"/>
          <w:color w:val="auto"/>
        </w:rPr>
        <w:t>Outstanding options at January 1, 2025 Granted</w:t>
      </w:r>
    </w:p>
    <w:p>
      <w:pPr>
        <w:spacing w:after="0" w:line="1" w:lineRule="exact"/>
        <w:rPr>
          <w:sz w:val="20"/>
          <w:szCs w:val="20"/>
          <w:color w:val="auto"/>
        </w:rPr>
      </w:pPr>
    </w:p>
    <w:p>
      <w:pPr>
        <w:ind w:left="640" w:right="560"/>
        <w:spacing w:after="0" w:line="277" w:lineRule="auto"/>
        <w:rPr>
          <w:sz w:val="20"/>
          <w:szCs w:val="20"/>
          <w:color w:val="auto"/>
        </w:rPr>
      </w:pPr>
      <w:r>
        <w:rPr>
          <w:rFonts w:ascii="Times New Roman" w:cs="Times New Roman" w:eastAsia="Times New Roman" w:hAnsi="Times New Roman"/>
          <w:sz w:val="14"/>
          <w:szCs w:val="14"/>
          <w:color w:val="auto"/>
        </w:rPr>
        <w:t>Forfeited, repurchased or expired Exercised</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Outstanding options at December 31, 2025</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Exercisable options at December 31, 2025</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Weighted</w:t>
            </w:r>
          </w:p>
        </w:tc>
        <w:tc>
          <w:tcPr>
            <w:tcW w:w="140" w:type="dxa"/>
            <w:vAlign w:val="bottom"/>
          </w:tcPr>
          <w:p>
            <w:pPr>
              <w:spacing w:after="0"/>
              <w:rPr>
                <w:sz w:val="12"/>
                <w:szCs w:val="12"/>
                <w:color w:val="auto"/>
              </w:rPr>
            </w:pP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Weighted Average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54"/>
              <w:spacing w:after="0"/>
              <w:rPr>
                <w:sz w:val="20"/>
                <w:szCs w:val="20"/>
                <w:color w:val="auto"/>
              </w:rPr>
            </w:pPr>
            <w:r>
              <w:rPr>
                <w:rFonts w:ascii="Times New Roman" w:cs="Times New Roman" w:eastAsia="Times New Roman" w:hAnsi="Times New Roman"/>
                <w:sz w:val="12"/>
                <w:szCs w:val="12"/>
                <w:b w:val="1"/>
                <w:bCs w:val="1"/>
                <w:color w:val="auto"/>
              </w:rPr>
              <w:t>Aggregate</w:t>
            </w:r>
          </w:p>
        </w:tc>
        <w:tc>
          <w:tcPr>
            <w:tcW w:w="16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Weighted Average</w:t>
            </w:r>
          </w:p>
        </w:tc>
      </w:tr>
      <w:tr>
        <w:trPr>
          <w:trHeight w:val="129"/>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ind w:right="52"/>
              <w:spacing w:after="0" w:line="129" w:lineRule="exact"/>
              <w:rPr>
                <w:sz w:val="20"/>
                <w:szCs w:val="20"/>
                <w:color w:val="auto"/>
              </w:rPr>
            </w:pPr>
            <w:r>
              <w:rPr>
                <w:rFonts w:ascii="Times New Roman" w:cs="Times New Roman" w:eastAsia="Times New Roman" w:hAnsi="Times New Roman"/>
                <w:sz w:val="12"/>
                <w:szCs w:val="12"/>
                <w:b w:val="1"/>
                <w:bCs w:val="1"/>
                <w:color w:val="auto"/>
              </w:rPr>
              <w:t>Average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2"/>
                <w:szCs w:val="12"/>
                <w:b w:val="1"/>
                <w:bCs w:val="1"/>
                <w:color w:val="auto"/>
              </w:rPr>
              <w:t>Grant Date Fair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54"/>
              <w:spacing w:after="0" w:line="129" w:lineRule="exact"/>
              <w:rPr>
                <w:sz w:val="20"/>
                <w:szCs w:val="20"/>
                <w:color w:val="auto"/>
              </w:rPr>
            </w:pPr>
            <w:r>
              <w:rPr>
                <w:rFonts w:ascii="Times New Roman" w:cs="Times New Roman" w:eastAsia="Times New Roman" w:hAnsi="Times New Roman"/>
                <w:sz w:val="12"/>
                <w:szCs w:val="12"/>
                <w:b w:val="1"/>
                <w:bCs w:val="1"/>
                <w:color w:val="auto"/>
              </w:rPr>
              <w:t>Intrinsic</w:t>
            </w:r>
          </w:p>
        </w:tc>
        <w:tc>
          <w:tcPr>
            <w:tcW w:w="160" w:type="dxa"/>
            <w:vAlign w:val="bottom"/>
          </w:tcPr>
          <w:p>
            <w:pPr>
              <w:spacing w:after="0"/>
              <w:rPr>
                <w:sz w:val="11"/>
                <w:szCs w:val="11"/>
                <w:color w:val="auto"/>
              </w:rPr>
            </w:pPr>
          </w:p>
        </w:tc>
        <w:tc>
          <w:tcPr>
            <w:tcW w:w="118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9"/>
              </w:rPr>
              <w:t>Remaining</w:t>
            </w:r>
          </w:p>
        </w:tc>
      </w:tr>
      <w:tr>
        <w:trPr>
          <w:trHeight w:val="129"/>
        </w:trPr>
        <w:tc>
          <w:tcPr>
            <w:tcW w:w="1020" w:type="dxa"/>
            <w:vAlign w:val="bottom"/>
            <w:gridSpan w:val="2"/>
          </w:tcPr>
          <w:p>
            <w:pPr>
              <w:jc w:val="right"/>
              <w:ind w:right="320"/>
              <w:spacing w:after="0" w:line="129"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80" w:type="dxa"/>
            <w:vAlign w:val="bottom"/>
          </w:tcPr>
          <w:p>
            <w:pPr>
              <w:spacing w:after="0"/>
              <w:rPr>
                <w:sz w:val="11"/>
                <w:szCs w:val="11"/>
                <w:color w:val="auto"/>
              </w:rPr>
            </w:pPr>
          </w:p>
        </w:tc>
        <w:tc>
          <w:tcPr>
            <w:tcW w:w="560" w:type="dxa"/>
            <w:vAlign w:val="bottom"/>
          </w:tcPr>
          <w:p>
            <w:pPr>
              <w:jc w:val="center"/>
              <w:ind w:right="52"/>
              <w:spacing w:after="0" w:line="129" w:lineRule="exact"/>
              <w:rPr>
                <w:sz w:val="20"/>
                <w:szCs w:val="20"/>
                <w:color w:val="auto"/>
              </w:rPr>
            </w:pPr>
            <w:r>
              <w:rPr>
                <w:rFonts w:ascii="Times New Roman" w:cs="Times New Roman" w:eastAsia="Times New Roman" w:hAnsi="Times New Roman"/>
                <w:sz w:val="12"/>
                <w:szCs w:val="12"/>
                <w:b w:val="1"/>
                <w:bCs w:val="1"/>
                <w:color w:val="auto"/>
              </w:rPr>
              <w:t>Exercise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2"/>
                <w:szCs w:val="12"/>
                <w:b w:val="1"/>
                <w:bCs w:val="1"/>
                <w:color w:val="auto"/>
                <w:w w:val="99"/>
              </w:rPr>
              <w:t>Value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14"/>
              <w:spacing w:after="0" w:line="129" w:lineRule="exact"/>
              <w:rPr>
                <w:sz w:val="20"/>
                <w:szCs w:val="20"/>
                <w:color w:val="auto"/>
              </w:rPr>
            </w:pPr>
            <w:r>
              <w:rPr>
                <w:rFonts w:ascii="Times New Roman" w:cs="Times New Roman" w:eastAsia="Times New Roman" w:hAnsi="Times New Roman"/>
                <w:sz w:val="12"/>
                <w:szCs w:val="12"/>
                <w:b w:val="1"/>
                <w:bCs w:val="1"/>
                <w:color w:val="auto"/>
                <w:w w:val="99"/>
              </w:rPr>
              <w:t>Value</w:t>
            </w:r>
          </w:p>
        </w:tc>
        <w:tc>
          <w:tcPr>
            <w:tcW w:w="160" w:type="dxa"/>
            <w:vAlign w:val="bottom"/>
          </w:tcPr>
          <w:p>
            <w:pPr>
              <w:spacing w:after="0"/>
              <w:rPr>
                <w:sz w:val="11"/>
                <w:szCs w:val="11"/>
                <w:color w:val="auto"/>
              </w:rPr>
            </w:pPr>
          </w:p>
        </w:tc>
        <w:tc>
          <w:tcPr>
            <w:tcW w:w="118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rPr>
              <w:t>Contractual Term</w:t>
            </w:r>
          </w:p>
        </w:tc>
      </w:tr>
      <w:tr>
        <w:trPr>
          <w:trHeight w:val="146"/>
        </w:trPr>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0" w:type="dxa"/>
            <w:vAlign w:val="bottom"/>
          </w:tcPr>
          <w:p>
            <w:pPr>
              <w:spacing w:after="0"/>
              <w:rPr>
                <w:sz w:val="12"/>
                <w:szCs w:val="12"/>
                <w:color w:val="auto"/>
              </w:rPr>
            </w:pPr>
          </w:p>
        </w:tc>
        <w:tc>
          <w:tcPr>
            <w:tcW w:w="560" w:type="dxa"/>
            <w:vAlign w:val="bottom"/>
          </w:tcPr>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Price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60" w:type="dxa"/>
            <w:vAlign w:val="bottom"/>
          </w:tcPr>
          <w:p>
            <w:pPr>
              <w:spacing w:after="0"/>
              <w:rPr>
                <w:sz w:val="12"/>
                <w:szCs w:val="12"/>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6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(years)</w:t>
            </w:r>
          </w:p>
        </w:tc>
      </w:tr>
      <w:tr>
        <w:trPr>
          <w:trHeight w:val="148"/>
        </w:trPr>
        <w:tc>
          <w:tcPr>
            <w:tcW w:w="88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6,656,999</w:t>
            </w:r>
          </w:p>
        </w:tc>
        <w:tc>
          <w:tcPr>
            <w:tcW w:w="140" w:type="dxa"/>
            <w:vAlign w:val="bottom"/>
          </w:tcPr>
          <w:p>
            <w:pPr>
              <w:spacing w:after="0"/>
              <w:rPr>
                <w:sz w:val="12"/>
                <w:szCs w:val="12"/>
                <w:color w:val="auto"/>
              </w:rPr>
            </w:pPr>
          </w:p>
        </w:tc>
        <w:tc>
          <w:tcPr>
            <w:tcW w:w="8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7.82</w:t>
            </w:r>
          </w:p>
        </w:tc>
        <w:tc>
          <w:tcPr>
            <w:tcW w:w="140" w:type="dxa"/>
            <w:vAlign w:val="bottom"/>
          </w:tcPr>
          <w:p>
            <w:pPr>
              <w:spacing w:after="0"/>
              <w:rPr>
                <w:sz w:val="12"/>
                <w:szCs w:val="12"/>
                <w:color w:val="auto"/>
              </w:rPr>
            </w:pPr>
          </w:p>
        </w:tc>
        <w:tc>
          <w:tcPr>
            <w:tcW w:w="8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63.9</w:t>
            </w:r>
          </w:p>
        </w:tc>
        <w:tc>
          <w:tcPr>
            <w:tcW w:w="160" w:type="dxa"/>
            <w:vAlign w:val="bottom"/>
          </w:tcPr>
          <w:p>
            <w:pPr>
              <w:spacing w:after="0"/>
              <w:rPr>
                <w:sz w:val="12"/>
                <w:szCs w:val="12"/>
                <w:color w:val="auto"/>
              </w:rPr>
            </w:pPr>
          </w:p>
        </w:tc>
        <w:tc>
          <w:tcPr>
            <w:tcW w:w="118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5.0</w:t>
            </w:r>
          </w:p>
        </w:tc>
      </w:tr>
      <w:tr>
        <w:trPr>
          <w:trHeight w:val="172"/>
        </w:trPr>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(366,842)</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7"/>
        </w:trPr>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(2,340,254)</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63"/>
        </w:trPr>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3,949,903</w:t>
            </w:r>
          </w:p>
        </w:tc>
        <w:tc>
          <w:tcPr>
            <w:tcW w:w="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315"/>
        </w:trPr>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880,300</w:t>
            </w:r>
          </w:p>
        </w:tc>
        <w:tc>
          <w:tcPr>
            <w:tcW w:w="1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-789940</wp:posOffset>
            </wp:positionV>
            <wp:extent cx="4909820" cy="1092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909820" cy="109220"/>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-571500</wp:posOffset>
            </wp:positionV>
            <wp:extent cx="4909820" cy="1092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909820" cy="109220"/>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-107950</wp:posOffset>
            </wp:positionV>
            <wp:extent cx="4909820" cy="1092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909820" cy="109220"/>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-346710</wp:posOffset>
            </wp:positionV>
            <wp:extent cx="4909820" cy="1295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909820" cy="129540"/>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3100" w:space="100"/>
            <w:col w:w="5819"/>
          </w:cols>
          <w:pgMar w:left="1440" w:top="123" w:right="1440" w:bottom="1440" w:gutter="0" w:footer="0" w:header="0"/>
          <w:type w:val="continuous"/>
        </w:sectPr>
      </w:pPr>
    </w:p>
    <w:p>
      <w:pPr>
        <w:ind w:left="640" w:right="739"/>
        <w:spacing w:after="0" w:line="268" w:lineRule="auto"/>
        <w:rPr>
          <w:sz w:val="20"/>
          <w:szCs w:val="20"/>
          <w:color w:val="auto"/>
        </w:rPr>
      </w:pPr>
      <w:r>
        <w:rPr>
          <w:rFonts w:ascii="Times New Roman" w:cs="Times New Roman" w:eastAsia="Times New Roman" w:hAnsi="Times New Roman"/>
          <w:sz w:val="14"/>
          <w:szCs w:val="14"/>
          <w:color w:val="auto"/>
        </w:rPr>
        <w:t>Cash received from stock option exercises for the years ended December 31, 2025, 2024 and 2023 was $25.3 million, $1.5 million, and $0.6 million, respectively. The excess tax benefit associated with stock options for the year ended December 31, 2025 was $13.2 million. There were no material tax benefits realized in our tax returns from tax deductions associated with share based compensation for 2024 and 2023.</w:t>
      </w:r>
    </w:p>
    <w:p>
      <w:pPr>
        <w:spacing w:after="0" w:line="140" w:lineRule="exact"/>
        <w:rPr>
          <w:sz w:val="20"/>
          <w:szCs w:val="20"/>
          <w:color w:val="auto"/>
        </w:rPr>
      </w:pPr>
    </w:p>
    <w:p>
      <w:pPr>
        <w:ind w:left="640" w:right="679"/>
        <w:spacing w:after="0" w:line="265" w:lineRule="auto"/>
        <w:rPr>
          <w:sz w:val="20"/>
          <w:szCs w:val="20"/>
          <w:color w:val="auto"/>
        </w:rPr>
      </w:pPr>
      <w:r>
        <w:rPr>
          <w:rFonts w:ascii="Times New Roman" w:cs="Times New Roman" w:eastAsia="Times New Roman" w:hAnsi="Times New Roman"/>
          <w:sz w:val="14"/>
          <w:szCs w:val="14"/>
          <w:color w:val="auto"/>
        </w:rPr>
        <w:t>As of December 31, 2025, there was $13.1 million of unrecognized compensation cost that is expected to be recognized over a weighted-average period of 2.1 years related to unvested stock options. The total intrinsic value of stock options exercised in the years ended December 31, 2025, 2024, and 2023 was $64.5 million, $1.5 million, and $1.1 million, respectively. The total fair value at grant date of awards that vested was $8.5 million, $14.6 million, and $3.6 million during the years ended December 31, 2025, 2024, and 2023, respectively.</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Fair Value Assumptions</w:t>
      </w:r>
    </w:p>
    <w:p>
      <w:pPr>
        <w:spacing w:after="0" w:line="99" w:lineRule="exact"/>
        <w:rPr>
          <w:sz w:val="20"/>
          <w:szCs w:val="20"/>
          <w:color w:val="auto"/>
        </w:rPr>
      </w:pPr>
    </w:p>
    <w:p>
      <w:pPr>
        <w:ind w:left="640" w:right="719"/>
        <w:spacing w:after="0" w:line="261" w:lineRule="auto"/>
        <w:rPr>
          <w:sz w:val="20"/>
          <w:szCs w:val="20"/>
          <w:color w:val="auto"/>
        </w:rPr>
      </w:pPr>
      <w:r>
        <w:rPr>
          <w:rFonts w:ascii="Times New Roman" w:cs="Times New Roman" w:eastAsia="Times New Roman" w:hAnsi="Times New Roman"/>
          <w:sz w:val="14"/>
          <w:szCs w:val="14"/>
          <w:color w:val="auto"/>
        </w:rPr>
        <w:t>The Company estimates the fair value of options granted using the Black-Scholes-Merton model for Time-Based Options under the 2017 Stock Plan and 2024 Incentive Plan, and a Monte Carlo simulation for Performance Options granted under the 2017 Stock Plan. The assumptions used to calculate the fair value of options granted are evaluated and modified, as necessary, to reflect current market conditions and experience. The Company estimates the volatility of its common stock utilizing the historical re-levered volatility, re-levered to account for differences in leverage, of the Company and its peer-group. The peer-group utilized consisted of eight companies, in the same or similar industries as the Company. The risk-free rate is based on the U.S. Treasury yield curve in effect at the time of grant for the expected term of the option. The dividend yield was based on the expectation that no dividends will be paid. The Company has never paid cash dividends on its common stock and does not anticipate paying cash dividends in the foreseeable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123" w:name="page124"/>
    <w:bookmarkEnd w:id="12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659"/>
        <w:spacing w:after="0" w:line="268" w:lineRule="auto"/>
        <w:rPr>
          <w:sz w:val="20"/>
          <w:szCs w:val="20"/>
          <w:color w:val="auto"/>
        </w:rPr>
      </w:pPr>
      <w:r>
        <w:rPr>
          <w:rFonts w:ascii="Times New Roman" w:cs="Times New Roman" w:eastAsia="Times New Roman" w:hAnsi="Times New Roman"/>
          <w:sz w:val="14"/>
          <w:szCs w:val="14"/>
          <w:color w:val="auto"/>
        </w:rPr>
        <w:t>future. In 2025, 2024, and 2023, the Company used a Simplified Method to estimate the expected term for the Time-Based Options, which assumes that options will be exercised early at a uniform rate over the period between vesting and the end of the contractual term, as adequate historical experience is not available to provide a reasonable estimate. For the Tier I and II Performance Options, the Company used management estimates of the performance events that trigger vesting and subsequent exercising of the options.</w:t>
      </w:r>
    </w:p>
    <w:p>
      <w:pPr>
        <w:spacing w:after="0" w:line="140" w:lineRule="exact"/>
        <w:rPr>
          <w:sz w:val="20"/>
          <w:szCs w:val="20"/>
          <w:color w:val="auto"/>
        </w:rPr>
      </w:pPr>
    </w:p>
    <w:p>
      <w:pPr>
        <w:ind w:left="640" w:right="1099"/>
        <w:spacing w:after="0" w:line="292" w:lineRule="auto"/>
        <w:rPr>
          <w:sz w:val="20"/>
          <w:szCs w:val="20"/>
          <w:color w:val="auto"/>
        </w:rPr>
      </w:pPr>
      <w:r>
        <w:rPr>
          <w:rFonts w:ascii="Times New Roman" w:cs="Times New Roman" w:eastAsia="Times New Roman" w:hAnsi="Times New Roman"/>
          <w:sz w:val="14"/>
          <w:szCs w:val="14"/>
          <w:color w:val="auto"/>
        </w:rPr>
        <w:t>The following table summarizes the weighted average assumptions used to estimate the fair value of options granted during the periods presented:</w:t>
      </w:r>
    </w:p>
    <w:p>
      <w:pPr>
        <w:spacing w:after="0" w:line="126"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left="169"/>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left="69"/>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8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Expected volatility (range)</w:t>
            </w: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center"/>
              <w:ind w:right="13"/>
              <w:spacing w:after="0"/>
              <w:rPr>
                <w:sz w:val="20"/>
                <w:szCs w:val="20"/>
                <w:color w:val="auto"/>
              </w:rPr>
            </w:pPr>
            <w:r>
              <w:rPr>
                <w:rFonts w:ascii="Times New Roman" w:cs="Times New Roman" w:eastAsia="Times New Roman" w:hAnsi="Times New Roman"/>
                <w:sz w:val="14"/>
                <w:szCs w:val="14"/>
                <w:color w:val="auto"/>
              </w:rPr>
              <w:t>40.0 - 42.0%</w:t>
            </w:r>
          </w:p>
        </w:tc>
        <w:tc>
          <w:tcPr>
            <w:tcW w:w="940" w:type="dxa"/>
            <w:vAlign w:val="bottom"/>
            <w:gridSpan w:val="4"/>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43.8 - 52.5%</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35.0 - 50.0%</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Risk free interest rate (range)</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33"/>
              <w:spacing w:after="0"/>
              <w:rPr>
                <w:sz w:val="20"/>
                <w:szCs w:val="20"/>
                <w:color w:val="auto"/>
              </w:rPr>
            </w:pPr>
            <w:r>
              <w:rPr>
                <w:rFonts w:ascii="Times New Roman" w:cs="Times New Roman" w:eastAsia="Times New Roman" w:hAnsi="Times New Roman"/>
                <w:sz w:val="14"/>
                <w:szCs w:val="14"/>
                <w:color w:val="auto"/>
              </w:rPr>
              <w:t>3.6 - 4.1%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3.9 - 4.1%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4.2 - 5.5%</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Expected dividends</w:t>
            </w: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320" w:type="dxa"/>
            <w:vAlign w:val="bottom"/>
            <w:gridSpan w:val="3"/>
            <w:shd w:val="clear" w:color="auto" w:fill="CFF0FC"/>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Average expected term (years)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6.0</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rPr>
              <w:t>6.0</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0.5 - 7.5</w:t>
            </w:r>
          </w:p>
        </w:tc>
        <w:tc>
          <w:tcPr>
            <w:tcW w:w="8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4380" w:type="dxa"/>
            <w:vAlign w:val="bottom"/>
            <w:shd w:val="clear" w:color="auto" w:fill="CFF0FC"/>
          </w:tcPr>
          <w:p>
            <w:pPr>
              <w:spacing w:after="0" w:line="157" w:lineRule="exact"/>
              <w:rPr>
                <w:sz w:val="20"/>
                <w:szCs w:val="20"/>
                <w:color w:val="auto"/>
              </w:rPr>
            </w:pPr>
            <w:r>
              <w:rPr>
                <w:rFonts w:ascii="Times New Roman" w:cs="Times New Roman" w:eastAsia="Times New Roman" w:hAnsi="Times New Roman"/>
                <w:sz w:val="14"/>
                <w:szCs w:val="14"/>
                <w:color w:val="auto"/>
              </w:rPr>
              <w:t>Average fair value per share of time-based stock options based on the</w:t>
            </w:r>
          </w:p>
        </w:tc>
        <w:tc>
          <w:tcPr>
            <w:tcW w:w="380" w:type="dxa"/>
            <w:vAlign w:val="bottom"/>
            <w:gridSpan w:val="2"/>
            <w:shd w:val="clear" w:color="auto" w:fill="CFF0FC"/>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spacing w:after="0" w:line="157" w:lineRule="exact"/>
              <w:rPr>
                <w:sz w:val="20"/>
                <w:szCs w:val="20"/>
                <w:color w:val="auto"/>
              </w:rPr>
            </w:pPr>
            <w:r>
              <w:rPr>
                <w:rFonts w:ascii="Times New Roman" w:cs="Times New Roman" w:eastAsia="Times New Roman" w:hAnsi="Times New Roman"/>
                <w:sz w:val="14"/>
                <w:szCs w:val="14"/>
                <w:color w:val="auto"/>
              </w:rPr>
              <w:t>8.33</w:t>
            </w:r>
          </w:p>
        </w:tc>
        <w:tc>
          <w:tcPr>
            <w:tcW w:w="240" w:type="dxa"/>
            <w:vAlign w:val="bottom"/>
            <w:gridSpan w:val="2"/>
            <w:shd w:val="clear" w:color="auto" w:fill="CFF0FC"/>
          </w:tcPr>
          <w:p>
            <w:pPr>
              <w:jc w:val="right"/>
              <w:ind w:right="20"/>
              <w:spacing w:after="0" w:line="15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shd w:val="clear" w:color="auto" w:fill="CFF0FC"/>
          </w:tcPr>
          <w:p>
            <w:pPr>
              <w:jc w:val="right"/>
              <w:spacing w:after="0" w:line="157" w:lineRule="exact"/>
              <w:rPr>
                <w:sz w:val="20"/>
                <w:szCs w:val="20"/>
                <w:color w:val="auto"/>
              </w:rPr>
            </w:pPr>
            <w:r>
              <w:rPr>
                <w:rFonts w:ascii="Times New Roman" w:cs="Times New Roman" w:eastAsia="Times New Roman" w:hAnsi="Times New Roman"/>
                <w:sz w:val="14"/>
                <w:szCs w:val="14"/>
                <w:color w:val="auto"/>
              </w:rPr>
              <w:t>6.86</w:t>
            </w:r>
          </w:p>
        </w:tc>
        <w:tc>
          <w:tcPr>
            <w:tcW w:w="8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40"/>
              <w:spacing w:after="0" w:line="15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line="157" w:lineRule="exact"/>
              <w:rPr>
                <w:sz w:val="20"/>
                <w:szCs w:val="20"/>
                <w:color w:val="auto"/>
              </w:rPr>
            </w:pPr>
            <w:r>
              <w:rPr>
                <w:rFonts w:ascii="Times New Roman" w:cs="Times New Roman" w:eastAsia="Times New Roman" w:hAnsi="Times New Roman"/>
                <w:sz w:val="14"/>
                <w:szCs w:val="14"/>
                <w:color w:val="auto"/>
              </w:rPr>
              <w:t>9.69</w:t>
            </w:r>
          </w:p>
        </w:tc>
        <w:tc>
          <w:tcPr>
            <w:tcW w:w="80" w:type="dxa"/>
            <w:vAlign w:val="bottom"/>
            <w:shd w:val="clear" w:color="auto" w:fill="CFF0FC"/>
          </w:tcPr>
          <w:p>
            <w:pPr>
              <w:spacing w:after="0"/>
              <w:rPr>
                <w:sz w:val="13"/>
                <w:szCs w:val="13"/>
                <w:color w:val="auto"/>
              </w:rPr>
            </w:pPr>
          </w:p>
        </w:tc>
      </w:tr>
      <w:tr>
        <w:trPr>
          <w:trHeight w:val="187"/>
        </w:trPr>
        <w:tc>
          <w:tcPr>
            <w:tcW w:w="20" w:type="dxa"/>
            <w:vAlign w:val="bottom"/>
          </w:tcPr>
          <w:p>
            <w:pPr>
              <w:spacing w:after="0"/>
              <w:rPr>
                <w:sz w:val="16"/>
                <w:szCs w:val="16"/>
                <w:color w:val="auto"/>
              </w:rPr>
            </w:pPr>
          </w:p>
        </w:tc>
        <w:tc>
          <w:tcPr>
            <w:tcW w:w="4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Black-Scholes-Merton model (dollars)</w:t>
            </w:r>
          </w:p>
        </w:tc>
        <w:tc>
          <w:tcPr>
            <w:tcW w:w="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57"/>
        </w:trPr>
        <w:tc>
          <w:tcPr>
            <w:tcW w:w="20" w:type="dxa"/>
            <w:vAlign w:val="bottom"/>
          </w:tcPr>
          <w:p>
            <w:pPr>
              <w:spacing w:after="0"/>
              <w:rPr>
                <w:sz w:val="13"/>
                <w:szCs w:val="13"/>
                <w:color w:val="auto"/>
              </w:rPr>
            </w:pPr>
          </w:p>
        </w:tc>
        <w:tc>
          <w:tcPr>
            <w:tcW w:w="43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Average fair value per share of performance stock options based on the</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gridSpan w:val="3"/>
          </w:tcPr>
          <w:p>
            <w:pPr>
              <w:jc w:val="right"/>
              <w:ind w:right="23"/>
              <w:spacing w:after="0" w:line="157"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ind w:right="40"/>
              <w:spacing w:after="0" w:line="15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3.10</w:t>
            </w:r>
          </w:p>
        </w:tc>
        <w:tc>
          <w:tcPr>
            <w:tcW w:w="80" w:type="dxa"/>
            <w:vAlign w:val="bottom"/>
          </w:tcPr>
          <w:p>
            <w:pPr>
              <w:spacing w:after="0"/>
              <w:rPr>
                <w:sz w:val="13"/>
                <w:szCs w:val="13"/>
                <w:color w:val="auto"/>
              </w:rPr>
            </w:pPr>
          </w:p>
        </w:tc>
      </w:tr>
      <w:tr>
        <w:trPr>
          <w:trHeight w:val="186"/>
        </w:trPr>
        <w:tc>
          <w:tcPr>
            <w:tcW w:w="20" w:type="dxa"/>
            <w:vAlign w:val="bottom"/>
          </w:tcPr>
          <w:p>
            <w:pPr>
              <w:spacing w:after="0"/>
              <w:rPr>
                <w:sz w:val="16"/>
                <w:szCs w:val="16"/>
                <w:color w:val="auto"/>
              </w:rPr>
            </w:pPr>
          </w:p>
        </w:tc>
        <w:tc>
          <w:tcPr>
            <w:tcW w:w="4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Monte Carlo simulation (dollars)</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3"/>
        </w:trPr>
        <w:tc>
          <w:tcPr>
            <w:tcW w:w="20" w:type="dxa"/>
            <w:vAlign w:val="bottom"/>
          </w:tcPr>
          <w:p>
            <w:pPr>
              <w:spacing w:after="0"/>
              <w:rPr>
                <w:sz w:val="15"/>
                <w:szCs w:val="15"/>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Weighted average fair value of options granted (in millions)</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25.06</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8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80" w:type="dxa"/>
            <w:vAlign w:val="bottom"/>
            <w:shd w:val="clear" w:color="auto" w:fill="CFF0FC"/>
          </w:tcPr>
          <w:p>
            <w:pPr>
              <w:spacing w:after="0"/>
              <w:rPr>
                <w:sz w:val="15"/>
                <w:szCs w:val="15"/>
                <w:color w:val="auto"/>
              </w:rPr>
            </w:pPr>
          </w:p>
        </w:tc>
      </w:tr>
      <w:tr>
        <w:trPr>
          <w:trHeight w:val="429"/>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231F20"/>
              </w:rPr>
              <w:t>12. Property and Equipment, Net</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4"/>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and equipment, net is summarized as follows (in thousands):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1"/>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Borders>
              <w:bottom w:val="single" w:sz="8" w:color="auto"/>
            </w:tcBorders>
            <w:gridSpan w:val="4"/>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4"/>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0" w:type="dxa"/>
            <w:vAlign w:val="bottom"/>
          </w:tcPr>
          <w:p>
            <w:pPr>
              <w:spacing w:after="0"/>
              <w:rPr>
                <w:sz w:val="24"/>
                <w:szCs w:val="24"/>
                <w:color w:val="auto"/>
              </w:rPr>
            </w:pPr>
          </w:p>
        </w:tc>
      </w:tr>
      <w:tr>
        <w:trPr>
          <w:trHeight w:val="163"/>
        </w:trPr>
        <w:tc>
          <w:tcPr>
            <w:tcW w:w="20" w:type="dxa"/>
            <w:vAlign w:val="bottom"/>
          </w:tcPr>
          <w:p>
            <w:pPr>
              <w:spacing w:after="0"/>
              <w:rPr>
                <w:sz w:val="14"/>
                <w:szCs w:val="14"/>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Land and land improvements</w:t>
            </w: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2,120</w:t>
            </w:r>
          </w:p>
        </w:tc>
        <w:tc>
          <w:tcPr>
            <w:tcW w:w="320" w:type="dxa"/>
            <w:vAlign w:val="bottom"/>
            <w:gridSpan w:val="3"/>
            <w:shd w:val="clear" w:color="auto" w:fill="CFF0FC"/>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2,106</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Furniture and equipment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244,505</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201,364</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Software</w:t>
            </w: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234,445</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213,358</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Buildings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9,495</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8,806</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76,683</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65,432</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under finance lease (Note 13)</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39,640</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28,357</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Construction in progress</w:t>
            </w:r>
          </w:p>
        </w:tc>
        <w:tc>
          <w:tcPr>
            <w:tcW w:w="3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2,679</w:t>
            </w:r>
          </w:p>
        </w:tc>
        <w:tc>
          <w:tcPr>
            <w:tcW w:w="1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609,567</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520,462</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3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404,878</w:t>
            </w:r>
          </w:p>
        </w:tc>
        <w:tc>
          <w:tcPr>
            <w:tcW w:w="1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339,892</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7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204,689</w:t>
            </w:r>
          </w:p>
        </w:tc>
        <w:tc>
          <w:tcPr>
            <w:tcW w:w="32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180,570</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-360680</wp:posOffset>
            </wp:positionV>
            <wp:extent cx="47625" cy="69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-360680</wp:posOffset>
            </wp:positionV>
            <wp:extent cx="47625" cy="69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-135890</wp:posOffset>
            </wp:positionV>
            <wp:extent cx="47625" cy="69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659"/>
        <w:spacing w:after="0" w:line="274" w:lineRule="auto"/>
        <w:rPr>
          <w:sz w:val="20"/>
          <w:szCs w:val="20"/>
          <w:color w:val="auto"/>
        </w:rPr>
      </w:pPr>
      <w:r>
        <w:rPr>
          <w:rFonts w:ascii="Times New Roman" w:cs="Times New Roman" w:eastAsia="Times New Roman" w:hAnsi="Times New Roman"/>
          <w:sz w:val="14"/>
          <w:szCs w:val="14"/>
          <w:color w:val="231F20"/>
        </w:rPr>
        <w:t>Depreciation expense is recorded within cost of goods, cost of services, and selling, general, and administrative expenses within our consolidated statements of operations, depending on the nature of the underlying fixed assets. Depreciation expense was $71.8 million, $66.8 million and $57.3 million for the years ended December 31, 2025, 2024, and 2023, respectively.</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231F20"/>
        </w:rPr>
        <w:t>13. Lease Arrangements</w:t>
      </w:r>
    </w:p>
    <w:p>
      <w:pPr>
        <w:spacing w:after="0" w:line="185" w:lineRule="exact"/>
        <w:rPr>
          <w:sz w:val="20"/>
          <w:szCs w:val="20"/>
          <w:color w:val="auto"/>
        </w:rPr>
      </w:pPr>
    </w:p>
    <w:p>
      <w:pPr>
        <w:ind w:left="640" w:right="759"/>
        <w:spacing w:after="0" w:line="263" w:lineRule="auto"/>
        <w:rPr>
          <w:sz w:val="20"/>
          <w:szCs w:val="20"/>
          <w:color w:val="auto"/>
        </w:rPr>
      </w:pPr>
      <w:r>
        <w:rPr>
          <w:rFonts w:ascii="Times New Roman" w:cs="Times New Roman" w:eastAsia="Times New Roman" w:hAnsi="Times New Roman"/>
          <w:sz w:val="14"/>
          <w:szCs w:val="14"/>
          <w:color w:val="auto"/>
        </w:rPr>
        <w:t>The Company's population of leases includes provider and pharmacy locations, office space, and equipment, which have expiration dates through 2034. Real estate and office space leases generally contain renewal options for periods ranging from 3 to 10 years. The Company is not reasonably certain to exercise the renewal options on most provider real estate, office space, and equipment leases, and, as a result, these options are excluded from the determination of the lease term, and any potential payments related to such renewal periods are not included in the measurement of lease liabilities and right-of-use assets. Generally, for pharmacy real estate leases, the initial lease term is equivalent to the first term plus one renewal option.</w:t>
      </w:r>
    </w:p>
    <w:p>
      <w:pPr>
        <w:spacing w:after="0" w:line="58" w:lineRule="exact"/>
        <w:rPr>
          <w:sz w:val="20"/>
          <w:szCs w:val="20"/>
          <w:color w:val="auto"/>
        </w:rPr>
      </w:pPr>
    </w:p>
    <w:p>
      <w:pPr>
        <w:ind w:left="640" w:right="819"/>
        <w:spacing w:after="0" w:line="292" w:lineRule="auto"/>
        <w:rPr>
          <w:sz w:val="20"/>
          <w:szCs w:val="20"/>
          <w:color w:val="auto"/>
        </w:rPr>
      </w:pPr>
      <w:r>
        <w:rPr>
          <w:rFonts w:ascii="Times New Roman" w:cs="Times New Roman" w:eastAsia="Times New Roman" w:hAnsi="Times New Roman"/>
          <w:sz w:val="14"/>
          <w:szCs w:val="14"/>
          <w:color w:val="auto"/>
        </w:rPr>
        <w:t>Lease expense consists of operating and finance lease costs, short-term lease costs, and variable lease costs, which primarily include common area maintenance, real estate taxes, and insurance for the Company’s real estate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4" w:name="page125"/>
    <w:bookmarkEnd w:id="12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Lease expense is summarized as follows (in thousands):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9"/>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9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7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70"/>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9"/>
                <w:szCs w:val="9"/>
                <w:color w:val="auto"/>
              </w:rPr>
            </w:pPr>
          </w:p>
        </w:tc>
      </w:tr>
      <w:tr>
        <w:trPr>
          <w:trHeight w:val="163"/>
        </w:trPr>
        <w:tc>
          <w:tcPr>
            <w:tcW w:w="20" w:type="dxa"/>
            <w:vAlign w:val="bottom"/>
          </w:tcPr>
          <w:p>
            <w:pPr>
              <w:spacing w:after="0"/>
              <w:rPr>
                <w:sz w:val="14"/>
                <w:szCs w:val="14"/>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of right-of-use assets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3,906</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4,293</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3,356</w:t>
            </w: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2,254</w:t>
            </w:r>
          </w:p>
        </w:tc>
        <w:tc>
          <w:tcPr>
            <w:tcW w:w="10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Operating lease cost</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56,687</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55,110</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52,226</w:t>
            </w:r>
          </w:p>
        </w:tc>
        <w:tc>
          <w:tcPr>
            <w:tcW w:w="10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Short-term lease cost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4,952</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5,069</w:t>
            </w: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5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Variable lease cost</w:t>
            </w: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8,270</w:t>
            </w:r>
          </w:p>
        </w:tc>
        <w:tc>
          <w:tcPr>
            <w:tcW w:w="1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8,344</w:t>
            </w:r>
          </w:p>
        </w:tc>
        <w:tc>
          <w:tcPr>
            <w:tcW w:w="1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8,179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Total lease costs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75,757</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75,142</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71,084</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-135890</wp:posOffset>
            </wp:positionV>
            <wp:extent cx="47625" cy="69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-135890</wp:posOffset>
            </wp:positionV>
            <wp:extent cx="47625" cy="69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-135890</wp:posOffset>
            </wp:positionV>
            <wp:extent cx="54610" cy="698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Future minimum lease payments of our leases as of December 31, 2025 are as follows (in thousands):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5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Fiscal Year</w:t>
            </w:r>
          </w:p>
        </w:tc>
        <w:tc>
          <w:tcPr>
            <w:tcW w:w="10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Finance Lease Costs</w:t>
            </w:r>
          </w:p>
        </w:tc>
        <w:tc>
          <w:tcPr>
            <w:tcW w:w="180" w:type="dxa"/>
            <w:vAlign w:val="bottom"/>
          </w:tcPr>
          <w:p>
            <w:pPr>
              <w:spacing w:after="0"/>
              <w:rPr>
                <w:sz w:val="11"/>
                <w:szCs w:val="11"/>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Operating Lease Costs</w:t>
            </w:r>
          </w:p>
        </w:tc>
      </w:tr>
      <w:tr>
        <w:trPr>
          <w:trHeight w:val="163"/>
        </w:trPr>
        <w:tc>
          <w:tcPr>
            <w:tcW w:w="20" w:type="dxa"/>
            <w:vAlign w:val="bottom"/>
          </w:tcPr>
          <w:p>
            <w:pPr>
              <w:spacing w:after="0"/>
              <w:rPr>
                <w:sz w:val="14"/>
                <w:szCs w:val="14"/>
                <w:color w:val="auto"/>
              </w:rPr>
            </w:pPr>
          </w:p>
        </w:tc>
        <w:tc>
          <w:tcPr>
            <w:tcW w:w="5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jc w:val="right"/>
              <w:ind w:right="213"/>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7,833</w:t>
            </w:r>
          </w:p>
        </w:tc>
        <w:tc>
          <w:tcPr>
            <w:tcW w:w="180" w:type="dxa"/>
            <w:vAlign w:val="bottom"/>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jc w:val="right"/>
              <w:ind w:right="253"/>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53,793</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6,788</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49,308</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5,193</w:t>
            </w: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38,989</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2,825</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26,438</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2030</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18,491</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Thereafter</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22,491</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future minimum lease payments</w:t>
            </w:r>
          </w:p>
        </w:tc>
        <w:tc>
          <w:tcPr>
            <w:tcW w:w="460" w:type="dxa"/>
            <w:vAlign w:val="bottom"/>
            <w:gridSpan w:val="2"/>
            <w:shd w:val="clear" w:color="auto" w:fill="CFF0FC"/>
          </w:tcPr>
          <w:p>
            <w:pPr>
              <w:jc w:val="right"/>
              <w:ind w:right="213"/>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23,150</w:t>
            </w:r>
          </w:p>
        </w:tc>
        <w:tc>
          <w:tcPr>
            <w:tcW w:w="580" w:type="dxa"/>
            <w:vAlign w:val="bottom"/>
            <w:gridSpan w:val="2"/>
            <w:shd w:val="clear" w:color="auto" w:fill="CFF0FC"/>
          </w:tcPr>
          <w:p>
            <w:pPr>
              <w:jc w:val="right"/>
              <w:ind w:right="25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209,510</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Less: imputed interest</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1,812</w:t>
            </w: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31,154</w:t>
            </w:r>
          </w:p>
        </w:tc>
        <w:tc>
          <w:tcPr>
            <w:tcW w:w="8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present value of lease liabilities</w:t>
            </w: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13"/>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21,338</w:t>
            </w:r>
          </w:p>
        </w:tc>
        <w:tc>
          <w:tcPr>
            <w:tcW w:w="1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ind w:right="253"/>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178,356</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-19685</wp:posOffset>
            </wp:positionV>
            <wp:extent cx="47625" cy="698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-6350</wp:posOffset>
            </wp:positionV>
            <wp:extent cx="47625" cy="69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Supplemental Cash Flow &amp; Other Information</w:t>
      </w:r>
    </w:p>
    <w:p>
      <w:pPr>
        <w:spacing w:after="0" w:line="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Supplemental cash flow information related to leases are summarized as follows (dollars in thousands):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44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gridSpan w:val="7"/>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6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9"/>
        </w:trPr>
        <w:tc>
          <w:tcPr>
            <w:tcW w:w="44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7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7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90"/>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Pr>
          <w:p>
            <w:pPr>
              <w:spacing w:after="0"/>
              <w:rPr>
                <w:sz w:val="9"/>
                <w:szCs w:val="9"/>
                <w:color w:val="auto"/>
              </w:rPr>
            </w:pPr>
          </w:p>
        </w:tc>
      </w:tr>
      <w:tr>
        <w:trPr>
          <w:trHeight w:val="163"/>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72"/>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cash flows from finance leases</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(893)</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(2,443)</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(2,254)</w:t>
            </w:r>
          </w:p>
        </w:tc>
      </w:tr>
      <w:tr>
        <w:trPr>
          <w:trHeight w:val="172"/>
        </w:trPr>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Financing cash flows from finance leases</w:t>
            </w: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(4,624)</w:t>
            </w:r>
          </w:p>
        </w:tc>
        <w:tc>
          <w:tcPr>
            <w:tcW w:w="2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(4,220)</w:t>
            </w: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(4,082)</w:t>
            </w:r>
          </w:p>
        </w:tc>
      </w:tr>
      <w:tr>
        <w:trPr>
          <w:trHeight w:val="172"/>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2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(58,206)</w:t>
            </w:r>
          </w:p>
        </w:tc>
        <w:tc>
          <w:tcPr>
            <w:tcW w:w="2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(55,269)</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(51,621)</w:t>
            </w:r>
          </w:p>
        </w:tc>
      </w:tr>
      <w:tr>
        <w:trPr>
          <w:trHeight w:val="172"/>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Right-of-use assets obtained in exchange for new finance lease liabilities</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16,977</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3,171</w:t>
            </w: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3,726</w:t>
            </w:r>
          </w:p>
        </w:tc>
        <w:tc>
          <w:tcPr>
            <w:tcW w:w="140" w:type="dxa"/>
            <w:vAlign w:val="bottom"/>
            <w:shd w:val="clear" w:color="auto" w:fill="CFF0FC"/>
          </w:tcPr>
          <w:p>
            <w:pPr>
              <w:spacing w:after="0"/>
              <w:rPr>
                <w:sz w:val="14"/>
                <w:szCs w:val="14"/>
                <w:color w:val="auto"/>
              </w:rPr>
            </w:pPr>
          </w:p>
        </w:tc>
      </w:tr>
      <w:tr>
        <w:trPr>
          <w:trHeight w:val="172"/>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Right-of-use assets obtained in exchange for new operating lease liabilities</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57,097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38,718</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35,555</w:t>
            </w:r>
          </w:p>
        </w:tc>
        <w:tc>
          <w:tcPr>
            <w:tcW w:w="140" w:type="dxa"/>
            <w:vAlign w:val="bottom"/>
          </w:tcPr>
          <w:p>
            <w:pPr>
              <w:spacing w:after="0"/>
              <w:rPr>
                <w:sz w:val="14"/>
                <w:szCs w:val="14"/>
                <w:color w:val="auto"/>
              </w:rPr>
            </w:pPr>
          </w:p>
        </w:tc>
      </w:tr>
      <w:tr>
        <w:trPr>
          <w:trHeight w:val="172"/>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Weighted-average remaining lease term (in years):</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72"/>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Finance leases</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40" w:type="dxa"/>
            <w:vAlign w:val="bottom"/>
          </w:tcPr>
          <w:p>
            <w:pPr>
              <w:spacing w:after="0"/>
              <w:rPr>
                <w:sz w:val="14"/>
                <w:szCs w:val="14"/>
                <w:color w:val="auto"/>
              </w:rPr>
            </w:pPr>
          </w:p>
        </w:tc>
      </w:tr>
      <w:tr>
        <w:trPr>
          <w:trHeight w:val="172"/>
        </w:trPr>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Operating leases</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40" w:type="dxa"/>
            <w:vAlign w:val="bottom"/>
            <w:shd w:val="clear" w:color="auto" w:fill="CFF0FC"/>
          </w:tcPr>
          <w:p>
            <w:pPr>
              <w:spacing w:after="0"/>
              <w:rPr>
                <w:sz w:val="14"/>
                <w:szCs w:val="14"/>
                <w:color w:val="auto"/>
              </w:rPr>
            </w:pPr>
          </w:p>
        </w:tc>
      </w:tr>
      <w:tr>
        <w:trPr>
          <w:trHeight w:val="172"/>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2"/>
        </w:trPr>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Finance leases</w:t>
            </w: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6.7%</w:t>
            </w:r>
          </w:p>
        </w:tc>
        <w:tc>
          <w:tcPr>
            <w:tcW w:w="2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6.7%</w:t>
            </w: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7.2%</w:t>
            </w:r>
          </w:p>
        </w:tc>
      </w:tr>
      <w:tr>
        <w:trPr>
          <w:trHeight w:val="186"/>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leases</w:t>
            </w:r>
          </w:p>
        </w:tc>
        <w:tc>
          <w:tcPr>
            <w:tcW w:w="2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6.7%</w:t>
            </w:r>
          </w:p>
        </w:tc>
        <w:tc>
          <w:tcPr>
            <w:tcW w:w="20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6.8%</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7.1%</w:t>
            </w:r>
          </w:p>
        </w:tc>
      </w:tr>
    </w:tbl>
    <w:p>
      <w:pPr>
        <w:spacing w:after="0" w:line="3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14. Fair Value</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Assets and liabilities measured at fair value are based on one or more of the following three valuation techniques:</w:t>
      </w:r>
    </w:p>
    <w:p>
      <w:pPr>
        <w:spacing w:after="0" w:line="95" w:lineRule="exact"/>
        <w:rPr>
          <w:sz w:val="20"/>
          <w:szCs w:val="20"/>
          <w:color w:val="auto"/>
        </w:rPr>
      </w:pPr>
    </w:p>
    <w:p>
      <w:pPr>
        <w:ind w:left="1340" w:right="1279" w:hanging="352"/>
        <w:spacing w:after="0" w:line="295" w:lineRule="auto"/>
        <w:tabs>
          <w:tab w:leader="none" w:pos="1340" w:val="left"/>
        </w:tabs>
        <w:numPr>
          <w:ilvl w:val="0"/>
          <w:numId w:val="4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Market approach: </w:t>
      </w:r>
      <w:r>
        <w:rPr>
          <w:rFonts w:ascii="Times New Roman" w:cs="Times New Roman" w:eastAsia="Times New Roman" w:hAnsi="Times New Roman"/>
          <w:sz w:val="14"/>
          <w:szCs w:val="14"/>
          <w:color w:val="auto"/>
        </w:rPr>
        <w:t>Prices and other relevant information generated by market transactions involving identical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comparable assets or liabilities.</w:t>
      </w:r>
    </w:p>
    <w:p>
      <w:pPr>
        <w:spacing w:after="0" w:line="33" w:lineRule="exact"/>
        <w:rPr>
          <w:rFonts w:ascii="Times New Roman" w:cs="Times New Roman" w:eastAsia="Times New Roman" w:hAnsi="Times New Roman"/>
          <w:sz w:val="14"/>
          <w:szCs w:val="14"/>
          <w:i w:val="1"/>
          <w:iCs w:val="1"/>
          <w:color w:val="auto"/>
        </w:rPr>
      </w:pPr>
    </w:p>
    <w:p>
      <w:pPr>
        <w:ind w:left="1340" w:hanging="352"/>
        <w:spacing w:after="0"/>
        <w:tabs>
          <w:tab w:leader="none" w:pos="1340" w:val="left"/>
        </w:tabs>
        <w:numPr>
          <w:ilvl w:val="0"/>
          <w:numId w:val="4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Cost approach: </w:t>
      </w:r>
      <w:r>
        <w:rPr>
          <w:rFonts w:ascii="Times New Roman" w:cs="Times New Roman" w:eastAsia="Times New Roman" w:hAnsi="Times New Roman"/>
          <w:sz w:val="14"/>
          <w:szCs w:val="14"/>
          <w:color w:val="auto"/>
        </w:rPr>
        <w:t>Amount that would be required to replace the service capacity of an asset (replacement cost).</w:t>
      </w:r>
    </w:p>
    <w:p>
      <w:pPr>
        <w:spacing w:after="0" w:line="96" w:lineRule="exact"/>
        <w:rPr>
          <w:rFonts w:ascii="Times New Roman" w:cs="Times New Roman" w:eastAsia="Times New Roman" w:hAnsi="Times New Roman"/>
          <w:sz w:val="14"/>
          <w:szCs w:val="14"/>
          <w:i w:val="1"/>
          <w:iCs w:val="1"/>
          <w:color w:val="auto"/>
        </w:rPr>
      </w:pPr>
    </w:p>
    <w:p>
      <w:pPr>
        <w:ind w:left="1340" w:right="1019" w:hanging="352"/>
        <w:spacing w:after="0" w:line="295" w:lineRule="auto"/>
        <w:tabs>
          <w:tab w:leader="none" w:pos="1340" w:val="left"/>
        </w:tabs>
        <w:numPr>
          <w:ilvl w:val="0"/>
          <w:numId w:val="4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Income approach: </w:t>
      </w:r>
      <w:r>
        <w:rPr>
          <w:rFonts w:ascii="Times New Roman" w:cs="Times New Roman" w:eastAsia="Times New Roman" w:hAnsi="Times New Roman"/>
          <w:sz w:val="14"/>
          <w:szCs w:val="14"/>
          <w:color w:val="auto"/>
        </w:rPr>
        <w:t>Techniques to convert future amounts to a single present amount based upon market expectations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present value techniques, option-pricing, and excess earnings models).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5" w:name="page126"/>
    <w:bookmarkEnd w:id="12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Assets and Liabilities Measured at Fair Value on a Recurring Basis</w:t>
      </w:r>
    </w:p>
    <w:p>
      <w:pPr>
        <w:spacing w:after="0" w:line="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 financial assets or liabilities recorded at fair value on a recurring basis are set forth in the table below (in thousands):</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80" w:type="dxa"/>
            <w:vAlign w:val="bottom"/>
          </w:tcPr>
          <w:p>
            <w:pPr>
              <w:spacing w:after="0"/>
              <w:rPr>
                <w:sz w:val="11"/>
                <w:szCs w:val="11"/>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Valuation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940" w:type="dxa"/>
            <w:vAlign w:val="bottom"/>
            <w:tcBorders>
              <w:bottom w:val="single" w:sz="8" w:color="auto"/>
            </w:tcBorders>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Borders>
              <w:bottom w:val="single" w:sz="8" w:color="auto"/>
            </w:tcBorders>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Technique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Assets:</w:t>
            </w:r>
          </w:p>
        </w:tc>
        <w:tc>
          <w:tcPr>
            <w:tcW w:w="3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Interest rate swaps (Level 2)</w:t>
            </w: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10,633</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4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10,633</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720" w:type="dxa"/>
            <w:vAlign w:val="bottom"/>
            <w:tcBorders>
              <w:top w:val="single" w:sz="8" w:color="CFF0FC"/>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76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Liabilities:</w:t>
            </w:r>
          </w:p>
        </w:tc>
        <w:tc>
          <w:tcPr>
            <w:tcW w:w="3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Interest rate swaps (Level 2)</w:t>
            </w: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Contingent consideration (Level 3)</w:t>
            </w:r>
          </w:p>
        </w:tc>
        <w:tc>
          <w:tcPr>
            <w:tcW w:w="34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8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8,386</w:t>
            </w:r>
          </w:p>
        </w:tc>
        <w:tc>
          <w:tcPr>
            <w:tcW w:w="18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8,386</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4019550</wp:posOffset>
            </wp:positionH>
            <wp:positionV relativeFrom="paragraph">
              <wp:posOffset>-592455</wp:posOffset>
            </wp:positionV>
            <wp:extent cx="47625" cy="698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4019550</wp:posOffset>
            </wp:positionH>
            <wp:positionV relativeFrom="paragraph">
              <wp:posOffset>-579120</wp:posOffset>
            </wp:positionV>
            <wp:extent cx="47625" cy="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-592455</wp:posOffset>
            </wp:positionV>
            <wp:extent cx="47625" cy="69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-579120</wp:posOffset>
            </wp:positionV>
            <wp:extent cx="47625" cy="698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4019550</wp:posOffset>
            </wp:positionH>
            <wp:positionV relativeFrom="paragraph">
              <wp:posOffset>-135890</wp:posOffset>
            </wp:positionV>
            <wp:extent cx="47625" cy="698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-135890</wp:posOffset>
            </wp:positionV>
            <wp:extent cx="47625" cy="698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679"/>
        <w:spacing w:after="0" w:line="268" w:lineRule="auto"/>
        <w:rPr>
          <w:sz w:val="20"/>
          <w:szCs w:val="20"/>
          <w:color w:val="auto"/>
        </w:rPr>
      </w:pPr>
      <w:r>
        <w:rPr>
          <w:rFonts w:ascii="Times New Roman" w:cs="Times New Roman" w:eastAsia="Times New Roman" w:hAnsi="Times New Roman"/>
          <w:sz w:val="14"/>
          <w:szCs w:val="14"/>
          <w:color w:val="auto"/>
        </w:rPr>
        <w:t>The fair values of our interest rate swaps are based upon Level 2 inputs, which include valuation models. The key inputs for the valuation models are quoted market prices, interest rates, forward yield curves, and credit risk adjustments that are necessary to reflect the probability of default by the counterparty or us. For disclosures about the fair value measurements of our derivative instruments, refer to Note 6.</w:t>
      </w:r>
    </w:p>
    <w:p>
      <w:pPr>
        <w:spacing w:after="0" w:line="54" w:lineRule="exact"/>
        <w:rPr>
          <w:sz w:val="20"/>
          <w:szCs w:val="20"/>
          <w:color w:val="auto"/>
        </w:rPr>
      </w:pPr>
    </w:p>
    <w:p>
      <w:pPr>
        <w:ind w:left="640" w:right="719"/>
        <w:spacing w:after="0" w:line="274" w:lineRule="auto"/>
        <w:rPr>
          <w:sz w:val="20"/>
          <w:szCs w:val="20"/>
          <w:color w:val="auto"/>
        </w:rPr>
      </w:pPr>
      <w:r>
        <w:rPr>
          <w:rFonts w:ascii="Times New Roman" w:cs="Times New Roman" w:eastAsia="Times New Roman" w:hAnsi="Times New Roman"/>
          <w:sz w:val="14"/>
          <w:szCs w:val="14"/>
          <w:color w:val="auto"/>
        </w:rPr>
        <w:t>The contingent consideration represents future earn-outs and a post-closing equity adjustment feature, both associated with acquisitions, which are recognized as part of the purchase price at the estimated fair value on the acquisition date. These liabilities are classified as accrued expenses and long-term liabilities in our accompanying consolidated balance sheets.</w:t>
      </w:r>
    </w:p>
    <w:p>
      <w:pPr>
        <w:spacing w:after="0" w:line="50" w:lineRule="exact"/>
        <w:rPr>
          <w:sz w:val="20"/>
          <w:szCs w:val="20"/>
          <w:color w:val="auto"/>
        </w:rPr>
      </w:pPr>
    </w:p>
    <w:p>
      <w:pPr>
        <w:ind w:left="640" w:right="879"/>
        <w:spacing w:after="0" w:line="274" w:lineRule="auto"/>
        <w:rPr>
          <w:sz w:val="20"/>
          <w:szCs w:val="20"/>
          <w:color w:val="auto"/>
        </w:rPr>
      </w:pPr>
      <w:r>
        <w:rPr>
          <w:rFonts w:ascii="Times New Roman" w:cs="Times New Roman" w:eastAsia="Times New Roman" w:hAnsi="Times New Roman"/>
          <w:sz w:val="14"/>
          <w:szCs w:val="14"/>
          <w:color w:val="auto"/>
        </w:rPr>
        <w:t>The fair values of the liabilities associated with future earn outs were derived using the income approach with unobservable inputs, which included future earnings forecasts and present value assumptions, and there was little or no market data (Level 3). The Company will re-assess the fair values at each reporting period thereafter until settlement.</w:t>
      </w:r>
    </w:p>
    <w:p>
      <w:pPr>
        <w:spacing w:after="0" w:line="50" w:lineRule="exact"/>
        <w:rPr>
          <w:sz w:val="20"/>
          <w:szCs w:val="20"/>
          <w:color w:val="auto"/>
        </w:rPr>
      </w:pPr>
    </w:p>
    <w:p>
      <w:pPr>
        <w:ind w:left="640" w:right="659"/>
        <w:spacing w:after="0" w:line="261" w:lineRule="auto"/>
        <w:rPr>
          <w:sz w:val="20"/>
          <w:szCs w:val="20"/>
          <w:color w:val="auto"/>
        </w:rPr>
      </w:pPr>
      <w:r>
        <w:rPr>
          <w:rFonts w:ascii="Times New Roman" w:cs="Times New Roman" w:eastAsia="Times New Roman" w:hAnsi="Times New Roman"/>
          <w:sz w:val="14"/>
          <w:szCs w:val="14"/>
          <w:color w:val="auto"/>
        </w:rPr>
        <w:t>The preliminary fair value of the liability associated with the post-closing equity adjustment feature related to the Haven Hospice acquisition was derived with unobservable inputs using a Monte Carlo simulation, where the common stock price of the Company was evolved using a Geometric Brownian Motion over a period from the valuation date to the end of the fourth anniversary of closing. Estimated equity volatility was based on historical volatility, implied volatility, and peer group volatility over various periods. The Company will re-assess the fair value at each reporting period with changes in value being recorded through the consolidated statements of operations. The ultimate settlement of the liability will be through either issuance of additional equity shares and/or additional cash paid in the case of net realized losses on sales; or reduction of the outstanding balance of the seller note, in the case of net aggregate realized gain on sales up to the amounts previously paid.</w:t>
      </w:r>
    </w:p>
    <w:p>
      <w:pPr>
        <w:spacing w:after="0" w:line="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 following table summarizes the changes in fair value of the Company’s contingent consideration (in thousands):</w:t>
      </w:r>
    </w:p>
    <w:p>
      <w:pPr>
        <w:spacing w:after="0" w:line="197"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January 1, 2024</w:t>
            </w:r>
          </w:p>
        </w:tc>
        <w:tc>
          <w:tcPr>
            <w:tcW w:w="500" w:type="dxa"/>
            <w:vAlign w:val="bottom"/>
            <w:shd w:val="clear" w:color="auto" w:fill="CFF0FC"/>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5,331</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6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Additions of acquisition earn-out</w:t>
            </w:r>
          </w:p>
        </w:tc>
        <w:tc>
          <w:tcPr>
            <w:tcW w:w="5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6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Addition of post-closing equity adjustment feature</w:t>
            </w:r>
          </w:p>
        </w:tc>
        <w:tc>
          <w:tcPr>
            <w:tcW w:w="5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4,750</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6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Contingent consideration payments</w:t>
            </w:r>
          </w:p>
        </w:tc>
        <w:tc>
          <w:tcPr>
            <w:tcW w:w="50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(4,156)</w:t>
            </w:r>
          </w:p>
        </w:tc>
      </w:tr>
      <w:tr>
        <w:trPr>
          <w:trHeight w:val="172"/>
        </w:trPr>
        <w:tc>
          <w:tcPr>
            <w:tcW w:w="20" w:type="dxa"/>
            <w:vAlign w:val="bottom"/>
          </w:tcPr>
          <w:p>
            <w:pPr>
              <w:spacing w:after="0"/>
              <w:rPr>
                <w:sz w:val="14"/>
                <w:szCs w:val="14"/>
                <w:color w:val="auto"/>
              </w:rPr>
            </w:pPr>
          </w:p>
        </w:tc>
        <w:tc>
          <w:tcPr>
            <w:tcW w:w="63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Change in fair value</w:t>
            </w:r>
          </w:p>
        </w:tc>
        <w:tc>
          <w:tcPr>
            <w:tcW w:w="5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2,261</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5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8,386</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6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Adjustment to post-closing equity adjustment feature</w:t>
            </w:r>
          </w:p>
        </w:tc>
        <w:tc>
          <w:tcPr>
            <w:tcW w:w="5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(4,000)</w:t>
            </w:r>
          </w:p>
        </w:tc>
      </w:tr>
      <w:tr>
        <w:trPr>
          <w:trHeight w:val="172"/>
        </w:trPr>
        <w:tc>
          <w:tcPr>
            <w:tcW w:w="20" w:type="dxa"/>
            <w:vAlign w:val="bottom"/>
          </w:tcPr>
          <w:p>
            <w:pPr>
              <w:spacing w:after="0"/>
              <w:rPr>
                <w:sz w:val="14"/>
                <w:szCs w:val="14"/>
                <w:color w:val="auto"/>
              </w:rPr>
            </w:pPr>
          </w:p>
        </w:tc>
        <w:tc>
          <w:tcPr>
            <w:tcW w:w="6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Contingent consideration payments</w:t>
            </w:r>
          </w:p>
        </w:tc>
        <w:tc>
          <w:tcPr>
            <w:tcW w:w="50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(6,370)</w:t>
            </w:r>
          </w:p>
        </w:tc>
      </w:tr>
      <w:tr>
        <w:trPr>
          <w:trHeight w:val="172"/>
        </w:trPr>
        <w:tc>
          <w:tcPr>
            <w:tcW w:w="20" w:type="dxa"/>
            <w:vAlign w:val="bottom"/>
          </w:tcPr>
          <w:p>
            <w:pPr>
              <w:spacing w:after="0"/>
              <w:rPr>
                <w:sz w:val="14"/>
                <w:szCs w:val="14"/>
                <w:color w:val="auto"/>
              </w:rPr>
            </w:pPr>
          </w:p>
        </w:tc>
        <w:tc>
          <w:tcPr>
            <w:tcW w:w="63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Change in fair value</w:t>
            </w:r>
          </w:p>
        </w:tc>
        <w:tc>
          <w:tcPr>
            <w:tcW w:w="5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2,734</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5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5267325</wp:posOffset>
            </wp:positionH>
            <wp:positionV relativeFrom="paragraph">
              <wp:posOffset>-586105</wp:posOffset>
            </wp:positionV>
            <wp:extent cx="47625" cy="69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Assets Measured at Fair Value on a Non-Recurring Basis</w:t>
      </w:r>
    </w:p>
    <w:p>
      <w:pPr>
        <w:spacing w:after="0" w:line="99" w:lineRule="exact"/>
        <w:rPr>
          <w:sz w:val="20"/>
          <w:szCs w:val="20"/>
          <w:color w:val="auto"/>
        </w:rPr>
      </w:pPr>
    </w:p>
    <w:p>
      <w:pPr>
        <w:ind w:left="640" w:right="819"/>
        <w:spacing w:after="0" w:line="292" w:lineRule="auto"/>
        <w:rPr>
          <w:sz w:val="20"/>
          <w:szCs w:val="20"/>
          <w:color w:val="auto"/>
        </w:rPr>
      </w:pPr>
      <w:r>
        <w:rPr>
          <w:rFonts w:ascii="Times New Roman" w:cs="Times New Roman" w:eastAsia="Times New Roman" w:hAnsi="Times New Roman"/>
          <w:sz w:val="14"/>
          <w:szCs w:val="14"/>
          <w:color w:val="auto"/>
        </w:rPr>
        <w:t>The Company’s non-financial assets, such as goodwill and long-lived assets are adjusted to fair value when an impairment charge is recognized.</w:t>
      </w:r>
    </w:p>
    <w:p>
      <w:pPr>
        <w:spacing w:after="0" w:line="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During the years ended December 31, 2025 and 2024, we recorded no goodwill impairment.</w:t>
      </w:r>
    </w:p>
    <w:p>
      <w:pPr>
        <w:spacing w:after="0" w:line="97" w:lineRule="exact"/>
        <w:rPr>
          <w:sz w:val="20"/>
          <w:szCs w:val="20"/>
          <w:color w:val="auto"/>
        </w:rPr>
      </w:pPr>
    </w:p>
    <w:p>
      <w:pPr>
        <w:ind w:left="640" w:right="819"/>
        <w:spacing w:after="0" w:line="268" w:lineRule="auto"/>
        <w:rPr>
          <w:sz w:val="20"/>
          <w:szCs w:val="20"/>
          <w:color w:val="auto"/>
        </w:rPr>
      </w:pPr>
      <w:r>
        <w:rPr>
          <w:rFonts w:ascii="Times New Roman" w:cs="Times New Roman" w:eastAsia="Times New Roman" w:hAnsi="Times New Roman"/>
          <w:sz w:val="14"/>
          <w:szCs w:val="14"/>
          <w:color w:val="auto"/>
        </w:rPr>
        <w:t>Long-lived assets include operating lease assets and definite-lived intangible assets. During the years ended December 31, 2025 and 2024, we concluded that sufficient indicators existed to require us to perform recoverability tests by comparing the sum of the estimated undiscounted future cash flows attributable to the assets to their carrying values. Approximately $12.6 million and $4.0 million of impairment charges related to definite-lived intangible assets and operating lease right-of-use assets were recorded in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6" w:name="page127"/>
    <w:bookmarkEnd w:id="12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839"/>
        <w:spacing w:after="0" w:line="265" w:lineRule="auto"/>
        <w:rPr>
          <w:sz w:val="20"/>
          <w:szCs w:val="20"/>
          <w:color w:val="auto"/>
        </w:rPr>
      </w:pPr>
      <w:r>
        <w:rPr>
          <w:rFonts w:ascii="Times New Roman" w:cs="Times New Roman" w:eastAsia="Times New Roman" w:hAnsi="Times New Roman"/>
          <w:sz w:val="14"/>
          <w:szCs w:val="14"/>
          <w:color w:val="auto"/>
        </w:rPr>
        <w:t>continuing operations for the years ended December 31, 2025 and 2024, respectively. The fair value of these assets at the time of impairment was determined to be zero. To determine fair value, we used the income approach, which assumes that the future cash flows reflect current market expectations. These fair value measurements require significant judgment using Level 3 inputs, such as discounted cash flows from operations, which are not observable from the market, directly or indirectly. There is uncertainty in the projected future cash flows used in the Company’s impairment analysis, which requires the use of estimates and assumptions.</w:t>
      </w:r>
    </w:p>
    <w:p>
      <w:pPr>
        <w:spacing w:after="0" w:line="56" w:lineRule="exact"/>
        <w:rPr>
          <w:sz w:val="20"/>
          <w:szCs w:val="20"/>
          <w:color w:val="auto"/>
        </w:rPr>
      </w:pPr>
    </w:p>
    <w:p>
      <w:pPr>
        <w:ind w:left="640" w:right="1179"/>
        <w:spacing w:after="0" w:line="292" w:lineRule="auto"/>
        <w:rPr>
          <w:sz w:val="20"/>
          <w:szCs w:val="20"/>
          <w:color w:val="auto"/>
        </w:rPr>
      </w:pPr>
      <w:r>
        <w:rPr>
          <w:rFonts w:ascii="Times New Roman" w:cs="Times New Roman" w:eastAsia="Times New Roman" w:hAnsi="Times New Roman"/>
          <w:sz w:val="14"/>
          <w:szCs w:val="14"/>
          <w:color w:val="auto"/>
        </w:rPr>
        <w:t>If actual performance does not achieve the projections, or if the assumptions used change in the future, we may be required to recognize impairment charges in future periods.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15. Commitments and Contingencies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Legal Proceedings</w:t>
      </w:r>
    </w:p>
    <w:p>
      <w:pPr>
        <w:spacing w:after="0" w:line="99" w:lineRule="exact"/>
        <w:rPr>
          <w:sz w:val="20"/>
          <w:szCs w:val="20"/>
          <w:color w:val="auto"/>
        </w:rPr>
      </w:pPr>
    </w:p>
    <w:p>
      <w:pPr>
        <w:ind w:left="640" w:right="679"/>
        <w:spacing w:after="0" w:line="260" w:lineRule="auto"/>
        <w:rPr>
          <w:sz w:val="20"/>
          <w:szCs w:val="20"/>
          <w:color w:val="auto"/>
        </w:rPr>
      </w:pPr>
      <w:r>
        <w:rPr>
          <w:rFonts w:ascii="Times New Roman" w:cs="Times New Roman" w:eastAsia="Times New Roman" w:hAnsi="Times New Roman"/>
          <w:sz w:val="14"/>
          <w:szCs w:val="14"/>
          <w:color w:val="auto"/>
        </w:rPr>
        <w:t>On March 4, 2011, Relator Marc Silver, on behalf of the U.S. Government and various state governments, filed a complaint in the United States District Court for the District of New Jersey (“the District Court”) against PharMerica, seeking relief, with respect to alleged violations of the federal False Claims Act and state false claims acts, including three times the amount of damages to the federal government plus civil penalties and no less than a certain amount for each alleged false claim, as well as any other recoveries or relief provided for by the federal False Claims Act; damages, fines, penalties, and other recoveries or relief permitted under state false claims acts; and other forms of relief, including attorneys’ fees. The complaint alleged that, in violation of the Anti-Kickback Statute and the False Claims Act, PharMerica offered below-cost or below-fair-market-value prices on drugs in exchange for so-called preferred or exclusive provider status that would allow PharMerica to dispense drugs to patients for which PharMerica could bill federal health care program payers. The U.S. Government and state governments declined to intervene in the case.</w:t>
      </w:r>
    </w:p>
    <w:p>
      <w:pPr>
        <w:spacing w:after="0" w:line="63" w:lineRule="exact"/>
        <w:rPr>
          <w:sz w:val="20"/>
          <w:szCs w:val="20"/>
          <w:color w:val="auto"/>
        </w:rPr>
      </w:pPr>
    </w:p>
    <w:p>
      <w:pPr>
        <w:ind w:left="640" w:right="679"/>
        <w:spacing w:after="0" w:line="260" w:lineRule="auto"/>
        <w:rPr>
          <w:sz w:val="20"/>
          <w:szCs w:val="20"/>
          <w:color w:val="auto"/>
        </w:rPr>
      </w:pPr>
      <w:r>
        <w:rPr>
          <w:rFonts w:ascii="Times New Roman" w:cs="Times New Roman" w:eastAsia="Times New Roman" w:hAnsi="Times New Roman"/>
          <w:sz w:val="14"/>
          <w:szCs w:val="14"/>
          <w:color w:val="auto"/>
        </w:rPr>
        <w:t>The District Court issued an order dismissing the case in full in 2016. In 2018, however, the Third Circuit Court of Appeals issued an order reinstating the case. In April 2023, the District Court issued an order denying Relator’s motion seeking to strike portions of the opinions of PharMerica’s experts and granted in part PharMerica’s motions to exclude Relator’s experts. On June 28, 2023, the District Court issued an order setting a trial date of December 4, 2023. On November 6, 2023, the District Court denied our motion for summary judgment. On November 18, 2023, the Company agreed to settle the matter without admitting liability. On May 29, 2024, the parties entered into a final settlement agreement, which was approved by both the United States Department of Justice and the District Court. The total financial impact of the settlement was $120.0 million; $110.0 million was paid during the year ended December 31, 2024, and the remaining $10.0 million was paid during the year ended December 31, 2025. The District Court entered an order dismissing the Silver action in its entirety, with prejudice, on July 3, 2024.</w:t>
      </w:r>
    </w:p>
    <w:p>
      <w:pPr>
        <w:spacing w:after="0" w:line="63" w:lineRule="exact"/>
        <w:rPr>
          <w:sz w:val="20"/>
          <w:szCs w:val="20"/>
          <w:color w:val="auto"/>
        </w:rPr>
      </w:pPr>
    </w:p>
    <w:p>
      <w:pPr>
        <w:ind w:left="640" w:right="699"/>
        <w:spacing w:after="0" w:line="261" w:lineRule="auto"/>
        <w:rPr>
          <w:sz w:val="20"/>
          <w:szCs w:val="20"/>
          <w:color w:val="auto"/>
        </w:rPr>
      </w:pPr>
      <w:r>
        <w:rPr>
          <w:rFonts w:ascii="Times New Roman" w:cs="Times New Roman" w:eastAsia="Times New Roman" w:hAnsi="Times New Roman"/>
          <w:sz w:val="14"/>
          <w:szCs w:val="14"/>
          <w:color w:val="auto"/>
        </w:rPr>
        <w:t>The Company is also party to various legal and/or administrative proceedings arising out of the operation of our programs and arising in the ordinary course of business. We record accruals for such contingencies to the extent that we conclude it is probable that a liability has been incurred and the amount of the loss can be reasonably estimated. We do not believe the ultimate liability, if any, for outstanding proceedings or claims, individually or in the aggregate, in excess of amounts already provided, will have a material adverse effect on our consolidated financial condition, results of operations, or cash flows. It is reasonably possible that an adverse determination might have an impact on a particular period. While we believe our provision for legal contingencies is adequate, the outcome of legal proceedings is difficult to predict, and we may settle legal claims or be subject to judgments for amounts that exceed our estimates.</w:t>
      </w:r>
    </w:p>
    <w:p>
      <w:pPr>
        <w:spacing w:after="0" w:line="3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16. Related Party Transactions</w:t>
      </w:r>
    </w:p>
    <w:p>
      <w:pPr>
        <w:spacing w:after="0" w:line="185" w:lineRule="exact"/>
        <w:rPr>
          <w:sz w:val="20"/>
          <w:szCs w:val="20"/>
          <w:color w:val="auto"/>
        </w:rPr>
      </w:pPr>
    </w:p>
    <w:p>
      <w:pPr>
        <w:jc w:val="both"/>
        <w:ind w:left="640" w:right="959"/>
        <w:spacing w:after="0" w:line="274" w:lineRule="auto"/>
        <w:rPr>
          <w:sz w:val="20"/>
          <w:szCs w:val="20"/>
          <w:color w:val="auto"/>
        </w:rPr>
      </w:pPr>
      <w:r>
        <w:rPr>
          <w:rFonts w:ascii="Times New Roman" w:cs="Times New Roman" w:eastAsia="Times New Roman" w:hAnsi="Times New Roman"/>
          <w:sz w:val="14"/>
          <w:szCs w:val="14"/>
          <w:color w:val="auto"/>
        </w:rPr>
        <w:t>The Company was party to a Monitoring Agreement with KKR and WBA, which required payment of an aggregate advisory fee equivalent to 1% of consolidated EBITDA, payable in quarterly installments in arrears at the end of each quarter. The Monitoring Agreement terminated upon the completion of the IPO Offerings in January 2024.</w:t>
      </w:r>
    </w:p>
    <w:p>
      <w:pPr>
        <w:spacing w:after="0" w:line="136" w:lineRule="exact"/>
        <w:rPr>
          <w:sz w:val="20"/>
          <w:szCs w:val="20"/>
          <w:color w:val="auto"/>
        </w:rPr>
      </w:pPr>
    </w:p>
    <w:p>
      <w:pPr>
        <w:ind w:left="640" w:right="819"/>
        <w:spacing w:after="0" w:line="274" w:lineRule="auto"/>
        <w:rPr>
          <w:sz w:val="20"/>
          <w:szCs w:val="20"/>
          <w:color w:val="auto"/>
        </w:rPr>
      </w:pPr>
      <w:r>
        <w:rPr>
          <w:rFonts w:ascii="Times New Roman" w:cs="Times New Roman" w:eastAsia="Times New Roman" w:hAnsi="Times New Roman"/>
          <w:sz w:val="14"/>
          <w:szCs w:val="14"/>
          <w:color w:val="auto"/>
        </w:rPr>
        <w:t>Prior to the termination of the Monitoring Agreement, the Company recognized $0.7 million in monitoring and advisory fees during the first fiscal quarter of 2024 as a component of selling, general, and administrative expenses in our accompanying consolidated statements of operations compared to $5.6 million for the year ended December 31, 2023.</w:t>
      </w:r>
    </w:p>
    <w:p>
      <w:pPr>
        <w:spacing w:after="0" w:line="50" w:lineRule="exact"/>
        <w:rPr>
          <w:sz w:val="20"/>
          <w:szCs w:val="20"/>
          <w:color w:val="auto"/>
        </w:rPr>
      </w:pPr>
    </w:p>
    <w:p>
      <w:pPr>
        <w:ind w:left="640" w:right="699"/>
        <w:spacing w:after="0" w:line="274" w:lineRule="auto"/>
        <w:rPr>
          <w:sz w:val="20"/>
          <w:szCs w:val="20"/>
          <w:color w:val="auto"/>
        </w:rPr>
      </w:pPr>
      <w:r>
        <w:rPr>
          <w:rFonts w:ascii="Times New Roman" w:cs="Times New Roman" w:eastAsia="Times New Roman" w:hAnsi="Times New Roman"/>
          <w:sz w:val="14"/>
          <w:szCs w:val="14"/>
          <w:color w:val="auto"/>
        </w:rPr>
        <w:t>As a result of the termination of the Monitoring Agreement and in accordance with the agreement, the Company paid $22.7 million in termination fees to KKR and WBA. The termination fees were recognized in the first fiscal quarter of 2024 as selling, general, and administrative expense in our consolidated statement of operations.</w:t>
      </w:r>
    </w:p>
    <w:p>
      <w:pPr>
        <w:spacing w:after="0" w:line="136" w:lineRule="exact"/>
        <w:rPr>
          <w:sz w:val="20"/>
          <w:szCs w:val="20"/>
          <w:color w:val="auto"/>
        </w:rPr>
      </w:pPr>
    </w:p>
    <w:p>
      <w:pPr>
        <w:ind w:left="640" w:right="659"/>
        <w:spacing w:after="0" w:line="274" w:lineRule="auto"/>
        <w:rPr>
          <w:sz w:val="20"/>
          <w:szCs w:val="20"/>
          <w:color w:val="auto"/>
        </w:rPr>
      </w:pPr>
      <w:r>
        <w:rPr>
          <w:rFonts w:ascii="Times New Roman" w:cs="Times New Roman" w:eastAsia="Times New Roman" w:hAnsi="Times New Roman"/>
          <w:sz w:val="14"/>
          <w:szCs w:val="14"/>
          <w:color w:val="auto"/>
        </w:rPr>
        <w:t>KKR Capital Markets LLC (“KCM”), a wholly owned subsidiary of KKR, acted as an underwriter in the IPO Offerings during the first fiscal quarter of 2024 and received $7.4 million in underwriting discounts and commission. In connection with debt refinancing in 2024 and the Revolver upsize in 2023, the Company paid underwriter, arranger, and transaction fees to KCM of $3.7</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7" w:name="page128"/>
    <w:bookmarkEnd w:id="12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40" w:right="899" w:firstLine="36"/>
        <w:spacing w:after="0" w:line="274" w:lineRule="auto"/>
        <w:rPr>
          <w:sz w:val="20"/>
          <w:szCs w:val="20"/>
          <w:color w:val="auto"/>
        </w:rPr>
      </w:pPr>
      <w:r>
        <w:rPr>
          <w:rFonts w:ascii="Times New Roman" w:cs="Times New Roman" w:eastAsia="Times New Roman" w:hAnsi="Times New Roman"/>
          <w:sz w:val="14"/>
          <w:szCs w:val="14"/>
          <w:color w:val="auto"/>
        </w:rPr>
        <w:t>million and $2.4 million, respectively. These fees are included within selling, general, and administrative expenses in our consolidated statement of operations for the years ended December 31, 2024 and 2023. There were no similar fees paid to KCM in 2025.</w:t>
      </w:r>
    </w:p>
    <w:p>
      <w:pPr>
        <w:spacing w:after="0" w:line="50" w:lineRule="exact"/>
        <w:rPr>
          <w:sz w:val="20"/>
          <w:szCs w:val="20"/>
          <w:color w:val="auto"/>
        </w:rPr>
      </w:pPr>
    </w:p>
    <w:p>
      <w:pPr>
        <w:jc w:val="both"/>
        <w:ind w:left="640" w:right="899"/>
        <w:spacing w:after="0" w:line="292" w:lineRule="auto"/>
        <w:rPr>
          <w:sz w:val="20"/>
          <w:szCs w:val="20"/>
          <w:color w:val="auto"/>
        </w:rPr>
      </w:pPr>
      <w:r>
        <w:rPr>
          <w:rFonts w:ascii="Times New Roman" w:cs="Times New Roman" w:eastAsia="Times New Roman" w:hAnsi="Times New Roman"/>
          <w:sz w:val="14"/>
          <w:szCs w:val="14"/>
          <w:color w:val="auto"/>
        </w:rPr>
        <w:t>KKR has ownership interests in a broad range of portfolio companies, and we may enter into commercial transactions for goods or services in the ordinary course of business with these companies. We do not believe such transactions are material to our business.</w:t>
      </w:r>
    </w:p>
    <w:p>
      <w:pPr>
        <w:spacing w:after="0" w:line="38" w:lineRule="exact"/>
        <w:rPr>
          <w:sz w:val="20"/>
          <w:szCs w:val="20"/>
          <w:color w:val="auto"/>
        </w:rPr>
      </w:pPr>
    </w:p>
    <w:p>
      <w:pPr>
        <w:ind w:left="640" w:right="879"/>
        <w:spacing w:after="0" w:line="268" w:lineRule="auto"/>
        <w:rPr>
          <w:sz w:val="20"/>
          <w:szCs w:val="20"/>
          <w:color w:val="auto"/>
        </w:rPr>
      </w:pPr>
      <w:r>
        <w:rPr>
          <w:rFonts w:ascii="Times New Roman" w:cs="Times New Roman" w:eastAsia="Times New Roman" w:hAnsi="Times New Roman"/>
          <w:sz w:val="14"/>
          <w:szCs w:val="14"/>
          <w:color w:val="auto"/>
        </w:rPr>
        <w:t>The Company had agreements with WBA and/or certain of its affiliates under which the Company purchases significant volume of inventory, including a Joinder Agreement to the Pharmaceutical Purchase and Distribution Agreement (the “WBAD Membership Agreement”) between WBA and AmeriSourceBergen Drug Corporation (“ABDC”). The WBAD Membership Agreement was terminated in the first fiscal quarter of 2025, and we entered into a separate agreement with ABDC on February 1, 2025.</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231F20"/>
        </w:rPr>
        <w:t>17. Segment Information</w:t>
      </w:r>
    </w:p>
    <w:p>
      <w:pPr>
        <w:spacing w:after="0" w:line="99" w:lineRule="exact"/>
        <w:rPr>
          <w:sz w:val="20"/>
          <w:szCs w:val="20"/>
          <w:color w:val="auto"/>
        </w:rPr>
      </w:pPr>
    </w:p>
    <w:p>
      <w:pPr>
        <w:ind w:left="640" w:right="779"/>
        <w:spacing w:after="0" w:line="265" w:lineRule="auto"/>
        <w:rPr>
          <w:sz w:val="20"/>
          <w:szCs w:val="20"/>
          <w:color w:val="auto"/>
        </w:rPr>
      </w:pPr>
      <w:r>
        <w:rPr>
          <w:rFonts w:ascii="Times New Roman" w:cs="Times New Roman" w:eastAsia="Times New Roman" w:hAnsi="Times New Roman"/>
          <w:sz w:val="14"/>
          <w:szCs w:val="14"/>
          <w:color w:val="231F20"/>
        </w:rPr>
        <w:t>The Company's CODM is its Chief Executive Officer, who evaluates the performance of our segments and allocates resources based on segment EBITDA. Segment EBITDA is used as the key profitability measure when we set our annual operating plan for each segment, is the metric with which our CODM assesses segment results, and is a key component of our annual variable compensation plans. Segment EBITDA is commonly used as an analytical indicator within the health care industry and is utilized in the evaluation of segment operating performance as it is a profit measure that is generally within the control of the operating segments.</w:t>
      </w:r>
    </w:p>
    <w:p>
      <w:pPr>
        <w:spacing w:after="0" w:line="56" w:lineRule="exact"/>
        <w:rPr>
          <w:sz w:val="20"/>
          <w:szCs w:val="20"/>
          <w:color w:val="auto"/>
        </w:rPr>
      </w:pPr>
    </w:p>
    <w:p>
      <w:pPr>
        <w:jc w:val="both"/>
        <w:ind w:left="640" w:right="739"/>
        <w:spacing w:after="0" w:line="274" w:lineRule="auto"/>
        <w:rPr>
          <w:sz w:val="20"/>
          <w:szCs w:val="20"/>
          <w:color w:val="auto"/>
        </w:rPr>
      </w:pPr>
      <w:r>
        <w:rPr>
          <w:rFonts w:ascii="Times New Roman" w:cs="Times New Roman" w:eastAsia="Times New Roman" w:hAnsi="Times New Roman"/>
          <w:sz w:val="14"/>
          <w:szCs w:val="14"/>
          <w:color w:val="231F20"/>
        </w:rPr>
        <w:t>For all segments, the CODM uses segment EBITDA in the annual budgeting and monthly forecasting process. The CODM considers actual-to budget and actual-to current forecast variances for segment EBITDA on a monthly basis for evaluating performance of each segment and making decisions about allocating capital and other resources to each segment.</w:t>
      </w:r>
    </w:p>
    <w:p>
      <w:pPr>
        <w:spacing w:after="0" w:line="50" w:lineRule="exact"/>
        <w:rPr>
          <w:sz w:val="20"/>
          <w:szCs w:val="20"/>
          <w:color w:val="auto"/>
        </w:rPr>
      </w:pPr>
    </w:p>
    <w:p>
      <w:pPr>
        <w:ind w:left="640" w:right="919"/>
        <w:spacing w:after="0" w:line="268" w:lineRule="auto"/>
        <w:rPr>
          <w:sz w:val="20"/>
          <w:szCs w:val="20"/>
          <w:color w:val="auto"/>
        </w:rPr>
      </w:pPr>
      <w:r>
        <w:rPr>
          <w:rFonts w:ascii="Times New Roman" w:cs="Times New Roman" w:eastAsia="Times New Roman" w:hAnsi="Times New Roman"/>
          <w:sz w:val="14"/>
          <w:szCs w:val="14"/>
          <w:color w:val="231F20"/>
        </w:rPr>
        <w:t>Segment amounts exclude certain expenses not specifically identifiable to the segments for functions performed in a centralized manner, which include accounting, finance, human resources, legal, information technology, corporate office support, and overall corporate management. Segment assets and capital expenditures are not provided to the Company’s CODM and, therefore, are not disclosed.</w:t>
      </w:r>
    </w:p>
    <w:p>
      <w:pPr>
        <w:spacing w:after="0" w:line="54" w:lineRule="exact"/>
        <w:rPr>
          <w:sz w:val="20"/>
          <w:szCs w:val="20"/>
          <w:color w:val="auto"/>
        </w:rPr>
      </w:pPr>
    </w:p>
    <w:p>
      <w:pPr>
        <w:ind w:left="640" w:right="779"/>
        <w:spacing w:after="0" w:line="292" w:lineRule="auto"/>
        <w:rPr>
          <w:sz w:val="20"/>
          <w:szCs w:val="20"/>
          <w:color w:val="auto"/>
        </w:rPr>
      </w:pPr>
      <w:r>
        <w:rPr>
          <w:rFonts w:ascii="Times New Roman" w:cs="Times New Roman" w:eastAsia="Times New Roman" w:hAnsi="Times New Roman"/>
          <w:sz w:val="14"/>
          <w:szCs w:val="14"/>
          <w:color w:val="231F20"/>
        </w:rPr>
        <w:t>The following tables set forth information about the Company’s reportable segments, along with the items necessary to reconcile the segment information to the totals reported in the Company’s consolidated statements of operations as follows (in thousands):</w:t>
      </w:r>
    </w:p>
    <w:p>
      <w:pPr>
        <w:spacing w:after="0" w:line="162"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5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940" w:type="dxa"/>
            <w:vAlign w:val="bottom"/>
            <w:tcBorders>
              <w:bottom w:val="single" w:sz="8" w:color="auto"/>
            </w:tcBorders>
            <w:gridSpan w:val="9"/>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For the Year Ended December 31, 2025</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52"/>
        </w:trPr>
        <w:tc>
          <w:tcPr>
            <w:tcW w:w="5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Total Segments</w:t>
            </w:r>
          </w:p>
        </w:tc>
        <w:tc>
          <w:tcPr>
            <w:tcW w:w="600" w:type="dxa"/>
            <w:vAlign w:val="bottom"/>
            <w:gridSpan w:val="2"/>
          </w:tcPr>
          <w:p>
            <w:pPr>
              <w:spacing w:after="0"/>
              <w:rPr>
                <w:sz w:val="13"/>
                <w:szCs w:val="13"/>
                <w:color w:val="auto"/>
              </w:rPr>
            </w:pPr>
          </w:p>
        </w:tc>
      </w:tr>
      <w:tr>
        <w:trPr>
          <w:trHeight w:val="163"/>
        </w:trPr>
        <w:tc>
          <w:tcPr>
            <w:tcW w:w="520" w:type="dxa"/>
            <w:vAlign w:val="bottom"/>
          </w:tcPr>
          <w:p>
            <w:pPr>
              <w:spacing w:after="0"/>
              <w:rPr>
                <w:sz w:val="14"/>
                <w:szCs w:val="14"/>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Product revenue</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11,445,777</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11,445,777</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Service revenue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1,464,787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1,464,787</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drugs</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9,782,109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9,782,109</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885,356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885,356</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62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 xml:space="preserve">Other direct costs </w:t>
            </w:r>
            <w:r>
              <w:rPr>
                <w:rFonts w:ascii="Times New Roman" w:cs="Times New Roman" w:eastAsia="Times New Roman" w:hAnsi="Times New Roman"/>
                <w:sz w:val="19"/>
                <w:szCs w:val="19"/>
                <w:color w:val="auto"/>
                <w:vertAlign w:val="superscript"/>
              </w:rPr>
              <w:t>(1)</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725,322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725,322</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620" w:type="dxa"/>
            <w:vAlign w:val="bottom"/>
          </w:tcPr>
          <w:p>
            <w:pPr>
              <w:spacing w:after="0" w:line="172" w:lineRule="exact"/>
              <w:rPr>
                <w:sz w:val="20"/>
                <w:szCs w:val="20"/>
                <w:color w:val="auto"/>
              </w:rPr>
            </w:pPr>
            <w:r>
              <w:rPr>
                <w:rFonts w:ascii="Times New Roman" w:cs="Times New Roman" w:eastAsia="Times New Roman" w:hAnsi="Times New Roman"/>
                <w:sz w:val="14"/>
                <w:szCs w:val="14"/>
                <w:color w:val="auto"/>
              </w:rPr>
              <w:t xml:space="preserve">Segment selling, general, and administrative expenses </w:t>
            </w:r>
            <w:r>
              <w:rPr>
                <w:rFonts w:ascii="Times New Roman" w:cs="Times New Roman" w:eastAsia="Times New Roman" w:hAnsi="Times New Roman"/>
                <w:sz w:val="19"/>
                <w:szCs w:val="19"/>
                <w:color w:val="auto"/>
                <w:vertAlign w:val="superscript"/>
              </w:rPr>
              <w:t>(2)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502,042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374,256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876,298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62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 xml:space="preserve">Segment depreciation and amortization expense </w:t>
            </w:r>
            <w:r>
              <w:rPr>
                <w:rFonts w:ascii="Times New Roman" w:cs="Times New Roman" w:eastAsia="Times New Roman" w:hAnsi="Times New Roman"/>
                <w:sz w:val="19"/>
                <w:szCs w:val="19"/>
                <w:color w:val="auto"/>
                <w:vertAlign w:val="superscript"/>
              </w:rPr>
              <w:t>(3)</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107,198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27,479</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134,677</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88"/>
        </w:trPr>
        <w:tc>
          <w:tcPr>
            <w:tcW w:w="520" w:type="dxa"/>
            <w:vAlign w:val="bottom"/>
          </w:tcPr>
          <w:p>
            <w:pPr>
              <w:spacing w:after="0"/>
              <w:rPr>
                <w:sz w:val="16"/>
                <w:szCs w:val="16"/>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Segment EBITDA</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543,502</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232,654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776,156</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317"/>
        </w:trPr>
        <w:tc>
          <w:tcPr>
            <w:tcW w:w="5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8"/>
          </w:tcPr>
          <w:p>
            <w:pPr>
              <w:ind w:left="920"/>
              <w:spacing w:after="0"/>
              <w:rPr>
                <w:sz w:val="20"/>
                <w:szCs w:val="20"/>
                <w:color w:val="auto"/>
              </w:rPr>
            </w:pPr>
            <w:r>
              <w:rPr>
                <w:rFonts w:ascii="Times New Roman" w:cs="Times New Roman" w:eastAsia="Times New Roman" w:hAnsi="Times New Roman"/>
                <w:sz w:val="11"/>
                <w:szCs w:val="11"/>
                <w:b w:val="1"/>
                <w:bCs w:val="1"/>
                <w:color w:val="auto"/>
              </w:rPr>
              <w:t>For the Year Ended December 31, 2024</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52"/>
        </w:trPr>
        <w:tc>
          <w:tcPr>
            <w:tcW w:w="5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180" w:type="dxa"/>
            <w:vAlign w:val="bottom"/>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Total Segments</w:t>
            </w:r>
          </w:p>
        </w:tc>
        <w:tc>
          <w:tcPr>
            <w:tcW w:w="600" w:type="dxa"/>
            <w:vAlign w:val="bottom"/>
            <w:gridSpan w:val="2"/>
          </w:tcPr>
          <w:p>
            <w:pPr>
              <w:spacing w:after="0"/>
              <w:rPr>
                <w:sz w:val="13"/>
                <w:szCs w:val="13"/>
                <w:color w:val="auto"/>
              </w:rPr>
            </w:pPr>
          </w:p>
        </w:tc>
      </w:tr>
      <w:tr>
        <w:trPr>
          <w:trHeight w:val="163"/>
        </w:trPr>
        <w:tc>
          <w:tcPr>
            <w:tcW w:w="520" w:type="dxa"/>
            <w:vAlign w:val="bottom"/>
          </w:tcPr>
          <w:p>
            <w:pPr>
              <w:spacing w:after="0"/>
              <w:rPr>
                <w:sz w:val="14"/>
                <w:szCs w:val="14"/>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Product revenue</w:t>
            </w:r>
          </w:p>
        </w:tc>
        <w:tc>
          <w:tcPr>
            <w:tcW w:w="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8,754,282</w:t>
            </w:r>
          </w:p>
        </w:tc>
        <w:tc>
          <w:tcPr>
            <w:tcW w:w="40" w:type="dxa"/>
            <w:vAlign w:val="bottom"/>
            <w:shd w:val="clear" w:color="auto" w:fill="CFF0FC"/>
          </w:tcPr>
          <w:p>
            <w:pPr>
              <w:spacing w:after="0"/>
              <w:rPr>
                <w:sz w:val="14"/>
                <w:szCs w:val="14"/>
                <w:color w:val="auto"/>
              </w:rPr>
            </w:pPr>
          </w:p>
        </w:tc>
        <w:tc>
          <w:tcPr>
            <w:tcW w:w="3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8,754,282</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Service revenue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1,317,932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1,317,932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drugs</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7,368,426</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7,368,426</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797,286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797,286</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62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 xml:space="preserve">Other direct costs </w:t>
            </w:r>
            <w:r>
              <w:rPr>
                <w:rFonts w:ascii="Times New Roman" w:cs="Times New Roman" w:eastAsia="Times New Roman" w:hAnsi="Times New Roman"/>
                <w:sz w:val="19"/>
                <w:szCs w:val="19"/>
                <w:color w:val="auto"/>
                <w:vertAlign w:val="superscript"/>
              </w:rPr>
              <w:t>(1)</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640,075</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640,075</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620" w:type="dxa"/>
            <w:vAlign w:val="bottom"/>
          </w:tcPr>
          <w:p>
            <w:pPr>
              <w:spacing w:after="0" w:line="172" w:lineRule="exact"/>
              <w:rPr>
                <w:sz w:val="20"/>
                <w:szCs w:val="20"/>
                <w:color w:val="auto"/>
              </w:rPr>
            </w:pPr>
            <w:r>
              <w:rPr>
                <w:rFonts w:ascii="Times New Roman" w:cs="Times New Roman" w:eastAsia="Times New Roman" w:hAnsi="Times New Roman"/>
                <w:sz w:val="14"/>
                <w:szCs w:val="14"/>
                <w:color w:val="auto"/>
              </w:rPr>
              <w:t xml:space="preserve">Segment selling, general, and administrative expenses </w:t>
            </w:r>
            <w:r>
              <w:rPr>
                <w:rFonts w:ascii="Times New Roman" w:cs="Times New Roman" w:eastAsia="Times New Roman" w:hAnsi="Times New Roman"/>
                <w:sz w:val="19"/>
                <w:szCs w:val="19"/>
                <w:color w:val="auto"/>
                <w:vertAlign w:val="superscript"/>
              </w:rPr>
              <w:t>(2)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462,219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340,034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802,253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62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 xml:space="preserve">Segment depreciation and amortization expense </w:t>
            </w:r>
            <w:r>
              <w:rPr>
                <w:rFonts w:ascii="Times New Roman" w:cs="Times New Roman" w:eastAsia="Times New Roman" w:hAnsi="Times New Roman"/>
                <w:sz w:val="19"/>
                <w:szCs w:val="19"/>
                <w:color w:val="auto"/>
                <w:vertAlign w:val="superscript"/>
              </w:rPr>
              <w:t>(3)</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111,103</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24,675</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135,778</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88"/>
        </w:trPr>
        <w:tc>
          <w:tcPr>
            <w:tcW w:w="520" w:type="dxa"/>
            <w:vAlign w:val="bottom"/>
          </w:tcPr>
          <w:p>
            <w:pPr>
              <w:spacing w:after="0"/>
              <w:rPr>
                <w:sz w:val="16"/>
                <w:szCs w:val="16"/>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Segment EBITDA</w:t>
            </w: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394,665</w:t>
            </w:r>
          </w:p>
        </w:tc>
        <w:tc>
          <w:tcPr>
            <w:tcW w:w="40" w:type="dxa"/>
            <w:vAlign w:val="bottom"/>
          </w:tcPr>
          <w:p>
            <w:pPr>
              <w:spacing w:after="0"/>
              <w:rPr>
                <w:sz w:val="16"/>
                <w:szCs w:val="16"/>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205,287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599,952</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499"/>
        </w:trPr>
        <w:tc>
          <w:tcPr>
            <w:tcW w:w="5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jc w:val="right"/>
              <w:ind w:right="971"/>
              <w:spacing w:after="0"/>
              <w:rPr>
                <w:sz w:val="20"/>
                <w:szCs w:val="20"/>
                <w:color w:val="auto"/>
              </w:rPr>
            </w:pPr>
            <w:r>
              <w:rPr>
                <w:rFonts w:ascii="Times New Roman" w:cs="Times New Roman" w:eastAsia="Times New Roman" w:hAnsi="Times New Roman"/>
                <w:sz w:val="14"/>
                <w:szCs w:val="14"/>
                <w:color w:val="auto"/>
                <w:w w:val="95"/>
              </w:rPr>
              <w:t>121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8" w:name="page129"/>
    <w:bookmarkEnd w:id="128"/>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96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For the Year Ended December 31, 2023</w:t>
            </w:r>
          </w:p>
        </w:tc>
        <w:tc>
          <w:tcPr>
            <w:tcW w:w="9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52"/>
        </w:trPr>
        <w:tc>
          <w:tcPr>
            <w:tcW w:w="3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Total Segments</w:t>
            </w:r>
          </w:p>
        </w:tc>
        <w:tc>
          <w:tcPr>
            <w:tcW w:w="80" w:type="dxa"/>
            <w:vAlign w:val="bottom"/>
          </w:tcPr>
          <w:p>
            <w:pPr>
              <w:spacing w:after="0"/>
              <w:rPr>
                <w:sz w:val="13"/>
                <w:szCs w:val="13"/>
                <w:color w:val="auto"/>
              </w:rPr>
            </w:pPr>
          </w:p>
        </w:tc>
      </w:tr>
      <w:tr>
        <w:trPr>
          <w:trHeight w:val="16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Product revenue</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6,522,450</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6,522,450</w:t>
            </w:r>
          </w:p>
        </w:tc>
        <w:tc>
          <w:tcPr>
            <w:tcW w:w="80" w:type="dxa"/>
            <w:vAlign w:val="bottom"/>
            <w:shd w:val="clear" w:color="auto" w:fill="CFF0FC"/>
          </w:tcPr>
          <w:p>
            <w:pPr>
              <w:spacing w:after="0"/>
              <w:rPr>
                <w:sz w:val="14"/>
                <w:szCs w:val="14"/>
                <w:color w:val="auto"/>
              </w:rPr>
            </w:pPr>
          </w:p>
        </w:tc>
      </w:tr>
      <w:tr>
        <w:trPr>
          <w:trHeight w:val="172"/>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Service revenue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1,168,566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1,168,566</w:t>
            </w:r>
          </w:p>
        </w:tc>
        <w:tc>
          <w:tcPr>
            <w:tcW w:w="80" w:type="dxa"/>
            <w:vAlign w:val="bottom"/>
          </w:tcPr>
          <w:p>
            <w:pPr>
              <w:spacing w:after="0"/>
              <w:rPr>
                <w:sz w:val="14"/>
                <w:szCs w:val="14"/>
                <w:color w:val="auto"/>
              </w:rPr>
            </w:pPr>
          </w:p>
        </w:tc>
      </w:tr>
      <w:tr>
        <w:trPr>
          <w:trHeight w:val="172"/>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drugs</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5,291,630</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5,291,630</w:t>
            </w:r>
          </w:p>
        </w:tc>
        <w:tc>
          <w:tcPr>
            <w:tcW w:w="80" w:type="dxa"/>
            <w:vAlign w:val="bottom"/>
            <w:shd w:val="clear" w:color="auto" w:fill="CFF0FC"/>
          </w:tcPr>
          <w:p>
            <w:pPr>
              <w:spacing w:after="0"/>
              <w:rPr>
                <w:sz w:val="14"/>
                <w:szCs w:val="14"/>
                <w:color w:val="auto"/>
              </w:rPr>
            </w:pPr>
          </w:p>
        </w:tc>
      </w:tr>
      <w:tr>
        <w:trPr>
          <w:trHeight w:val="172"/>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711,304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711,304</w:t>
            </w:r>
          </w:p>
        </w:tc>
        <w:tc>
          <w:tcPr>
            <w:tcW w:w="80" w:type="dxa"/>
            <w:vAlign w:val="bottom"/>
          </w:tcPr>
          <w:p>
            <w:pPr>
              <w:spacing w:after="0"/>
              <w:rPr>
                <w:sz w:val="14"/>
                <w:szCs w:val="14"/>
                <w:color w:val="auto"/>
              </w:rPr>
            </w:pPr>
          </w:p>
        </w:tc>
      </w:tr>
      <w:tr>
        <w:trPr>
          <w:trHeight w:val="172"/>
        </w:trPr>
        <w:tc>
          <w:tcPr>
            <w:tcW w:w="342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 xml:space="preserve">Other direct costs </w:t>
            </w:r>
            <w:r>
              <w:rPr>
                <w:rFonts w:ascii="Times New Roman" w:cs="Times New Roman" w:eastAsia="Times New Roman" w:hAnsi="Times New Roman"/>
                <w:sz w:val="19"/>
                <w:szCs w:val="19"/>
                <w:color w:val="auto"/>
                <w:vertAlign w:val="superscript"/>
              </w:rPr>
              <w:t>(1)</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549,086</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549,086</w:t>
            </w:r>
          </w:p>
        </w:tc>
        <w:tc>
          <w:tcPr>
            <w:tcW w:w="80" w:type="dxa"/>
            <w:vAlign w:val="bottom"/>
            <w:shd w:val="clear" w:color="auto" w:fill="CFF0FC"/>
          </w:tcPr>
          <w:p>
            <w:pPr>
              <w:spacing w:after="0"/>
              <w:rPr>
                <w:sz w:val="14"/>
                <w:szCs w:val="14"/>
                <w:color w:val="auto"/>
              </w:rPr>
            </w:pPr>
          </w:p>
        </w:tc>
      </w:tr>
      <w:tr>
        <w:trPr>
          <w:trHeight w:val="172"/>
        </w:trPr>
        <w:tc>
          <w:tcPr>
            <w:tcW w:w="3420" w:type="dxa"/>
            <w:vAlign w:val="bottom"/>
          </w:tcPr>
          <w:p>
            <w:pPr>
              <w:spacing w:after="0" w:line="172" w:lineRule="exact"/>
              <w:rPr>
                <w:sz w:val="20"/>
                <w:szCs w:val="20"/>
                <w:color w:val="auto"/>
              </w:rPr>
            </w:pPr>
            <w:r>
              <w:rPr>
                <w:rFonts w:ascii="Times New Roman" w:cs="Times New Roman" w:eastAsia="Times New Roman" w:hAnsi="Times New Roman"/>
                <w:sz w:val="14"/>
                <w:szCs w:val="14"/>
                <w:color w:val="auto"/>
              </w:rPr>
              <w:t xml:space="preserve">Segment selling, general, and administrative expenses </w:t>
            </w:r>
            <w:r>
              <w:rPr>
                <w:rFonts w:ascii="Times New Roman" w:cs="Times New Roman" w:eastAsia="Times New Roman" w:hAnsi="Times New Roman"/>
                <w:sz w:val="19"/>
                <w:szCs w:val="19"/>
                <w:color w:val="auto"/>
                <w:vertAlign w:val="superscript"/>
              </w:rPr>
              <w:t>(2)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426,521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310,747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737,268</w:t>
            </w:r>
          </w:p>
        </w:tc>
        <w:tc>
          <w:tcPr>
            <w:tcW w:w="80" w:type="dxa"/>
            <w:vAlign w:val="bottom"/>
          </w:tcPr>
          <w:p>
            <w:pPr>
              <w:spacing w:after="0"/>
              <w:rPr>
                <w:sz w:val="14"/>
                <w:szCs w:val="14"/>
                <w:color w:val="auto"/>
              </w:rPr>
            </w:pPr>
          </w:p>
        </w:tc>
      </w:tr>
      <w:tr>
        <w:trPr>
          <w:trHeight w:val="172"/>
        </w:trPr>
        <w:tc>
          <w:tcPr>
            <w:tcW w:w="342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 xml:space="preserve">Segment depreciation and amortization expense </w:t>
            </w:r>
            <w:r>
              <w:rPr>
                <w:rFonts w:ascii="Times New Roman" w:cs="Times New Roman" w:eastAsia="Times New Roman" w:hAnsi="Times New Roman"/>
                <w:sz w:val="19"/>
                <w:szCs w:val="19"/>
                <w:color w:val="auto"/>
                <w:vertAlign w:val="superscript"/>
              </w:rPr>
              <w:t>(3)</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115,749</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22,897</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138,646</w:t>
            </w:r>
          </w:p>
        </w:tc>
        <w:tc>
          <w:tcPr>
            <w:tcW w:w="80" w:type="dxa"/>
            <w:vAlign w:val="bottom"/>
            <w:shd w:val="clear" w:color="auto" w:fill="CFF0FC"/>
          </w:tcPr>
          <w:p>
            <w:pPr>
              <w:spacing w:after="0"/>
              <w:rPr>
                <w:sz w:val="14"/>
                <w:szCs w:val="14"/>
                <w:color w:val="auto"/>
              </w:rPr>
            </w:pPr>
          </w:p>
        </w:tc>
      </w:tr>
      <w:tr>
        <w:trPr>
          <w:trHeight w:val="188"/>
        </w:trPr>
        <w:tc>
          <w:tcPr>
            <w:tcW w:w="3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Segment EBITDA</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370,962</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169,412</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540,374</w:t>
            </w:r>
          </w:p>
        </w:tc>
        <w:tc>
          <w:tcPr>
            <w:tcW w:w="80" w:type="dxa"/>
            <w:vAlign w:val="bottom"/>
          </w:tcPr>
          <w:p>
            <w:pPr>
              <w:spacing w:after="0"/>
              <w:rPr>
                <w:sz w:val="16"/>
                <w:szCs w:val="16"/>
                <w:color w:val="auto"/>
              </w:rPr>
            </w:pPr>
          </w:p>
        </w:tc>
      </w:tr>
    </w:tbl>
    <w:p>
      <w:pPr>
        <w:spacing w:after="0" w:line="195" w:lineRule="exact"/>
        <w:rPr>
          <w:sz w:val="20"/>
          <w:szCs w:val="20"/>
          <w:color w:val="auto"/>
        </w:rPr>
      </w:pPr>
    </w:p>
    <w:p>
      <w:pPr>
        <w:ind w:left="980" w:right="679" w:hanging="342"/>
        <w:spacing w:after="0" w:line="266" w:lineRule="auto"/>
        <w:tabs>
          <w:tab w:leader="none" w:pos="980" w:val="left"/>
        </w:tabs>
        <w:numPr>
          <w:ilvl w:val="0"/>
          <w:numId w:val="46"/>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Other direct costs primarily includes direct labor costs, delivery costs, insurance, and depreciation and amortization expense that relates to revenue-generating assets.</w:t>
      </w:r>
    </w:p>
    <w:p>
      <w:pPr>
        <w:ind w:left="980" w:right="859" w:hanging="342"/>
        <w:spacing w:after="0" w:line="256" w:lineRule="auto"/>
        <w:tabs>
          <w:tab w:leader="none" w:pos="980" w:val="left"/>
        </w:tabs>
        <w:numPr>
          <w:ilvl w:val="0"/>
          <w:numId w:val="46"/>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Segment selling, general, and administrative expenses includes indirect labor costs, depreciation and amortization, insurance, rent, lease, supplies, professional services, maintenance, repairs, utilities, and communications expense.</w:t>
      </w:r>
    </w:p>
    <w:p>
      <w:pPr>
        <w:ind w:left="980" w:right="839" w:hanging="342"/>
        <w:spacing w:after="0" w:line="272" w:lineRule="auto"/>
        <w:tabs>
          <w:tab w:leader="none" w:pos="980" w:val="left"/>
        </w:tabs>
        <w:numPr>
          <w:ilvl w:val="0"/>
          <w:numId w:val="46"/>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Total segment depreciation and amortization expense is presented in other direct costs, costs of services, and segment general and administrative expenses, based on the associated asset.</w:t>
      </w:r>
    </w:p>
    <w:p>
      <w:pPr>
        <w:spacing w:after="0" w:line="132"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5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6"/>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5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9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70"/>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70"/>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i w:val="1"/>
                <w:iCs w:val="1"/>
                <w:color w:val="auto"/>
              </w:rPr>
              <w:t>Reconciliation of income or loss:</w:t>
            </w:r>
          </w:p>
        </w:tc>
        <w:tc>
          <w:tcPr>
            <w:tcW w:w="1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Total Segment EBITDA</w:t>
            </w:r>
          </w:p>
        </w:tc>
        <w:tc>
          <w:tcPr>
            <w:tcW w:w="15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776,156</w:t>
            </w:r>
          </w:p>
        </w:tc>
        <w:tc>
          <w:tcPr>
            <w:tcW w:w="3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599,952</w:t>
            </w:r>
          </w:p>
        </w:tc>
        <w:tc>
          <w:tcPr>
            <w:tcW w:w="180" w:type="dxa"/>
            <w:vAlign w:val="bottom"/>
          </w:tcPr>
          <w:p>
            <w:pPr>
              <w:spacing w:after="0"/>
              <w:rPr>
                <w:sz w:val="14"/>
                <w:szCs w:val="14"/>
                <w:color w:val="auto"/>
              </w:rPr>
            </w:pP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540,374</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Segment depreciation and amortization</w:t>
            </w:r>
          </w:p>
        </w:tc>
        <w:tc>
          <w:tcPr>
            <w:tcW w:w="1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134,677</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135,778</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138,646</w:t>
            </w:r>
          </w:p>
        </w:tc>
        <w:tc>
          <w:tcPr>
            <w:tcW w:w="10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Expenses not allocated at segment level:</w:t>
            </w: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317,956</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329,854</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321,692</w:t>
            </w:r>
          </w:p>
        </w:tc>
        <w:tc>
          <w:tcPr>
            <w:tcW w:w="10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28,271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26,366</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21,911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12,726</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net</w:t>
            </w: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157,311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190,546</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271,899</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33,145</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(26,387)</w:t>
            </w:r>
          </w:p>
        </w:tc>
        <w:tc>
          <w:tcPr>
            <w:tcW w:w="2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(31,508)</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line="20" w:lineRule="exact"/>
              <w:rPr>
                <w:sz w:val="1"/>
                <w:szCs w:val="1"/>
                <w:color w:val="auto"/>
              </w:rPr>
            </w:pPr>
          </w:p>
        </w:tc>
        <w:tc>
          <w:tcPr>
            <w:tcW w:w="324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0" w:type="dxa"/>
            <w:vAlign w:val="bottom"/>
            <w:vMerge w:val="continue"/>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 from continuing operations</w:t>
            </w:r>
          </w:p>
        </w:tc>
        <w:tc>
          <w:tcPr>
            <w:tcW w:w="132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104,796</w:t>
            </w:r>
          </w:p>
        </w:tc>
        <w:tc>
          <w:tcPr>
            <w:tcW w:w="16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(68,931)</w:t>
            </w: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(182,266)</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32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color w:val="auto"/>
              </w:rPr>
              <w:t>122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3883025</wp:posOffset>
            </wp:positionH>
            <wp:positionV relativeFrom="paragraph">
              <wp:posOffset>-858520</wp:posOffset>
            </wp:positionV>
            <wp:extent cx="47625" cy="69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-858520</wp:posOffset>
            </wp:positionV>
            <wp:extent cx="47625" cy="698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-858520</wp:posOffset>
            </wp:positionV>
            <wp:extent cx="54610" cy="69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9" w:name="page130"/>
    <w:bookmarkEnd w:id="12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None.</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101" w:lineRule="exact"/>
        <w:rPr>
          <w:sz w:val="20"/>
          <w:szCs w:val="20"/>
          <w:color w:val="auto"/>
        </w:rPr>
      </w:pPr>
    </w:p>
    <w:p>
      <w:pPr>
        <w:ind w:left="640" w:right="719" w:firstLine="351"/>
        <w:spacing w:after="0" w:line="262" w:lineRule="auto"/>
        <w:rPr>
          <w:sz w:val="20"/>
          <w:szCs w:val="20"/>
          <w:color w:val="auto"/>
        </w:rPr>
      </w:pPr>
      <w:r>
        <w:rPr>
          <w:rFonts w:ascii="Times New Roman" w:cs="Times New Roman" w:eastAsia="Times New Roman" w:hAnsi="Times New Roman"/>
          <w:sz w:val="14"/>
          <w:szCs w:val="14"/>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59"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Our management, with the participation of our CEO and our CFO, evaluated the effectiveness of the design and operation of our disclosure controls and procedures as of the end of the period covered by this Annual Report. Based on such evaluation, our CEO and CFO have concluded that, as of the end of the period covered by this Annual Report, the design and operation of the Company's disclosure controls and procedures were effective to accomplish their objectives at the reasonable assurance level.</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Management's Annual Report on Internal Control over Financial Reporting</w:t>
      </w:r>
    </w:p>
    <w:p>
      <w:pPr>
        <w:spacing w:after="0" w:line="101"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Under Section 404 of the Sarbanes-Oxley Act of 2002, our management is required to assess the effectiveness of the Company’s internal control over financial reporting as of the end of each fiscal year and report, based on that assessment, whether the Company’s internal control over financial reporting is effective.</w:t>
      </w:r>
    </w:p>
    <w:p>
      <w:pPr>
        <w:spacing w:after="0" w:line="50"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Management of the Company is responsible for establishing and maintaining adequate internal control over financial reporting. As defined in Exchange Act Rule 13a-15(f), internal control over financial reporting is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Therefore, internal control over financial reporting determined to be effective can provide only reasonable assurance with respect to financial statement preparation and may not prevent or detect all misstatements.</w:t>
      </w:r>
    </w:p>
    <w:p>
      <w:pPr>
        <w:spacing w:after="0" w:line="59"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Under the supervision and with the participation of our management, including our CEO and CFO, we assessed the effectiveness of the Company’s internal control over financial reporting as of the end of the period covered by this report. In this assessment, the Company applied criteria based on the "Internal Control-Integrated Framework (2013)" issued by the Committee of Sponsoring Organizations of the Treadway Commission. These criteria are in the areas of control environment, risk assessment, control activities, information and communication, and monitoring. The Company’s assessment included documenting, evaluating and testing the design and operating effectiveness of its internal control over financial reporting. Based upon this evaluation, our management concluded that our internal control over financial reporting was effective as of the end of the period covered by this Annual Report.</w:t>
      </w:r>
    </w:p>
    <w:p>
      <w:pPr>
        <w:spacing w:after="0" w:line="3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01" w:lineRule="exact"/>
        <w:rPr>
          <w:sz w:val="20"/>
          <w:szCs w:val="20"/>
          <w:color w:val="auto"/>
        </w:rPr>
      </w:pPr>
    </w:p>
    <w:p>
      <w:pPr>
        <w:ind w:left="640" w:right="839" w:firstLine="351"/>
        <w:spacing w:after="0" w:line="274" w:lineRule="auto"/>
        <w:rPr>
          <w:sz w:val="20"/>
          <w:szCs w:val="20"/>
          <w:color w:val="auto"/>
        </w:rPr>
      </w:pPr>
      <w:r>
        <w:rPr>
          <w:rFonts w:ascii="Times New Roman" w:cs="Times New Roman" w:eastAsia="Times New Roman" w:hAnsi="Times New Roman"/>
          <w:sz w:val="14"/>
          <w:szCs w:val="14"/>
          <w:color w:val="auto"/>
        </w:rPr>
        <w:t>No changes in our internal control over financial reporting (as defined in Rules 13a-15(f) and 15d-15(f) under the Exchange Act) occurred during the Company's most recently completed fiscal quarter that have materially affected, or are reasonably likely to materially affect, our internal control over financial reporting.</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None.</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Not applicable.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0" w:name="page131"/>
    <w:bookmarkEnd w:id="13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85" w:lineRule="exact"/>
        <w:rPr>
          <w:sz w:val="20"/>
          <w:szCs w:val="20"/>
          <w:color w:val="auto"/>
        </w:rPr>
      </w:pPr>
    </w:p>
    <w:p>
      <w:pPr>
        <w:ind w:left="640" w:right="659"/>
        <w:spacing w:after="0" w:line="292" w:lineRule="auto"/>
        <w:rPr>
          <w:sz w:val="20"/>
          <w:szCs w:val="20"/>
          <w:color w:val="auto"/>
        </w:rPr>
      </w:pPr>
      <w:r>
        <w:rPr>
          <w:rFonts w:ascii="Times New Roman" w:cs="Times New Roman" w:eastAsia="Times New Roman" w:hAnsi="Times New Roman"/>
          <w:sz w:val="14"/>
          <w:szCs w:val="14"/>
          <w:color w:val="231F20"/>
        </w:rPr>
        <w:t>The information required by this Item is set forth in our Proxy Statement for the 2026 Annual Meeting of Stockholders to be filed with the SEC within 120 days of December 31, 2025, which is incorporated into this Annual Report on Form 10-K by reference.</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85" w:lineRule="exact"/>
        <w:rPr>
          <w:sz w:val="20"/>
          <w:szCs w:val="20"/>
          <w:color w:val="auto"/>
        </w:rPr>
      </w:pPr>
    </w:p>
    <w:p>
      <w:pPr>
        <w:ind w:left="640" w:right="659"/>
        <w:spacing w:after="0" w:line="292" w:lineRule="auto"/>
        <w:rPr>
          <w:sz w:val="20"/>
          <w:szCs w:val="20"/>
          <w:color w:val="auto"/>
        </w:rPr>
      </w:pPr>
      <w:r>
        <w:rPr>
          <w:rFonts w:ascii="Times New Roman" w:cs="Times New Roman" w:eastAsia="Times New Roman" w:hAnsi="Times New Roman"/>
          <w:sz w:val="14"/>
          <w:szCs w:val="14"/>
          <w:color w:val="231F20"/>
        </w:rPr>
        <w:t>The information required by this Item is set forth in our Proxy Statement for the 2026 Annual Meeting of Stockholders to be filed with the SEC within 120 days of December 31, 2025, which is incorporated into this Annual Report on Form 10-K by reference.</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231F20"/>
        </w:rPr>
        <w:t>Item 12. Security Ownership of Certain Beneficial Owners and Management and Related Stockholders</w:t>
      </w:r>
    </w:p>
    <w:p>
      <w:pPr>
        <w:spacing w:after="0" w:line="185" w:lineRule="exact"/>
        <w:rPr>
          <w:sz w:val="20"/>
          <w:szCs w:val="20"/>
          <w:color w:val="auto"/>
        </w:rPr>
      </w:pPr>
    </w:p>
    <w:p>
      <w:pPr>
        <w:ind w:left="640" w:right="659"/>
        <w:spacing w:after="0" w:line="292" w:lineRule="auto"/>
        <w:rPr>
          <w:sz w:val="20"/>
          <w:szCs w:val="20"/>
          <w:color w:val="auto"/>
        </w:rPr>
      </w:pPr>
      <w:r>
        <w:rPr>
          <w:rFonts w:ascii="Times New Roman" w:cs="Times New Roman" w:eastAsia="Times New Roman" w:hAnsi="Times New Roman"/>
          <w:sz w:val="14"/>
          <w:szCs w:val="14"/>
          <w:color w:val="231F20"/>
        </w:rPr>
        <w:t>The information required by this Item is set forth in our Proxy Statement for the 2026 Annual Meeting of Stockholders to be filed with the SEC within 120 days of December 31, 2025, which is incorporated into this Annual Report on Form 10-K by reference.</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Party Transactions and Director Independence</w:t>
      </w:r>
    </w:p>
    <w:p>
      <w:pPr>
        <w:spacing w:after="0" w:line="185" w:lineRule="exact"/>
        <w:rPr>
          <w:sz w:val="20"/>
          <w:szCs w:val="20"/>
          <w:color w:val="auto"/>
        </w:rPr>
      </w:pPr>
    </w:p>
    <w:p>
      <w:pPr>
        <w:ind w:left="640" w:right="659"/>
        <w:spacing w:after="0" w:line="292" w:lineRule="auto"/>
        <w:rPr>
          <w:sz w:val="20"/>
          <w:szCs w:val="20"/>
          <w:color w:val="auto"/>
        </w:rPr>
      </w:pPr>
      <w:r>
        <w:rPr>
          <w:rFonts w:ascii="Times New Roman" w:cs="Times New Roman" w:eastAsia="Times New Roman" w:hAnsi="Times New Roman"/>
          <w:sz w:val="14"/>
          <w:szCs w:val="14"/>
          <w:color w:val="231F20"/>
        </w:rPr>
        <w:t>The information required by this Item is set forth in our Proxy Statement for the 2026 Annual Meeting of Stockholders to be filed with the SEC within 120 days of December 31, 2025, which is incorporated into this Annual Report on Form 10-K by reference.</w:t>
      </w:r>
    </w:p>
    <w:p>
      <w:pPr>
        <w:spacing w:after="0" w:line="3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185" w:lineRule="exact"/>
        <w:rPr>
          <w:sz w:val="20"/>
          <w:szCs w:val="20"/>
          <w:color w:val="auto"/>
        </w:rPr>
      </w:pPr>
    </w:p>
    <w:p>
      <w:pPr>
        <w:ind w:left="640" w:right="659"/>
        <w:spacing w:after="0" w:line="292" w:lineRule="auto"/>
        <w:rPr>
          <w:sz w:val="20"/>
          <w:szCs w:val="20"/>
          <w:color w:val="auto"/>
        </w:rPr>
      </w:pPr>
      <w:r>
        <w:rPr>
          <w:rFonts w:ascii="Times New Roman" w:cs="Times New Roman" w:eastAsia="Times New Roman" w:hAnsi="Times New Roman"/>
          <w:sz w:val="14"/>
          <w:szCs w:val="14"/>
          <w:color w:val="231F20"/>
        </w:rPr>
        <w:t>The information required by this Item is set forth in our Proxy Statement for the 2026 Annual Meeting of Stockholders to be filed with the SEC within 120 days of December 31, 2025, which is incorporated into this Annual Report on Form 10-K by reference.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1" w:name="page132"/>
    <w:bookmarkEnd w:id="13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(a)(1) Financial Statements:</w:t>
      </w:r>
    </w:p>
    <w:p>
      <w:pPr>
        <w:spacing w:after="0" w:line="99" w:lineRule="exact"/>
        <w:rPr>
          <w:sz w:val="20"/>
          <w:szCs w:val="20"/>
          <w:color w:val="auto"/>
        </w:rPr>
      </w:pPr>
    </w:p>
    <w:p>
      <w:pPr>
        <w:ind w:left="640" w:right="719" w:firstLine="351"/>
        <w:spacing w:after="0" w:line="292" w:lineRule="auto"/>
        <w:rPr>
          <w:sz w:val="20"/>
          <w:szCs w:val="20"/>
          <w:color w:val="auto"/>
        </w:rPr>
      </w:pPr>
      <w:r>
        <w:rPr>
          <w:rFonts w:ascii="Times New Roman" w:cs="Times New Roman" w:eastAsia="Times New Roman" w:hAnsi="Times New Roman"/>
          <w:sz w:val="14"/>
          <w:szCs w:val="14"/>
          <w:color w:val="auto"/>
        </w:rPr>
        <w:t>The following Consolidated Financial Statements, notes related thereto and reports of independent auditors are included in Item 8 of this Report:</w:t>
      </w:r>
    </w:p>
    <w:p>
      <w:pPr>
        <w:spacing w:after="0" w:line="38" w:lineRule="exact"/>
        <w:rPr>
          <w:sz w:val="20"/>
          <w:szCs w:val="20"/>
          <w:color w:val="auto"/>
        </w:rPr>
      </w:pPr>
    </w:p>
    <w:p>
      <w:pPr>
        <w:ind w:left="1340" w:hanging="352"/>
        <w:spacing w:after="0"/>
        <w:tabs>
          <w:tab w:leader="none" w:pos="1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 of Independent Registered Public Accounting Firm (PCAOB ID: 185)</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Balance Sheets as of December 31, 2025 and 2024</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Statements of Operations for the years ended December 31, 2025, 2024, and 2023</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Statements of Comprehensive Income (Loss) for the years ended December 31, 2025, 2024, and 2023</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Statements of Shareholders' Equity for the years ended December 31, 2025, 2024, and 2023</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Statements of Cash Flows for the years ended December 31, 2025, 2024, and 2023</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Notes to Consolidated Financial Statements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(a)(2) Financial Statement Schedules:</w:t>
      </w:r>
    </w:p>
    <w:p>
      <w:pPr>
        <w:spacing w:after="0" w:line="99" w:lineRule="exact"/>
        <w:rPr>
          <w:sz w:val="20"/>
          <w:szCs w:val="20"/>
          <w:color w:val="auto"/>
        </w:rPr>
      </w:pPr>
    </w:p>
    <w:p>
      <w:pPr>
        <w:ind w:left="640" w:right="679" w:firstLine="351"/>
        <w:spacing w:after="0" w:line="292" w:lineRule="auto"/>
        <w:rPr>
          <w:sz w:val="20"/>
          <w:szCs w:val="20"/>
          <w:color w:val="auto"/>
        </w:rPr>
      </w:pPr>
      <w:r>
        <w:rPr>
          <w:rFonts w:ascii="Times New Roman" w:cs="Times New Roman" w:eastAsia="Times New Roman" w:hAnsi="Times New Roman"/>
          <w:sz w:val="14"/>
          <w:szCs w:val="14"/>
          <w:color w:val="auto"/>
        </w:rPr>
        <w:t>All financial statements schedules have been omitted because they are not applicable, not required or the information required is shown in the financial statements or the notes thereto.</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(a)(3) Exhibits:</w:t>
      </w:r>
    </w:p>
    <w:p>
      <w:pPr>
        <w:spacing w:after="0" w:line="290"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1260" w:type="dxa"/>
            <w:vAlign w:val="bottom"/>
          </w:tcPr>
          <w:p>
            <w:pPr>
              <w:ind w:left="6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780" w:type="dxa"/>
            <w:vAlign w:val="bottom"/>
          </w:tcPr>
          <w:p>
            <w:pPr>
              <w:spacing w:after="0"/>
              <w:rPr>
                <w:sz w:val="11"/>
                <w:szCs w:val="11"/>
                <w:color w:val="auto"/>
              </w:rPr>
            </w:pPr>
          </w:p>
        </w:tc>
        <w:tc>
          <w:tcPr>
            <w:tcW w:w="2420" w:type="dxa"/>
            <w:vAlign w:val="bottom"/>
            <w:gridSpan w:val="11"/>
          </w:tcPr>
          <w:p>
            <w:pPr>
              <w:ind w:left="56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900" w:type="dxa"/>
            <w:vAlign w:val="bottom"/>
          </w:tcPr>
          <w:p>
            <w:pPr>
              <w:ind w:left="44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620" w:type="dxa"/>
            <w:vAlign w:val="bottom"/>
          </w:tcPr>
          <w:p>
            <w:pPr>
              <w:jc w:val="right"/>
              <w:ind w:right="710"/>
              <w:spacing w:after="0"/>
              <w:rPr>
                <w:sz w:val="20"/>
                <w:szCs w:val="20"/>
                <w:color w:val="auto"/>
              </w:rPr>
            </w:pPr>
            <w:r>
              <w:rPr>
                <w:rFonts w:ascii="Times New Roman" w:cs="Times New Roman" w:eastAsia="Times New Roman" w:hAnsi="Times New Roman"/>
                <w:sz w:val="11"/>
                <w:szCs w:val="11"/>
                <w:b w:val="1"/>
                <w:bCs w:val="1"/>
                <w:color w:val="auto"/>
              </w:rPr>
              <w:t>Filing Date</w:t>
            </w:r>
          </w:p>
        </w:tc>
      </w:tr>
      <w:tr>
        <w:trPr>
          <w:trHeight w:val="123"/>
        </w:trPr>
        <w:tc>
          <w:tcPr>
            <w:tcW w:w="1260" w:type="dxa"/>
            <w:vAlign w:val="bottom"/>
          </w:tcPr>
          <w:p>
            <w:pPr>
              <w:ind w:left="560"/>
              <w:spacing w:after="0" w:line="123" w:lineRule="exact"/>
              <w:rPr>
                <w:sz w:val="20"/>
                <w:szCs w:val="20"/>
                <w:color w:val="auto"/>
              </w:rPr>
            </w:pPr>
            <w:r>
              <w:rPr>
                <w:rFonts w:ascii="Times New Roman" w:cs="Times New Roman" w:eastAsia="Times New Roman" w:hAnsi="Times New Roman"/>
                <w:sz w:val="11"/>
                <w:szCs w:val="11"/>
                <w:b w:val="1"/>
                <w:bCs w:val="1"/>
                <w:color w:val="auto"/>
              </w:rPr>
              <w:t>Number</w:t>
            </w:r>
          </w:p>
        </w:tc>
        <w:tc>
          <w:tcPr>
            <w:tcW w:w="7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154"/>
        </w:trPr>
        <w:tc>
          <w:tcPr>
            <w:tcW w:w="1260" w:type="dxa"/>
            <w:vAlign w:val="bottom"/>
          </w:tcPr>
          <w:p>
            <w:pPr>
              <w:ind w:left="520"/>
              <w:spacing w:after="0" w:line="155" w:lineRule="exact"/>
              <w:rPr>
                <w:sz w:val="20"/>
                <w:szCs w:val="20"/>
                <w:color w:val="auto"/>
              </w:rPr>
            </w:pPr>
            <w:r>
              <w:rPr>
                <w:rFonts w:ascii="Times New Roman" w:cs="Times New Roman" w:eastAsia="Times New Roman" w:hAnsi="Times New Roman"/>
                <w:sz w:val="14"/>
                <w:szCs w:val="14"/>
                <w:color w:val="auto"/>
              </w:rPr>
              <w:t>2.1*</w:t>
            </w:r>
          </w:p>
        </w:tc>
        <w:tc>
          <w:tcPr>
            <w:tcW w:w="3200" w:type="dxa"/>
            <w:vAlign w:val="bottom"/>
            <w:gridSpan w:val="12"/>
          </w:tcPr>
          <w:p>
            <w:pPr>
              <w:spacing w:after="0" w:line="155" w:lineRule="exact"/>
              <w:rPr>
                <w:rFonts w:ascii="Times New Roman" w:cs="Times New Roman" w:eastAsia="Times New Roman" w:hAnsi="Times New Roman"/>
                <w:sz w:val="14"/>
                <w:szCs w:val="14"/>
                <w:color w:val="0000FF"/>
              </w:rPr>
            </w:pPr>
            <w:hyperlink r:id="rId511">
              <w:r>
                <w:rPr>
                  <w:rFonts w:ascii="Times New Roman" w:cs="Times New Roman" w:eastAsia="Times New Roman" w:hAnsi="Times New Roman"/>
                  <w:sz w:val="14"/>
                  <w:szCs w:val="14"/>
                  <w:color w:val="0000FF"/>
                </w:rPr>
                <w:t>Purchase Agreement, dated January 17, 2025, by and</w:t>
              </w:r>
            </w:hyperlink>
          </w:p>
        </w:tc>
        <w:tc>
          <w:tcPr>
            <w:tcW w:w="90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8-K</w:t>
            </w:r>
          </w:p>
        </w:tc>
        <w:tc>
          <w:tcPr>
            <w:tcW w:w="1000" w:type="dxa"/>
            <w:vAlign w:val="bottom"/>
          </w:tcPr>
          <w:p>
            <w:pPr>
              <w:jc w:val="right"/>
              <w:ind w:right="130"/>
              <w:spacing w:after="0" w:line="155" w:lineRule="exact"/>
              <w:rPr>
                <w:sz w:val="20"/>
                <w:szCs w:val="20"/>
                <w:color w:val="auto"/>
              </w:rPr>
            </w:pPr>
            <w:r>
              <w:rPr>
                <w:rFonts w:ascii="Times New Roman" w:cs="Times New Roman" w:eastAsia="Times New Roman" w:hAnsi="Times New Roman"/>
                <w:sz w:val="14"/>
                <w:szCs w:val="14"/>
                <w:color w:val="auto"/>
              </w:rPr>
              <w:t>001-41938</w:t>
            </w:r>
          </w:p>
        </w:tc>
        <w:tc>
          <w:tcPr>
            <w:tcW w:w="800" w:type="dxa"/>
            <w:vAlign w:val="bottom"/>
          </w:tcPr>
          <w:p>
            <w:pPr>
              <w:jc w:val="right"/>
              <w:ind w:right="330"/>
              <w:spacing w:after="0" w:line="155" w:lineRule="exact"/>
              <w:rPr>
                <w:sz w:val="20"/>
                <w:szCs w:val="20"/>
                <w:color w:val="auto"/>
              </w:rPr>
            </w:pPr>
            <w:r>
              <w:rPr>
                <w:rFonts w:ascii="Times New Roman" w:cs="Times New Roman" w:eastAsia="Times New Roman" w:hAnsi="Times New Roman"/>
                <w:sz w:val="14"/>
                <w:szCs w:val="14"/>
                <w:color w:val="auto"/>
              </w:rPr>
              <w:t>2.1</w:t>
            </w:r>
          </w:p>
        </w:tc>
        <w:tc>
          <w:tcPr>
            <w:tcW w:w="1620" w:type="dxa"/>
            <w:vAlign w:val="bottom"/>
          </w:tcPr>
          <w:p>
            <w:pPr>
              <w:jc w:val="right"/>
              <w:ind w:right="830"/>
              <w:spacing w:after="0" w:line="155" w:lineRule="exact"/>
              <w:rPr>
                <w:sz w:val="20"/>
                <w:szCs w:val="20"/>
                <w:color w:val="auto"/>
              </w:rPr>
            </w:pPr>
            <w:r>
              <w:rPr>
                <w:rFonts w:ascii="Times New Roman" w:cs="Times New Roman" w:eastAsia="Times New Roman" w:hAnsi="Times New Roman"/>
                <w:sz w:val="14"/>
                <w:szCs w:val="14"/>
                <w:color w:val="auto"/>
              </w:rPr>
              <w:t>1/21/2025</w:t>
            </w:r>
          </w:p>
        </w:tc>
      </w:tr>
      <w:tr>
        <w:trPr>
          <w:trHeight w:val="20"/>
        </w:trPr>
        <w:tc>
          <w:tcPr>
            <w:tcW w:w="126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2"/>
        </w:trPr>
        <w:tc>
          <w:tcPr>
            <w:tcW w:w="1260" w:type="dxa"/>
            <w:vAlign w:val="bottom"/>
          </w:tcPr>
          <w:p>
            <w:pPr>
              <w:spacing w:after="0"/>
              <w:rPr>
                <w:sz w:val="13"/>
                <w:szCs w:val="13"/>
                <w:color w:val="auto"/>
              </w:rPr>
            </w:pPr>
          </w:p>
        </w:tc>
        <w:tc>
          <w:tcPr>
            <w:tcW w:w="3200" w:type="dxa"/>
            <w:vAlign w:val="bottom"/>
            <w:gridSpan w:val="12"/>
          </w:tcPr>
          <w:p>
            <w:pPr>
              <w:spacing w:after="0" w:line="152" w:lineRule="exact"/>
              <w:rPr>
                <w:rFonts w:ascii="Times New Roman" w:cs="Times New Roman" w:eastAsia="Times New Roman" w:hAnsi="Times New Roman"/>
                <w:sz w:val="14"/>
                <w:szCs w:val="14"/>
                <w:color w:val="0000FF"/>
              </w:rPr>
            </w:pPr>
            <w:hyperlink r:id="rId511">
              <w:r>
                <w:rPr>
                  <w:rFonts w:ascii="Times New Roman" w:cs="Times New Roman" w:eastAsia="Times New Roman" w:hAnsi="Times New Roman"/>
                  <w:sz w:val="14"/>
                  <w:szCs w:val="14"/>
                  <w:color w:val="0000FF"/>
                </w:rPr>
                <w:t>among Res-Care, Inc., certain other affiliated entities,</w:t>
              </w:r>
            </w:hyperlink>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2"/>
        </w:trPr>
        <w:tc>
          <w:tcPr>
            <w:tcW w:w="1260" w:type="dxa"/>
            <w:vAlign w:val="bottom"/>
          </w:tcPr>
          <w:p>
            <w:pPr>
              <w:spacing w:after="0"/>
              <w:rPr>
                <w:sz w:val="13"/>
                <w:szCs w:val="13"/>
                <w:color w:val="auto"/>
              </w:rPr>
            </w:pPr>
          </w:p>
        </w:tc>
        <w:tc>
          <w:tcPr>
            <w:tcW w:w="3200" w:type="dxa"/>
            <w:vAlign w:val="bottom"/>
            <w:gridSpan w:val="12"/>
          </w:tcPr>
          <w:p>
            <w:pPr>
              <w:spacing w:after="0" w:line="152" w:lineRule="exact"/>
              <w:rPr>
                <w:rFonts w:ascii="Times New Roman" w:cs="Times New Roman" w:eastAsia="Times New Roman" w:hAnsi="Times New Roman"/>
                <w:sz w:val="14"/>
                <w:szCs w:val="14"/>
                <w:color w:val="0000FF"/>
                <w:w w:val="98"/>
              </w:rPr>
            </w:pPr>
            <w:hyperlink r:id="rId511">
              <w:r>
                <w:rPr>
                  <w:rFonts w:ascii="Times New Roman" w:cs="Times New Roman" w:eastAsia="Times New Roman" w:hAnsi="Times New Roman"/>
                  <w:sz w:val="14"/>
                  <w:szCs w:val="14"/>
                  <w:color w:val="0000FF"/>
                  <w:w w:val="98"/>
                </w:rPr>
                <w:t>National Mentor Holdings, Inc., and BrightSpring Health</w:t>
              </w:r>
            </w:hyperlink>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2"/>
        </w:trPr>
        <w:tc>
          <w:tcPr>
            <w:tcW w:w="1260" w:type="dxa"/>
            <w:vAlign w:val="bottom"/>
          </w:tcPr>
          <w:p>
            <w:pPr>
              <w:spacing w:after="0"/>
              <w:rPr>
                <w:sz w:val="13"/>
                <w:szCs w:val="13"/>
                <w:color w:val="auto"/>
              </w:rPr>
            </w:pPr>
          </w:p>
        </w:tc>
        <w:tc>
          <w:tcPr>
            <w:tcW w:w="3200" w:type="dxa"/>
            <w:vAlign w:val="bottom"/>
            <w:gridSpan w:val="12"/>
          </w:tcPr>
          <w:p>
            <w:pPr>
              <w:spacing w:after="0" w:line="152" w:lineRule="exact"/>
              <w:rPr>
                <w:rFonts w:ascii="Times New Roman" w:cs="Times New Roman" w:eastAsia="Times New Roman" w:hAnsi="Times New Roman"/>
                <w:sz w:val="14"/>
                <w:szCs w:val="14"/>
                <w:color w:val="0000FF"/>
              </w:rPr>
            </w:pPr>
            <w:hyperlink r:id="rId511">
              <w:r>
                <w:rPr>
                  <w:rFonts w:ascii="Times New Roman" w:cs="Times New Roman" w:eastAsia="Times New Roman" w:hAnsi="Times New Roman"/>
                  <w:sz w:val="14"/>
                  <w:szCs w:val="14"/>
                  <w:color w:val="0000FF"/>
                </w:rPr>
                <w:t>Services, Inc. (solely for purposes of Section 5.24).</w:t>
              </w:r>
            </w:hyperlink>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2"/>
        </w:trPr>
        <w:tc>
          <w:tcPr>
            <w:tcW w:w="126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2.2</w:t>
            </w:r>
          </w:p>
        </w:tc>
        <w:tc>
          <w:tcPr>
            <w:tcW w:w="3200" w:type="dxa"/>
            <w:vAlign w:val="bottom"/>
            <w:gridSpan w:val="12"/>
          </w:tcPr>
          <w:p>
            <w:pPr>
              <w:spacing w:after="0" w:line="152" w:lineRule="exact"/>
              <w:rPr>
                <w:sz w:val="20"/>
                <w:szCs w:val="20"/>
                <w:color w:val="auto"/>
              </w:rPr>
            </w:pPr>
            <w:r>
              <w:rPr>
                <w:rFonts w:ascii="Times New Roman" w:cs="Times New Roman" w:eastAsia="Times New Roman" w:hAnsi="Times New Roman"/>
                <w:sz w:val="14"/>
                <w:szCs w:val="14"/>
                <w:color w:val="0000FF"/>
              </w:rPr>
              <w:t>First Amendment to Purchase Agreement, dated</w:t>
            </w: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2"/>
        </w:trPr>
        <w:tc>
          <w:tcPr>
            <w:tcW w:w="1260" w:type="dxa"/>
            <w:vAlign w:val="bottom"/>
          </w:tcPr>
          <w:p>
            <w:pPr>
              <w:spacing w:after="0"/>
              <w:rPr>
                <w:sz w:val="13"/>
                <w:szCs w:val="13"/>
                <w:color w:val="auto"/>
              </w:rPr>
            </w:pPr>
          </w:p>
        </w:tc>
        <w:tc>
          <w:tcPr>
            <w:tcW w:w="3200" w:type="dxa"/>
            <w:vAlign w:val="bottom"/>
            <w:gridSpan w:val="12"/>
          </w:tcPr>
          <w:p>
            <w:pPr>
              <w:spacing w:after="0" w:line="152" w:lineRule="exact"/>
              <w:rPr>
                <w:sz w:val="20"/>
                <w:szCs w:val="20"/>
                <w:color w:val="auto"/>
              </w:rPr>
            </w:pPr>
            <w:r>
              <w:rPr>
                <w:rFonts w:ascii="Times New Roman" w:cs="Times New Roman" w:eastAsia="Times New Roman" w:hAnsi="Times New Roman"/>
                <w:sz w:val="14"/>
                <w:szCs w:val="14"/>
                <w:color w:val="0000FF"/>
                <w:w w:val="99"/>
              </w:rPr>
              <w:t>December 5, 2025, by and among Res-Care, Inc., certain</w:t>
            </w: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2"/>
        </w:trPr>
        <w:tc>
          <w:tcPr>
            <w:tcW w:w="1260" w:type="dxa"/>
            <w:vAlign w:val="bottom"/>
          </w:tcPr>
          <w:p>
            <w:pPr>
              <w:spacing w:after="0"/>
              <w:rPr>
                <w:sz w:val="13"/>
                <w:szCs w:val="13"/>
                <w:color w:val="auto"/>
              </w:rPr>
            </w:pPr>
          </w:p>
        </w:tc>
        <w:tc>
          <w:tcPr>
            <w:tcW w:w="3200" w:type="dxa"/>
            <w:vAlign w:val="bottom"/>
            <w:gridSpan w:val="12"/>
          </w:tcPr>
          <w:p>
            <w:pPr>
              <w:spacing w:after="0" w:line="152" w:lineRule="exact"/>
              <w:rPr>
                <w:sz w:val="20"/>
                <w:szCs w:val="20"/>
                <w:color w:val="auto"/>
              </w:rPr>
            </w:pPr>
            <w:r>
              <w:rPr>
                <w:rFonts w:ascii="Times New Roman" w:cs="Times New Roman" w:eastAsia="Times New Roman" w:hAnsi="Times New Roman"/>
                <w:sz w:val="14"/>
                <w:szCs w:val="14"/>
                <w:color w:val="0000FF"/>
              </w:rPr>
              <w:t>other affiliated entities, National Mentor Holdings, Inc.,</w:t>
            </w: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2"/>
        </w:trPr>
        <w:tc>
          <w:tcPr>
            <w:tcW w:w="1260" w:type="dxa"/>
            <w:vAlign w:val="bottom"/>
          </w:tcPr>
          <w:p>
            <w:pPr>
              <w:spacing w:after="0"/>
              <w:rPr>
                <w:sz w:val="13"/>
                <w:szCs w:val="13"/>
                <w:color w:val="auto"/>
              </w:rPr>
            </w:pPr>
          </w:p>
        </w:tc>
        <w:tc>
          <w:tcPr>
            <w:tcW w:w="3200" w:type="dxa"/>
            <w:vAlign w:val="bottom"/>
            <w:gridSpan w:val="12"/>
          </w:tcPr>
          <w:p>
            <w:pPr>
              <w:spacing w:after="0" w:line="152" w:lineRule="exact"/>
              <w:rPr>
                <w:sz w:val="20"/>
                <w:szCs w:val="20"/>
                <w:color w:val="auto"/>
              </w:rPr>
            </w:pPr>
            <w:r>
              <w:rPr>
                <w:rFonts w:ascii="Times New Roman" w:cs="Times New Roman" w:eastAsia="Times New Roman" w:hAnsi="Times New Roman"/>
                <w:sz w:val="14"/>
                <w:szCs w:val="14"/>
                <w:color w:val="0000FF"/>
              </w:rPr>
              <w:t>and BrightSpring Health Services, Inc.</w:t>
            </w: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2"/>
        </w:trPr>
        <w:tc>
          <w:tcPr>
            <w:tcW w:w="126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3.1</w:t>
            </w:r>
          </w:p>
        </w:tc>
        <w:tc>
          <w:tcPr>
            <w:tcW w:w="3200" w:type="dxa"/>
            <w:vAlign w:val="bottom"/>
            <w:gridSpan w:val="12"/>
          </w:tcPr>
          <w:p>
            <w:pPr>
              <w:spacing w:after="0" w:line="152" w:lineRule="exact"/>
              <w:rPr>
                <w:rFonts w:ascii="Times New Roman" w:cs="Times New Roman" w:eastAsia="Times New Roman" w:hAnsi="Times New Roman"/>
                <w:sz w:val="14"/>
                <w:szCs w:val="14"/>
                <w:color w:val="0000FF"/>
              </w:rPr>
            </w:pPr>
            <w:hyperlink r:id="rId512">
              <w:r>
                <w:rPr>
                  <w:rFonts w:ascii="Times New Roman" w:cs="Times New Roman" w:eastAsia="Times New Roman" w:hAnsi="Times New Roman"/>
                  <w:sz w:val="14"/>
                  <w:szCs w:val="14"/>
                  <w:color w:val="0000FF"/>
                </w:rPr>
                <w:t>Second Amended and Restated Certificate of</w:t>
              </w:r>
            </w:hyperlink>
          </w:p>
        </w:tc>
        <w:tc>
          <w:tcPr>
            <w:tcW w:w="900" w:type="dxa"/>
            <w:vAlign w:val="bottom"/>
          </w:tcPr>
          <w:p>
            <w:pPr>
              <w:ind w:left="280"/>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1000" w:type="dxa"/>
            <w:vAlign w:val="bottom"/>
          </w:tcPr>
          <w:p>
            <w:pPr>
              <w:jc w:val="right"/>
              <w:ind w:right="130"/>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800" w:type="dxa"/>
            <w:vAlign w:val="bottom"/>
          </w:tcPr>
          <w:p>
            <w:pPr>
              <w:jc w:val="right"/>
              <w:ind w:right="330"/>
              <w:spacing w:after="0" w:line="152" w:lineRule="exact"/>
              <w:rPr>
                <w:sz w:val="20"/>
                <w:szCs w:val="20"/>
                <w:color w:val="auto"/>
              </w:rPr>
            </w:pPr>
            <w:r>
              <w:rPr>
                <w:rFonts w:ascii="Times New Roman" w:cs="Times New Roman" w:eastAsia="Times New Roman" w:hAnsi="Times New Roman"/>
                <w:sz w:val="14"/>
                <w:szCs w:val="14"/>
                <w:color w:val="auto"/>
              </w:rPr>
              <w:t>3.1</w:t>
            </w:r>
          </w:p>
        </w:tc>
        <w:tc>
          <w:tcPr>
            <w:tcW w:w="1620" w:type="dxa"/>
            <w:vAlign w:val="bottom"/>
          </w:tcPr>
          <w:p>
            <w:pPr>
              <w:jc w:val="right"/>
              <w:ind w:right="830"/>
              <w:spacing w:after="0" w:line="152" w:lineRule="exact"/>
              <w:rPr>
                <w:sz w:val="20"/>
                <w:szCs w:val="20"/>
                <w:color w:val="auto"/>
              </w:rPr>
            </w:pPr>
            <w:r>
              <w:rPr>
                <w:rFonts w:ascii="Times New Roman" w:cs="Times New Roman" w:eastAsia="Times New Roman" w:hAnsi="Times New Roman"/>
                <w:sz w:val="14"/>
                <w:szCs w:val="14"/>
                <w:color w:val="auto"/>
              </w:rPr>
              <w:t>1/30/2024</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2"/>
        </w:trPr>
        <w:tc>
          <w:tcPr>
            <w:tcW w:w="1260" w:type="dxa"/>
            <w:vAlign w:val="bottom"/>
          </w:tcPr>
          <w:p>
            <w:pPr>
              <w:spacing w:after="0"/>
              <w:rPr>
                <w:sz w:val="13"/>
                <w:szCs w:val="13"/>
                <w:color w:val="auto"/>
              </w:rPr>
            </w:pPr>
          </w:p>
        </w:tc>
        <w:tc>
          <w:tcPr>
            <w:tcW w:w="3200" w:type="dxa"/>
            <w:vAlign w:val="bottom"/>
            <w:gridSpan w:val="12"/>
          </w:tcPr>
          <w:p>
            <w:pPr>
              <w:spacing w:after="0" w:line="152" w:lineRule="exact"/>
              <w:rPr>
                <w:rFonts w:ascii="Times New Roman" w:cs="Times New Roman" w:eastAsia="Times New Roman" w:hAnsi="Times New Roman"/>
                <w:sz w:val="14"/>
                <w:szCs w:val="14"/>
                <w:color w:val="0000FF"/>
              </w:rPr>
            </w:pPr>
            <w:hyperlink r:id="rId512">
              <w:r>
                <w:rPr>
                  <w:rFonts w:ascii="Times New Roman" w:cs="Times New Roman" w:eastAsia="Times New Roman" w:hAnsi="Times New Roman"/>
                  <w:sz w:val="14"/>
                  <w:szCs w:val="14"/>
                  <w:color w:val="0000FF"/>
                </w:rPr>
                <w:t>Incorporation of BrightSpring Health Services, Inc.</w:t>
              </w:r>
            </w:hyperlink>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2"/>
        </w:trPr>
        <w:tc>
          <w:tcPr>
            <w:tcW w:w="126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3.2</w:t>
            </w:r>
          </w:p>
        </w:tc>
        <w:tc>
          <w:tcPr>
            <w:tcW w:w="3200" w:type="dxa"/>
            <w:vAlign w:val="bottom"/>
            <w:gridSpan w:val="12"/>
          </w:tcPr>
          <w:p>
            <w:pPr>
              <w:spacing w:after="0" w:line="152" w:lineRule="exact"/>
              <w:rPr>
                <w:rFonts w:ascii="Times New Roman" w:cs="Times New Roman" w:eastAsia="Times New Roman" w:hAnsi="Times New Roman"/>
                <w:sz w:val="14"/>
                <w:szCs w:val="14"/>
                <w:color w:val="0000FF"/>
              </w:rPr>
            </w:pPr>
            <w:hyperlink r:id="rId513">
              <w:r>
                <w:rPr>
                  <w:rFonts w:ascii="Times New Roman" w:cs="Times New Roman" w:eastAsia="Times New Roman" w:hAnsi="Times New Roman"/>
                  <w:sz w:val="14"/>
                  <w:szCs w:val="14"/>
                  <w:color w:val="0000FF"/>
                </w:rPr>
                <w:t>Amended and Restated Bylaws of BrightSpring Health</w:t>
              </w:r>
            </w:hyperlink>
          </w:p>
        </w:tc>
        <w:tc>
          <w:tcPr>
            <w:tcW w:w="900" w:type="dxa"/>
            <w:vAlign w:val="bottom"/>
          </w:tcPr>
          <w:p>
            <w:pPr>
              <w:ind w:left="280"/>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1000" w:type="dxa"/>
            <w:vAlign w:val="bottom"/>
          </w:tcPr>
          <w:p>
            <w:pPr>
              <w:jc w:val="right"/>
              <w:ind w:right="130"/>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800" w:type="dxa"/>
            <w:vAlign w:val="bottom"/>
          </w:tcPr>
          <w:p>
            <w:pPr>
              <w:jc w:val="right"/>
              <w:ind w:right="330"/>
              <w:spacing w:after="0" w:line="152" w:lineRule="exact"/>
              <w:rPr>
                <w:sz w:val="20"/>
                <w:szCs w:val="20"/>
                <w:color w:val="auto"/>
              </w:rPr>
            </w:pPr>
            <w:r>
              <w:rPr>
                <w:rFonts w:ascii="Times New Roman" w:cs="Times New Roman" w:eastAsia="Times New Roman" w:hAnsi="Times New Roman"/>
                <w:sz w:val="14"/>
                <w:szCs w:val="14"/>
                <w:color w:val="auto"/>
              </w:rPr>
              <w:t>3.2</w:t>
            </w:r>
          </w:p>
        </w:tc>
        <w:tc>
          <w:tcPr>
            <w:tcW w:w="1620" w:type="dxa"/>
            <w:vAlign w:val="bottom"/>
          </w:tcPr>
          <w:p>
            <w:pPr>
              <w:jc w:val="right"/>
              <w:ind w:right="830"/>
              <w:spacing w:after="0" w:line="152" w:lineRule="exact"/>
              <w:rPr>
                <w:sz w:val="20"/>
                <w:szCs w:val="20"/>
                <w:color w:val="auto"/>
              </w:rPr>
            </w:pPr>
            <w:r>
              <w:rPr>
                <w:rFonts w:ascii="Times New Roman" w:cs="Times New Roman" w:eastAsia="Times New Roman" w:hAnsi="Times New Roman"/>
                <w:sz w:val="14"/>
                <w:szCs w:val="14"/>
                <w:color w:val="auto"/>
              </w:rPr>
              <w:t>1/30/2024</w:t>
            </w:r>
          </w:p>
        </w:tc>
      </w:tr>
      <w:tr>
        <w:trPr>
          <w:trHeight w:val="20"/>
        </w:trPr>
        <w:tc>
          <w:tcPr>
            <w:tcW w:w="126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2"/>
        </w:trPr>
        <w:tc>
          <w:tcPr>
            <w:tcW w:w="1260" w:type="dxa"/>
            <w:vAlign w:val="bottom"/>
          </w:tcPr>
          <w:p>
            <w:pPr>
              <w:spacing w:after="0"/>
              <w:rPr>
                <w:sz w:val="13"/>
                <w:szCs w:val="13"/>
                <w:color w:val="auto"/>
              </w:rPr>
            </w:pPr>
          </w:p>
        </w:tc>
        <w:tc>
          <w:tcPr>
            <w:tcW w:w="3200" w:type="dxa"/>
            <w:vAlign w:val="bottom"/>
            <w:gridSpan w:val="12"/>
          </w:tcPr>
          <w:p>
            <w:pPr>
              <w:spacing w:after="0" w:line="152" w:lineRule="exact"/>
              <w:rPr>
                <w:rFonts w:ascii="Times New Roman" w:cs="Times New Roman" w:eastAsia="Times New Roman" w:hAnsi="Times New Roman"/>
                <w:sz w:val="14"/>
                <w:szCs w:val="14"/>
                <w:color w:val="0000FF"/>
              </w:rPr>
            </w:pPr>
            <w:hyperlink r:id="rId513">
              <w:r>
                <w:rPr>
                  <w:rFonts w:ascii="Times New Roman" w:cs="Times New Roman" w:eastAsia="Times New Roman" w:hAnsi="Times New Roman"/>
                  <w:sz w:val="14"/>
                  <w:szCs w:val="14"/>
                  <w:color w:val="0000FF"/>
                </w:rPr>
                <w:t>Services, Inc.</w:t>
              </w:r>
            </w:hyperlink>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2"/>
        </w:trPr>
        <w:tc>
          <w:tcPr>
            <w:tcW w:w="126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4.1</w:t>
            </w:r>
          </w:p>
        </w:tc>
        <w:tc>
          <w:tcPr>
            <w:tcW w:w="3200" w:type="dxa"/>
            <w:vAlign w:val="bottom"/>
            <w:gridSpan w:val="12"/>
          </w:tcPr>
          <w:p>
            <w:pPr>
              <w:spacing w:after="0" w:line="152" w:lineRule="exact"/>
              <w:rPr>
                <w:rFonts w:ascii="Times New Roman" w:cs="Times New Roman" w:eastAsia="Times New Roman" w:hAnsi="Times New Roman"/>
                <w:sz w:val="14"/>
                <w:szCs w:val="14"/>
                <w:color w:val="0000FF"/>
              </w:rPr>
            </w:pPr>
            <w:hyperlink r:id="rId514">
              <w:r>
                <w:rPr>
                  <w:rFonts w:ascii="Times New Roman" w:cs="Times New Roman" w:eastAsia="Times New Roman" w:hAnsi="Times New Roman"/>
                  <w:sz w:val="14"/>
                  <w:szCs w:val="14"/>
                  <w:color w:val="0000FF"/>
                </w:rPr>
                <w:t>Purchase Contract Agreement, dated as of January 30,</w:t>
              </w:r>
            </w:hyperlink>
          </w:p>
        </w:tc>
        <w:tc>
          <w:tcPr>
            <w:tcW w:w="900" w:type="dxa"/>
            <w:vAlign w:val="bottom"/>
          </w:tcPr>
          <w:p>
            <w:pPr>
              <w:ind w:left="280"/>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1000" w:type="dxa"/>
            <w:vAlign w:val="bottom"/>
          </w:tcPr>
          <w:p>
            <w:pPr>
              <w:jc w:val="right"/>
              <w:ind w:right="130"/>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800" w:type="dxa"/>
            <w:vAlign w:val="bottom"/>
          </w:tcPr>
          <w:p>
            <w:pPr>
              <w:jc w:val="right"/>
              <w:ind w:right="330"/>
              <w:spacing w:after="0" w:line="152" w:lineRule="exact"/>
              <w:rPr>
                <w:sz w:val="20"/>
                <w:szCs w:val="20"/>
                <w:color w:val="auto"/>
              </w:rPr>
            </w:pPr>
            <w:r>
              <w:rPr>
                <w:rFonts w:ascii="Times New Roman" w:cs="Times New Roman" w:eastAsia="Times New Roman" w:hAnsi="Times New Roman"/>
                <w:sz w:val="14"/>
                <w:szCs w:val="14"/>
                <w:color w:val="auto"/>
              </w:rPr>
              <w:t>4.1</w:t>
            </w:r>
          </w:p>
        </w:tc>
        <w:tc>
          <w:tcPr>
            <w:tcW w:w="1620" w:type="dxa"/>
            <w:vAlign w:val="bottom"/>
          </w:tcPr>
          <w:p>
            <w:pPr>
              <w:jc w:val="right"/>
              <w:ind w:right="830"/>
              <w:spacing w:after="0" w:line="152" w:lineRule="exact"/>
              <w:rPr>
                <w:sz w:val="20"/>
                <w:szCs w:val="20"/>
                <w:color w:val="auto"/>
              </w:rPr>
            </w:pPr>
            <w:r>
              <w:rPr>
                <w:rFonts w:ascii="Times New Roman" w:cs="Times New Roman" w:eastAsia="Times New Roman" w:hAnsi="Times New Roman"/>
                <w:sz w:val="14"/>
                <w:szCs w:val="14"/>
                <w:color w:val="auto"/>
              </w:rPr>
              <w:t>1/30/2024</w:t>
            </w:r>
          </w:p>
        </w:tc>
      </w:tr>
      <w:tr>
        <w:trPr>
          <w:trHeight w:val="20"/>
        </w:trPr>
        <w:tc>
          <w:tcPr>
            <w:tcW w:w="1260" w:type="dxa"/>
            <w:vAlign w:val="bottom"/>
          </w:tcPr>
          <w:p>
            <w:pPr>
              <w:spacing w:after="0" w:line="20" w:lineRule="exact"/>
              <w:rPr>
                <w:sz w:val="1"/>
                <w:szCs w:val="1"/>
                <w:color w:val="auto"/>
              </w:rPr>
            </w:pPr>
          </w:p>
        </w:tc>
        <w:tc>
          <w:tcPr>
            <w:tcW w:w="22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2"/>
        </w:trPr>
        <w:tc>
          <w:tcPr>
            <w:tcW w:w="1260" w:type="dxa"/>
            <w:vAlign w:val="bottom"/>
          </w:tcPr>
          <w:p>
            <w:pPr>
              <w:spacing w:after="0"/>
              <w:rPr>
                <w:sz w:val="13"/>
                <w:szCs w:val="13"/>
                <w:color w:val="auto"/>
              </w:rPr>
            </w:pPr>
          </w:p>
        </w:tc>
        <w:tc>
          <w:tcPr>
            <w:tcW w:w="3200" w:type="dxa"/>
            <w:vAlign w:val="bottom"/>
            <w:gridSpan w:val="12"/>
          </w:tcPr>
          <w:p>
            <w:pPr>
              <w:spacing w:after="0" w:line="152" w:lineRule="exact"/>
              <w:rPr>
                <w:rFonts w:ascii="Times New Roman" w:cs="Times New Roman" w:eastAsia="Times New Roman" w:hAnsi="Times New Roman"/>
                <w:sz w:val="14"/>
                <w:szCs w:val="14"/>
                <w:color w:val="0000FF"/>
              </w:rPr>
            </w:pPr>
            <w:hyperlink r:id="rId514">
              <w:r>
                <w:rPr>
                  <w:rFonts w:ascii="Times New Roman" w:cs="Times New Roman" w:eastAsia="Times New Roman" w:hAnsi="Times New Roman"/>
                  <w:sz w:val="14"/>
                  <w:szCs w:val="14"/>
                  <w:color w:val="0000FF"/>
                </w:rPr>
                <w:t>2024, between BrightSpring Health Services, Inc. and</w:t>
              </w:r>
            </w:hyperlink>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22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2"/>
        </w:trPr>
        <w:tc>
          <w:tcPr>
            <w:tcW w:w="1260" w:type="dxa"/>
            <w:vAlign w:val="bottom"/>
          </w:tcPr>
          <w:p>
            <w:pPr>
              <w:spacing w:after="0"/>
              <w:rPr>
                <w:sz w:val="13"/>
                <w:szCs w:val="13"/>
                <w:color w:val="auto"/>
              </w:rPr>
            </w:pPr>
          </w:p>
        </w:tc>
        <w:tc>
          <w:tcPr>
            <w:tcW w:w="3200" w:type="dxa"/>
            <w:vAlign w:val="bottom"/>
            <w:gridSpan w:val="12"/>
          </w:tcPr>
          <w:p>
            <w:pPr>
              <w:spacing w:after="0" w:line="152" w:lineRule="exact"/>
              <w:rPr>
                <w:rFonts w:ascii="Times New Roman" w:cs="Times New Roman" w:eastAsia="Times New Roman" w:hAnsi="Times New Roman"/>
                <w:sz w:val="14"/>
                <w:szCs w:val="14"/>
                <w:color w:val="0000FF"/>
              </w:rPr>
            </w:pPr>
            <w:hyperlink r:id="rId514">
              <w:r>
                <w:rPr>
                  <w:rFonts w:ascii="Times New Roman" w:cs="Times New Roman" w:eastAsia="Times New Roman" w:hAnsi="Times New Roman"/>
                  <w:sz w:val="14"/>
                  <w:szCs w:val="14"/>
                  <w:color w:val="0000FF"/>
                </w:rPr>
                <w:t>U.S. Bank Trust Company, National Association, as</w:t>
              </w:r>
            </w:hyperlink>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22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2"/>
        </w:trPr>
        <w:tc>
          <w:tcPr>
            <w:tcW w:w="1260" w:type="dxa"/>
            <w:vAlign w:val="bottom"/>
          </w:tcPr>
          <w:p>
            <w:pPr>
              <w:spacing w:after="0"/>
              <w:rPr>
                <w:sz w:val="13"/>
                <w:szCs w:val="13"/>
                <w:color w:val="auto"/>
              </w:rPr>
            </w:pPr>
          </w:p>
        </w:tc>
        <w:tc>
          <w:tcPr>
            <w:tcW w:w="3200" w:type="dxa"/>
            <w:vAlign w:val="bottom"/>
            <w:gridSpan w:val="12"/>
          </w:tcPr>
          <w:p>
            <w:pPr>
              <w:spacing w:after="0" w:line="152" w:lineRule="exact"/>
              <w:rPr>
                <w:rFonts w:ascii="Times New Roman" w:cs="Times New Roman" w:eastAsia="Times New Roman" w:hAnsi="Times New Roman"/>
                <w:sz w:val="14"/>
                <w:szCs w:val="14"/>
                <w:color w:val="0000FF"/>
              </w:rPr>
            </w:pPr>
            <w:hyperlink r:id="rId514">
              <w:r>
                <w:rPr>
                  <w:rFonts w:ascii="Times New Roman" w:cs="Times New Roman" w:eastAsia="Times New Roman" w:hAnsi="Times New Roman"/>
                  <w:sz w:val="14"/>
                  <w:szCs w:val="14"/>
                  <w:color w:val="0000FF"/>
                </w:rPr>
                <w:t>purchase contract agent, as attorney-in-fact for the</w:t>
              </w:r>
            </w:hyperlink>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22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2"/>
        </w:trPr>
        <w:tc>
          <w:tcPr>
            <w:tcW w:w="1260" w:type="dxa"/>
            <w:vAlign w:val="bottom"/>
          </w:tcPr>
          <w:p>
            <w:pPr>
              <w:spacing w:after="0"/>
              <w:rPr>
                <w:sz w:val="13"/>
                <w:szCs w:val="13"/>
                <w:color w:val="auto"/>
              </w:rPr>
            </w:pPr>
          </w:p>
        </w:tc>
        <w:tc>
          <w:tcPr>
            <w:tcW w:w="3200" w:type="dxa"/>
            <w:vAlign w:val="bottom"/>
            <w:gridSpan w:val="12"/>
          </w:tcPr>
          <w:p>
            <w:pPr>
              <w:spacing w:after="0" w:line="152" w:lineRule="exact"/>
              <w:rPr>
                <w:rFonts w:ascii="Times New Roman" w:cs="Times New Roman" w:eastAsia="Times New Roman" w:hAnsi="Times New Roman"/>
                <w:sz w:val="14"/>
                <w:szCs w:val="14"/>
                <w:color w:val="0000FF"/>
              </w:rPr>
            </w:pPr>
            <w:hyperlink r:id="rId514">
              <w:r>
                <w:rPr>
                  <w:rFonts w:ascii="Times New Roman" w:cs="Times New Roman" w:eastAsia="Times New Roman" w:hAnsi="Times New Roman"/>
                  <w:sz w:val="14"/>
                  <w:szCs w:val="14"/>
                  <w:color w:val="0000FF"/>
                </w:rPr>
                <w:t>Holders from time to time as provided therein and as</w:t>
              </w:r>
            </w:hyperlink>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22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2"/>
        </w:trPr>
        <w:tc>
          <w:tcPr>
            <w:tcW w:w="1260" w:type="dxa"/>
            <w:vAlign w:val="bottom"/>
          </w:tcPr>
          <w:p>
            <w:pPr>
              <w:spacing w:after="0"/>
              <w:rPr>
                <w:sz w:val="13"/>
                <w:szCs w:val="13"/>
                <w:color w:val="auto"/>
              </w:rPr>
            </w:pPr>
          </w:p>
        </w:tc>
        <w:tc>
          <w:tcPr>
            <w:tcW w:w="3200" w:type="dxa"/>
            <w:vAlign w:val="bottom"/>
            <w:gridSpan w:val="12"/>
          </w:tcPr>
          <w:p>
            <w:pPr>
              <w:spacing w:after="0" w:line="152" w:lineRule="exact"/>
              <w:rPr>
                <w:rFonts w:ascii="Times New Roman" w:cs="Times New Roman" w:eastAsia="Times New Roman" w:hAnsi="Times New Roman"/>
                <w:sz w:val="14"/>
                <w:szCs w:val="14"/>
                <w:color w:val="0000FF"/>
              </w:rPr>
            </w:pPr>
            <w:hyperlink r:id="rId514">
              <w:r>
                <w:rPr>
                  <w:rFonts w:ascii="Times New Roman" w:cs="Times New Roman" w:eastAsia="Times New Roman" w:hAnsi="Times New Roman"/>
                  <w:sz w:val="14"/>
                  <w:szCs w:val="14"/>
                  <w:color w:val="0000FF"/>
                </w:rPr>
                <w:t>trustee under the indenture referred to therein.</w:t>
              </w:r>
            </w:hyperlink>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2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2"/>
        </w:trPr>
        <w:tc>
          <w:tcPr>
            <w:tcW w:w="126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4.2</w:t>
            </w:r>
          </w:p>
        </w:tc>
        <w:tc>
          <w:tcPr>
            <w:tcW w:w="3200" w:type="dxa"/>
            <w:vAlign w:val="bottom"/>
            <w:gridSpan w:val="12"/>
          </w:tcPr>
          <w:p>
            <w:pPr>
              <w:spacing w:after="0" w:line="152" w:lineRule="exact"/>
              <w:rPr>
                <w:rFonts w:ascii="Times New Roman" w:cs="Times New Roman" w:eastAsia="Times New Roman" w:hAnsi="Times New Roman"/>
                <w:sz w:val="14"/>
                <w:szCs w:val="14"/>
                <w:color w:val="0000FF"/>
              </w:rPr>
            </w:pPr>
            <w:hyperlink r:id="rId514">
              <w:r>
                <w:rPr>
                  <w:rFonts w:ascii="Times New Roman" w:cs="Times New Roman" w:eastAsia="Times New Roman" w:hAnsi="Times New Roman"/>
                  <w:sz w:val="14"/>
                  <w:szCs w:val="14"/>
                  <w:color w:val="0000FF"/>
                </w:rPr>
                <w:t>Form of Unit (included in Exhibit 4.1).</w:t>
              </w:r>
            </w:hyperlink>
          </w:p>
        </w:tc>
        <w:tc>
          <w:tcPr>
            <w:tcW w:w="900" w:type="dxa"/>
            <w:vAlign w:val="bottom"/>
          </w:tcPr>
          <w:p>
            <w:pPr>
              <w:ind w:left="280"/>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1000" w:type="dxa"/>
            <w:vAlign w:val="bottom"/>
          </w:tcPr>
          <w:p>
            <w:pPr>
              <w:jc w:val="right"/>
              <w:ind w:right="130"/>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800" w:type="dxa"/>
            <w:vAlign w:val="bottom"/>
          </w:tcPr>
          <w:p>
            <w:pPr>
              <w:jc w:val="right"/>
              <w:ind w:right="330"/>
              <w:spacing w:after="0" w:line="152" w:lineRule="exact"/>
              <w:rPr>
                <w:sz w:val="20"/>
                <w:szCs w:val="20"/>
                <w:color w:val="auto"/>
              </w:rPr>
            </w:pPr>
            <w:r>
              <w:rPr>
                <w:rFonts w:ascii="Times New Roman" w:cs="Times New Roman" w:eastAsia="Times New Roman" w:hAnsi="Times New Roman"/>
                <w:sz w:val="14"/>
                <w:szCs w:val="14"/>
                <w:color w:val="auto"/>
              </w:rPr>
              <w:t>4.2</w:t>
            </w:r>
          </w:p>
        </w:tc>
        <w:tc>
          <w:tcPr>
            <w:tcW w:w="1620" w:type="dxa"/>
            <w:vAlign w:val="bottom"/>
          </w:tcPr>
          <w:p>
            <w:pPr>
              <w:jc w:val="right"/>
              <w:ind w:right="830"/>
              <w:spacing w:after="0" w:line="152" w:lineRule="exact"/>
              <w:rPr>
                <w:sz w:val="20"/>
                <w:szCs w:val="20"/>
                <w:color w:val="auto"/>
              </w:rPr>
            </w:pPr>
            <w:r>
              <w:rPr>
                <w:rFonts w:ascii="Times New Roman" w:cs="Times New Roman" w:eastAsia="Times New Roman" w:hAnsi="Times New Roman"/>
                <w:sz w:val="14"/>
                <w:szCs w:val="14"/>
                <w:color w:val="auto"/>
              </w:rPr>
              <w:t>1/30/2024</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2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2"/>
        </w:trPr>
        <w:tc>
          <w:tcPr>
            <w:tcW w:w="126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4.3</w:t>
            </w:r>
          </w:p>
        </w:tc>
        <w:tc>
          <w:tcPr>
            <w:tcW w:w="3200" w:type="dxa"/>
            <w:vAlign w:val="bottom"/>
            <w:gridSpan w:val="12"/>
          </w:tcPr>
          <w:p>
            <w:pPr>
              <w:spacing w:after="0" w:line="152" w:lineRule="exact"/>
              <w:rPr>
                <w:rFonts w:ascii="Times New Roman" w:cs="Times New Roman" w:eastAsia="Times New Roman" w:hAnsi="Times New Roman"/>
                <w:sz w:val="14"/>
                <w:szCs w:val="14"/>
                <w:color w:val="0000FF"/>
              </w:rPr>
            </w:pPr>
            <w:hyperlink r:id="rId514">
              <w:r>
                <w:rPr>
                  <w:rFonts w:ascii="Times New Roman" w:cs="Times New Roman" w:eastAsia="Times New Roman" w:hAnsi="Times New Roman"/>
                  <w:sz w:val="14"/>
                  <w:szCs w:val="14"/>
                  <w:color w:val="0000FF"/>
                </w:rPr>
                <w:t>Form of Purchase Contract (included in Exhibit 4.1).</w:t>
              </w:r>
            </w:hyperlink>
          </w:p>
        </w:tc>
        <w:tc>
          <w:tcPr>
            <w:tcW w:w="900" w:type="dxa"/>
            <w:vAlign w:val="bottom"/>
          </w:tcPr>
          <w:p>
            <w:pPr>
              <w:ind w:left="280"/>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1000" w:type="dxa"/>
            <w:vAlign w:val="bottom"/>
          </w:tcPr>
          <w:p>
            <w:pPr>
              <w:jc w:val="right"/>
              <w:ind w:right="130"/>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800" w:type="dxa"/>
            <w:vAlign w:val="bottom"/>
          </w:tcPr>
          <w:p>
            <w:pPr>
              <w:jc w:val="right"/>
              <w:ind w:right="330"/>
              <w:spacing w:after="0" w:line="152" w:lineRule="exact"/>
              <w:rPr>
                <w:sz w:val="20"/>
                <w:szCs w:val="20"/>
                <w:color w:val="auto"/>
              </w:rPr>
            </w:pPr>
            <w:r>
              <w:rPr>
                <w:rFonts w:ascii="Times New Roman" w:cs="Times New Roman" w:eastAsia="Times New Roman" w:hAnsi="Times New Roman"/>
                <w:sz w:val="14"/>
                <w:szCs w:val="14"/>
                <w:color w:val="auto"/>
              </w:rPr>
              <w:t>4.3</w:t>
            </w:r>
          </w:p>
        </w:tc>
        <w:tc>
          <w:tcPr>
            <w:tcW w:w="1620" w:type="dxa"/>
            <w:vAlign w:val="bottom"/>
          </w:tcPr>
          <w:p>
            <w:pPr>
              <w:jc w:val="right"/>
              <w:ind w:right="830"/>
              <w:spacing w:after="0" w:line="152" w:lineRule="exact"/>
              <w:rPr>
                <w:sz w:val="20"/>
                <w:szCs w:val="20"/>
                <w:color w:val="auto"/>
              </w:rPr>
            </w:pPr>
            <w:r>
              <w:rPr>
                <w:rFonts w:ascii="Times New Roman" w:cs="Times New Roman" w:eastAsia="Times New Roman" w:hAnsi="Times New Roman"/>
                <w:sz w:val="14"/>
                <w:szCs w:val="14"/>
                <w:color w:val="auto"/>
              </w:rPr>
              <w:t>1/30/2024</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2"/>
        </w:trPr>
        <w:tc>
          <w:tcPr>
            <w:tcW w:w="126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4.4</w:t>
            </w:r>
          </w:p>
        </w:tc>
        <w:tc>
          <w:tcPr>
            <w:tcW w:w="3200" w:type="dxa"/>
            <w:vAlign w:val="bottom"/>
            <w:gridSpan w:val="12"/>
          </w:tcPr>
          <w:p>
            <w:pPr>
              <w:spacing w:after="0" w:line="152" w:lineRule="exact"/>
              <w:rPr>
                <w:rFonts w:ascii="Times New Roman" w:cs="Times New Roman" w:eastAsia="Times New Roman" w:hAnsi="Times New Roman"/>
                <w:sz w:val="14"/>
                <w:szCs w:val="14"/>
                <w:color w:val="0000FF"/>
              </w:rPr>
            </w:pPr>
            <w:hyperlink r:id="rId515">
              <w:r>
                <w:rPr>
                  <w:rFonts w:ascii="Times New Roman" w:cs="Times New Roman" w:eastAsia="Times New Roman" w:hAnsi="Times New Roman"/>
                  <w:sz w:val="14"/>
                  <w:szCs w:val="14"/>
                  <w:color w:val="0000FF"/>
                </w:rPr>
                <w:t>Indenture, dated as of January 30, 2024, between</w:t>
              </w:r>
            </w:hyperlink>
          </w:p>
        </w:tc>
        <w:tc>
          <w:tcPr>
            <w:tcW w:w="900" w:type="dxa"/>
            <w:vAlign w:val="bottom"/>
          </w:tcPr>
          <w:p>
            <w:pPr>
              <w:ind w:left="280"/>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1000" w:type="dxa"/>
            <w:vAlign w:val="bottom"/>
          </w:tcPr>
          <w:p>
            <w:pPr>
              <w:jc w:val="right"/>
              <w:ind w:right="130"/>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800" w:type="dxa"/>
            <w:vAlign w:val="bottom"/>
          </w:tcPr>
          <w:p>
            <w:pPr>
              <w:jc w:val="right"/>
              <w:ind w:right="330"/>
              <w:spacing w:after="0" w:line="152" w:lineRule="exact"/>
              <w:rPr>
                <w:sz w:val="20"/>
                <w:szCs w:val="20"/>
                <w:color w:val="auto"/>
              </w:rPr>
            </w:pPr>
            <w:r>
              <w:rPr>
                <w:rFonts w:ascii="Times New Roman" w:cs="Times New Roman" w:eastAsia="Times New Roman" w:hAnsi="Times New Roman"/>
                <w:sz w:val="14"/>
                <w:szCs w:val="14"/>
                <w:color w:val="auto"/>
              </w:rPr>
              <w:t>4.4</w:t>
            </w:r>
          </w:p>
        </w:tc>
        <w:tc>
          <w:tcPr>
            <w:tcW w:w="1620" w:type="dxa"/>
            <w:vAlign w:val="bottom"/>
          </w:tcPr>
          <w:p>
            <w:pPr>
              <w:jc w:val="right"/>
              <w:ind w:right="830"/>
              <w:spacing w:after="0" w:line="152" w:lineRule="exact"/>
              <w:rPr>
                <w:sz w:val="20"/>
                <w:szCs w:val="20"/>
                <w:color w:val="auto"/>
              </w:rPr>
            </w:pPr>
            <w:r>
              <w:rPr>
                <w:rFonts w:ascii="Times New Roman" w:cs="Times New Roman" w:eastAsia="Times New Roman" w:hAnsi="Times New Roman"/>
                <w:sz w:val="14"/>
                <w:szCs w:val="14"/>
                <w:color w:val="auto"/>
              </w:rPr>
              <w:t>1/30/2024</w:t>
            </w:r>
          </w:p>
        </w:tc>
      </w:tr>
      <w:tr>
        <w:trPr>
          <w:trHeight w:val="20"/>
        </w:trPr>
        <w:tc>
          <w:tcPr>
            <w:tcW w:w="1260" w:type="dxa"/>
            <w:vAlign w:val="bottom"/>
          </w:tcPr>
          <w:p>
            <w:pPr>
              <w:spacing w:after="0" w:line="20" w:lineRule="exact"/>
              <w:rPr>
                <w:sz w:val="1"/>
                <w:szCs w:val="1"/>
                <w:color w:val="auto"/>
              </w:rPr>
            </w:pPr>
          </w:p>
        </w:tc>
        <w:tc>
          <w:tcPr>
            <w:tcW w:w="246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2"/>
        </w:trPr>
        <w:tc>
          <w:tcPr>
            <w:tcW w:w="1260" w:type="dxa"/>
            <w:vAlign w:val="bottom"/>
          </w:tcPr>
          <w:p>
            <w:pPr>
              <w:spacing w:after="0"/>
              <w:rPr>
                <w:sz w:val="13"/>
                <w:szCs w:val="13"/>
                <w:color w:val="auto"/>
              </w:rPr>
            </w:pPr>
          </w:p>
        </w:tc>
        <w:tc>
          <w:tcPr>
            <w:tcW w:w="3200" w:type="dxa"/>
            <w:vAlign w:val="bottom"/>
            <w:gridSpan w:val="12"/>
          </w:tcPr>
          <w:p>
            <w:pPr>
              <w:spacing w:after="0" w:line="152" w:lineRule="exact"/>
              <w:rPr>
                <w:rFonts w:ascii="Times New Roman" w:cs="Times New Roman" w:eastAsia="Times New Roman" w:hAnsi="Times New Roman"/>
                <w:sz w:val="14"/>
                <w:szCs w:val="14"/>
                <w:color w:val="0000FF"/>
              </w:rPr>
            </w:pPr>
            <w:hyperlink r:id="rId515">
              <w:r>
                <w:rPr>
                  <w:rFonts w:ascii="Times New Roman" w:cs="Times New Roman" w:eastAsia="Times New Roman" w:hAnsi="Times New Roman"/>
                  <w:sz w:val="14"/>
                  <w:szCs w:val="14"/>
                  <w:color w:val="0000FF"/>
                </w:rPr>
                <w:t>BrightSpring Health Services, Inc. and U.S. Bank Trust</w:t>
              </w:r>
            </w:hyperlink>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24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2"/>
        </w:trPr>
        <w:tc>
          <w:tcPr>
            <w:tcW w:w="1260" w:type="dxa"/>
            <w:vAlign w:val="bottom"/>
          </w:tcPr>
          <w:p>
            <w:pPr>
              <w:spacing w:after="0"/>
              <w:rPr>
                <w:sz w:val="13"/>
                <w:szCs w:val="13"/>
                <w:color w:val="auto"/>
              </w:rPr>
            </w:pPr>
          </w:p>
        </w:tc>
        <w:tc>
          <w:tcPr>
            <w:tcW w:w="3200" w:type="dxa"/>
            <w:vAlign w:val="bottom"/>
            <w:gridSpan w:val="12"/>
          </w:tcPr>
          <w:p>
            <w:pPr>
              <w:spacing w:after="0" w:line="152" w:lineRule="exact"/>
              <w:rPr>
                <w:rFonts w:ascii="Times New Roman" w:cs="Times New Roman" w:eastAsia="Times New Roman" w:hAnsi="Times New Roman"/>
                <w:sz w:val="14"/>
                <w:szCs w:val="14"/>
                <w:color w:val="0000FF"/>
              </w:rPr>
            </w:pPr>
            <w:hyperlink r:id="rId515">
              <w:r>
                <w:rPr>
                  <w:rFonts w:ascii="Times New Roman" w:cs="Times New Roman" w:eastAsia="Times New Roman" w:hAnsi="Times New Roman"/>
                  <w:sz w:val="14"/>
                  <w:szCs w:val="14"/>
                  <w:color w:val="0000FF"/>
                </w:rPr>
                <w:t>Company, National Association, as trustee.</w:t>
              </w:r>
            </w:hyperlink>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left w:val="single" w:sz="8" w:color="0000EE"/>
            </w:tcBorders>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2"/>
        </w:trPr>
        <w:tc>
          <w:tcPr>
            <w:tcW w:w="126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4.5</w:t>
            </w:r>
          </w:p>
        </w:tc>
        <w:tc>
          <w:tcPr>
            <w:tcW w:w="3200" w:type="dxa"/>
            <w:vAlign w:val="bottom"/>
            <w:gridSpan w:val="12"/>
          </w:tcPr>
          <w:p>
            <w:pPr>
              <w:spacing w:after="0" w:line="152" w:lineRule="exact"/>
              <w:rPr>
                <w:rFonts w:ascii="Times New Roman" w:cs="Times New Roman" w:eastAsia="Times New Roman" w:hAnsi="Times New Roman"/>
                <w:sz w:val="14"/>
                <w:szCs w:val="14"/>
                <w:color w:val="0000FF"/>
              </w:rPr>
            </w:pPr>
            <w:hyperlink r:id="rId516">
              <w:r>
                <w:rPr>
                  <w:rFonts w:ascii="Times New Roman" w:cs="Times New Roman" w:eastAsia="Times New Roman" w:hAnsi="Times New Roman"/>
                  <w:sz w:val="14"/>
                  <w:szCs w:val="14"/>
                  <w:color w:val="0000FF"/>
                </w:rPr>
                <w:t>First Supplemental Indenture, dated as of January 30,</w:t>
              </w:r>
            </w:hyperlink>
          </w:p>
        </w:tc>
        <w:tc>
          <w:tcPr>
            <w:tcW w:w="900" w:type="dxa"/>
            <w:vAlign w:val="bottom"/>
          </w:tcPr>
          <w:p>
            <w:pPr>
              <w:ind w:left="280"/>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1000" w:type="dxa"/>
            <w:vAlign w:val="bottom"/>
          </w:tcPr>
          <w:p>
            <w:pPr>
              <w:jc w:val="right"/>
              <w:ind w:right="130"/>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800" w:type="dxa"/>
            <w:vAlign w:val="bottom"/>
          </w:tcPr>
          <w:p>
            <w:pPr>
              <w:jc w:val="right"/>
              <w:ind w:right="330"/>
              <w:spacing w:after="0" w:line="152" w:lineRule="exact"/>
              <w:rPr>
                <w:sz w:val="20"/>
                <w:szCs w:val="20"/>
                <w:color w:val="auto"/>
              </w:rPr>
            </w:pPr>
            <w:r>
              <w:rPr>
                <w:rFonts w:ascii="Times New Roman" w:cs="Times New Roman" w:eastAsia="Times New Roman" w:hAnsi="Times New Roman"/>
                <w:sz w:val="14"/>
                <w:szCs w:val="14"/>
                <w:color w:val="auto"/>
              </w:rPr>
              <w:t>4.5</w:t>
            </w:r>
          </w:p>
        </w:tc>
        <w:tc>
          <w:tcPr>
            <w:tcW w:w="1620" w:type="dxa"/>
            <w:vAlign w:val="bottom"/>
          </w:tcPr>
          <w:p>
            <w:pPr>
              <w:jc w:val="right"/>
              <w:ind w:right="830"/>
              <w:spacing w:after="0" w:line="152" w:lineRule="exact"/>
              <w:rPr>
                <w:sz w:val="20"/>
                <w:szCs w:val="20"/>
                <w:color w:val="auto"/>
              </w:rPr>
            </w:pPr>
            <w:r>
              <w:rPr>
                <w:rFonts w:ascii="Times New Roman" w:cs="Times New Roman" w:eastAsia="Times New Roman" w:hAnsi="Times New Roman"/>
                <w:sz w:val="14"/>
                <w:szCs w:val="14"/>
                <w:color w:val="auto"/>
              </w:rPr>
              <w:t>1/30/2024</w:t>
            </w:r>
          </w:p>
        </w:tc>
      </w:tr>
      <w:tr>
        <w:trPr>
          <w:trHeight w:val="20"/>
        </w:trPr>
        <w:tc>
          <w:tcPr>
            <w:tcW w:w="1260" w:type="dxa"/>
            <w:vAlign w:val="bottom"/>
          </w:tcPr>
          <w:p>
            <w:pPr>
              <w:spacing w:after="0" w:line="20" w:lineRule="exact"/>
              <w:rPr>
                <w:sz w:val="1"/>
                <w:szCs w:val="1"/>
                <w:color w:val="auto"/>
              </w:rPr>
            </w:pPr>
          </w:p>
        </w:tc>
        <w:tc>
          <w:tcPr>
            <w:tcW w:w="24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2"/>
        </w:trPr>
        <w:tc>
          <w:tcPr>
            <w:tcW w:w="1260" w:type="dxa"/>
            <w:vAlign w:val="bottom"/>
          </w:tcPr>
          <w:p>
            <w:pPr>
              <w:spacing w:after="0"/>
              <w:rPr>
                <w:sz w:val="13"/>
                <w:szCs w:val="13"/>
                <w:color w:val="auto"/>
              </w:rPr>
            </w:pPr>
          </w:p>
        </w:tc>
        <w:tc>
          <w:tcPr>
            <w:tcW w:w="3200" w:type="dxa"/>
            <w:vAlign w:val="bottom"/>
            <w:gridSpan w:val="12"/>
          </w:tcPr>
          <w:p>
            <w:pPr>
              <w:spacing w:after="0" w:line="152" w:lineRule="exact"/>
              <w:rPr>
                <w:rFonts w:ascii="Times New Roman" w:cs="Times New Roman" w:eastAsia="Times New Roman" w:hAnsi="Times New Roman"/>
                <w:sz w:val="14"/>
                <w:szCs w:val="14"/>
                <w:color w:val="0000FF"/>
              </w:rPr>
            </w:pPr>
            <w:hyperlink r:id="rId516">
              <w:r>
                <w:rPr>
                  <w:rFonts w:ascii="Times New Roman" w:cs="Times New Roman" w:eastAsia="Times New Roman" w:hAnsi="Times New Roman"/>
                  <w:sz w:val="14"/>
                  <w:szCs w:val="14"/>
                  <w:color w:val="0000FF"/>
                </w:rPr>
                <w:t>2024, between BrightSpring Health Services, Inc. and</w:t>
              </w:r>
            </w:hyperlink>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24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2"/>
        </w:trPr>
        <w:tc>
          <w:tcPr>
            <w:tcW w:w="1260" w:type="dxa"/>
            <w:vAlign w:val="bottom"/>
          </w:tcPr>
          <w:p>
            <w:pPr>
              <w:spacing w:after="0"/>
              <w:rPr>
                <w:sz w:val="13"/>
                <w:szCs w:val="13"/>
                <w:color w:val="auto"/>
              </w:rPr>
            </w:pPr>
          </w:p>
        </w:tc>
        <w:tc>
          <w:tcPr>
            <w:tcW w:w="3200" w:type="dxa"/>
            <w:vAlign w:val="bottom"/>
            <w:gridSpan w:val="12"/>
          </w:tcPr>
          <w:p>
            <w:pPr>
              <w:spacing w:after="0" w:line="152" w:lineRule="exact"/>
              <w:rPr>
                <w:rFonts w:ascii="Times New Roman" w:cs="Times New Roman" w:eastAsia="Times New Roman" w:hAnsi="Times New Roman"/>
                <w:sz w:val="14"/>
                <w:szCs w:val="14"/>
                <w:color w:val="0000FF"/>
              </w:rPr>
            </w:pPr>
            <w:hyperlink r:id="rId516">
              <w:r>
                <w:rPr>
                  <w:rFonts w:ascii="Times New Roman" w:cs="Times New Roman" w:eastAsia="Times New Roman" w:hAnsi="Times New Roman"/>
                  <w:sz w:val="14"/>
                  <w:szCs w:val="14"/>
                  <w:color w:val="0000FF"/>
                </w:rPr>
                <w:t>U.S. Bank Trust Company, National Association, as</w:t>
              </w:r>
            </w:hyperlink>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24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2"/>
        </w:trPr>
        <w:tc>
          <w:tcPr>
            <w:tcW w:w="1260" w:type="dxa"/>
            <w:vAlign w:val="bottom"/>
          </w:tcPr>
          <w:p>
            <w:pPr>
              <w:spacing w:after="0"/>
              <w:rPr>
                <w:sz w:val="13"/>
                <w:szCs w:val="13"/>
                <w:color w:val="auto"/>
              </w:rPr>
            </w:pPr>
          </w:p>
        </w:tc>
        <w:tc>
          <w:tcPr>
            <w:tcW w:w="3200" w:type="dxa"/>
            <w:vAlign w:val="bottom"/>
            <w:gridSpan w:val="12"/>
          </w:tcPr>
          <w:p>
            <w:pPr>
              <w:spacing w:after="0" w:line="152" w:lineRule="exact"/>
              <w:rPr>
                <w:rFonts w:ascii="Times New Roman" w:cs="Times New Roman" w:eastAsia="Times New Roman" w:hAnsi="Times New Roman"/>
                <w:sz w:val="14"/>
                <w:szCs w:val="14"/>
                <w:color w:val="0000FF"/>
              </w:rPr>
            </w:pPr>
            <w:hyperlink r:id="rId516">
              <w:r>
                <w:rPr>
                  <w:rFonts w:ascii="Times New Roman" w:cs="Times New Roman" w:eastAsia="Times New Roman" w:hAnsi="Times New Roman"/>
                  <w:sz w:val="14"/>
                  <w:szCs w:val="14"/>
                  <w:color w:val="0000FF"/>
                </w:rPr>
                <w:t>trustee, paying agent and security registrar.</w:t>
              </w:r>
            </w:hyperlink>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EE"/>
            </w:tcBorders>
            <w:gridSpan w:val="3"/>
            <w:shd w:val="clear" w:color="auto" w:fill="0000FF"/>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52"/>
        </w:trPr>
        <w:tc>
          <w:tcPr>
            <w:tcW w:w="126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4.6</w:t>
            </w:r>
          </w:p>
        </w:tc>
        <w:tc>
          <w:tcPr>
            <w:tcW w:w="3200" w:type="dxa"/>
            <w:vAlign w:val="bottom"/>
            <w:gridSpan w:val="12"/>
          </w:tcPr>
          <w:p>
            <w:pPr>
              <w:spacing w:after="0" w:line="152" w:lineRule="exact"/>
              <w:rPr>
                <w:rFonts w:ascii="Times New Roman" w:cs="Times New Roman" w:eastAsia="Times New Roman" w:hAnsi="Times New Roman"/>
                <w:sz w:val="14"/>
                <w:szCs w:val="14"/>
                <w:color w:val="0000FF"/>
              </w:rPr>
            </w:pPr>
            <w:hyperlink r:id="rId516">
              <w:r>
                <w:rPr>
                  <w:rFonts w:ascii="Times New Roman" w:cs="Times New Roman" w:eastAsia="Times New Roman" w:hAnsi="Times New Roman"/>
                  <w:sz w:val="14"/>
                  <w:szCs w:val="14"/>
                  <w:color w:val="0000FF"/>
                </w:rPr>
                <w:t>Form of Amortizing Note (included in Exhibit 4.5).</w:t>
              </w:r>
            </w:hyperlink>
          </w:p>
        </w:tc>
        <w:tc>
          <w:tcPr>
            <w:tcW w:w="900" w:type="dxa"/>
            <w:vAlign w:val="bottom"/>
          </w:tcPr>
          <w:p>
            <w:pPr>
              <w:ind w:left="280"/>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1000" w:type="dxa"/>
            <w:vAlign w:val="bottom"/>
          </w:tcPr>
          <w:p>
            <w:pPr>
              <w:jc w:val="right"/>
              <w:ind w:right="130"/>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800" w:type="dxa"/>
            <w:vAlign w:val="bottom"/>
          </w:tcPr>
          <w:p>
            <w:pPr>
              <w:jc w:val="right"/>
              <w:ind w:right="330"/>
              <w:spacing w:after="0" w:line="152" w:lineRule="exact"/>
              <w:rPr>
                <w:sz w:val="20"/>
                <w:szCs w:val="20"/>
                <w:color w:val="auto"/>
              </w:rPr>
            </w:pPr>
            <w:r>
              <w:rPr>
                <w:rFonts w:ascii="Times New Roman" w:cs="Times New Roman" w:eastAsia="Times New Roman" w:hAnsi="Times New Roman"/>
                <w:sz w:val="14"/>
                <w:szCs w:val="14"/>
                <w:color w:val="auto"/>
              </w:rPr>
              <w:t>4.6</w:t>
            </w:r>
          </w:p>
        </w:tc>
        <w:tc>
          <w:tcPr>
            <w:tcW w:w="1620" w:type="dxa"/>
            <w:vAlign w:val="bottom"/>
          </w:tcPr>
          <w:p>
            <w:pPr>
              <w:jc w:val="right"/>
              <w:ind w:right="830"/>
              <w:spacing w:after="0" w:line="152" w:lineRule="exact"/>
              <w:rPr>
                <w:sz w:val="20"/>
                <w:szCs w:val="20"/>
                <w:color w:val="auto"/>
              </w:rPr>
            </w:pPr>
            <w:r>
              <w:rPr>
                <w:rFonts w:ascii="Times New Roman" w:cs="Times New Roman" w:eastAsia="Times New Roman" w:hAnsi="Times New Roman"/>
                <w:sz w:val="14"/>
                <w:szCs w:val="14"/>
                <w:color w:val="auto"/>
              </w:rPr>
              <w:t>1/30/2024</w:t>
            </w:r>
          </w:p>
        </w:tc>
      </w:tr>
      <w:tr>
        <w:trPr>
          <w:trHeight w:val="355"/>
        </w:trPr>
        <w:tc>
          <w:tcPr>
            <w:tcW w:w="1260" w:type="dxa"/>
            <w:vAlign w:val="bottom"/>
          </w:tcPr>
          <w:p>
            <w:pPr>
              <w:spacing w:after="0"/>
              <w:rPr>
                <w:sz w:val="24"/>
                <w:szCs w:val="24"/>
                <w:color w:val="auto"/>
              </w:rPr>
            </w:pPr>
          </w:p>
        </w:tc>
        <w:tc>
          <w:tcPr>
            <w:tcW w:w="3000" w:type="dxa"/>
            <w:vAlign w:val="bottom"/>
            <w:tcBorders>
              <w:top w:val="single" w:sz="8" w:color="0000FF"/>
            </w:tcBorders>
            <w:gridSpan w:val="9"/>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604"/>
        </w:trPr>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2" w:name="page133"/>
    <w:bookmarkEnd w:id="13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74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220" w:type="dxa"/>
            <w:vAlign w:val="bottom"/>
          </w:tcPr>
          <w:p>
            <w:pPr>
              <w:spacing w:after="0"/>
              <w:rPr>
                <w:sz w:val="11"/>
                <w:szCs w:val="11"/>
                <w:color w:val="auto"/>
              </w:rPr>
            </w:pPr>
          </w:p>
        </w:tc>
        <w:tc>
          <w:tcPr>
            <w:tcW w:w="2040" w:type="dxa"/>
            <w:vAlign w:val="bottom"/>
            <w:gridSpan w:val="13"/>
          </w:tcPr>
          <w:p>
            <w:pPr>
              <w:ind w:left="12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123"/>
        </w:trPr>
        <w:tc>
          <w:tcPr>
            <w:tcW w:w="740" w:type="dxa"/>
            <w:vAlign w:val="bottom"/>
          </w:tcPr>
          <w:p>
            <w:pPr>
              <w:ind w:left="40"/>
              <w:spacing w:after="0" w:line="123" w:lineRule="exact"/>
              <w:rPr>
                <w:sz w:val="20"/>
                <w:szCs w:val="20"/>
                <w:color w:val="auto"/>
              </w:rPr>
            </w:pPr>
            <w:r>
              <w:rPr>
                <w:rFonts w:ascii="Times New Roman" w:cs="Times New Roman" w:eastAsia="Times New Roman" w:hAnsi="Times New Roman"/>
                <w:sz w:val="11"/>
                <w:szCs w:val="11"/>
                <w:b w:val="1"/>
                <w:bCs w:val="1"/>
                <w:color w:val="auto"/>
              </w:rPr>
              <w:t>Number</w:t>
            </w:r>
          </w:p>
        </w:tc>
        <w:tc>
          <w:tcPr>
            <w:tcW w:w="1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4"/>
        </w:trPr>
        <w:tc>
          <w:tcPr>
            <w:tcW w:w="7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4.7</w:t>
            </w:r>
          </w:p>
        </w:tc>
        <w:tc>
          <w:tcPr>
            <w:tcW w:w="3260" w:type="dxa"/>
            <w:vAlign w:val="bottom"/>
            <w:gridSpan w:val="14"/>
          </w:tcPr>
          <w:p>
            <w:pPr>
              <w:spacing w:after="0" w:line="155" w:lineRule="exact"/>
              <w:rPr>
                <w:rFonts w:ascii="Times New Roman" w:cs="Times New Roman" w:eastAsia="Times New Roman" w:hAnsi="Times New Roman"/>
                <w:sz w:val="14"/>
                <w:szCs w:val="14"/>
                <w:color w:val="0000FF"/>
              </w:rPr>
            </w:pPr>
            <w:hyperlink r:id="rId519">
              <w:r>
                <w:rPr>
                  <w:rFonts w:ascii="Times New Roman" w:cs="Times New Roman" w:eastAsia="Times New Roman" w:hAnsi="Times New Roman"/>
                  <w:sz w:val="14"/>
                  <w:szCs w:val="14"/>
                  <w:color w:val="0000FF"/>
                </w:rPr>
                <w:t>Registration Rights Agreement, dated as of December 7,</w:t>
              </w:r>
            </w:hyperlink>
          </w:p>
        </w:tc>
      </w:tr>
      <w:tr>
        <w:trPr>
          <w:trHeight w:val="20"/>
        </w:trPr>
        <w:tc>
          <w:tcPr>
            <w:tcW w:w="7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19">
              <w:r>
                <w:rPr>
                  <w:rFonts w:ascii="Times New Roman" w:cs="Times New Roman" w:eastAsia="Times New Roman" w:hAnsi="Times New Roman"/>
                  <w:sz w:val="14"/>
                  <w:szCs w:val="14"/>
                  <w:color w:val="0000FF"/>
                </w:rPr>
                <w:t>2017, by and among Phoenix Parent Holdings Inc., KKR</w:t>
              </w:r>
            </w:hyperlink>
          </w:p>
        </w:tc>
      </w:tr>
      <w:tr>
        <w:trPr>
          <w:trHeight w:val="20"/>
        </w:trPr>
        <w:tc>
          <w:tcPr>
            <w:tcW w:w="7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19">
              <w:r>
                <w:rPr>
                  <w:rFonts w:ascii="Times New Roman" w:cs="Times New Roman" w:eastAsia="Times New Roman" w:hAnsi="Times New Roman"/>
                  <w:sz w:val="14"/>
                  <w:szCs w:val="14"/>
                  <w:color w:val="0000FF"/>
                </w:rPr>
                <w:t>Phoenix Aggregator L.P., and Walgreens Co.</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4.8</w:t>
            </w:r>
          </w:p>
        </w:tc>
        <w:tc>
          <w:tcPr>
            <w:tcW w:w="3260" w:type="dxa"/>
            <w:vAlign w:val="bottom"/>
            <w:gridSpan w:val="14"/>
          </w:tcPr>
          <w:p>
            <w:pPr>
              <w:spacing w:after="0" w:line="152" w:lineRule="exact"/>
              <w:rPr>
                <w:sz w:val="20"/>
                <w:szCs w:val="20"/>
                <w:color w:val="auto"/>
              </w:rPr>
            </w:pPr>
            <w:r>
              <w:rPr>
                <w:rFonts w:ascii="Times New Roman" w:cs="Times New Roman" w:eastAsia="Times New Roman" w:hAnsi="Times New Roman"/>
                <w:sz w:val="14"/>
                <w:szCs w:val="14"/>
                <w:color w:val="0000FF"/>
              </w:rPr>
              <w:t>Description of Securities.</w:t>
            </w: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10.1</w:t>
            </w: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0">
              <w:r>
                <w:rPr>
                  <w:rFonts w:ascii="Times New Roman" w:cs="Times New Roman" w:eastAsia="Times New Roman" w:hAnsi="Times New Roman"/>
                  <w:sz w:val="14"/>
                  <w:szCs w:val="14"/>
                  <w:color w:val="0000FF"/>
                </w:rPr>
                <w:t>Amended and Restated Stockholders’ Agreement, dated</w:t>
              </w:r>
            </w:hyperlink>
          </w:p>
        </w:tc>
      </w:tr>
      <w:tr>
        <w:trPr>
          <w:trHeight w:val="20"/>
        </w:trPr>
        <w:tc>
          <w:tcPr>
            <w:tcW w:w="7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0">
              <w:r>
                <w:rPr>
                  <w:rFonts w:ascii="Times New Roman" w:cs="Times New Roman" w:eastAsia="Times New Roman" w:hAnsi="Times New Roman"/>
                  <w:sz w:val="14"/>
                  <w:szCs w:val="14"/>
                  <w:color w:val="0000FF"/>
                </w:rPr>
                <w:t>as of March 5, 2019, among Registrant, KKR Phoenix</w:t>
              </w:r>
            </w:hyperlink>
          </w:p>
        </w:tc>
      </w:tr>
      <w:tr>
        <w:trPr>
          <w:trHeight w:val="20"/>
        </w:trPr>
        <w:tc>
          <w:tcPr>
            <w:tcW w:w="7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0">
              <w:r>
                <w:rPr>
                  <w:rFonts w:ascii="Times New Roman" w:cs="Times New Roman" w:eastAsia="Times New Roman" w:hAnsi="Times New Roman"/>
                  <w:sz w:val="14"/>
                  <w:szCs w:val="14"/>
                  <w:color w:val="0000FF"/>
                </w:rPr>
                <w:t>Aggregator L.P., Walgreen Co., KKR Americas Fund</w:t>
              </w:r>
            </w:hyperlink>
          </w:p>
        </w:tc>
      </w:tr>
      <w:tr>
        <w:trPr>
          <w:trHeight w:val="20"/>
        </w:trPr>
        <w:tc>
          <w:tcPr>
            <w:tcW w:w="7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0">
              <w:r>
                <w:rPr>
                  <w:rFonts w:ascii="Times New Roman" w:cs="Times New Roman" w:eastAsia="Times New Roman" w:hAnsi="Times New Roman"/>
                  <w:sz w:val="14"/>
                  <w:szCs w:val="14"/>
                  <w:color w:val="0000FF"/>
                </w:rPr>
                <w:t>XII L.P., Walgreens Boots Alliance, Inc., and</w:t>
              </w:r>
            </w:hyperlink>
          </w:p>
        </w:tc>
      </w:tr>
      <w:tr>
        <w:trPr>
          <w:trHeight w:val="20"/>
        </w:trPr>
        <w:tc>
          <w:tcPr>
            <w:tcW w:w="7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0">
              <w:r>
                <w:rPr>
                  <w:rFonts w:ascii="Times New Roman" w:cs="Times New Roman" w:eastAsia="Times New Roman" w:hAnsi="Times New Roman"/>
                  <w:sz w:val="14"/>
                  <w:szCs w:val="14"/>
                  <w:color w:val="0000FF"/>
                </w:rPr>
                <w:t>PharMerica Corporation.</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10.2</w:t>
            </w: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1">
              <w:r>
                <w:rPr>
                  <w:rFonts w:ascii="Times New Roman" w:cs="Times New Roman" w:eastAsia="Times New Roman" w:hAnsi="Times New Roman"/>
                  <w:sz w:val="14"/>
                  <w:szCs w:val="14"/>
                  <w:color w:val="0000FF"/>
                </w:rPr>
                <w:t>Management Stockholders’ Agreement, dated as of</w:t>
              </w:r>
            </w:hyperlink>
          </w:p>
        </w:tc>
      </w:tr>
      <w:tr>
        <w:trPr>
          <w:trHeight w:val="20"/>
        </w:trPr>
        <w:tc>
          <w:tcPr>
            <w:tcW w:w="7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1">
              <w:r>
                <w:rPr>
                  <w:rFonts w:ascii="Times New Roman" w:cs="Times New Roman" w:eastAsia="Times New Roman" w:hAnsi="Times New Roman"/>
                  <w:sz w:val="14"/>
                  <w:szCs w:val="14"/>
                  <w:color w:val="0000FF"/>
                </w:rPr>
                <w:t>December 7, 2017, by and among the Registrant, KKR</w:t>
              </w:r>
            </w:hyperlink>
          </w:p>
        </w:tc>
      </w:tr>
      <w:tr>
        <w:trPr>
          <w:trHeight w:val="20"/>
        </w:trPr>
        <w:tc>
          <w:tcPr>
            <w:tcW w:w="7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1">
              <w:r>
                <w:rPr>
                  <w:rFonts w:ascii="Times New Roman" w:cs="Times New Roman" w:eastAsia="Times New Roman" w:hAnsi="Times New Roman"/>
                  <w:sz w:val="14"/>
                  <w:szCs w:val="14"/>
                  <w:color w:val="0000FF"/>
                </w:rPr>
                <w:t>Phoenix Aggregator, L.P., and the other parties thereto.</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10.3</w:t>
            </w: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2">
              <w:r>
                <w:rPr>
                  <w:rFonts w:ascii="Times New Roman" w:cs="Times New Roman" w:eastAsia="Times New Roman" w:hAnsi="Times New Roman"/>
                  <w:sz w:val="14"/>
                  <w:szCs w:val="14"/>
                  <w:color w:val="0000FF"/>
                </w:rPr>
                <w:t>First Lien Credit Agreement, dated as of March 5, 2019,</w:t>
              </w:r>
            </w:hyperlink>
          </w:p>
        </w:tc>
      </w:tr>
      <w:tr>
        <w:trPr>
          <w:trHeight w:val="20"/>
        </w:trPr>
        <w:tc>
          <w:tcPr>
            <w:tcW w:w="7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2">
              <w:r>
                <w:rPr>
                  <w:rFonts w:ascii="Times New Roman" w:cs="Times New Roman" w:eastAsia="Times New Roman" w:hAnsi="Times New Roman"/>
                  <w:sz w:val="14"/>
                  <w:szCs w:val="14"/>
                  <w:color w:val="0000FF"/>
                </w:rPr>
                <w:t>among Phoenix Intermediate Holdings Inc., as Holdings,</w:t>
              </w:r>
            </w:hyperlink>
          </w:p>
        </w:tc>
      </w:tr>
      <w:tr>
        <w:trPr>
          <w:trHeight w:val="20"/>
        </w:trPr>
        <w:tc>
          <w:tcPr>
            <w:tcW w:w="7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2">
              <w:r>
                <w:rPr>
                  <w:rFonts w:ascii="Times New Roman" w:cs="Times New Roman" w:eastAsia="Times New Roman" w:hAnsi="Times New Roman"/>
                  <w:sz w:val="14"/>
                  <w:szCs w:val="14"/>
                  <w:color w:val="0000FF"/>
                </w:rPr>
                <w:t>Phoenix Guarantor Inc., as the Borrower, the several</w:t>
              </w:r>
            </w:hyperlink>
          </w:p>
        </w:tc>
      </w:tr>
      <w:tr>
        <w:trPr>
          <w:trHeight w:val="20"/>
        </w:trPr>
        <w:tc>
          <w:tcPr>
            <w:tcW w:w="7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2">
              <w:r>
                <w:rPr>
                  <w:rFonts w:ascii="Times New Roman" w:cs="Times New Roman" w:eastAsia="Times New Roman" w:hAnsi="Times New Roman"/>
                  <w:sz w:val="14"/>
                  <w:szCs w:val="14"/>
                  <w:color w:val="0000FF"/>
                </w:rPr>
                <w:t>lenders from time to time parties thereto, and Morgan</w:t>
              </w:r>
            </w:hyperlink>
          </w:p>
        </w:tc>
      </w:tr>
      <w:tr>
        <w:trPr>
          <w:trHeight w:val="20"/>
        </w:trPr>
        <w:tc>
          <w:tcPr>
            <w:tcW w:w="7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2">
              <w:r>
                <w:rPr>
                  <w:rFonts w:ascii="Times New Roman" w:cs="Times New Roman" w:eastAsia="Times New Roman" w:hAnsi="Times New Roman"/>
                  <w:sz w:val="14"/>
                  <w:szCs w:val="14"/>
                  <w:color w:val="0000FF"/>
                </w:rPr>
                <w:t>Stanley Senior Funding, Inc. as Administrative Agent</w:t>
              </w:r>
            </w:hyperlink>
          </w:p>
        </w:tc>
      </w:tr>
      <w:tr>
        <w:trPr>
          <w:trHeight w:val="20"/>
        </w:trPr>
        <w:tc>
          <w:tcPr>
            <w:tcW w:w="740" w:type="dxa"/>
            <w:vAlign w:val="bottom"/>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2">
              <w:r>
                <w:rPr>
                  <w:rFonts w:ascii="Times New Roman" w:cs="Times New Roman" w:eastAsia="Times New Roman" w:hAnsi="Times New Roman"/>
                  <w:sz w:val="14"/>
                  <w:szCs w:val="14"/>
                  <w:color w:val="0000FF"/>
                </w:rPr>
                <w:t>and Collateral Agent.</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10.4</w:t>
            </w: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3">
              <w:r>
                <w:rPr>
                  <w:rFonts w:ascii="Times New Roman" w:cs="Times New Roman" w:eastAsia="Times New Roman" w:hAnsi="Times New Roman"/>
                  <w:sz w:val="14"/>
                  <w:szCs w:val="14"/>
                  <w:color w:val="0000FF"/>
                </w:rPr>
                <w:t>Technical Amendment, dated as of May 17, 2019,</w:t>
              </w:r>
            </w:hyperlink>
          </w:p>
        </w:tc>
      </w:tr>
      <w:tr>
        <w:trPr>
          <w:trHeight w:val="20"/>
        </w:trPr>
        <w:tc>
          <w:tcPr>
            <w:tcW w:w="740" w:type="dxa"/>
            <w:vAlign w:val="bottom"/>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3">
              <w:r>
                <w:rPr>
                  <w:rFonts w:ascii="Times New Roman" w:cs="Times New Roman" w:eastAsia="Times New Roman" w:hAnsi="Times New Roman"/>
                  <w:sz w:val="14"/>
                  <w:szCs w:val="14"/>
                  <w:color w:val="0000FF"/>
                </w:rPr>
                <w:t>among Phoenix Intermediate Holdings Inc., Phoenix</w:t>
              </w:r>
            </w:hyperlink>
          </w:p>
        </w:tc>
      </w:tr>
      <w:tr>
        <w:trPr>
          <w:trHeight w:val="20"/>
        </w:trPr>
        <w:tc>
          <w:tcPr>
            <w:tcW w:w="740" w:type="dxa"/>
            <w:vAlign w:val="bottom"/>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3">
              <w:r>
                <w:rPr>
                  <w:rFonts w:ascii="Times New Roman" w:cs="Times New Roman" w:eastAsia="Times New Roman" w:hAnsi="Times New Roman"/>
                  <w:sz w:val="14"/>
                  <w:szCs w:val="14"/>
                  <w:color w:val="0000FF"/>
                </w:rPr>
                <w:t>Guarantor Inc., the Lenders party thereto, and Morgan</w:t>
              </w:r>
            </w:hyperlink>
          </w:p>
        </w:tc>
      </w:tr>
      <w:tr>
        <w:trPr>
          <w:trHeight w:val="20"/>
        </w:trPr>
        <w:tc>
          <w:tcPr>
            <w:tcW w:w="740" w:type="dxa"/>
            <w:vAlign w:val="bottom"/>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3">
              <w:r>
                <w:rPr>
                  <w:rFonts w:ascii="Times New Roman" w:cs="Times New Roman" w:eastAsia="Times New Roman" w:hAnsi="Times New Roman"/>
                  <w:sz w:val="14"/>
                  <w:szCs w:val="14"/>
                  <w:color w:val="0000FF"/>
                </w:rPr>
                <w:t>Stanley Senior Funding, Inc., as the Administrative</w:t>
              </w:r>
            </w:hyperlink>
          </w:p>
        </w:tc>
      </w:tr>
      <w:tr>
        <w:trPr>
          <w:trHeight w:val="20"/>
        </w:trPr>
        <w:tc>
          <w:tcPr>
            <w:tcW w:w="740" w:type="dxa"/>
            <w:vAlign w:val="bottom"/>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3">
              <w:r>
                <w:rPr>
                  <w:rFonts w:ascii="Times New Roman" w:cs="Times New Roman" w:eastAsia="Times New Roman" w:hAnsi="Times New Roman"/>
                  <w:sz w:val="14"/>
                  <w:szCs w:val="14"/>
                  <w:color w:val="0000FF"/>
                </w:rPr>
                <w:t>Agent to the First Lien Credit Agreement dated as of</w:t>
              </w:r>
            </w:hyperlink>
          </w:p>
        </w:tc>
      </w:tr>
      <w:tr>
        <w:trPr>
          <w:trHeight w:val="20"/>
        </w:trPr>
        <w:tc>
          <w:tcPr>
            <w:tcW w:w="740" w:type="dxa"/>
            <w:vAlign w:val="bottom"/>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3">
              <w:r>
                <w:rPr>
                  <w:rFonts w:ascii="Times New Roman" w:cs="Times New Roman" w:eastAsia="Times New Roman" w:hAnsi="Times New Roman"/>
                  <w:sz w:val="14"/>
                  <w:szCs w:val="14"/>
                  <w:color w:val="0000FF"/>
                </w:rPr>
                <w:t>March 5, 2019, among Phoenix Intermediate Holdings</w:t>
              </w:r>
            </w:hyperlink>
          </w:p>
        </w:tc>
      </w:tr>
      <w:tr>
        <w:trPr>
          <w:trHeight w:val="20"/>
        </w:trPr>
        <w:tc>
          <w:tcPr>
            <w:tcW w:w="740" w:type="dxa"/>
            <w:vAlign w:val="bottom"/>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3">
              <w:r>
                <w:rPr>
                  <w:rFonts w:ascii="Times New Roman" w:cs="Times New Roman" w:eastAsia="Times New Roman" w:hAnsi="Times New Roman"/>
                  <w:sz w:val="14"/>
                  <w:szCs w:val="14"/>
                  <w:color w:val="0000FF"/>
                </w:rPr>
                <w:t>Inc., Phoenix Guarantor Inc., the lenders party thereto,</w:t>
              </w:r>
            </w:hyperlink>
          </w:p>
        </w:tc>
      </w:tr>
      <w:tr>
        <w:trPr>
          <w:trHeight w:val="20"/>
        </w:trPr>
        <w:tc>
          <w:tcPr>
            <w:tcW w:w="740" w:type="dxa"/>
            <w:vAlign w:val="bottom"/>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3">
              <w:r>
                <w:rPr>
                  <w:rFonts w:ascii="Times New Roman" w:cs="Times New Roman" w:eastAsia="Times New Roman" w:hAnsi="Times New Roman"/>
                  <w:sz w:val="14"/>
                  <w:szCs w:val="14"/>
                  <w:color w:val="0000FF"/>
                </w:rPr>
                <w:t>and Morgan Stanley Senior Funding, Inc.</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10.5</w:t>
            </w: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4">
              <w:r>
                <w:rPr>
                  <w:rFonts w:ascii="Times New Roman" w:cs="Times New Roman" w:eastAsia="Times New Roman" w:hAnsi="Times New Roman"/>
                  <w:sz w:val="14"/>
                  <w:szCs w:val="14"/>
                  <w:color w:val="0000FF"/>
                </w:rPr>
                <w:t>Joinder Agreement, dated as of September 30, 2019,</w:t>
              </w:r>
            </w:hyperlink>
          </w:p>
        </w:tc>
      </w:tr>
      <w:tr>
        <w:trPr>
          <w:trHeight w:val="20"/>
        </w:trPr>
        <w:tc>
          <w:tcPr>
            <w:tcW w:w="740" w:type="dxa"/>
            <w:vAlign w:val="bottom"/>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4">
              <w:r>
                <w:rPr>
                  <w:rFonts w:ascii="Times New Roman" w:cs="Times New Roman" w:eastAsia="Times New Roman" w:hAnsi="Times New Roman"/>
                  <w:sz w:val="14"/>
                  <w:szCs w:val="14"/>
                  <w:color w:val="0000FF"/>
                </w:rPr>
                <w:t>among Phoenix Guarantor Inc., the Lenders party</w:t>
              </w:r>
            </w:hyperlink>
          </w:p>
        </w:tc>
      </w:tr>
      <w:tr>
        <w:trPr>
          <w:trHeight w:val="20"/>
        </w:trPr>
        <w:tc>
          <w:tcPr>
            <w:tcW w:w="740" w:type="dxa"/>
            <w:vAlign w:val="bottom"/>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4">
              <w:r>
                <w:rPr>
                  <w:rFonts w:ascii="Times New Roman" w:cs="Times New Roman" w:eastAsia="Times New Roman" w:hAnsi="Times New Roman"/>
                  <w:sz w:val="14"/>
                  <w:szCs w:val="14"/>
                  <w:color w:val="0000FF"/>
                </w:rPr>
                <w:t>thereto, and Morgan Stanley Senior Funding, Inc., as the</w:t>
              </w:r>
            </w:hyperlink>
          </w:p>
        </w:tc>
      </w:tr>
      <w:tr>
        <w:trPr>
          <w:trHeight w:val="20"/>
        </w:trPr>
        <w:tc>
          <w:tcPr>
            <w:tcW w:w="740" w:type="dxa"/>
            <w:vAlign w:val="bottom"/>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4">
              <w:r>
                <w:rPr>
                  <w:rFonts w:ascii="Times New Roman" w:cs="Times New Roman" w:eastAsia="Times New Roman" w:hAnsi="Times New Roman"/>
                  <w:sz w:val="14"/>
                  <w:szCs w:val="14"/>
                  <w:color w:val="0000FF"/>
                </w:rPr>
                <w:t>Administrative Agent to the First Lien Credit Agreement</w:t>
              </w:r>
            </w:hyperlink>
          </w:p>
        </w:tc>
      </w:tr>
      <w:tr>
        <w:trPr>
          <w:trHeight w:val="20"/>
        </w:trPr>
        <w:tc>
          <w:tcPr>
            <w:tcW w:w="740" w:type="dxa"/>
            <w:vAlign w:val="bottom"/>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4">
              <w:r>
                <w:rPr>
                  <w:rFonts w:ascii="Times New Roman" w:cs="Times New Roman" w:eastAsia="Times New Roman" w:hAnsi="Times New Roman"/>
                  <w:sz w:val="14"/>
                  <w:szCs w:val="14"/>
                  <w:color w:val="0000FF"/>
                </w:rPr>
                <w:t>dated as of March 5, 2019, among Phoenix Intermediate</w:t>
              </w:r>
            </w:hyperlink>
          </w:p>
        </w:tc>
      </w:tr>
      <w:tr>
        <w:trPr>
          <w:trHeight w:val="20"/>
        </w:trPr>
        <w:tc>
          <w:tcPr>
            <w:tcW w:w="740" w:type="dxa"/>
            <w:vAlign w:val="bottom"/>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4">
              <w:r>
                <w:rPr>
                  <w:rFonts w:ascii="Times New Roman" w:cs="Times New Roman" w:eastAsia="Times New Roman" w:hAnsi="Times New Roman"/>
                  <w:sz w:val="14"/>
                  <w:szCs w:val="14"/>
                  <w:color w:val="0000FF"/>
                </w:rPr>
                <w:t>Holdings Inc., Phoenix Guarantor Inc., the lenders party</w:t>
              </w:r>
            </w:hyperlink>
          </w:p>
        </w:tc>
      </w:tr>
      <w:tr>
        <w:trPr>
          <w:trHeight w:val="20"/>
        </w:trPr>
        <w:tc>
          <w:tcPr>
            <w:tcW w:w="740" w:type="dxa"/>
            <w:vAlign w:val="bottom"/>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4">
              <w:r>
                <w:rPr>
                  <w:rFonts w:ascii="Times New Roman" w:cs="Times New Roman" w:eastAsia="Times New Roman" w:hAnsi="Times New Roman"/>
                  <w:sz w:val="14"/>
                  <w:szCs w:val="14"/>
                  <w:color w:val="0000FF"/>
                </w:rPr>
                <w:t>thereto, and Morgan Stanley Senior Funding, Inc.</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10.6</w:t>
            </w: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5">
              <w:r>
                <w:rPr>
                  <w:rFonts w:ascii="Times New Roman" w:cs="Times New Roman" w:eastAsia="Times New Roman" w:hAnsi="Times New Roman"/>
                  <w:sz w:val="14"/>
                  <w:szCs w:val="14"/>
                  <w:color w:val="0000FF"/>
                </w:rPr>
                <w:t>Amendment No. 1, dated as of January 30, 2020, among</w:t>
              </w:r>
            </w:hyperlink>
          </w:p>
        </w:tc>
      </w:tr>
      <w:tr>
        <w:trPr>
          <w:trHeight w:val="20"/>
        </w:trPr>
        <w:tc>
          <w:tcPr>
            <w:tcW w:w="740" w:type="dxa"/>
            <w:vAlign w:val="bottom"/>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5">
              <w:r>
                <w:rPr>
                  <w:rFonts w:ascii="Times New Roman" w:cs="Times New Roman" w:eastAsia="Times New Roman" w:hAnsi="Times New Roman"/>
                  <w:sz w:val="14"/>
                  <w:szCs w:val="14"/>
                  <w:color w:val="0000FF"/>
                </w:rPr>
                <w:t>Phoenix Intermediate Holdings Inc., Phoenix Guarantor</w:t>
              </w:r>
            </w:hyperlink>
          </w:p>
        </w:tc>
      </w:tr>
      <w:tr>
        <w:trPr>
          <w:trHeight w:val="20"/>
        </w:trPr>
        <w:tc>
          <w:tcPr>
            <w:tcW w:w="740" w:type="dxa"/>
            <w:vAlign w:val="bottom"/>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5">
              <w:r>
                <w:rPr>
                  <w:rFonts w:ascii="Times New Roman" w:cs="Times New Roman" w:eastAsia="Times New Roman" w:hAnsi="Times New Roman"/>
                  <w:sz w:val="14"/>
                  <w:szCs w:val="14"/>
                  <w:color w:val="0000FF"/>
                </w:rPr>
                <w:t>Inc., the Lenders party thereto, and Morgan Stanley</w:t>
              </w:r>
            </w:hyperlink>
          </w:p>
        </w:tc>
      </w:tr>
      <w:tr>
        <w:trPr>
          <w:trHeight w:val="20"/>
        </w:trPr>
        <w:tc>
          <w:tcPr>
            <w:tcW w:w="740" w:type="dxa"/>
            <w:vAlign w:val="bottom"/>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5">
              <w:r>
                <w:rPr>
                  <w:rFonts w:ascii="Times New Roman" w:cs="Times New Roman" w:eastAsia="Times New Roman" w:hAnsi="Times New Roman"/>
                  <w:sz w:val="14"/>
                  <w:szCs w:val="14"/>
                  <w:color w:val="0000FF"/>
                </w:rPr>
                <w:t>Senior Funding, Inc., as the Administrative Agent to the</w:t>
              </w:r>
            </w:hyperlink>
          </w:p>
        </w:tc>
      </w:tr>
      <w:tr>
        <w:trPr>
          <w:trHeight w:val="20"/>
        </w:trPr>
        <w:tc>
          <w:tcPr>
            <w:tcW w:w="740" w:type="dxa"/>
            <w:vAlign w:val="bottom"/>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5">
              <w:r>
                <w:rPr>
                  <w:rFonts w:ascii="Times New Roman" w:cs="Times New Roman" w:eastAsia="Times New Roman" w:hAnsi="Times New Roman"/>
                  <w:sz w:val="14"/>
                  <w:szCs w:val="14"/>
                  <w:color w:val="0000FF"/>
                </w:rPr>
                <w:t>First Lien Credit Agreement dated as of March 5, 2019,</w:t>
              </w:r>
            </w:hyperlink>
          </w:p>
        </w:tc>
      </w:tr>
      <w:tr>
        <w:trPr>
          <w:trHeight w:val="20"/>
        </w:trPr>
        <w:tc>
          <w:tcPr>
            <w:tcW w:w="740" w:type="dxa"/>
            <w:vAlign w:val="bottom"/>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5">
              <w:r>
                <w:rPr>
                  <w:rFonts w:ascii="Times New Roman" w:cs="Times New Roman" w:eastAsia="Times New Roman" w:hAnsi="Times New Roman"/>
                  <w:sz w:val="14"/>
                  <w:szCs w:val="14"/>
                  <w:color w:val="0000FF"/>
                </w:rPr>
                <w:t>among Phoenix Intermediate Holdings Inc., Phoenix</w:t>
              </w:r>
            </w:hyperlink>
          </w:p>
        </w:tc>
      </w:tr>
      <w:tr>
        <w:trPr>
          <w:trHeight w:val="20"/>
        </w:trPr>
        <w:tc>
          <w:tcPr>
            <w:tcW w:w="740" w:type="dxa"/>
            <w:vAlign w:val="bottom"/>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5">
              <w:r>
                <w:rPr>
                  <w:rFonts w:ascii="Times New Roman" w:cs="Times New Roman" w:eastAsia="Times New Roman" w:hAnsi="Times New Roman"/>
                  <w:sz w:val="14"/>
                  <w:szCs w:val="14"/>
                  <w:color w:val="0000FF"/>
                </w:rPr>
                <w:t>Guarantor Inc., the lenders party thereto, and Morgan</w:t>
              </w:r>
            </w:hyperlink>
          </w:p>
        </w:tc>
      </w:tr>
      <w:tr>
        <w:trPr>
          <w:trHeight w:val="20"/>
        </w:trPr>
        <w:tc>
          <w:tcPr>
            <w:tcW w:w="740" w:type="dxa"/>
            <w:vAlign w:val="bottom"/>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5">
              <w:r>
                <w:rPr>
                  <w:rFonts w:ascii="Times New Roman" w:cs="Times New Roman" w:eastAsia="Times New Roman" w:hAnsi="Times New Roman"/>
                  <w:sz w:val="14"/>
                  <w:szCs w:val="14"/>
                  <w:color w:val="0000FF"/>
                </w:rPr>
                <w:t>Stanley Senior Funding, Inc.</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640" w:type="dxa"/>
            <w:vAlign w:val="bottom"/>
            <w:tcBorders>
              <w:right w:val="single" w:sz="8" w:color="0000EE"/>
            </w:tcBorders>
            <w:gridSpan w:val="3"/>
            <w:shd w:val="clear" w:color="auto" w:fill="0000FF"/>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10.7</w:t>
            </w: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6">
              <w:r>
                <w:rPr>
                  <w:rFonts w:ascii="Times New Roman" w:cs="Times New Roman" w:eastAsia="Times New Roman" w:hAnsi="Times New Roman"/>
                  <w:sz w:val="14"/>
                  <w:szCs w:val="14"/>
                  <w:color w:val="0000FF"/>
                </w:rPr>
                <w:t>Joinder Agreement and Amendment No. 2, dated as of</w:t>
              </w:r>
            </w:hyperlink>
          </w:p>
        </w:tc>
      </w:tr>
      <w:tr>
        <w:trPr>
          <w:trHeight w:val="20"/>
        </w:trPr>
        <w:tc>
          <w:tcPr>
            <w:tcW w:w="740" w:type="dxa"/>
            <w:vAlign w:val="bottom"/>
          </w:tcPr>
          <w:p>
            <w:pPr>
              <w:spacing w:after="0" w:line="20" w:lineRule="exact"/>
              <w:rPr>
                <w:sz w:val="1"/>
                <w:szCs w:val="1"/>
                <w:color w:val="auto"/>
              </w:rPr>
            </w:pPr>
          </w:p>
        </w:tc>
        <w:tc>
          <w:tcPr>
            <w:tcW w:w="2880" w:type="dxa"/>
            <w:vAlign w:val="bottom"/>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3"/>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6">
              <w:r>
                <w:rPr>
                  <w:rFonts w:ascii="Times New Roman" w:cs="Times New Roman" w:eastAsia="Times New Roman" w:hAnsi="Times New Roman"/>
                  <w:sz w:val="14"/>
                  <w:szCs w:val="14"/>
                  <w:color w:val="0000FF"/>
                </w:rPr>
                <w:t>June 30, 2020, among Phoenix Guarantor Inc., the</w:t>
              </w:r>
            </w:hyperlink>
          </w:p>
        </w:tc>
      </w:tr>
      <w:tr>
        <w:trPr>
          <w:trHeight w:val="20"/>
        </w:trPr>
        <w:tc>
          <w:tcPr>
            <w:tcW w:w="740" w:type="dxa"/>
            <w:vAlign w:val="bottom"/>
          </w:tcPr>
          <w:p>
            <w:pPr>
              <w:spacing w:after="0" w:line="20" w:lineRule="exact"/>
              <w:rPr>
                <w:sz w:val="1"/>
                <w:szCs w:val="1"/>
                <w:color w:val="auto"/>
              </w:rPr>
            </w:pPr>
          </w:p>
        </w:tc>
        <w:tc>
          <w:tcPr>
            <w:tcW w:w="2880" w:type="dxa"/>
            <w:vAlign w:val="bottom"/>
            <w:gridSpan w:val="8"/>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6">
              <w:r>
                <w:rPr>
                  <w:rFonts w:ascii="Times New Roman" w:cs="Times New Roman" w:eastAsia="Times New Roman" w:hAnsi="Times New Roman"/>
                  <w:sz w:val="14"/>
                  <w:szCs w:val="14"/>
                  <w:color w:val="0000FF"/>
                </w:rPr>
                <w:t>Lenders party thereto, and Morgan Stanley Senior</w:t>
              </w:r>
            </w:hyperlink>
          </w:p>
        </w:tc>
      </w:tr>
      <w:tr>
        <w:trPr>
          <w:trHeight w:val="20"/>
        </w:trPr>
        <w:tc>
          <w:tcPr>
            <w:tcW w:w="740" w:type="dxa"/>
            <w:vAlign w:val="bottom"/>
          </w:tcPr>
          <w:p>
            <w:pPr>
              <w:spacing w:after="0" w:line="20" w:lineRule="exact"/>
              <w:rPr>
                <w:sz w:val="1"/>
                <w:szCs w:val="1"/>
                <w:color w:val="auto"/>
              </w:rPr>
            </w:pPr>
          </w:p>
        </w:tc>
        <w:tc>
          <w:tcPr>
            <w:tcW w:w="2880" w:type="dxa"/>
            <w:vAlign w:val="bottom"/>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6">
              <w:r>
                <w:rPr>
                  <w:rFonts w:ascii="Times New Roman" w:cs="Times New Roman" w:eastAsia="Times New Roman" w:hAnsi="Times New Roman"/>
                  <w:sz w:val="14"/>
                  <w:szCs w:val="14"/>
                  <w:color w:val="0000FF"/>
                </w:rPr>
                <w:t>Funding, Inc., as the Administrative Agent to the First</w:t>
              </w:r>
            </w:hyperlink>
          </w:p>
        </w:tc>
      </w:tr>
      <w:tr>
        <w:trPr>
          <w:trHeight w:val="20"/>
        </w:trPr>
        <w:tc>
          <w:tcPr>
            <w:tcW w:w="740" w:type="dxa"/>
            <w:vAlign w:val="bottom"/>
          </w:tcPr>
          <w:p>
            <w:pPr>
              <w:spacing w:after="0" w:line="20" w:lineRule="exact"/>
              <w:rPr>
                <w:sz w:val="1"/>
                <w:szCs w:val="1"/>
                <w:color w:val="auto"/>
              </w:rPr>
            </w:pPr>
          </w:p>
        </w:tc>
        <w:tc>
          <w:tcPr>
            <w:tcW w:w="2880" w:type="dxa"/>
            <w:vAlign w:val="bottom"/>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6">
              <w:r>
                <w:rPr>
                  <w:rFonts w:ascii="Times New Roman" w:cs="Times New Roman" w:eastAsia="Times New Roman" w:hAnsi="Times New Roman"/>
                  <w:sz w:val="14"/>
                  <w:szCs w:val="14"/>
                  <w:color w:val="0000FF"/>
                </w:rPr>
                <w:t>Lien Credit Agreement dated as of March 5, 2019,</w:t>
              </w:r>
            </w:hyperlink>
          </w:p>
        </w:tc>
      </w:tr>
      <w:tr>
        <w:trPr>
          <w:trHeight w:val="20"/>
        </w:trPr>
        <w:tc>
          <w:tcPr>
            <w:tcW w:w="740" w:type="dxa"/>
            <w:vAlign w:val="bottom"/>
          </w:tcPr>
          <w:p>
            <w:pPr>
              <w:spacing w:after="0" w:line="20" w:lineRule="exact"/>
              <w:rPr>
                <w:sz w:val="1"/>
                <w:szCs w:val="1"/>
                <w:color w:val="auto"/>
              </w:rPr>
            </w:pPr>
          </w:p>
        </w:tc>
        <w:tc>
          <w:tcPr>
            <w:tcW w:w="2880" w:type="dxa"/>
            <w:vAlign w:val="bottom"/>
            <w:gridSpan w:val="8"/>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6">
              <w:r>
                <w:rPr>
                  <w:rFonts w:ascii="Times New Roman" w:cs="Times New Roman" w:eastAsia="Times New Roman" w:hAnsi="Times New Roman"/>
                  <w:sz w:val="14"/>
                  <w:szCs w:val="14"/>
                  <w:color w:val="0000FF"/>
                </w:rPr>
                <w:t>among Phoenix Intermediate Holdings Inc., Phoenix</w:t>
              </w:r>
            </w:hyperlink>
          </w:p>
        </w:tc>
      </w:tr>
      <w:tr>
        <w:trPr>
          <w:trHeight w:val="20"/>
        </w:trPr>
        <w:tc>
          <w:tcPr>
            <w:tcW w:w="740" w:type="dxa"/>
            <w:vAlign w:val="bottom"/>
          </w:tcPr>
          <w:p>
            <w:pPr>
              <w:spacing w:after="0" w:line="20" w:lineRule="exact"/>
              <w:rPr>
                <w:sz w:val="1"/>
                <w:szCs w:val="1"/>
                <w:color w:val="auto"/>
              </w:rPr>
            </w:pPr>
          </w:p>
        </w:tc>
        <w:tc>
          <w:tcPr>
            <w:tcW w:w="2960" w:type="dxa"/>
            <w:vAlign w:val="bottom"/>
            <w:gridSpan w:val="9"/>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6">
              <w:r>
                <w:rPr>
                  <w:rFonts w:ascii="Times New Roman" w:cs="Times New Roman" w:eastAsia="Times New Roman" w:hAnsi="Times New Roman"/>
                  <w:sz w:val="14"/>
                  <w:szCs w:val="14"/>
                  <w:color w:val="0000FF"/>
                </w:rPr>
                <w:t>Guarantor Inc., the lenders party thereto, and Morgan</w:t>
              </w:r>
            </w:hyperlink>
          </w:p>
        </w:tc>
      </w:tr>
      <w:tr>
        <w:trPr>
          <w:trHeight w:val="20"/>
        </w:trPr>
        <w:tc>
          <w:tcPr>
            <w:tcW w:w="740" w:type="dxa"/>
            <w:vAlign w:val="bottom"/>
          </w:tcPr>
          <w:p>
            <w:pPr>
              <w:spacing w:after="0" w:line="20" w:lineRule="exact"/>
              <w:rPr>
                <w:sz w:val="1"/>
                <w:szCs w:val="1"/>
                <w:color w:val="auto"/>
              </w:rPr>
            </w:pPr>
          </w:p>
        </w:tc>
        <w:tc>
          <w:tcPr>
            <w:tcW w:w="2960" w:type="dxa"/>
            <w:vAlign w:val="bottom"/>
            <w:gridSpan w:val="9"/>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6">
              <w:r>
                <w:rPr>
                  <w:rFonts w:ascii="Times New Roman" w:cs="Times New Roman" w:eastAsia="Times New Roman" w:hAnsi="Times New Roman"/>
                  <w:sz w:val="14"/>
                  <w:szCs w:val="14"/>
                  <w:color w:val="0000FF"/>
                </w:rPr>
                <w:t>Stanley Senior Funding, Inc.</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640" w:type="dxa"/>
            <w:vAlign w:val="bottom"/>
            <w:tcBorders>
              <w:right w:val="single" w:sz="8" w:color="0000EE"/>
            </w:tcBorders>
            <w:gridSpan w:val="3"/>
            <w:shd w:val="clear" w:color="auto" w:fill="0000FF"/>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10.8</w:t>
            </w: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7">
              <w:r>
                <w:rPr>
                  <w:rFonts w:ascii="Times New Roman" w:cs="Times New Roman" w:eastAsia="Times New Roman" w:hAnsi="Times New Roman"/>
                  <w:sz w:val="14"/>
                  <w:szCs w:val="14"/>
                  <w:color w:val="0000FF"/>
                </w:rPr>
                <w:t>Joinder Agreement and Amendment No. 3, dated as of</w:t>
              </w:r>
            </w:hyperlink>
          </w:p>
        </w:tc>
      </w:tr>
      <w:tr>
        <w:trPr>
          <w:trHeight w:val="20"/>
        </w:trPr>
        <w:tc>
          <w:tcPr>
            <w:tcW w:w="740" w:type="dxa"/>
            <w:vAlign w:val="bottom"/>
          </w:tcPr>
          <w:p>
            <w:pPr>
              <w:spacing w:after="0" w:line="20" w:lineRule="exact"/>
              <w:rPr>
                <w:sz w:val="1"/>
                <w:szCs w:val="1"/>
                <w:color w:val="auto"/>
              </w:rPr>
            </w:pPr>
          </w:p>
        </w:tc>
        <w:tc>
          <w:tcPr>
            <w:tcW w:w="2960" w:type="dxa"/>
            <w:vAlign w:val="bottom"/>
            <w:gridSpan w:val="9"/>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3"/>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7">
              <w:r>
                <w:rPr>
                  <w:rFonts w:ascii="Times New Roman" w:cs="Times New Roman" w:eastAsia="Times New Roman" w:hAnsi="Times New Roman"/>
                  <w:sz w:val="14"/>
                  <w:szCs w:val="14"/>
                  <w:color w:val="0000FF"/>
                </w:rPr>
                <w:t>October 7, 2020, among Phoenix Guarantor Inc., the</w:t>
              </w:r>
            </w:hyperlink>
          </w:p>
        </w:tc>
      </w:tr>
      <w:tr>
        <w:trPr>
          <w:trHeight w:val="20"/>
        </w:trPr>
        <w:tc>
          <w:tcPr>
            <w:tcW w:w="740" w:type="dxa"/>
            <w:vAlign w:val="bottom"/>
          </w:tcPr>
          <w:p>
            <w:pPr>
              <w:spacing w:after="0" w:line="20" w:lineRule="exact"/>
              <w:rPr>
                <w:sz w:val="1"/>
                <w:szCs w:val="1"/>
                <w:color w:val="auto"/>
              </w:rPr>
            </w:pPr>
          </w:p>
        </w:tc>
        <w:tc>
          <w:tcPr>
            <w:tcW w:w="2960" w:type="dxa"/>
            <w:vAlign w:val="bottom"/>
            <w:gridSpan w:val="9"/>
            <w:shd w:val="clear" w:color="auto" w:fill="0000FF"/>
          </w:tcPr>
          <w:p>
            <w:pPr>
              <w:spacing w:after="0" w:line="20" w:lineRule="exact"/>
              <w:rPr>
                <w:sz w:val="1"/>
                <w:szCs w:val="1"/>
                <w:color w:val="auto"/>
              </w:rPr>
            </w:pPr>
          </w:p>
        </w:tc>
        <w:tc>
          <w:tcPr>
            <w:tcW w:w="300" w:type="dxa"/>
            <w:vAlign w:val="bottom"/>
            <w:tcBorders>
              <w:left w:val="single" w:sz="8" w:color="0000FF"/>
            </w:tcBorders>
            <w:gridSpan w:val="5"/>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7">
              <w:r>
                <w:rPr>
                  <w:rFonts w:ascii="Times New Roman" w:cs="Times New Roman" w:eastAsia="Times New Roman" w:hAnsi="Times New Roman"/>
                  <w:sz w:val="14"/>
                  <w:szCs w:val="14"/>
                  <w:color w:val="0000FF"/>
                </w:rPr>
                <w:t>Lenders party thereto, and Morgan Stanley Senior</w:t>
              </w:r>
            </w:hyperlink>
          </w:p>
        </w:tc>
      </w:tr>
      <w:tr>
        <w:trPr>
          <w:trHeight w:val="20"/>
        </w:trPr>
        <w:tc>
          <w:tcPr>
            <w:tcW w:w="740" w:type="dxa"/>
            <w:vAlign w:val="bottom"/>
          </w:tcPr>
          <w:p>
            <w:pPr>
              <w:spacing w:after="0" w:line="20" w:lineRule="exact"/>
              <w:rPr>
                <w:sz w:val="1"/>
                <w:szCs w:val="1"/>
                <w:color w:val="auto"/>
              </w:rPr>
            </w:pPr>
          </w:p>
        </w:tc>
        <w:tc>
          <w:tcPr>
            <w:tcW w:w="2880" w:type="dxa"/>
            <w:vAlign w:val="bottom"/>
            <w:gridSpan w:val="8"/>
            <w:shd w:val="clear" w:color="auto" w:fill="0000FF"/>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7">
              <w:r>
                <w:rPr>
                  <w:rFonts w:ascii="Times New Roman" w:cs="Times New Roman" w:eastAsia="Times New Roman" w:hAnsi="Times New Roman"/>
                  <w:sz w:val="14"/>
                  <w:szCs w:val="14"/>
                  <w:color w:val="0000FF"/>
                </w:rPr>
                <w:t>Funding, Inc., as the Administrative Agent to the First</w:t>
              </w:r>
            </w:hyperlink>
          </w:p>
        </w:tc>
      </w:tr>
      <w:tr>
        <w:trPr>
          <w:trHeight w:val="20"/>
        </w:trPr>
        <w:tc>
          <w:tcPr>
            <w:tcW w:w="740" w:type="dxa"/>
            <w:vAlign w:val="bottom"/>
          </w:tcPr>
          <w:p>
            <w:pPr>
              <w:spacing w:after="0" w:line="20" w:lineRule="exact"/>
              <w:rPr>
                <w:sz w:val="1"/>
                <w:szCs w:val="1"/>
                <w:color w:val="auto"/>
              </w:rPr>
            </w:pPr>
          </w:p>
        </w:tc>
        <w:tc>
          <w:tcPr>
            <w:tcW w:w="3080" w:type="dxa"/>
            <w:vAlign w:val="bottom"/>
            <w:gridSpan w:val="11"/>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7">
              <w:r>
                <w:rPr>
                  <w:rFonts w:ascii="Times New Roman" w:cs="Times New Roman" w:eastAsia="Times New Roman" w:hAnsi="Times New Roman"/>
                  <w:sz w:val="14"/>
                  <w:szCs w:val="14"/>
                  <w:color w:val="0000FF"/>
                </w:rPr>
                <w:t>Lien Credit Agreement dated as of March 5, 2019,</w:t>
              </w:r>
            </w:hyperlink>
          </w:p>
        </w:tc>
      </w:tr>
      <w:tr>
        <w:trPr>
          <w:trHeight w:val="20"/>
        </w:trPr>
        <w:tc>
          <w:tcPr>
            <w:tcW w:w="740" w:type="dxa"/>
            <w:vAlign w:val="bottom"/>
          </w:tcPr>
          <w:p>
            <w:pPr>
              <w:spacing w:after="0" w:line="20" w:lineRule="exact"/>
              <w:rPr>
                <w:sz w:val="1"/>
                <w:szCs w:val="1"/>
                <w:color w:val="auto"/>
              </w:rPr>
            </w:pPr>
          </w:p>
        </w:tc>
        <w:tc>
          <w:tcPr>
            <w:tcW w:w="2880" w:type="dxa"/>
            <w:vAlign w:val="bottom"/>
            <w:gridSpan w:val="8"/>
            <w:shd w:val="clear" w:color="auto" w:fill="0000FF"/>
          </w:tcPr>
          <w:p>
            <w:pPr>
              <w:spacing w:after="0" w:line="20" w:lineRule="exact"/>
              <w:rPr>
                <w:sz w:val="1"/>
                <w:szCs w:val="1"/>
                <w:color w:val="auto"/>
              </w:rPr>
            </w:pPr>
          </w:p>
        </w:tc>
        <w:tc>
          <w:tcPr>
            <w:tcW w:w="380" w:type="dxa"/>
            <w:vAlign w:val="bottom"/>
            <w:tcBorders>
              <w:left w:val="single" w:sz="8" w:color="0000FF"/>
            </w:tcBorders>
            <w:gridSpan w:val="6"/>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7">
              <w:r>
                <w:rPr>
                  <w:rFonts w:ascii="Times New Roman" w:cs="Times New Roman" w:eastAsia="Times New Roman" w:hAnsi="Times New Roman"/>
                  <w:sz w:val="14"/>
                  <w:szCs w:val="14"/>
                  <w:color w:val="0000FF"/>
                </w:rPr>
                <w:t>among Phoenix Intermediate Holdings Inc., Phoenix</w:t>
              </w:r>
            </w:hyperlink>
          </w:p>
        </w:tc>
      </w:tr>
      <w:tr>
        <w:trPr>
          <w:trHeight w:val="20"/>
        </w:trPr>
        <w:tc>
          <w:tcPr>
            <w:tcW w:w="740" w:type="dxa"/>
            <w:vAlign w:val="bottom"/>
          </w:tcPr>
          <w:p>
            <w:pPr>
              <w:spacing w:after="0" w:line="20" w:lineRule="exact"/>
              <w:rPr>
                <w:sz w:val="1"/>
                <w:szCs w:val="1"/>
                <w:color w:val="auto"/>
              </w:rPr>
            </w:pPr>
          </w:p>
        </w:tc>
        <w:tc>
          <w:tcPr>
            <w:tcW w:w="3040" w:type="dxa"/>
            <w:vAlign w:val="bottom"/>
            <w:gridSpan w:val="10"/>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7">
              <w:r>
                <w:rPr>
                  <w:rFonts w:ascii="Times New Roman" w:cs="Times New Roman" w:eastAsia="Times New Roman" w:hAnsi="Times New Roman"/>
                  <w:sz w:val="14"/>
                  <w:szCs w:val="14"/>
                  <w:color w:val="0000FF"/>
                </w:rPr>
                <w:t>Guarantor Inc., the lenders party thereto, and Morgan</w:t>
              </w:r>
            </w:hyperlink>
          </w:p>
        </w:tc>
      </w:tr>
      <w:tr>
        <w:trPr>
          <w:trHeight w:val="20"/>
        </w:trPr>
        <w:tc>
          <w:tcPr>
            <w:tcW w:w="740" w:type="dxa"/>
            <w:vAlign w:val="bottom"/>
          </w:tcPr>
          <w:p>
            <w:pPr>
              <w:spacing w:after="0" w:line="20" w:lineRule="exact"/>
              <w:rPr>
                <w:sz w:val="1"/>
                <w:szCs w:val="1"/>
                <w:color w:val="auto"/>
              </w:rPr>
            </w:pPr>
          </w:p>
        </w:tc>
        <w:tc>
          <w:tcPr>
            <w:tcW w:w="3080" w:type="dxa"/>
            <w:vAlign w:val="bottom"/>
            <w:gridSpan w:val="11"/>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4"/>
          </w:tcPr>
          <w:p>
            <w:pPr>
              <w:spacing w:after="0" w:line="152" w:lineRule="exact"/>
              <w:rPr>
                <w:rFonts w:ascii="Times New Roman" w:cs="Times New Roman" w:eastAsia="Times New Roman" w:hAnsi="Times New Roman"/>
                <w:sz w:val="14"/>
                <w:szCs w:val="14"/>
                <w:color w:val="0000FF"/>
              </w:rPr>
            </w:pPr>
            <w:hyperlink r:id="rId527">
              <w:r>
                <w:rPr>
                  <w:rFonts w:ascii="Times New Roman" w:cs="Times New Roman" w:eastAsia="Times New Roman" w:hAnsi="Times New Roman"/>
                  <w:sz w:val="14"/>
                  <w:szCs w:val="14"/>
                  <w:color w:val="0000FF"/>
                </w:rPr>
                <w:t>Stanley Senior Funding, Inc.</w:t>
              </w:r>
            </w:hyperlink>
          </w:p>
        </w:tc>
      </w:tr>
      <w:tr>
        <w:trPr>
          <w:trHeight w:val="355"/>
        </w:trPr>
        <w:tc>
          <w:tcPr>
            <w:tcW w:w="740" w:type="dxa"/>
            <w:vAlign w:val="bottom"/>
          </w:tcPr>
          <w:p>
            <w:pPr>
              <w:spacing w:after="0"/>
              <w:rPr>
                <w:sz w:val="24"/>
                <w:szCs w:val="24"/>
                <w:color w:val="auto"/>
              </w:rPr>
            </w:pPr>
          </w:p>
        </w:tc>
        <w:tc>
          <w:tcPr>
            <w:tcW w:w="1640" w:type="dxa"/>
            <w:vAlign w:val="bottom"/>
            <w:tcBorders>
              <w:top w:val="single" w:sz="8" w:color="0000FF"/>
            </w:tcBorders>
            <w:gridSpan w:val="3"/>
          </w:tcPr>
          <w:p>
            <w:pPr>
              <w:spacing w:after="0"/>
              <w:rPr>
                <w:sz w:val="24"/>
                <w:szCs w:val="24"/>
                <w:color w:val="auto"/>
              </w:rPr>
            </w:pPr>
          </w:p>
        </w:tc>
        <w:tc>
          <w:tcPr>
            <w:tcW w:w="1560" w:type="dxa"/>
            <w:vAlign w:val="bottom"/>
            <w:gridSpan w:val="10"/>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369570</wp:posOffset>
            </wp:positionV>
            <wp:extent cx="5603875" cy="387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62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040" w:type="dxa"/>
            <w:vAlign w:val="bottom"/>
          </w:tcPr>
          <w:p>
            <w:pPr>
              <w:ind w:left="40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760" w:type="dxa"/>
            <w:vAlign w:val="bottom"/>
          </w:tcPr>
          <w:p>
            <w:pPr>
              <w:ind w:left="26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Filing Date</w:t>
            </w:r>
          </w:p>
        </w:tc>
      </w:tr>
      <w:tr>
        <w:trPr>
          <w:trHeight w:val="276"/>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S-1/A</w:t>
            </w:r>
          </w:p>
        </w:tc>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333-276348</w:t>
            </w:r>
          </w:p>
        </w:tc>
        <w:tc>
          <w:tcPr>
            <w:tcW w:w="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4.1</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1/10/2024</w:t>
            </w:r>
          </w:p>
        </w:tc>
      </w:tr>
      <w:tr>
        <w:trPr>
          <w:trHeight w:val="687"/>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S-1/A</w:t>
            </w:r>
          </w:p>
        </w:tc>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333-276348</w:t>
            </w:r>
          </w:p>
        </w:tc>
        <w:tc>
          <w:tcPr>
            <w:tcW w:w="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10.1</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1/10/2024</w:t>
            </w:r>
          </w:p>
        </w:tc>
      </w:tr>
      <w:tr>
        <w:trPr>
          <w:trHeight w:val="859"/>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S-1/A</w:t>
            </w:r>
          </w:p>
        </w:tc>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33-276348</w:t>
            </w:r>
          </w:p>
        </w:tc>
        <w:tc>
          <w:tcPr>
            <w:tcW w:w="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10.16</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1/10/2024</w:t>
            </w:r>
          </w:p>
        </w:tc>
      </w:tr>
      <w:tr>
        <w:trPr>
          <w:trHeight w:val="515"/>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S-1/A</w:t>
            </w:r>
          </w:p>
        </w:tc>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333-276348</w:t>
            </w:r>
          </w:p>
        </w:tc>
        <w:tc>
          <w:tcPr>
            <w:tcW w:w="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10.2</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1/10/2024</w:t>
            </w:r>
          </w:p>
        </w:tc>
      </w:tr>
      <w:tr>
        <w:trPr>
          <w:trHeight w:val="1031"/>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S-1/A</w:t>
            </w:r>
          </w:p>
        </w:tc>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333-276348</w:t>
            </w:r>
          </w:p>
        </w:tc>
        <w:tc>
          <w:tcPr>
            <w:tcW w:w="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10.3</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1/10/2024</w:t>
            </w:r>
          </w:p>
        </w:tc>
      </w:tr>
      <w:tr>
        <w:trPr>
          <w:trHeight w:val="1375"/>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S-1/A</w:t>
            </w:r>
          </w:p>
        </w:tc>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333-276348</w:t>
            </w:r>
          </w:p>
        </w:tc>
        <w:tc>
          <w:tcPr>
            <w:tcW w:w="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10.4</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1/10/2024</w:t>
            </w:r>
          </w:p>
        </w:tc>
      </w:tr>
      <w:tr>
        <w:trPr>
          <w:trHeight w:val="1203"/>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S-1/A</w:t>
            </w:r>
          </w:p>
        </w:tc>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333-276348</w:t>
            </w:r>
          </w:p>
        </w:tc>
        <w:tc>
          <w:tcPr>
            <w:tcW w:w="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10.5</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1/10/2024</w:t>
            </w:r>
          </w:p>
        </w:tc>
      </w:tr>
      <w:tr>
        <w:trPr>
          <w:trHeight w:val="1375"/>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S-1/A</w:t>
            </w:r>
          </w:p>
        </w:tc>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333-276348</w:t>
            </w:r>
          </w:p>
        </w:tc>
        <w:tc>
          <w:tcPr>
            <w:tcW w:w="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10.6</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1/10/2024</w:t>
            </w:r>
          </w:p>
        </w:tc>
      </w:tr>
      <w:tr>
        <w:trPr>
          <w:trHeight w:val="1375"/>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S-1/A</w:t>
            </w:r>
          </w:p>
        </w:tc>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333-276348</w:t>
            </w:r>
          </w:p>
        </w:tc>
        <w:tc>
          <w:tcPr>
            <w:tcW w:w="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10.7</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1/10/2024</w:t>
            </w:r>
          </w:p>
        </w:tc>
      </w:tr>
    </w:tbl>
    <w:p>
      <w:pPr>
        <w:sectPr>
          <w:pgSz w:w="11900" w:h="16838" w:orient="portrait"/>
          <w:cols w:equalWidth="0" w:num="2">
            <w:col w:w="4640" w:space="220"/>
            <w:col w:w="4159"/>
          </w:cols>
          <w:pgMar w:left="1440" w:top="123" w:right="1440" w:bottom="1440" w:gutter="0" w:footer="0" w:header="0"/>
          <w:type w:val="continuous"/>
        </w:sectPr>
      </w:pPr>
    </w:p>
    <w:bookmarkStart w:id="133" w:name="page134"/>
    <w:bookmarkEnd w:id="133"/>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74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260" w:type="dxa"/>
            <w:vAlign w:val="bottom"/>
            <w:gridSpan w:val="13"/>
          </w:tcPr>
          <w:p>
            <w:pPr>
              <w:ind w:left="134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123"/>
        </w:trPr>
        <w:tc>
          <w:tcPr>
            <w:tcW w:w="740" w:type="dxa"/>
            <w:vAlign w:val="bottom"/>
          </w:tcPr>
          <w:p>
            <w:pPr>
              <w:ind w:left="40"/>
              <w:spacing w:after="0" w:line="123" w:lineRule="exact"/>
              <w:rPr>
                <w:sz w:val="20"/>
                <w:szCs w:val="20"/>
                <w:color w:val="auto"/>
              </w:rPr>
            </w:pPr>
            <w:r>
              <w:rPr>
                <w:rFonts w:ascii="Times New Roman" w:cs="Times New Roman" w:eastAsia="Times New Roman" w:hAnsi="Times New Roman"/>
                <w:sz w:val="11"/>
                <w:szCs w:val="11"/>
                <w:b w:val="1"/>
                <w:bCs w:val="1"/>
                <w:color w:val="auto"/>
              </w:rPr>
              <w:t>Number</w:t>
            </w:r>
          </w:p>
        </w:tc>
        <w:tc>
          <w:tcPr>
            <w:tcW w:w="1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4"/>
        </w:trPr>
        <w:tc>
          <w:tcPr>
            <w:tcW w:w="7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10.9</w:t>
            </w:r>
          </w:p>
        </w:tc>
        <w:tc>
          <w:tcPr>
            <w:tcW w:w="3260" w:type="dxa"/>
            <w:vAlign w:val="bottom"/>
            <w:gridSpan w:val="13"/>
          </w:tcPr>
          <w:p>
            <w:pPr>
              <w:spacing w:after="0" w:line="155" w:lineRule="exact"/>
              <w:rPr>
                <w:rFonts w:ascii="Times New Roman" w:cs="Times New Roman" w:eastAsia="Times New Roman" w:hAnsi="Times New Roman"/>
                <w:sz w:val="14"/>
                <w:szCs w:val="14"/>
                <w:color w:val="0000FF"/>
              </w:rPr>
            </w:pPr>
            <w:hyperlink r:id="rId529">
              <w:r>
                <w:rPr>
                  <w:rFonts w:ascii="Times New Roman" w:cs="Times New Roman" w:eastAsia="Times New Roman" w:hAnsi="Times New Roman"/>
                  <w:sz w:val="14"/>
                  <w:szCs w:val="14"/>
                  <w:color w:val="0000FF"/>
                </w:rPr>
                <w:t>Amendment No. 4, dated as of April 8, 2021, among</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29">
              <w:r>
                <w:rPr>
                  <w:rFonts w:ascii="Times New Roman" w:cs="Times New Roman" w:eastAsia="Times New Roman" w:hAnsi="Times New Roman"/>
                  <w:sz w:val="14"/>
                  <w:szCs w:val="14"/>
                  <w:color w:val="0000FF"/>
                </w:rPr>
                <w:t>Phoenix Intermediate Holdings Inc., Phoenix Guarantor</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29">
              <w:r>
                <w:rPr>
                  <w:rFonts w:ascii="Times New Roman" w:cs="Times New Roman" w:eastAsia="Times New Roman" w:hAnsi="Times New Roman"/>
                  <w:sz w:val="14"/>
                  <w:szCs w:val="14"/>
                  <w:color w:val="0000FF"/>
                </w:rPr>
                <w:t>Inc., the Lenders party thereto, and Morgan Stanley</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29">
              <w:r>
                <w:rPr>
                  <w:rFonts w:ascii="Times New Roman" w:cs="Times New Roman" w:eastAsia="Times New Roman" w:hAnsi="Times New Roman"/>
                  <w:sz w:val="14"/>
                  <w:szCs w:val="14"/>
                  <w:color w:val="0000FF"/>
                </w:rPr>
                <w:t>Senior Funding, Inc., as the Administrative Agent to the</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29">
              <w:r>
                <w:rPr>
                  <w:rFonts w:ascii="Times New Roman" w:cs="Times New Roman" w:eastAsia="Times New Roman" w:hAnsi="Times New Roman"/>
                  <w:sz w:val="14"/>
                  <w:szCs w:val="14"/>
                  <w:color w:val="0000FF"/>
                </w:rPr>
                <w:t>First Lien Credit Agreement dated as of March 5, 2019,</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29">
              <w:r>
                <w:rPr>
                  <w:rFonts w:ascii="Times New Roman" w:cs="Times New Roman" w:eastAsia="Times New Roman" w:hAnsi="Times New Roman"/>
                  <w:sz w:val="14"/>
                  <w:szCs w:val="14"/>
                  <w:color w:val="0000FF"/>
                </w:rPr>
                <w:t>among Phoenix Intermediate Holdings Inc., Phoenix</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29">
              <w:r>
                <w:rPr>
                  <w:rFonts w:ascii="Times New Roman" w:cs="Times New Roman" w:eastAsia="Times New Roman" w:hAnsi="Times New Roman"/>
                  <w:sz w:val="14"/>
                  <w:szCs w:val="14"/>
                  <w:color w:val="0000FF"/>
                </w:rPr>
                <w:t>Guarantor Inc., the lenders party thereto, and Morgan</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29">
              <w:r>
                <w:rPr>
                  <w:rFonts w:ascii="Times New Roman" w:cs="Times New Roman" w:eastAsia="Times New Roman" w:hAnsi="Times New Roman"/>
                  <w:sz w:val="14"/>
                  <w:szCs w:val="14"/>
                  <w:color w:val="0000FF"/>
                </w:rPr>
                <w:t>Stanley Senior Funding, Inc.</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10.10</w:t>
            </w: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0">
              <w:r>
                <w:rPr>
                  <w:rFonts w:ascii="Times New Roman" w:cs="Times New Roman" w:eastAsia="Times New Roman" w:hAnsi="Times New Roman"/>
                  <w:sz w:val="14"/>
                  <w:szCs w:val="14"/>
                  <w:color w:val="0000FF"/>
                </w:rPr>
                <w:t>Joinder Agreement and Amendment No. 5, dated as of</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0">
              <w:r>
                <w:rPr>
                  <w:rFonts w:ascii="Times New Roman" w:cs="Times New Roman" w:eastAsia="Times New Roman" w:hAnsi="Times New Roman"/>
                  <w:sz w:val="14"/>
                  <w:szCs w:val="14"/>
                  <w:color w:val="0000FF"/>
                </w:rPr>
                <w:t>April 16, 2021, among Phoenix Guarantor Inc., the</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0">
              <w:r>
                <w:rPr>
                  <w:rFonts w:ascii="Times New Roman" w:cs="Times New Roman" w:eastAsia="Times New Roman" w:hAnsi="Times New Roman"/>
                  <w:sz w:val="14"/>
                  <w:szCs w:val="14"/>
                  <w:color w:val="0000FF"/>
                </w:rPr>
                <w:t>Lenders party thereto, and Morgan Stanley Senior</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0">
              <w:r>
                <w:rPr>
                  <w:rFonts w:ascii="Times New Roman" w:cs="Times New Roman" w:eastAsia="Times New Roman" w:hAnsi="Times New Roman"/>
                  <w:sz w:val="14"/>
                  <w:szCs w:val="14"/>
                  <w:color w:val="0000FF"/>
                </w:rPr>
                <w:t>Funding, Inc., as the Administrative Agent to the First</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0">
              <w:r>
                <w:rPr>
                  <w:rFonts w:ascii="Times New Roman" w:cs="Times New Roman" w:eastAsia="Times New Roman" w:hAnsi="Times New Roman"/>
                  <w:sz w:val="14"/>
                  <w:szCs w:val="14"/>
                  <w:color w:val="0000FF"/>
                </w:rPr>
                <w:t>Lien Credit Agreement dated as of March 5, 2019,</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0">
              <w:r>
                <w:rPr>
                  <w:rFonts w:ascii="Times New Roman" w:cs="Times New Roman" w:eastAsia="Times New Roman" w:hAnsi="Times New Roman"/>
                  <w:sz w:val="14"/>
                  <w:szCs w:val="14"/>
                  <w:color w:val="0000FF"/>
                </w:rPr>
                <w:t>among Phoenix Intermediate Holdings Inc., Phoenix</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0">
              <w:r>
                <w:rPr>
                  <w:rFonts w:ascii="Times New Roman" w:cs="Times New Roman" w:eastAsia="Times New Roman" w:hAnsi="Times New Roman"/>
                  <w:sz w:val="14"/>
                  <w:szCs w:val="14"/>
                  <w:color w:val="0000FF"/>
                </w:rPr>
                <w:t>Guarantor Inc., the lenders party thereto, and Morgan</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0">
              <w:r>
                <w:rPr>
                  <w:rFonts w:ascii="Times New Roman" w:cs="Times New Roman" w:eastAsia="Times New Roman" w:hAnsi="Times New Roman"/>
                  <w:sz w:val="14"/>
                  <w:szCs w:val="14"/>
                  <w:color w:val="0000FF"/>
                </w:rPr>
                <w:t>Stanley Senior Funding, Inc.</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10.11</w:t>
            </w: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1">
              <w:r>
                <w:rPr>
                  <w:rFonts w:ascii="Times New Roman" w:cs="Times New Roman" w:eastAsia="Times New Roman" w:hAnsi="Times New Roman"/>
                  <w:sz w:val="14"/>
                  <w:szCs w:val="14"/>
                  <w:color w:val="0000FF"/>
                </w:rPr>
                <w:t>Joinder Agreement and Amendment No. 6, dated as of</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1">
              <w:r>
                <w:rPr>
                  <w:rFonts w:ascii="Times New Roman" w:cs="Times New Roman" w:eastAsia="Times New Roman" w:hAnsi="Times New Roman"/>
                  <w:sz w:val="14"/>
                  <w:szCs w:val="14"/>
                  <w:color w:val="0000FF"/>
                </w:rPr>
                <w:t>June 30, 2023, among Phoenix Intermediate Holdings</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1">
              <w:r>
                <w:rPr>
                  <w:rFonts w:ascii="Times New Roman" w:cs="Times New Roman" w:eastAsia="Times New Roman" w:hAnsi="Times New Roman"/>
                  <w:sz w:val="14"/>
                  <w:szCs w:val="14"/>
                  <w:color w:val="0000FF"/>
                </w:rPr>
                <w:t>Inc., Phoenix Guarantor Inc., the Lenders party thereto,</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1">
              <w:r>
                <w:rPr>
                  <w:rFonts w:ascii="Times New Roman" w:cs="Times New Roman" w:eastAsia="Times New Roman" w:hAnsi="Times New Roman"/>
                  <w:sz w:val="14"/>
                  <w:szCs w:val="14"/>
                  <w:color w:val="0000FF"/>
                </w:rPr>
                <w:t>and Morgan Stanley Senior Funding, Inc., as the</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1">
              <w:r>
                <w:rPr>
                  <w:rFonts w:ascii="Times New Roman" w:cs="Times New Roman" w:eastAsia="Times New Roman" w:hAnsi="Times New Roman"/>
                  <w:sz w:val="14"/>
                  <w:szCs w:val="14"/>
                  <w:color w:val="0000FF"/>
                </w:rPr>
                <w:t>Administrative Agent to the First Lien Credit Agreement</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1">
              <w:r>
                <w:rPr>
                  <w:rFonts w:ascii="Times New Roman" w:cs="Times New Roman" w:eastAsia="Times New Roman" w:hAnsi="Times New Roman"/>
                  <w:sz w:val="14"/>
                  <w:szCs w:val="14"/>
                  <w:color w:val="0000FF"/>
                </w:rPr>
                <w:t>dated as of March 5, 2019, among Phoenix Intermediate</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1">
              <w:r>
                <w:rPr>
                  <w:rFonts w:ascii="Times New Roman" w:cs="Times New Roman" w:eastAsia="Times New Roman" w:hAnsi="Times New Roman"/>
                  <w:sz w:val="14"/>
                  <w:szCs w:val="14"/>
                  <w:color w:val="0000FF"/>
                </w:rPr>
                <w:t>Holdings Inc., Phoenix Guarantor Inc., the lenders party</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1">
              <w:r>
                <w:rPr>
                  <w:rFonts w:ascii="Times New Roman" w:cs="Times New Roman" w:eastAsia="Times New Roman" w:hAnsi="Times New Roman"/>
                  <w:sz w:val="14"/>
                  <w:szCs w:val="14"/>
                  <w:color w:val="0000FF"/>
                </w:rPr>
                <w:t>thereto, and Morgan Stanley Senior Funding, Inc.</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10.12</w:t>
            </w: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2">
              <w:r>
                <w:rPr>
                  <w:rFonts w:ascii="Times New Roman" w:cs="Times New Roman" w:eastAsia="Times New Roman" w:hAnsi="Times New Roman"/>
                  <w:sz w:val="14"/>
                  <w:szCs w:val="14"/>
                  <w:color w:val="0000FF"/>
                </w:rPr>
                <w:t>Joinder Agreement and Amendment No. 7, dated as of</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2">
              <w:r>
                <w:rPr>
                  <w:rFonts w:ascii="Times New Roman" w:cs="Times New Roman" w:eastAsia="Times New Roman" w:hAnsi="Times New Roman"/>
                  <w:sz w:val="14"/>
                  <w:szCs w:val="14"/>
                  <w:color w:val="0000FF"/>
                </w:rPr>
                <w:t>February 21, 2024, among Phoenix Intermediate</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2">
              <w:r>
                <w:rPr>
                  <w:rFonts w:ascii="Times New Roman" w:cs="Times New Roman" w:eastAsia="Times New Roman" w:hAnsi="Times New Roman"/>
                  <w:sz w:val="14"/>
                  <w:szCs w:val="14"/>
                  <w:color w:val="0000FF"/>
                </w:rPr>
                <w:t>Holdings Inc., Phoenix Guarantor Inc., the several</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2">
              <w:r>
                <w:rPr>
                  <w:rFonts w:ascii="Times New Roman" w:cs="Times New Roman" w:eastAsia="Times New Roman" w:hAnsi="Times New Roman"/>
                  <w:sz w:val="14"/>
                  <w:szCs w:val="14"/>
                  <w:color w:val="0000FF"/>
                </w:rPr>
                <w:t>lenders from time to time parties thereto and Morgan</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2">
              <w:r>
                <w:rPr>
                  <w:rFonts w:ascii="Times New Roman" w:cs="Times New Roman" w:eastAsia="Times New Roman" w:hAnsi="Times New Roman"/>
                  <w:sz w:val="14"/>
                  <w:szCs w:val="14"/>
                  <w:color w:val="0000FF"/>
                </w:rPr>
                <w:t>Stanley Senior Funding, Inc. as administrative agent and</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2">
              <w:r>
                <w:rPr>
                  <w:rFonts w:ascii="Times New Roman" w:cs="Times New Roman" w:eastAsia="Times New Roman" w:hAnsi="Times New Roman"/>
                  <w:sz w:val="14"/>
                  <w:szCs w:val="14"/>
                  <w:color w:val="0000FF"/>
                </w:rPr>
                <w:t>collateral agent to the First Lien Credit Agreement dated</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2">
              <w:r>
                <w:rPr>
                  <w:rFonts w:ascii="Times New Roman" w:cs="Times New Roman" w:eastAsia="Times New Roman" w:hAnsi="Times New Roman"/>
                  <w:sz w:val="14"/>
                  <w:szCs w:val="14"/>
                  <w:color w:val="0000FF"/>
                </w:rPr>
                <w:t>as of March 5, 2019, among Phoenix Intermediate</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2">
              <w:r>
                <w:rPr>
                  <w:rFonts w:ascii="Times New Roman" w:cs="Times New Roman" w:eastAsia="Times New Roman" w:hAnsi="Times New Roman"/>
                  <w:sz w:val="14"/>
                  <w:szCs w:val="14"/>
                  <w:color w:val="0000FF"/>
                </w:rPr>
                <w:t>Holdings Inc., Phoenix Guarantor Inc., the lenders party</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2">
              <w:r>
                <w:rPr>
                  <w:rFonts w:ascii="Times New Roman" w:cs="Times New Roman" w:eastAsia="Times New Roman" w:hAnsi="Times New Roman"/>
                  <w:sz w:val="14"/>
                  <w:szCs w:val="14"/>
                  <w:color w:val="0000FF"/>
                </w:rPr>
                <w:t>thereto, and Morgan Stanley Senior Funding, Inc.</w:t>
              </w:r>
            </w:hyperlink>
          </w:p>
        </w:tc>
      </w:tr>
      <w:tr>
        <w:trPr>
          <w:trHeight w:val="20"/>
        </w:trPr>
        <w:tc>
          <w:tcPr>
            <w:tcW w:w="740" w:type="dxa"/>
            <w:vAlign w:val="bottom"/>
            <w:tcBorders>
              <w:right w:val="single" w:sz="8" w:color="0000FF"/>
            </w:tcBorders>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10.13</w:t>
            </w: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3">
              <w:r>
                <w:rPr>
                  <w:rFonts w:ascii="Times New Roman" w:cs="Times New Roman" w:eastAsia="Times New Roman" w:hAnsi="Times New Roman"/>
                  <w:sz w:val="14"/>
                  <w:szCs w:val="14"/>
                  <w:color w:val="0000FF"/>
                </w:rPr>
                <w:t>Joinder Agreement and Amendment No. 8, dated as of</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3">
              <w:r>
                <w:rPr>
                  <w:rFonts w:ascii="Times New Roman" w:cs="Times New Roman" w:eastAsia="Times New Roman" w:hAnsi="Times New Roman"/>
                  <w:sz w:val="14"/>
                  <w:szCs w:val="14"/>
                  <w:color w:val="0000FF"/>
                </w:rPr>
                <w:t>September 17, 2024, by and among Credit Agricole</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3">
              <w:r>
                <w:rPr>
                  <w:rFonts w:ascii="Times New Roman" w:cs="Times New Roman" w:eastAsia="Times New Roman" w:hAnsi="Times New Roman"/>
                  <w:sz w:val="14"/>
                  <w:szCs w:val="14"/>
                  <w:color w:val="0000FF"/>
                </w:rPr>
                <w:t>Corporate and Investment Bank, Phoenix Guarantor Inc.,</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3">
              <w:r>
                <w:rPr>
                  <w:rFonts w:ascii="Times New Roman" w:cs="Times New Roman" w:eastAsia="Times New Roman" w:hAnsi="Times New Roman"/>
                  <w:sz w:val="14"/>
                  <w:szCs w:val="14"/>
                  <w:color w:val="0000FF"/>
                </w:rPr>
                <w:t>Phoenix Intermediate Holdings Inc., each 2020</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3">
              <w:r>
                <w:rPr>
                  <w:rFonts w:ascii="Times New Roman" w:cs="Times New Roman" w:eastAsia="Times New Roman" w:hAnsi="Times New Roman"/>
                  <w:sz w:val="14"/>
                  <w:szCs w:val="14"/>
                  <w:color w:val="0000FF"/>
                </w:rPr>
                <w:t>Additional Revolving Credit Lender, each 2020 Letter of</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3">
              <w:r>
                <w:rPr>
                  <w:rFonts w:ascii="Times New Roman" w:cs="Times New Roman" w:eastAsia="Times New Roman" w:hAnsi="Times New Roman"/>
                  <w:sz w:val="14"/>
                  <w:szCs w:val="14"/>
                  <w:color w:val="0000FF"/>
                </w:rPr>
                <w:t>Credit Issuer, and Morgan Stanley Senior Funding, Inc.,</w:t>
              </w:r>
            </w:hyperlink>
          </w:p>
        </w:tc>
      </w:tr>
      <w:tr>
        <w:trPr>
          <w:trHeight w:val="20"/>
        </w:trPr>
        <w:tc>
          <w:tcPr>
            <w:tcW w:w="7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3">
              <w:r>
                <w:rPr>
                  <w:rFonts w:ascii="Times New Roman" w:cs="Times New Roman" w:eastAsia="Times New Roman" w:hAnsi="Times New Roman"/>
                  <w:sz w:val="14"/>
                  <w:szCs w:val="14"/>
                  <w:color w:val="0000FF"/>
                </w:rPr>
                <w:t>as Administrative Agent.</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10.14</w:t>
            </w: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4">
              <w:r>
                <w:rPr>
                  <w:rFonts w:ascii="Times New Roman" w:cs="Times New Roman" w:eastAsia="Times New Roman" w:hAnsi="Times New Roman"/>
                  <w:sz w:val="14"/>
                  <w:szCs w:val="14"/>
                  <w:color w:val="0000FF"/>
                </w:rPr>
                <w:t>Amendment No. 9, dated as of December 11, 2024, by</w:t>
              </w:r>
            </w:hyperlink>
          </w:p>
        </w:tc>
      </w:tr>
      <w:tr>
        <w:trPr>
          <w:trHeight w:val="20"/>
        </w:trPr>
        <w:tc>
          <w:tcPr>
            <w:tcW w:w="740" w:type="dxa"/>
            <w:vAlign w:val="bottom"/>
          </w:tcPr>
          <w:p>
            <w:pPr>
              <w:spacing w:after="0" w:line="20" w:lineRule="exact"/>
              <w:rPr>
                <w:sz w:val="1"/>
                <w:szCs w:val="1"/>
                <w:color w:val="auto"/>
              </w:rPr>
            </w:pPr>
          </w:p>
        </w:tc>
        <w:tc>
          <w:tcPr>
            <w:tcW w:w="23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4">
              <w:r>
                <w:rPr>
                  <w:rFonts w:ascii="Times New Roman" w:cs="Times New Roman" w:eastAsia="Times New Roman" w:hAnsi="Times New Roman"/>
                  <w:sz w:val="14"/>
                  <w:szCs w:val="14"/>
                  <w:color w:val="0000FF"/>
                </w:rPr>
                <w:t>and among Phoenix Intermediate Holdings Inc., Phoenix</w:t>
              </w:r>
            </w:hyperlink>
          </w:p>
        </w:tc>
      </w:tr>
      <w:tr>
        <w:trPr>
          <w:trHeight w:val="20"/>
        </w:trPr>
        <w:tc>
          <w:tcPr>
            <w:tcW w:w="740" w:type="dxa"/>
            <w:vAlign w:val="bottom"/>
          </w:tcPr>
          <w:p>
            <w:pPr>
              <w:spacing w:after="0" w:line="20" w:lineRule="exact"/>
              <w:rPr>
                <w:sz w:val="1"/>
                <w:szCs w:val="1"/>
                <w:color w:val="auto"/>
              </w:rPr>
            </w:pPr>
          </w:p>
        </w:tc>
        <w:tc>
          <w:tcPr>
            <w:tcW w:w="23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4">
              <w:r>
                <w:rPr>
                  <w:rFonts w:ascii="Times New Roman" w:cs="Times New Roman" w:eastAsia="Times New Roman" w:hAnsi="Times New Roman"/>
                  <w:sz w:val="14"/>
                  <w:szCs w:val="14"/>
                  <w:color w:val="0000FF"/>
                </w:rPr>
                <w:t>Guarantor Inc., the several lenders from time to time</w:t>
              </w:r>
            </w:hyperlink>
          </w:p>
        </w:tc>
      </w:tr>
      <w:tr>
        <w:trPr>
          <w:trHeight w:val="20"/>
        </w:trPr>
        <w:tc>
          <w:tcPr>
            <w:tcW w:w="740" w:type="dxa"/>
            <w:vAlign w:val="bottom"/>
          </w:tcPr>
          <w:p>
            <w:pPr>
              <w:spacing w:after="0" w:line="20" w:lineRule="exact"/>
              <w:rPr>
                <w:sz w:val="1"/>
                <w:szCs w:val="1"/>
                <w:color w:val="auto"/>
              </w:rPr>
            </w:pPr>
          </w:p>
        </w:tc>
        <w:tc>
          <w:tcPr>
            <w:tcW w:w="23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4">
              <w:r>
                <w:rPr>
                  <w:rFonts w:ascii="Times New Roman" w:cs="Times New Roman" w:eastAsia="Times New Roman" w:hAnsi="Times New Roman"/>
                  <w:sz w:val="14"/>
                  <w:szCs w:val="14"/>
                  <w:color w:val="0000FF"/>
                </w:rPr>
                <w:t>parties thereto and Morgan Stanley Senior Funding Inc.</w:t>
              </w:r>
            </w:hyperlink>
          </w:p>
        </w:tc>
      </w:tr>
      <w:tr>
        <w:trPr>
          <w:trHeight w:val="20"/>
        </w:trPr>
        <w:tc>
          <w:tcPr>
            <w:tcW w:w="740" w:type="dxa"/>
            <w:vAlign w:val="bottom"/>
          </w:tcPr>
          <w:p>
            <w:pPr>
              <w:spacing w:after="0" w:line="20" w:lineRule="exact"/>
              <w:rPr>
                <w:sz w:val="1"/>
                <w:szCs w:val="1"/>
                <w:color w:val="auto"/>
              </w:rPr>
            </w:pPr>
          </w:p>
        </w:tc>
        <w:tc>
          <w:tcPr>
            <w:tcW w:w="23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4">
              <w:r>
                <w:rPr>
                  <w:rFonts w:ascii="Times New Roman" w:cs="Times New Roman" w:eastAsia="Times New Roman" w:hAnsi="Times New Roman"/>
                  <w:sz w:val="14"/>
                  <w:szCs w:val="14"/>
                  <w:color w:val="0000FF"/>
                </w:rPr>
                <w:t>as administrative agent and collateral agent to the First</w:t>
              </w:r>
            </w:hyperlink>
          </w:p>
        </w:tc>
      </w:tr>
      <w:tr>
        <w:trPr>
          <w:trHeight w:val="20"/>
        </w:trPr>
        <w:tc>
          <w:tcPr>
            <w:tcW w:w="740" w:type="dxa"/>
            <w:vAlign w:val="bottom"/>
          </w:tcPr>
          <w:p>
            <w:pPr>
              <w:spacing w:after="0" w:line="20" w:lineRule="exact"/>
              <w:rPr>
                <w:sz w:val="1"/>
                <w:szCs w:val="1"/>
                <w:color w:val="auto"/>
              </w:rPr>
            </w:pPr>
          </w:p>
        </w:tc>
        <w:tc>
          <w:tcPr>
            <w:tcW w:w="23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4">
              <w:r>
                <w:rPr>
                  <w:rFonts w:ascii="Times New Roman" w:cs="Times New Roman" w:eastAsia="Times New Roman" w:hAnsi="Times New Roman"/>
                  <w:sz w:val="14"/>
                  <w:szCs w:val="14"/>
                  <w:color w:val="0000FF"/>
                </w:rPr>
                <w:t>Lien Credit Agreement, dated as of March 5, 2019, by</w:t>
              </w:r>
            </w:hyperlink>
          </w:p>
        </w:tc>
      </w:tr>
      <w:tr>
        <w:trPr>
          <w:trHeight w:val="20"/>
        </w:trPr>
        <w:tc>
          <w:tcPr>
            <w:tcW w:w="740" w:type="dxa"/>
            <w:vAlign w:val="bottom"/>
          </w:tcPr>
          <w:p>
            <w:pPr>
              <w:spacing w:after="0" w:line="20" w:lineRule="exact"/>
              <w:rPr>
                <w:sz w:val="1"/>
                <w:szCs w:val="1"/>
                <w:color w:val="auto"/>
              </w:rPr>
            </w:pPr>
          </w:p>
        </w:tc>
        <w:tc>
          <w:tcPr>
            <w:tcW w:w="23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4">
              <w:r>
                <w:rPr>
                  <w:rFonts w:ascii="Times New Roman" w:cs="Times New Roman" w:eastAsia="Times New Roman" w:hAnsi="Times New Roman"/>
                  <w:sz w:val="14"/>
                  <w:szCs w:val="14"/>
                  <w:color w:val="0000FF"/>
                </w:rPr>
                <w:t>and among Phoenix Intermediate Holdings Inc., Phoenix</w:t>
              </w:r>
            </w:hyperlink>
          </w:p>
        </w:tc>
      </w:tr>
      <w:tr>
        <w:trPr>
          <w:trHeight w:val="20"/>
        </w:trPr>
        <w:tc>
          <w:tcPr>
            <w:tcW w:w="740" w:type="dxa"/>
            <w:vAlign w:val="bottom"/>
          </w:tcPr>
          <w:p>
            <w:pPr>
              <w:spacing w:after="0" w:line="20" w:lineRule="exact"/>
              <w:rPr>
                <w:sz w:val="1"/>
                <w:szCs w:val="1"/>
                <w:color w:val="auto"/>
              </w:rPr>
            </w:pPr>
          </w:p>
        </w:tc>
        <w:tc>
          <w:tcPr>
            <w:tcW w:w="23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4">
              <w:r>
                <w:rPr>
                  <w:rFonts w:ascii="Times New Roman" w:cs="Times New Roman" w:eastAsia="Times New Roman" w:hAnsi="Times New Roman"/>
                  <w:sz w:val="14"/>
                  <w:szCs w:val="14"/>
                  <w:color w:val="0000FF"/>
                </w:rPr>
                <w:t>Guarantor Inc., the lenders party thereto, and Morgan</w:t>
              </w:r>
            </w:hyperlink>
          </w:p>
        </w:tc>
      </w:tr>
      <w:tr>
        <w:trPr>
          <w:trHeight w:val="20"/>
        </w:trPr>
        <w:tc>
          <w:tcPr>
            <w:tcW w:w="740" w:type="dxa"/>
            <w:vAlign w:val="bottom"/>
          </w:tcPr>
          <w:p>
            <w:pPr>
              <w:spacing w:after="0" w:line="20" w:lineRule="exact"/>
              <w:rPr>
                <w:sz w:val="1"/>
                <w:szCs w:val="1"/>
                <w:color w:val="auto"/>
              </w:rPr>
            </w:pPr>
          </w:p>
        </w:tc>
        <w:tc>
          <w:tcPr>
            <w:tcW w:w="23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4">
              <w:r>
                <w:rPr>
                  <w:rFonts w:ascii="Times New Roman" w:cs="Times New Roman" w:eastAsia="Times New Roman" w:hAnsi="Times New Roman"/>
                  <w:sz w:val="14"/>
                  <w:szCs w:val="14"/>
                  <w:color w:val="0000FF"/>
                </w:rPr>
                <w:t>Stanley Senior Funding, Inc. (with amended First Lien</w:t>
              </w:r>
            </w:hyperlink>
          </w:p>
        </w:tc>
      </w:tr>
      <w:tr>
        <w:trPr>
          <w:trHeight w:val="20"/>
        </w:trPr>
        <w:tc>
          <w:tcPr>
            <w:tcW w:w="740" w:type="dxa"/>
            <w:vAlign w:val="bottom"/>
          </w:tcPr>
          <w:p>
            <w:pPr>
              <w:spacing w:after="0" w:line="20" w:lineRule="exact"/>
              <w:rPr>
                <w:sz w:val="1"/>
                <w:szCs w:val="1"/>
                <w:color w:val="auto"/>
              </w:rPr>
            </w:pPr>
          </w:p>
        </w:tc>
        <w:tc>
          <w:tcPr>
            <w:tcW w:w="23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4">
              <w:r>
                <w:rPr>
                  <w:rFonts w:ascii="Times New Roman" w:cs="Times New Roman" w:eastAsia="Times New Roman" w:hAnsi="Times New Roman"/>
                  <w:sz w:val="14"/>
                  <w:szCs w:val="14"/>
                  <w:color w:val="0000FF"/>
                </w:rPr>
                <w:t>Credit Agreement attached as Exhibit A).</w:t>
              </w:r>
            </w:hyperlink>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380" w:type="dxa"/>
            <w:vAlign w:val="bottom"/>
            <w:tcBorders>
              <w:right w:val="single" w:sz="8" w:color="0000EE"/>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10.15</w:t>
            </w: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5">
              <w:r>
                <w:rPr>
                  <w:rFonts w:ascii="Times New Roman" w:cs="Times New Roman" w:eastAsia="Times New Roman" w:hAnsi="Times New Roman"/>
                  <w:sz w:val="14"/>
                  <w:szCs w:val="14"/>
                  <w:color w:val="0000FF"/>
                </w:rPr>
                <w:t>Joinder Agreement and Eighth Amendment to the</w:t>
              </w:r>
            </w:hyperlink>
          </w:p>
        </w:tc>
      </w:tr>
      <w:tr>
        <w:trPr>
          <w:trHeight w:val="20"/>
        </w:trPr>
        <w:tc>
          <w:tcPr>
            <w:tcW w:w="740" w:type="dxa"/>
            <w:vAlign w:val="bottom"/>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5">
              <w:r>
                <w:rPr>
                  <w:rFonts w:ascii="Times New Roman" w:cs="Times New Roman" w:eastAsia="Times New Roman" w:hAnsi="Times New Roman"/>
                  <w:sz w:val="14"/>
                  <w:szCs w:val="14"/>
                  <w:color w:val="0000FF"/>
                </w:rPr>
                <w:t>Pharmaceutical Purchase and Distribution Agreement,</w:t>
              </w:r>
            </w:hyperlink>
          </w:p>
        </w:tc>
      </w:tr>
      <w:tr>
        <w:trPr>
          <w:trHeight w:val="20"/>
        </w:trPr>
        <w:tc>
          <w:tcPr>
            <w:tcW w:w="740" w:type="dxa"/>
            <w:vAlign w:val="bottom"/>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5">
              <w:r>
                <w:rPr>
                  <w:rFonts w:ascii="Times New Roman" w:cs="Times New Roman" w:eastAsia="Times New Roman" w:hAnsi="Times New Roman"/>
                  <w:sz w:val="14"/>
                  <w:szCs w:val="14"/>
                  <w:color w:val="0000FF"/>
                </w:rPr>
                <w:t>dated as of December 7, 2017, between Walgreens Boots</w:t>
              </w:r>
            </w:hyperlink>
          </w:p>
        </w:tc>
      </w:tr>
      <w:tr>
        <w:trPr>
          <w:trHeight w:val="20"/>
        </w:trPr>
        <w:tc>
          <w:tcPr>
            <w:tcW w:w="740" w:type="dxa"/>
            <w:vAlign w:val="bottom"/>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5">
              <w:r>
                <w:rPr>
                  <w:rFonts w:ascii="Times New Roman" w:cs="Times New Roman" w:eastAsia="Times New Roman" w:hAnsi="Times New Roman"/>
                  <w:sz w:val="14"/>
                  <w:szCs w:val="14"/>
                  <w:color w:val="0000FF"/>
                </w:rPr>
                <w:t>Alliance, Inc. and certain of its affiliate, and</w:t>
              </w:r>
            </w:hyperlink>
          </w:p>
        </w:tc>
      </w:tr>
      <w:tr>
        <w:trPr>
          <w:trHeight w:val="20"/>
        </w:trPr>
        <w:tc>
          <w:tcPr>
            <w:tcW w:w="740" w:type="dxa"/>
            <w:vAlign w:val="bottom"/>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5">
              <w:r>
                <w:rPr>
                  <w:rFonts w:ascii="Times New Roman" w:cs="Times New Roman" w:eastAsia="Times New Roman" w:hAnsi="Times New Roman"/>
                  <w:sz w:val="14"/>
                  <w:szCs w:val="14"/>
                  <w:color w:val="0000FF"/>
                </w:rPr>
                <w:t>AmerisourceBergen Drug Corporation and its affiliate</w:t>
              </w:r>
            </w:hyperlink>
          </w:p>
        </w:tc>
      </w:tr>
      <w:tr>
        <w:trPr>
          <w:trHeight w:val="20"/>
        </w:trPr>
        <w:tc>
          <w:tcPr>
            <w:tcW w:w="740" w:type="dxa"/>
            <w:vAlign w:val="bottom"/>
          </w:tcPr>
          <w:p>
            <w:pPr>
              <w:spacing w:after="0" w:line="20" w:lineRule="exact"/>
              <w:rPr>
                <w:sz w:val="1"/>
                <w:szCs w:val="1"/>
                <w:color w:val="auto"/>
              </w:rPr>
            </w:pPr>
          </w:p>
        </w:tc>
        <w:tc>
          <w:tcPr>
            <w:tcW w:w="2840" w:type="dxa"/>
            <w:vAlign w:val="bottom"/>
            <w:gridSpan w:val="7"/>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5">
              <w:r>
                <w:rPr>
                  <w:rFonts w:ascii="Times New Roman" w:cs="Times New Roman" w:eastAsia="Times New Roman" w:hAnsi="Times New Roman"/>
                  <w:sz w:val="14"/>
                  <w:szCs w:val="14"/>
                  <w:color w:val="0000FF"/>
                </w:rPr>
                <w:t>acknowledged by PharMerica Corporation, to the</w:t>
              </w:r>
            </w:hyperlink>
          </w:p>
        </w:tc>
      </w:tr>
      <w:tr>
        <w:trPr>
          <w:trHeight w:val="20"/>
        </w:trPr>
        <w:tc>
          <w:tcPr>
            <w:tcW w:w="740" w:type="dxa"/>
            <w:vAlign w:val="bottom"/>
          </w:tcPr>
          <w:p>
            <w:pPr>
              <w:spacing w:after="0" w:line="20" w:lineRule="exact"/>
              <w:rPr>
                <w:sz w:val="1"/>
                <w:szCs w:val="1"/>
                <w:color w:val="auto"/>
              </w:rPr>
            </w:pPr>
          </w:p>
        </w:tc>
        <w:tc>
          <w:tcPr>
            <w:tcW w:w="2840" w:type="dxa"/>
            <w:vAlign w:val="bottom"/>
            <w:gridSpan w:val="7"/>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13"/>
          </w:tcPr>
          <w:p>
            <w:pPr>
              <w:spacing w:after="0" w:line="152" w:lineRule="exact"/>
              <w:rPr>
                <w:rFonts w:ascii="Times New Roman" w:cs="Times New Roman" w:eastAsia="Times New Roman" w:hAnsi="Times New Roman"/>
                <w:sz w:val="14"/>
                <w:szCs w:val="14"/>
                <w:color w:val="0000FF"/>
              </w:rPr>
            </w:pPr>
            <w:hyperlink r:id="rId535">
              <w:r>
                <w:rPr>
                  <w:rFonts w:ascii="Times New Roman" w:cs="Times New Roman" w:eastAsia="Times New Roman" w:hAnsi="Times New Roman"/>
                  <w:sz w:val="14"/>
                  <w:szCs w:val="14"/>
                  <w:color w:val="0000FF"/>
                </w:rPr>
                <w:t>Pharmaceutical Purchase and Distribution Agreement,</w:t>
              </w:r>
            </w:hyperlink>
          </w:p>
        </w:tc>
      </w:tr>
      <w:tr>
        <w:trPr>
          <w:trHeight w:val="20"/>
        </w:trPr>
        <w:tc>
          <w:tcPr>
            <w:tcW w:w="740" w:type="dxa"/>
            <w:vAlign w:val="bottom"/>
          </w:tcPr>
          <w:p>
            <w:pPr>
              <w:spacing w:after="0" w:line="20" w:lineRule="exact"/>
              <w:rPr>
                <w:sz w:val="1"/>
                <w:szCs w:val="1"/>
                <w:color w:val="auto"/>
              </w:rPr>
            </w:pPr>
          </w:p>
        </w:tc>
        <w:tc>
          <w:tcPr>
            <w:tcW w:w="3020" w:type="dxa"/>
            <w:vAlign w:val="bottom"/>
            <w:gridSpan w:val="9"/>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5"/>
        </w:trPr>
        <w:tc>
          <w:tcPr>
            <w:tcW w:w="740" w:type="dxa"/>
            <w:vAlign w:val="bottom"/>
          </w:tcPr>
          <w:p>
            <w:pPr>
              <w:spacing w:after="0"/>
              <w:rPr>
                <w:sz w:val="24"/>
                <w:szCs w:val="24"/>
                <w:color w:val="auto"/>
              </w:rPr>
            </w:pPr>
          </w:p>
        </w:tc>
        <w:tc>
          <w:tcPr>
            <w:tcW w:w="3200" w:type="dxa"/>
            <w:vAlign w:val="bottom"/>
            <w:gridSpan w:val="12"/>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369570</wp:posOffset>
            </wp:positionV>
            <wp:extent cx="5603875" cy="387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60"/>
        <w:spacing w:after="0"/>
        <w:tabs>
          <w:tab w:leader="none" w:pos="1000" w:val="left"/>
          <w:tab w:leader="none" w:pos="1900" w:val="left"/>
          <w:tab w:leader="none" w:pos="2700" w:val="left"/>
        </w:tabs>
        <w:rPr>
          <w:sz w:val="20"/>
          <w:szCs w:val="20"/>
          <w:color w:val="auto"/>
        </w:rPr>
      </w:pPr>
      <w:r>
        <w:rPr>
          <w:rFonts w:ascii="Times New Roman" w:cs="Times New Roman" w:eastAsia="Times New Roman" w:hAnsi="Times New Roman"/>
          <w:sz w:val="11"/>
          <w:szCs w:val="11"/>
          <w:b w:val="1"/>
          <w:bCs w:val="1"/>
          <w:color w:val="auto"/>
        </w:rPr>
        <w:t>Form</w:t>
      </w:r>
      <w:r>
        <w:rPr>
          <w:sz w:val="20"/>
          <w:szCs w:val="20"/>
          <w:color w:val="auto"/>
        </w:rPr>
        <w:tab/>
      </w:r>
      <w:r>
        <w:rPr>
          <w:rFonts w:ascii="Times New Roman" w:cs="Times New Roman" w:eastAsia="Times New Roman" w:hAnsi="Times New Roman"/>
          <w:sz w:val="11"/>
          <w:szCs w:val="11"/>
          <w:b w:val="1"/>
          <w:bCs w:val="1"/>
          <w:color w:val="auto"/>
        </w:rPr>
        <w:t>File No.</w:t>
      </w:r>
      <w:r>
        <w:rPr>
          <w:sz w:val="20"/>
          <w:szCs w:val="20"/>
          <w:color w:val="auto"/>
        </w:rPr>
        <w:tab/>
      </w:r>
      <w:r>
        <w:rPr>
          <w:rFonts w:ascii="Times New Roman" w:cs="Times New Roman" w:eastAsia="Times New Roman" w:hAnsi="Times New Roman"/>
          <w:sz w:val="11"/>
          <w:szCs w:val="11"/>
          <w:b w:val="1"/>
          <w:bCs w:val="1"/>
          <w:color w:val="auto"/>
        </w:rPr>
        <w:t>Exhibit</w:t>
      </w:r>
      <w:r>
        <w:rPr>
          <w:sz w:val="20"/>
          <w:szCs w:val="20"/>
          <w:color w:val="auto"/>
        </w:rPr>
        <w:tab/>
      </w:r>
      <w:r>
        <w:rPr>
          <w:rFonts w:ascii="Times New Roman" w:cs="Times New Roman" w:eastAsia="Times New Roman" w:hAnsi="Times New Roman"/>
          <w:sz w:val="11"/>
          <w:szCs w:val="11"/>
          <w:b w:val="1"/>
          <w:bCs w:val="1"/>
          <w:color w:val="auto"/>
        </w:rPr>
        <w:t>Filing Date</w:t>
      </w:r>
    </w:p>
    <w:p>
      <w:pPr>
        <w:spacing w:after="0" w:line="114" w:lineRule="exact"/>
        <w:rPr>
          <w:sz w:val="20"/>
          <w:szCs w:val="20"/>
          <w:color w:val="auto"/>
        </w:rPr>
      </w:pPr>
    </w:p>
    <w:p>
      <w:pPr>
        <w:spacing w:after="0"/>
        <w:tabs>
          <w:tab w:leader="none" w:pos="780" w:val="left"/>
          <w:tab w:leader="none" w:pos="1820" w:val="left"/>
          <w:tab w:leader="none" w:pos="2540" w:val="left"/>
        </w:tabs>
        <w:rPr>
          <w:sz w:val="20"/>
          <w:szCs w:val="20"/>
          <w:color w:val="auto"/>
        </w:rPr>
      </w:pPr>
      <w:r>
        <w:rPr>
          <w:rFonts w:ascii="Times New Roman" w:cs="Times New Roman" w:eastAsia="Times New Roman" w:hAnsi="Times New Roman"/>
          <w:sz w:val="14"/>
          <w:szCs w:val="14"/>
          <w:color w:val="auto"/>
        </w:rPr>
        <w:t>S-1/A</w:t>
      </w:r>
      <w:r>
        <w:rPr>
          <w:sz w:val="20"/>
          <w:szCs w:val="20"/>
          <w:color w:val="auto"/>
        </w:rPr>
        <w:tab/>
      </w:r>
      <w:r>
        <w:rPr>
          <w:rFonts w:ascii="Times New Roman" w:cs="Times New Roman" w:eastAsia="Times New Roman" w:hAnsi="Times New Roman"/>
          <w:sz w:val="14"/>
          <w:szCs w:val="14"/>
          <w:color w:val="auto"/>
        </w:rPr>
        <w:t>333-276348</w:t>
      </w:r>
      <w:r>
        <w:rPr>
          <w:sz w:val="20"/>
          <w:szCs w:val="20"/>
          <w:color w:val="auto"/>
        </w:rPr>
        <w:tab/>
      </w:r>
      <w:r>
        <w:rPr>
          <w:rFonts w:ascii="Times New Roman" w:cs="Times New Roman" w:eastAsia="Times New Roman" w:hAnsi="Times New Roman"/>
          <w:sz w:val="14"/>
          <w:szCs w:val="14"/>
          <w:color w:val="auto"/>
        </w:rPr>
        <w:t>10.8</w:t>
      </w:r>
      <w:r>
        <w:rPr>
          <w:sz w:val="20"/>
          <w:szCs w:val="20"/>
          <w:color w:val="auto"/>
        </w:rPr>
        <w:tab/>
      </w:r>
      <w:r>
        <w:rPr>
          <w:rFonts w:ascii="Times New Roman" w:cs="Times New Roman" w:eastAsia="Times New Roman" w:hAnsi="Times New Roman"/>
          <w:sz w:val="14"/>
          <w:szCs w:val="14"/>
          <w:color w:val="auto"/>
        </w:rPr>
        <w:t>1/10/2024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780" w:val="left"/>
          <w:tab w:leader="none" w:pos="1820" w:val="left"/>
          <w:tab w:leader="none" w:pos="2540" w:val="left"/>
        </w:tabs>
        <w:rPr>
          <w:sz w:val="20"/>
          <w:szCs w:val="20"/>
          <w:color w:val="auto"/>
        </w:rPr>
      </w:pPr>
      <w:r>
        <w:rPr>
          <w:rFonts w:ascii="Times New Roman" w:cs="Times New Roman" w:eastAsia="Times New Roman" w:hAnsi="Times New Roman"/>
          <w:sz w:val="14"/>
          <w:szCs w:val="14"/>
          <w:color w:val="auto"/>
        </w:rPr>
        <w:t>S-1/A</w:t>
      </w:r>
      <w:r>
        <w:rPr>
          <w:sz w:val="20"/>
          <w:szCs w:val="20"/>
          <w:color w:val="auto"/>
        </w:rPr>
        <w:tab/>
      </w:r>
      <w:r>
        <w:rPr>
          <w:rFonts w:ascii="Times New Roman" w:cs="Times New Roman" w:eastAsia="Times New Roman" w:hAnsi="Times New Roman"/>
          <w:sz w:val="14"/>
          <w:szCs w:val="14"/>
          <w:color w:val="auto"/>
        </w:rPr>
        <w:t>333-276348</w:t>
      </w:r>
      <w:r>
        <w:rPr>
          <w:sz w:val="20"/>
          <w:szCs w:val="20"/>
          <w:color w:val="auto"/>
        </w:rPr>
        <w:tab/>
      </w:r>
      <w:r>
        <w:rPr>
          <w:rFonts w:ascii="Times New Roman" w:cs="Times New Roman" w:eastAsia="Times New Roman" w:hAnsi="Times New Roman"/>
          <w:sz w:val="14"/>
          <w:szCs w:val="14"/>
          <w:color w:val="auto"/>
        </w:rPr>
        <w:t>10.9</w:t>
      </w:r>
      <w:r>
        <w:rPr>
          <w:sz w:val="20"/>
          <w:szCs w:val="20"/>
          <w:color w:val="auto"/>
        </w:rPr>
        <w:tab/>
      </w:r>
      <w:r>
        <w:rPr>
          <w:rFonts w:ascii="Times New Roman" w:cs="Times New Roman" w:eastAsia="Times New Roman" w:hAnsi="Times New Roman"/>
          <w:sz w:val="14"/>
          <w:szCs w:val="14"/>
          <w:color w:val="auto"/>
        </w:rPr>
        <w:t>1/10/2024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780" w:val="left"/>
          <w:tab w:leader="none" w:pos="1820" w:val="left"/>
          <w:tab w:leader="none" w:pos="2540" w:val="left"/>
        </w:tabs>
        <w:rPr>
          <w:sz w:val="20"/>
          <w:szCs w:val="20"/>
          <w:color w:val="auto"/>
        </w:rPr>
      </w:pPr>
      <w:r>
        <w:rPr>
          <w:rFonts w:ascii="Times New Roman" w:cs="Times New Roman" w:eastAsia="Times New Roman" w:hAnsi="Times New Roman"/>
          <w:sz w:val="14"/>
          <w:szCs w:val="14"/>
          <w:color w:val="auto"/>
        </w:rPr>
        <w:t>S-1/A</w:t>
      </w:r>
      <w:r>
        <w:rPr>
          <w:sz w:val="20"/>
          <w:szCs w:val="20"/>
          <w:color w:val="auto"/>
        </w:rPr>
        <w:tab/>
      </w:r>
      <w:r>
        <w:rPr>
          <w:rFonts w:ascii="Times New Roman" w:cs="Times New Roman" w:eastAsia="Times New Roman" w:hAnsi="Times New Roman"/>
          <w:sz w:val="14"/>
          <w:szCs w:val="14"/>
          <w:color w:val="auto"/>
        </w:rPr>
        <w:t>333-276348</w:t>
      </w:r>
      <w:r>
        <w:rPr>
          <w:sz w:val="20"/>
          <w:szCs w:val="20"/>
          <w:color w:val="auto"/>
        </w:rPr>
        <w:tab/>
      </w:r>
      <w:r>
        <w:rPr>
          <w:rFonts w:ascii="Times New Roman" w:cs="Times New Roman" w:eastAsia="Times New Roman" w:hAnsi="Times New Roman"/>
          <w:sz w:val="14"/>
          <w:szCs w:val="14"/>
          <w:color w:val="auto"/>
        </w:rPr>
        <w:t>10.10</w:t>
      </w:r>
      <w:r>
        <w:rPr>
          <w:sz w:val="20"/>
          <w:szCs w:val="20"/>
          <w:color w:val="auto"/>
        </w:rPr>
        <w:tab/>
      </w:r>
      <w:r>
        <w:rPr>
          <w:rFonts w:ascii="Times New Roman" w:cs="Times New Roman" w:eastAsia="Times New Roman" w:hAnsi="Times New Roman"/>
          <w:sz w:val="14"/>
          <w:szCs w:val="14"/>
          <w:color w:val="auto"/>
        </w:rPr>
        <w:t>1/10/2024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780" w:val="left"/>
          <w:tab w:leader="none" w:pos="1820" w:val="left"/>
          <w:tab w:leader="none" w:pos="2540" w:val="left"/>
        </w:tabs>
        <w:rPr>
          <w:sz w:val="20"/>
          <w:szCs w:val="20"/>
          <w:color w:val="auto"/>
        </w:rPr>
      </w:pPr>
      <w:r>
        <w:rPr>
          <w:rFonts w:ascii="Times New Roman" w:cs="Times New Roman" w:eastAsia="Times New Roman" w:hAnsi="Times New Roman"/>
          <w:sz w:val="14"/>
          <w:szCs w:val="14"/>
          <w:color w:val="auto"/>
        </w:rPr>
        <w:t>10-Q</w:t>
      </w:r>
      <w:r>
        <w:rPr>
          <w:sz w:val="20"/>
          <w:szCs w:val="20"/>
          <w:color w:val="auto"/>
        </w:rPr>
        <w:tab/>
      </w:r>
      <w:r>
        <w:rPr>
          <w:rFonts w:ascii="Times New Roman" w:cs="Times New Roman" w:eastAsia="Times New Roman" w:hAnsi="Times New Roman"/>
          <w:sz w:val="14"/>
          <w:szCs w:val="14"/>
          <w:color w:val="auto"/>
        </w:rPr>
        <w:t>001-41938</w:t>
      </w:r>
      <w:r>
        <w:rPr>
          <w:sz w:val="20"/>
          <w:szCs w:val="20"/>
          <w:color w:val="auto"/>
        </w:rPr>
        <w:tab/>
      </w:r>
      <w:r>
        <w:rPr>
          <w:rFonts w:ascii="Times New Roman" w:cs="Times New Roman" w:eastAsia="Times New Roman" w:hAnsi="Times New Roman"/>
          <w:sz w:val="14"/>
          <w:szCs w:val="14"/>
          <w:color w:val="auto"/>
        </w:rPr>
        <w:t>10.1</w:t>
      </w:r>
      <w:r>
        <w:rPr>
          <w:sz w:val="20"/>
          <w:szCs w:val="20"/>
          <w:color w:val="auto"/>
        </w:rPr>
        <w:tab/>
      </w:r>
      <w:r>
        <w:rPr>
          <w:rFonts w:ascii="Times New Roman" w:cs="Times New Roman" w:eastAsia="Times New Roman" w:hAnsi="Times New Roman"/>
          <w:sz w:val="14"/>
          <w:szCs w:val="14"/>
          <w:color w:val="auto"/>
        </w:rPr>
        <w:t>5/2/2024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780" w:val="left"/>
          <w:tab w:leader="none" w:pos="1820" w:val="left"/>
          <w:tab w:leader="none" w:pos="2540" w:val="left"/>
        </w:tabs>
        <w:rPr>
          <w:sz w:val="20"/>
          <w:szCs w:val="20"/>
          <w:color w:val="auto"/>
        </w:rPr>
      </w:pPr>
      <w:r>
        <w:rPr>
          <w:rFonts w:ascii="Times New Roman" w:cs="Times New Roman" w:eastAsia="Times New Roman" w:hAnsi="Times New Roman"/>
          <w:sz w:val="14"/>
          <w:szCs w:val="14"/>
          <w:color w:val="auto"/>
        </w:rPr>
        <w:t>10-Q</w:t>
      </w:r>
      <w:r>
        <w:rPr>
          <w:sz w:val="20"/>
          <w:szCs w:val="20"/>
          <w:color w:val="auto"/>
        </w:rPr>
        <w:tab/>
      </w:r>
      <w:r>
        <w:rPr>
          <w:rFonts w:ascii="Times New Roman" w:cs="Times New Roman" w:eastAsia="Times New Roman" w:hAnsi="Times New Roman"/>
          <w:sz w:val="14"/>
          <w:szCs w:val="14"/>
          <w:color w:val="auto"/>
        </w:rPr>
        <w:t>001-41938</w:t>
      </w:r>
      <w:r>
        <w:rPr>
          <w:sz w:val="20"/>
          <w:szCs w:val="20"/>
          <w:color w:val="auto"/>
        </w:rPr>
        <w:tab/>
      </w:r>
      <w:r>
        <w:rPr>
          <w:rFonts w:ascii="Times New Roman" w:cs="Times New Roman" w:eastAsia="Times New Roman" w:hAnsi="Times New Roman"/>
          <w:sz w:val="14"/>
          <w:szCs w:val="14"/>
          <w:color w:val="auto"/>
        </w:rPr>
        <w:t>10.1</w:t>
      </w:r>
      <w:r>
        <w:rPr>
          <w:sz w:val="20"/>
          <w:szCs w:val="20"/>
          <w:color w:val="auto"/>
        </w:rPr>
        <w:tab/>
      </w:r>
      <w:r>
        <w:rPr>
          <w:rFonts w:ascii="Times New Roman" w:cs="Times New Roman" w:eastAsia="Times New Roman" w:hAnsi="Times New Roman"/>
          <w:sz w:val="14"/>
          <w:szCs w:val="14"/>
          <w:color w:val="auto"/>
        </w:rPr>
        <w:t>11/1/2024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780" w:val="left"/>
          <w:tab w:leader="none" w:pos="1820" w:val="left"/>
          <w:tab w:leader="none" w:pos="2540" w:val="left"/>
        </w:tabs>
        <w:rPr>
          <w:sz w:val="20"/>
          <w:szCs w:val="20"/>
          <w:color w:val="auto"/>
        </w:rPr>
      </w:pPr>
      <w:r>
        <w:rPr>
          <w:rFonts w:ascii="Times New Roman" w:cs="Times New Roman" w:eastAsia="Times New Roman" w:hAnsi="Times New Roman"/>
          <w:sz w:val="14"/>
          <w:szCs w:val="14"/>
          <w:color w:val="auto"/>
        </w:rPr>
        <w:t>8-K</w:t>
      </w:r>
      <w:r>
        <w:rPr>
          <w:sz w:val="20"/>
          <w:szCs w:val="20"/>
          <w:color w:val="auto"/>
        </w:rPr>
        <w:tab/>
      </w:r>
      <w:r>
        <w:rPr>
          <w:rFonts w:ascii="Times New Roman" w:cs="Times New Roman" w:eastAsia="Times New Roman" w:hAnsi="Times New Roman"/>
          <w:sz w:val="14"/>
          <w:szCs w:val="14"/>
          <w:color w:val="auto"/>
        </w:rPr>
        <w:t>001-41938</w:t>
      </w:r>
      <w:r>
        <w:rPr>
          <w:sz w:val="20"/>
          <w:szCs w:val="20"/>
          <w:color w:val="auto"/>
        </w:rPr>
        <w:tab/>
      </w:r>
      <w:r>
        <w:rPr>
          <w:rFonts w:ascii="Times New Roman" w:cs="Times New Roman" w:eastAsia="Times New Roman" w:hAnsi="Times New Roman"/>
          <w:sz w:val="14"/>
          <w:szCs w:val="14"/>
          <w:color w:val="auto"/>
        </w:rPr>
        <w:t>10.1</w:t>
      </w:r>
      <w:r>
        <w:rPr>
          <w:sz w:val="20"/>
          <w:szCs w:val="20"/>
          <w:color w:val="auto"/>
        </w:rPr>
        <w:tab/>
      </w:r>
      <w:r>
        <w:rPr>
          <w:rFonts w:ascii="Times New Roman" w:cs="Times New Roman" w:eastAsia="Times New Roman" w:hAnsi="Times New Roman"/>
          <w:sz w:val="14"/>
          <w:szCs w:val="14"/>
          <w:color w:val="auto"/>
        </w:rPr>
        <w:t>12/11/2024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780" w:val="left"/>
          <w:tab w:leader="none" w:pos="1820" w:val="left"/>
          <w:tab w:leader="none" w:pos="2540" w:val="left"/>
        </w:tabs>
        <w:rPr>
          <w:sz w:val="20"/>
          <w:szCs w:val="20"/>
          <w:color w:val="auto"/>
        </w:rPr>
      </w:pPr>
      <w:r>
        <w:rPr>
          <w:rFonts w:ascii="Times New Roman" w:cs="Times New Roman" w:eastAsia="Times New Roman" w:hAnsi="Times New Roman"/>
          <w:sz w:val="14"/>
          <w:szCs w:val="14"/>
          <w:color w:val="auto"/>
        </w:rPr>
        <w:t>S-1/A</w:t>
      </w:r>
      <w:r>
        <w:rPr>
          <w:sz w:val="20"/>
          <w:szCs w:val="20"/>
          <w:color w:val="auto"/>
        </w:rPr>
        <w:tab/>
      </w:r>
      <w:r>
        <w:rPr>
          <w:rFonts w:ascii="Times New Roman" w:cs="Times New Roman" w:eastAsia="Times New Roman" w:hAnsi="Times New Roman"/>
          <w:sz w:val="14"/>
          <w:szCs w:val="14"/>
          <w:color w:val="auto"/>
        </w:rPr>
        <w:t>333-276348</w:t>
      </w:r>
      <w:r>
        <w:rPr>
          <w:sz w:val="20"/>
          <w:szCs w:val="20"/>
          <w:color w:val="auto"/>
        </w:rPr>
        <w:tab/>
      </w:r>
      <w:r>
        <w:rPr>
          <w:rFonts w:ascii="Times New Roman" w:cs="Times New Roman" w:eastAsia="Times New Roman" w:hAnsi="Times New Roman"/>
          <w:sz w:val="14"/>
          <w:szCs w:val="14"/>
          <w:color w:val="auto"/>
        </w:rPr>
        <w:t>10.17</w:t>
      </w:r>
      <w:r>
        <w:rPr>
          <w:sz w:val="20"/>
          <w:szCs w:val="20"/>
          <w:color w:val="auto"/>
        </w:rPr>
        <w:tab/>
      </w:r>
      <w:r>
        <w:rPr>
          <w:rFonts w:ascii="Times New Roman" w:cs="Times New Roman" w:eastAsia="Times New Roman" w:hAnsi="Times New Roman"/>
          <w:sz w:val="14"/>
          <w:szCs w:val="14"/>
          <w:color w:val="auto"/>
        </w:rPr>
        <w:t>1/10/2024</w:t>
      </w:r>
    </w:p>
    <w:p>
      <w:pPr>
        <w:sectPr>
          <w:pgSz w:w="11900" w:h="16838" w:orient="portrait"/>
          <w:cols w:equalWidth="0" w:num="2">
            <w:col w:w="4640" w:space="220"/>
            <w:col w:w="4159"/>
          </w:cols>
          <w:pgMar w:left="1440" w:top="123" w:right="1440" w:bottom="1440" w:gutter="0" w:footer="0" w:header="0"/>
          <w:type w:val="continuous"/>
        </w:sectPr>
      </w:pPr>
    </w:p>
    <w:bookmarkStart w:id="134" w:name="page135"/>
    <w:bookmarkEnd w:id="13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74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20" w:type="dxa"/>
            <w:vAlign w:val="bottom"/>
            <w:gridSpan w:val="18"/>
          </w:tcPr>
          <w:p>
            <w:pPr>
              <w:ind w:left="20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50"/>
        </w:trPr>
        <w:tc>
          <w:tcPr>
            <w:tcW w:w="74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260" w:type="dxa"/>
            <w:vAlign w:val="bottom"/>
            <w:gridSpan w:val="25"/>
            <w:vMerge w:val="restart"/>
          </w:tcPr>
          <w:p>
            <w:pPr>
              <w:spacing w:after="0"/>
              <w:rPr>
                <w:rFonts w:ascii="Times New Roman" w:cs="Times New Roman" w:eastAsia="Times New Roman" w:hAnsi="Times New Roman"/>
                <w:sz w:val="14"/>
                <w:szCs w:val="14"/>
                <w:color w:val="0000FF"/>
              </w:rPr>
            </w:pPr>
            <w:hyperlink r:id="rId535">
              <w:r>
                <w:rPr>
                  <w:rFonts w:ascii="Times New Roman" w:cs="Times New Roman" w:eastAsia="Times New Roman" w:hAnsi="Times New Roman"/>
                  <w:sz w:val="14"/>
                  <w:szCs w:val="14"/>
                  <w:color w:val="0000FF"/>
                </w:rPr>
                <w:t>between Walgreens Boots Alliance, Inc., and certain of</w:t>
              </w:r>
            </w:hyperlink>
          </w:p>
        </w:tc>
        <w:tc>
          <w:tcPr>
            <w:tcW w:w="0" w:type="dxa"/>
            <w:vAlign w:val="bottom"/>
          </w:tcPr>
          <w:p>
            <w:pPr>
              <w:spacing w:after="0"/>
              <w:rPr>
                <w:sz w:val="1"/>
                <w:szCs w:val="1"/>
                <w:color w:val="auto"/>
              </w:rPr>
            </w:pPr>
          </w:p>
        </w:tc>
      </w:tr>
      <w:tr>
        <w:trPr>
          <w:trHeight w:val="127"/>
        </w:trPr>
        <w:tc>
          <w:tcPr>
            <w:tcW w:w="740" w:type="dxa"/>
            <w:vAlign w:val="bottom"/>
          </w:tcPr>
          <w:p>
            <w:pPr>
              <w:spacing w:after="0"/>
              <w:rPr>
                <w:sz w:val="11"/>
                <w:szCs w:val="11"/>
                <w:color w:val="auto"/>
              </w:rPr>
            </w:pPr>
          </w:p>
        </w:tc>
        <w:tc>
          <w:tcPr>
            <w:tcW w:w="3260" w:type="dxa"/>
            <w:vAlign w:val="bottom"/>
            <w:gridSpan w:val="2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35">
              <w:r>
                <w:rPr>
                  <w:rFonts w:ascii="Times New Roman" w:cs="Times New Roman" w:eastAsia="Times New Roman" w:hAnsi="Times New Roman"/>
                  <w:sz w:val="14"/>
                  <w:szCs w:val="14"/>
                  <w:color w:val="0000FF"/>
                </w:rPr>
                <w:t>its affiliates, and AmerisourceBergen Drug Corporation</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35">
              <w:r>
                <w:rPr>
                  <w:rFonts w:ascii="Times New Roman" w:cs="Times New Roman" w:eastAsia="Times New Roman" w:hAnsi="Times New Roman"/>
                  <w:sz w:val="14"/>
                  <w:szCs w:val="14"/>
                  <w:color w:val="0000FF"/>
                </w:rPr>
                <w:t>and its affiliate, dated as of March 18, 2013.</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10.16†</w:t>
            </w: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37">
              <w:r>
                <w:rPr>
                  <w:rFonts w:ascii="Times New Roman" w:cs="Times New Roman" w:eastAsia="Times New Roman" w:hAnsi="Times New Roman"/>
                  <w:sz w:val="14"/>
                  <w:szCs w:val="14"/>
                  <w:color w:val="0000FF"/>
                </w:rPr>
                <w:t>Employment Agreement between Phoenix Parent</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37">
              <w:r>
                <w:rPr>
                  <w:rFonts w:ascii="Times New Roman" w:cs="Times New Roman" w:eastAsia="Times New Roman" w:hAnsi="Times New Roman"/>
                  <w:sz w:val="14"/>
                  <w:szCs w:val="14"/>
                  <w:color w:val="0000FF"/>
                </w:rPr>
                <w:t>Holdings Inc. and Jon B. Rousseau, effective as of</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37">
              <w:r>
                <w:rPr>
                  <w:rFonts w:ascii="Times New Roman" w:cs="Times New Roman" w:eastAsia="Times New Roman" w:hAnsi="Times New Roman"/>
                  <w:sz w:val="14"/>
                  <w:szCs w:val="14"/>
                  <w:color w:val="0000FF"/>
                </w:rPr>
                <w:t>March 5, 2019.</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10.17†</w:t>
            </w: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38">
              <w:r>
                <w:rPr>
                  <w:rFonts w:ascii="Times New Roman" w:cs="Times New Roman" w:eastAsia="Times New Roman" w:hAnsi="Times New Roman"/>
                  <w:sz w:val="14"/>
                  <w:szCs w:val="14"/>
                  <w:color w:val="0000FF"/>
                </w:rPr>
                <w:t>Amended and Restated Employment Agreement between</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38">
              <w:r>
                <w:rPr>
                  <w:rFonts w:ascii="Times New Roman" w:cs="Times New Roman" w:eastAsia="Times New Roman" w:hAnsi="Times New Roman"/>
                  <w:sz w:val="14"/>
                  <w:szCs w:val="14"/>
                  <w:color w:val="0000FF"/>
                </w:rPr>
                <w:t>Res-Care, Inc. and James Mattingly, dated December 14,</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280" w:type="dxa"/>
            <w:vAlign w:val="bottom"/>
          </w:tcPr>
          <w:p>
            <w:pPr>
              <w:spacing w:after="0" w:line="152" w:lineRule="exact"/>
              <w:rPr>
                <w:rFonts w:ascii="Times New Roman" w:cs="Times New Roman" w:eastAsia="Times New Roman" w:hAnsi="Times New Roman"/>
                <w:sz w:val="14"/>
                <w:szCs w:val="14"/>
                <w:color w:val="0000FF"/>
                <w:w w:val="76"/>
              </w:rPr>
            </w:pPr>
            <w:hyperlink r:id="rId538">
              <w:r>
                <w:rPr>
                  <w:rFonts w:ascii="Times New Roman" w:cs="Times New Roman" w:eastAsia="Times New Roman" w:hAnsi="Times New Roman"/>
                  <w:sz w:val="14"/>
                  <w:szCs w:val="14"/>
                  <w:color w:val="0000FF"/>
                  <w:w w:val="76"/>
                </w:rPr>
                <w:t>2017.</w:t>
              </w:r>
            </w:hyperlink>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10.18†</w:t>
            </w: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39">
              <w:r>
                <w:rPr>
                  <w:rFonts w:ascii="Times New Roman" w:cs="Times New Roman" w:eastAsia="Times New Roman" w:hAnsi="Times New Roman"/>
                  <w:sz w:val="14"/>
                  <w:szCs w:val="14"/>
                  <w:color w:val="0000FF"/>
                </w:rPr>
                <w:t>Severance Agreement, dated April 14, 2025, by and</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39">
              <w:r>
                <w:rPr>
                  <w:rFonts w:ascii="Times New Roman" w:cs="Times New Roman" w:eastAsia="Times New Roman" w:hAnsi="Times New Roman"/>
                  <w:sz w:val="14"/>
                  <w:szCs w:val="14"/>
                  <w:color w:val="0000FF"/>
                </w:rPr>
                <w:t>between Res-Care, Inc., d/b/a BrightSpring Health</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39">
              <w:r>
                <w:rPr>
                  <w:rFonts w:ascii="Times New Roman" w:cs="Times New Roman" w:eastAsia="Times New Roman" w:hAnsi="Times New Roman"/>
                  <w:sz w:val="14"/>
                  <w:szCs w:val="14"/>
                  <w:color w:val="0000FF"/>
                </w:rPr>
                <w:t>Services, and James Mattingly.</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10.19†</w:t>
            </w: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40">
              <w:r>
                <w:rPr>
                  <w:rFonts w:ascii="Times New Roman" w:cs="Times New Roman" w:eastAsia="Times New Roman" w:hAnsi="Times New Roman"/>
                  <w:sz w:val="14"/>
                  <w:szCs w:val="14"/>
                  <w:color w:val="0000FF"/>
                </w:rPr>
                <w:t>Employment Agreement between Res-Care, Inc. and</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40">
              <w:r>
                <w:rPr>
                  <w:rFonts w:ascii="Times New Roman" w:cs="Times New Roman" w:eastAsia="Times New Roman" w:hAnsi="Times New Roman"/>
                  <w:sz w:val="14"/>
                  <w:szCs w:val="14"/>
                  <w:color w:val="0000FF"/>
                </w:rPr>
                <w:t>Robert A. Barnes, effective as of July 9, 2018.</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EE"/>
            </w:tcBorders>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10.20†</w:t>
            </w: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41">
              <w:r>
                <w:rPr>
                  <w:rFonts w:ascii="Times New Roman" w:cs="Times New Roman" w:eastAsia="Times New Roman" w:hAnsi="Times New Roman"/>
                  <w:sz w:val="14"/>
                  <w:szCs w:val="14"/>
                  <w:color w:val="0000FF"/>
                </w:rPr>
                <w:t>Amended and Restated Employment Agreement, dated</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41">
              <w:r>
                <w:rPr>
                  <w:rFonts w:ascii="Times New Roman" w:cs="Times New Roman" w:eastAsia="Times New Roman" w:hAnsi="Times New Roman"/>
                  <w:sz w:val="14"/>
                  <w:szCs w:val="14"/>
                  <w:color w:val="0000FF"/>
                </w:rPr>
                <w:t>as of October 11, 2024, by and between Res-Care, Inc.</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41">
              <w:r>
                <w:rPr>
                  <w:rFonts w:ascii="Times New Roman" w:cs="Times New Roman" w:eastAsia="Times New Roman" w:hAnsi="Times New Roman"/>
                  <w:sz w:val="14"/>
                  <w:szCs w:val="14"/>
                  <w:color w:val="0000FF"/>
                </w:rPr>
                <w:t>and Steven S. Reed.</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10.21†</w:t>
            </w: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41">
              <w:r>
                <w:rPr>
                  <w:rFonts w:ascii="Times New Roman" w:cs="Times New Roman" w:eastAsia="Times New Roman" w:hAnsi="Times New Roman"/>
                  <w:sz w:val="14"/>
                  <w:szCs w:val="14"/>
                  <w:color w:val="0000FF"/>
                </w:rPr>
                <w:t>Special Retention Agreement, dated as of October 11,</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41">
              <w:r>
                <w:rPr>
                  <w:rFonts w:ascii="Times New Roman" w:cs="Times New Roman" w:eastAsia="Times New Roman" w:hAnsi="Times New Roman"/>
                  <w:sz w:val="14"/>
                  <w:szCs w:val="14"/>
                  <w:color w:val="0000FF"/>
                </w:rPr>
                <w:t>2024, by and between Res-Care, Inc. and Steven S.</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41">
              <w:r>
                <w:rPr>
                  <w:rFonts w:ascii="Times New Roman" w:cs="Times New Roman" w:eastAsia="Times New Roman" w:hAnsi="Times New Roman"/>
                  <w:sz w:val="14"/>
                  <w:szCs w:val="14"/>
                  <w:color w:val="0000FF"/>
                </w:rPr>
                <w:t>Reed.</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10.22†</w:t>
            </w: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42">
              <w:r>
                <w:rPr>
                  <w:rFonts w:ascii="Times New Roman" w:cs="Times New Roman" w:eastAsia="Times New Roman" w:hAnsi="Times New Roman"/>
                  <w:sz w:val="14"/>
                  <w:szCs w:val="14"/>
                  <w:color w:val="0000FF"/>
                </w:rPr>
                <w:t>Employment Agreement between PharMerica</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42">
              <w:r>
                <w:rPr>
                  <w:rFonts w:ascii="Times New Roman" w:cs="Times New Roman" w:eastAsia="Times New Roman" w:hAnsi="Times New Roman"/>
                  <w:sz w:val="14"/>
                  <w:szCs w:val="14"/>
                  <w:color w:val="0000FF"/>
                </w:rPr>
                <w:t>Corporation and Jennifer Yowler, effective as of May 4,</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280" w:type="dxa"/>
            <w:vAlign w:val="bottom"/>
          </w:tcPr>
          <w:p>
            <w:pPr>
              <w:spacing w:after="0" w:line="152" w:lineRule="exact"/>
              <w:rPr>
                <w:rFonts w:ascii="Times New Roman" w:cs="Times New Roman" w:eastAsia="Times New Roman" w:hAnsi="Times New Roman"/>
                <w:sz w:val="14"/>
                <w:szCs w:val="14"/>
                <w:color w:val="0000FF"/>
                <w:w w:val="76"/>
              </w:rPr>
            </w:pPr>
            <w:hyperlink r:id="rId542">
              <w:r>
                <w:rPr>
                  <w:rFonts w:ascii="Times New Roman" w:cs="Times New Roman" w:eastAsia="Times New Roman" w:hAnsi="Times New Roman"/>
                  <w:sz w:val="14"/>
                  <w:szCs w:val="14"/>
                  <w:color w:val="0000FF"/>
                  <w:w w:val="76"/>
                </w:rPr>
                <w:t>2019.</w:t>
              </w:r>
            </w:hyperlink>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10.23†</w:t>
            </w:r>
          </w:p>
        </w:tc>
        <w:tc>
          <w:tcPr>
            <w:tcW w:w="3260" w:type="dxa"/>
            <w:vAlign w:val="bottom"/>
            <w:gridSpan w:val="25"/>
          </w:tcPr>
          <w:p>
            <w:pPr>
              <w:spacing w:after="0" w:line="152" w:lineRule="exact"/>
              <w:rPr>
                <w:sz w:val="20"/>
                <w:szCs w:val="20"/>
                <w:color w:val="auto"/>
              </w:rPr>
            </w:pPr>
            <w:r>
              <w:rPr>
                <w:rFonts w:ascii="Times New Roman" w:cs="Times New Roman" w:eastAsia="Times New Roman" w:hAnsi="Times New Roman"/>
                <w:sz w:val="14"/>
                <w:szCs w:val="14"/>
                <w:color w:val="0000FF"/>
              </w:rPr>
              <w:t>Transition Agreement and Release, between PharMerica</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25"/>
          </w:tcPr>
          <w:p>
            <w:pPr>
              <w:spacing w:after="0" w:line="152" w:lineRule="exact"/>
              <w:rPr>
                <w:sz w:val="20"/>
                <w:szCs w:val="20"/>
                <w:color w:val="auto"/>
              </w:rPr>
            </w:pPr>
            <w:r>
              <w:rPr>
                <w:rFonts w:ascii="Times New Roman" w:cs="Times New Roman" w:eastAsia="Times New Roman" w:hAnsi="Times New Roman"/>
                <w:sz w:val="14"/>
                <w:szCs w:val="14"/>
                <w:color w:val="0000FF"/>
              </w:rPr>
              <w:t>Corporation and Jennifer Yowler, effective as of June</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54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color w:val="0000FF"/>
                <w:w w:val="98"/>
              </w:rPr>
              <w:t>16, 2025.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10.24†</w:t>
            </w: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43">
              <w:r>
                <w:rPr>
                  <w:rFonts w:ascii="Times New Roman" w:cs="Times New Roman" w:eastAsia="Times New Roman" w:hAnsi="Times New Roman"/>
                  <w:sz w:val="14"/>
                  <w:szCs w:val="14"/>
                  <w:color w:val="0000FF"/>
                </w:rPr>
                <w:t>Amended and Restated Employment Agreement between</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43">
              <w:r>
                <w:rPr>
                  <w:rFonts w:ascii="Times New Roman" w:cs="Times New Roman" w:eastAsia="Times New Roman" w:hAnsi="Times New Roman"/>
                  <w:sz w:val="14"/>
                  <w:szCs w:val="14"/>
                  <w:color w:val="0000FF"/>
                </w:rPr>
                <w:t>Res-Care, Inc. and Jennifer Phipps, effective as of</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43">
              <w:r>
                <w:rPr>
                  <w:rFonts w:ascii="Times New Roman" w:cs="Times New Roman" w:eastAsia="Times New Roman" w:hAnsi="Times New Roman"/>
                  <w:sz w:val="14"/>
                  <w:szCs w:val="14"/>
                  <w:color w:val="0000FF"/>
                </w:rPr>
                <w:t>January 1, 2023.</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10.25</w:t>
            </w: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44">
              <w:r>
                <w:rPr>
                  <w:rFonts w:ascii="Times New Roman" w:cs="Times New Roman" w:eastAsia="Times New Roman" w:hAnsi="Times New Roman"/>
                  <w:sz w:val="14"/>
                  <w:szCs w:val="14"/>
                  <w:color w:val="0000FF"/>
                </w:rPr>
                <w:t>Resignation Agreement, date as of June 20, 2025, by and</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44">
              <w:r>
                <w:rPr>
                  <w:rFonts w:ascii="Times New Roman" w:cs="Times New Roman" w:eastAsia="Times New Roman" w:hAnsi="Times New Roman"/>
                  <w:sz w:val="14"/>
                  <w:szCs w:val="14"/>
                  <w:color w:val="0000FF"/>
                </w:rPr>
                <w:t>between Abode Healthcare, Inc. and Michael McMaude.</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10.26†</w:t>
            </w:r>
          </w:p>
        </w:tc>
        <w:tc>
          <w:tcPr>
            <w:tcW w:w="3260" w:type="dxa"/>
            <w:vAlign w:val="bottom"/>
            <w:gridSpan w:val="25"/>
          </w:tcPr>
          <w:p>
            <w:pPr>
              <w:spacing w:after="0" w:line="152" w:lineRule="exact"/>
              <w:rPr>
                <w:sz w:val="20"/>
                <w:szCs w:val="20"/>
                <w:color w:val="auto"/>
              </w:rPr>
            </w:pPr>
            <w:r>
              <w:rPr>
                <w:rFonts w:ascii="Times New Roman" w:cs="Times New Roman" w:eastAsia="Times New Roman" w:hAnsi="Times New Roman"/>
                <w:sz w:val="14"/>
                <w:szCs w:val="14"/>
                <w:color w:val="0000FF"/>
              </w:rPr>
              <w:t>Employment Agreement, dated June 9, 2025, by and</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25"/>
          </w:tcPr>
          <w:p>
            <w:pPr>
              <w:spacing w:after="0" w:line="152" w:lineRule="exact"/>
              <w:rPr>
                <w:sz w:val="20"/>
                <w:szCs w:val="20"/>
                <w:color w:val="auto"/>
              </w:rPr>
            </w:pPr>
            <w:r>
              <w:rPr>
                <w:rFonts w:ascii="Times New Roman" w:cs="Times New Roman" w:eastAsia="Times New Roman" w:hAnsi="Times New Roman"/>
                <w:sz w:val="14"/>
                <w:szCs w:val="14"/>
                <w:color w:val="0000FF"/>
              </w:rPr>
              <w:t>between PharMerica Corporation and Scott Greenwell.</w:t>
            </w:r>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10.27†</w:t>
            </w: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45">
              <w:r>
                <w:rPr>
                  <w:rFonts w:ascii="Times New Roman" w:cs="Times New Roman" w:eastAsia="Times New Roman" w:hAnsi="Times New Roman"/>
                  <w:sz w:val="14"/>
                  <w:szCs w:val="14"/>
                  <w:color w:val="0000FF"/>
                </w:rPr>
                <w:t>Amended and Restated Phoenix Parent Holdings Inc.</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45">
              <w:r>
                <w:rPr>
                  <w:rFonts w:ascii="Times New Roman" w:cs="Times New Roman" w:eastAsia="Times New Roman" w:hAnsi="Times New Roman"/>
                  <w:sz w:val="14"/>
                  <w:szCs w:val="14"/>
                  <w:color w:val="0000FF"/>
                </w:rPr>
                <w:t>2017 Stock Incentive Plan</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EE"/>
            </w:tcBorders>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10.28†</w:t>
            </w: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46">
              <w:r>
                <w:rPr>
                  <w:rFonts w:ascii="Times New Roman" w:cs="Times New Roman" w:eastAsia="Times New Roman" w:hAnsi="Times New Roman"/>
                  <w:sz w:val="14"/>
                  <w:szCs w:val="14"/>
                  <w:color w:val="0000FF"/>
                </w:rPr>
                <w:t>Option Grant Notice and Agreement (Phoenix Parent</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46">
              <w:r>
                <w:rPr>
                  <w:rFonts w:ascii="Times New Roman" w:cs="Times New Roman" w:eastAsia="Times New Roman" w:hAnsi="Times New Roman"/>
                  <w:sz w:val="14"/>
                  <w:szCs w:val="14"/>
                  <w:color w:val="0000FF"/>
                </w:rPr>
                <w:t>Holdings Inc. 2017 Stock Incentive Plan) – Jon B.</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46">
              <w:r>
                <w:rPr>
                  <w:rFonts w:ascii="Times New Roman" w:cs="Times New Roman" w:eastAsia="Times New Roman" w:hAnsi="Times New Roman"/>
                  <w:sz w:val="14"/>
                  <w:szCs w:val="14"/>
                  <w:color w:val="0000FF"/>
                </w:rPr>
                <w:t>Rousseau, dated October 16, 2019.</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10.29†</w:t>
            </w: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47">
              <w:r>
                <w:rPr>
                  <w:rFonts w:ascii="Times New Roman" w:cs="Times New Roman" w:eastAsia="Times New Roman" w:hAnsi="Times New Roman"/>
                  <w:sz w:val="14"/>
                  <w:szCs w:val="14"/>
                  <w:color w:val="0000FF"/>
                </w:rPr>
                <w:t>Option Grant Notice and Agreement (Phoenix Parent</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47">
              <w:r>
                <w:rPr>
                  <w:rFonts w:ascii="Times New Roman" w:cs="Times New Roman" w:eastAsia="Times New Roman" w:hAnsi="Times New Roman"/>
                  <w:sz w:val="14"/>
                  <w:szCs w:val="14"/>
                  <w:color w:val="0000FF"/>
                </w:rPr>
                <w:t>Holdings Inc. 2017 Stock Incentive Plan) – Jon B.</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47">
              <w:r>
                <w:rPr>
                  <w:rFonts w:ascii="Times New Roman" w:cs="Times New Roman" w:eastAsia="Times New Roman" w:hAnsi="Times New Roman"/>
                  <w:sz w:val="14"/>
                  <w:szCs w:val="14"/>
                  <w:color w:val="0000FF"/>
                </w:rPr>
                <w:t>Rousseau, dated November 22, 2023.</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10.30†</w:t>
            </w: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48">
              <w:r>
                <w:rPr>
                  <w:rFonts w:ascii="Times New Roman" w:cs="Times New Roman" w:eastAsia="Times New Roman" w:hAnsi="Times New Roman"/>
                  <w:sz w:val="14"/>
                  <w:szCs w:val="14"/>
                  <w:color w:val="0000FF"/>
                </w:rPr>
                <w:t>Form of Option Grant Notice and Agreement (Phoenix</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48">
              <w:r>
                <w:rPr>
                  <w:rFonts w:ascii="Times New Roman" w:cs="Times New Roman" w:eastAsia="Times New Roman" w:hAnsi="Times New Roman"/>
                  <w:sz w:val="14"/>
                  <w:szCs w:val="14"/>
                  <w:color w:val="0000FF"/>
                </w:rPr>
                <w:t>Parent Holdings Inc. 2017 Stock Incentive Plan) – Jim</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48">
              <w:r>
                <w:rPr>
                  <w:rFonts w:ascii="Times New Roman" w:cs="Times New Roman" w:eastAsia="Times New Roman" w:hAnsi="Times New Roman"/>
                  <w:sz w:val="14"/>
                  <w:szCs w:val="14"/>
                  <w:color w:val="0000FF"/>
                </w:rPr>
                <w:t>Mattingly, Robert Barnes, Steven Reed, and Jennifer</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48">
              <w:r>
                <w:rPr>
                  <w:rFonts w:ascii="Times New Roman" w:cs="Times New Roman" w:eastAsia="Times New Roman" w:hAnsi="Times New Roman"/>
                  <w:sz w:val="14"/>
                  <w:szCs w:val="14"/>
                  <w:color w:val="0000FF"/>
                </w:rPr>
                <w:t>Yowler.</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10.31†</w:t>
            </w: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49">
              <w:r>
                <w:rPr>
                  <w:rFonts w:ascii="Times New Roman" w:cs="Times New Roman" w:eastAsia="Times New Roman" w:hAnsi="Times New Roman"/>
                  <w:sz w:val="14"/>
                  <w:szCs w:val="14"/>
                  <w:color w:val="0000FF"/>
                </w:rPr>
                <w:t>BrightSpring Health Services, Inc. 2024 Equity Incentive</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49">
              <w:r>
                <w:rPr>
                  <w:rFonts w:ascii="Times New Roman" w:cs="Times New Roman" w:eastAsia="Times New Roman" w:hAnsi="Times New Roman"/>
                  <w:sz w:val="14"/>
                  <w:szCs w:val="14"/>
                  <w:color w:val="0000FF"/>
                </w:rPr>
                <w:t>Plan.</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10.32†</w:t>
            </w: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50">
              <w:r>
                <w:rPr>
                  <w:rFonts w:ascii="Times New Roman" w:cs="Times New Roman" w:eastAsia="Times New Roman" w:hAnsi="Times New Roman"/>
                  <w:sz w:val="14"/>
                  <w:szCs w:val="14"/>
                  <w:color w:val="0000FF"/>
                </w:rPr>
                <w:t>Form of Director Restricted Unit Agreement under the</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50">
              <w:r>
                <w:rPr>
                  <w:rFonts w:ascii="Times New Roman" w:cs="Times New Roman" w:eastAsia="Times New Roman" w:hAnsi="Times New Roman"/>
                  <w:sz w:val="14"/>
                  <w:szCs w:val="14"/>
                  <w:color w:val="0000FF"/>
                </w:rPr>
                <w:t>2024 Equity Incentive Plan</w:t>
              </w:r>
              <w:r>
                <w:rPr>
                  <w:rFonts w:ascii="Times New Roman" w:cs="Times New Roman" w:eastAsia="Times New Roman" w:hAnsi="Times New Roman"/>
                  <w:sz w:val="14"/>
                  <w:szCs w:val="14"/>
                  <w:color w:val="000000"/>
                </w:rPr>
                <w:t>.</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10.33†</w:t>
            </w: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51">
              <w:r>
                <w:rPr>
                  <w:rFonts w:ascii="Times New Roman" w:cs="Times New Roman" w:eastAsia="Times New Roman" w:hAnsi="Times New Roman"/>
                  <w:sz w:val="14"/>
                  <w:szCs w:val="14"/>
                  <w:color w:val="0000FF"/>
                </w:rPr>
                <w:t>Form of Employee Restricted Stock Unit Agreement</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020" w:type="dxa"/>
            <w:vAlign w:val="bottom"/>
            <w:tcBorders>
              <w:right w:val="single" w:sz="8" w:color="0000FF"/>
            </w:tcBorders>
            <w:gridSpan w:val="5"/>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51">
              <w:r>
                <w:rPr>
                  <w:rFonts w:ascii="Times New Roman" w:cs="Times New Roman" w:eastAsia="Times New Roman" w:hAnsi="Times New Roman"/>
                  <w:sz w:val="14"/>
                  <w:szCs w:val="14"/>
                  <w:color w:val="0000FF"/>
                </w:rPr>
                <w:t>under the 2024 Equity Incentive Plan (IPO Grants).</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020" w:type="dxa"/>
            <w:vAlign w:val="bottom"/>
            <w:tcBorders>
              <w:right w:val="single" w:sz="8" w:color="0000FF"/>
            </w:tcBorders>
            <w:gridSpan w:val="5"/>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7"/>
            <w:shd w:val="clear" w:color="auto" w:fill="0000FF"/>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10.34†</w:t>
            </w: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52">
              <w:r>
                <w:rPr>
                  <w:rFonts w:ascii="Times New Roman" w:cs="Times New Roman" w:eastAsia="Times New Roman" w:hAnsi="Times New Roman"/>
                  <w:sz w:val="14"/>
                  <w:szCs w:val="14"/>
                  <w:color w:val="0000FF"/>
                </w:rPr>
                <w:t>Form of Employee Restricted Stock Unit Agreement</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020" w:type="dxa"/>
            <w:vAlign w:val="bottom"/>
            <w:tcBorders>
              <w:right w:val="single" w:sz="8" w:color="0000FF"/>
            </w:tcBorders>
            <w:gridSpan w:val="5"/>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52">
              <w:r>
                <w:rPr>
                  <w:rFonts w:ascii="Times New Roman" w:cs="Times New Roman" w:eastAsia="Times New Roman" w:hAnsi="Times New Roman"/>
                  <w:sz w:val="14"/>
                  <w:szCs w:val="14"/>
                  <w:color w:val="0000FF"/>
                </w:rPr>
                <w:t>under the 2024 Equity Incentive Plan (Post-IPO Grants).</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020" w:type="dxa"/>
            <w:vAlign w:val="bottom"/>
            <w:tcBorders>
              <w:right w:val="single" w:sz="8" w:color="0000FF"/>
            </w:tcBorders>
            <w:gridSpan w:val="5"/>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7"/>
            <w:shd w:val="clear" w:color="auto" w:fill="0000FF"/>
          </w:tcPr>
          <w:p>
            <w:pPr>
              <w:spacing w:after="0" w:line="20" w:lineRule="exact"/>
              <w:rPr>
                <w:sz w:val="1"/>
                <w:szCs w:val="1"/>
                <w:color w:val="auto"/>
              </w:rPr>
            </w:pPr>
          </w:p>
        </w:tc>
        <w:tc>
          <w:tcPr>
            <w:tcW w:w="320" w:type="dxa"/>
            <w:vAlign w:val="bottom"/>
            <w:tcBorders>
              <w:left w:val="single" w:sz="8" w:color="0000FF"/>
            </w:tcBorders>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10.35†</w:t>
            </w: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53">
              <w:r>
                <w:rPr>
                  <w:rFonts w:ascii="Times New Roman" w:cs="Times New Roman" w:eastAsia="Times New Roman" w:hAnsi="Times New Roman"/>
                  <w:sz w:val="14"/>
                  <w:szCs w:val="14"/>
                  <w:color w:val="0000FF"/>
                </w:rPr>
                <w:t>Form of Option Agreement under the 2024 Equity</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020" w:type="dxa"/>
            <w:vAlign w:val="bottom"/>
            <w:tcBorders>
              <w:right w:val="single" w:sz="8" w:color="0000FF"/>
            </w:tcBorders>
            <w:gridSpan w:val="5"/>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7"/>
            <w:shd w:val="clear" w:color="auto" w:fill="0000FF"/>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53">
              <w:r>
                <w:rPr>
                  <w:rFonts w:ascii="Times New Roman" w:cs="Times New Roman" w:eastAsia="Times New Roman" w:hAnsi="Times New Roman"/>
                  <w:sz w:val="14"/>
                  <w:szCs w:val="14"/>
                  <w:color w:val="0000FF"/>
                </w:rPr>
                <w:t>Incentive Plan (IPO Grants).</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020" w:type="dxa"/>
            <w:vAlign w:val="bottom"/>
            <w:tcBorders>
              <w:right w:val="single" w:sz="8" w:color="0000EE"/>
            </w:tcBorders>
            <w:gridSpan w:val="5"/>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0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10.36†</w:t>
            </w: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54">
              <w:r>
                <w:rPr>
                  <w:rFonts w:ascii="Times New Roman" w:cs="Times New Roman" w:eastAsia="Times New Roman" w:hAnsi="Times New Roman"/>
                  <w:sz w:val="14"/>
                  <w:szCs w:val="14"/>
                  <w:color w:val="0000FF"/>
                </w:rPr>
                <w:t>Form of Option Agreement under the 2024 Equity</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300" w:type="dxa"/>
            <w:vAlign w:val="bottom"/>
            <w:tcBorders>
              <w:right w:val="single" w:sz="8" w:color="0000FF"/>
            </w:tcBorders>
            <w:gridSpan w:val="7"/>
            <w:shd w:val="clear" w:color="auto" w:fill="0000FF"/>
          </w:tcPr>
          <w:p>
            <w:pPr>
              <w:spacing w:after="0" w:line="20" w:lineRule="exact"/>
              <w:rPr>
                <w:sz w:val="1"/>
                <w:szCs w:val="1"/>
                <w:color w:val="auto"/>
              </w:rPr>
            </w:pPr>
          </w:p>
        </w:tc>
        <w:tc>
          <w:tcPr>
            <w:tcW w:w="980" w:type="dxa"/>
            <w:vAlign w:val="bottom"/>
            <w:tcBorders>
              <w:left w:val="single" w:sz="8" w:color="0000FF"/>
            </w:tcBorders>
            <w:gridSpan w:val="7"/>
            <w:shd w:val="clear" w:color="auto" w:fill="0000FF"/>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54">
              <w:r>
                <w:rPr>
                  <w:rFonts w:ascii="Times New Roman" w:cs="Times New Roman" w:eastAsia="Times New Roman" w:hAnsi="Times New Roman"/>
                  <w:sz w:val="14"/>
                  <w:szCs w:val="14"/>
                  <w:color w:val="0000FF"/>
                </w:rPr>
                <w:t>Incentive Plan (Post-IPO Grants).</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300" w:type="dxa"/>
            <w:vAlign w:val="bottom"/>
            <w:tcBorders>
              <w:right w:val="single" w:sz="8" w:color="0000EE"/>
            </w:tcBorders>
            <w:gridSpan w:val="7"/>
            <w:shd w:val="clear" w:color="auto" w:fill="0000FF"/>
          </w:tcPr>
          <w:p>
            <w:pPr>
              <w:spacing w:after="0" w:line="20" w:lineRule="exact"/>
              <w:rPr>
                <w:sz w:val="1"/>
                <w:szCs w:val="1"/>
                <w:color w:val="auto"/>
              </w:rPr>
            </w:pPr>
          </w:p>
        </w:tc>
        <w:tc>
          <w:tcPr>
            <w:tcW w:w="130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10.37†</w:t>
            </w: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55">
              <w:r>
                <w:rPr>
                  <w:rFonts w:ascii="Times New Roman" w:cs="Times New Roman" w:eastAsia="Times New Roman" w:hAnsi="Times New Roman"/>
                  <w:sz w:val="14"/>
                  <w:szCs w:val="14"/>
                  <w:color w:val="0000FF"/>
                </w:rPr>
                <w:t>Form of Director and Executive Officer Indemnification</w:t>
              </w:r>
            </w:hyperlink>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2600" w:type="dxa"/>
            <w:vAlign w:val="bottom"/>
            <w:gridSpan w:val="20"/>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60" w:type="dxa"/>
            <w:vAlign w:val="bottom"/>
            <w:gridSpan w:val="25"/>
          </w:tcPr>
          <w:p>
            <w:pPr>
              <w:spacing w:after="0" w:line="152" w:lineRule="exact"/>
              <w:rPr>
                <w:rFonts w:ascii="Times New Roman" w:cs="Times New Roman" w:eastAsia="Times New Roman" w:hAnsi="Times New Roman"/>
                <w:sz w:val="14"/>
                <w:szCs w:val="14"/>
                <w:color w:val="0000FF"/>
              </w:rPr>
            </w:pPr>
            <w:hyperlink r:id="rId555">
              <w:r>
                <w:rPr>
                  <w:rFonts w:ascii="Times New Roman" w:cs="Times New Roman" w:eastAsia="Times New Roman" w:hAnsi="Times New Roman"/>
                  <w:sz w:val="14"/>
                  <w:szCs w:val="14"/>
                  <w:color w:val="0000FF"/>
                </w:rPr>
                <w:t>Agreement</w:t>
              </w:r>
              <w:r>
                <w:rPr>
                  <w:rFonts w:ascii="Times New Roman" w:cs="Times New Roman" w:eastAsia="Times New Roman" w:hAnsi="Times New Roman"/>
                  <w:sz w:val="14"/>
                  <w:szCs w:val="14"/>
                  <w:color w:val="000000"/>
                </w:rPr>
                <w:t>.</w:t>
              </w:r>
            </w:hyperlink>
          </w:p>
        </w:tc>
        <w:tc>
          <w:tcPr>
            <w:tcW w:w="0" w:type="dxa"/>
            <w:vAlign w:val="bottom"/>
          </w:tcPr>
          <w:p>
            <w:pPr>
              <w:spacing w:after="0"/>
              <w:rPr>
                <w:sz w:val="1"/>
                <w:szCs w:val="1"/>
                <w:color w:val="auto"/>
              </w:rPr>
            </w:pPr>
          </w:p>
        </w:tc>
      </w:tr>
      <w:tr>
        <w:trPr>
          <w:trHeight w:val="355"/>
        </w:trPr>
        <w:tc>
          <w:tcPr>
            <w:tcW w:w="740" w:type="dxa"/>
            <w:vAlign w:val="bottom"/>
          </w:tcPr>
          <w:p>
            <w:pPr>
              <w:spacing w:after="0"/>
              <w:rPr>
                <w:sz w:val="24"/>
                <w:szCs w:val="24"/>
                <w:color w:val="auto"/>
              </w:rPr>
            </w:pPr>
          </w:p>
        </w:tc>
        <w:tc>
          <w:tcPr>
            <w:tcW w:w="620" w:type="dxa"/>
            <w:vAlign w:val="bottom"/>
            <w:tcBorders>
              <w:top w:val="single" w:sz="8" w:color="0000FF"/>
            </w:tcBorders>
            <w:gridSpan w:val="4"/>
          </w:tcPr>
          <w:p>
            <w:pPr>
              <w:spacing w:after="0"/>
              <w:rPr>
                <w:sz w:val="24"/>
                <w:szCs w:val="24"/>
                <w:color w:val="auto"/>
              </w:rPr>
            </w:pPr>
          </w:p>
        </w:tc>
        <w:tc>
          <w:tcPr>
            <w:tcW w:w="2600" w:type="dxa"/>
            <w:vAlign w:val="bottom"/>
            <w:gridSpan w:val="20"/>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369570</wp:posOffset>
            </wp:positionV>
            <wp:extent cx="5603875" cy="387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60"/>
        <w:spacing w:after="0"/>
        <w:tabs>
          <w:tab w:leader="none" w:pos="1000" w:val="left"/>
          <w:tab w:leader="none" w:pos="1900" w:val="left"/>
          <w:tab w:leader="none" w:pos="2700" w:val="left"/>
        </w:tabs>
        <w:rPr>
          <w:sz w:val="20"/>
          <w:szCs w:val="20"/>
          <w:color w:val="auto"/>
        </w:rPr>
      </w:pPr>
      <w:r>
        <w:rPr>
          <w:rFonts w:ascii="Times New Roman" w:cs="Times New Roman" w:eastAsia="Times New Roman" w:hAnsi="Times New Roman"/>
          <w:sz w:val="11"/>
          <w:szCs w:val="11"/>
          <w:b w:val="1"/>
          <w:bCs w:val="1"/>
          <w:color w:val="auto"/>
        </w:rPr>
        <w:t>Form</w:t>
      </w:r>
      <w:r>
        <w:rPr>
          <w:sz w:val="20"/>
          <w:szCs w:val="20"/>
          <w:color w:val="auto"/>
        </w:rPr>
        <w:tab/>
      </w:r>
      <w:r>
        <w:rPr>
          <w:rFonts w:ascii="Times New Roman" w:cs="Times New Roman" w:eastAsia="Times New Roman" w:hAnsi="Times New Roman"/>
          <w:sz w:val="11"/>
          <w:szCs w:val="11"/>
          <w:b w:val="1"/>
          <w:bCs w:val="1"/>
          <w:color w:val="auto"/>
        </w:rPr>
        <w:t>File No.</w:t>
      </w:r>
      <w:r>
        <w:rPr>
          <w:sz w:val="20"/>
          <w:szCs w:val="20"/>
          <w:color w:val="auto"/>
        </w:rPr>
        <w:tab/>
      </w:r>
      <w:r>
        <w:rPr>
          <w:rFonts w:ascii="Times New Roman" w:cs="Times New Roman" w:eastAsia="Times New Roman" w:hAnsi="Times New Roman"/>
          <w:sz w:val="11"/>
          <w:szCs w:val="11"/>
          <w:b w:val="1"/>
          <w:bCs w:val="1"/>
          <w:color w:val="auto"/>
        </w:rPr>
        <w:t>Exhibit</w:t>
      </w:r>
      <w:r>
        <w:rPr>
          <w:sz w:val="20"/>
          <w:szCs w:val="20"/>
          <w:color w:val="auto"/>
        </w:rPr>
        <w:tab/>
      </w:r>
      <w:r>
        <w:rPr>
          <w:rFonts w:ascii="Times New Roman" w:cs="Times New Roman" w:eastAsia="Times New Roman" w:hAnsi="Times New Roman"/>
          <w:sz w:val="11"/>
          <w:szCs w:val="11"/>
          <w:b w:val="1"/>
          <w:bCs w:val="1"/>
          <w:color w:val="auto"/>
        </w:rPr>
        <w:t>Filing Date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333-276348</w:t>
            </w:r>
          </w:p>
        </w:tc>
        <w:tc>
          <w:tcPr>
            <w:tcW w:w="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10.22</w:t>
            </w: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1/10/2024</w:t>
            </w:r>
          </w:p>
        </w:tc>
      </w:tr>
      <w:tr>
        <w:trPr>
          <w:trHeight w:val="515"/>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333-276348</w:t>
            </w:r>
          </w:p>
        </w:tc>
        <w:tc>
          <w:tcPr>
            <w:tcW w:w="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10.23</w:t>
            </w: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1/10/2024</w:t>
            </w:r>
          </w:p>
        </w:tc>
      </w:tr>
      <w:tr>
        <w:trPr>
          <w:trHeight w:val="515"/>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8-K/A</w:t>
            </w: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001-41938</w:t>
            </w:r>
          </w:p>
        </w:tc>
        <w:tc>
          <w:tcPr>
            <w:tcW w:w="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10.1</w:t>
            </w: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4/15/2025</w:t>
            </w:r>
          </w:p>
        </w:tc>
      </w:tr>
      <w:tr>
        <w:trPr>
          <w:trHeight w:val="515"/>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333-276348</w:t>
            </w:r>
          </w:p>
        </w:tc>
        <w:tc>
          <w:tcPr>
            <w:tcW w:w="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10.24</w:t>
            </w: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1/10/2024</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001-41938</w:t>
            </w:r>
          </w:p>
        </w:tc>
        <w:tc>
          <w:tcPr>
            <w:tcW w:w="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10.1</w:t>
            </w: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10/11/2024</w:t>
            </w:r>
          </w:p>
        </w:tc>
      </w:tr>
      <w:tr>
        <w:trPr>
          <w:trHeight w:val="515"/>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001-41938</w:t>
            </w:r>
          </w:p>
        </w:tc>
        <w:tc>
          <w:tcPr>
            <w:tcW w:w="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10.2</w:t>
            </w: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10/11/2024</w:t>
            </w:r>
          </w:p>
        </w:tc>
      </w:tr>
      <w:tr>
        <w:trPr>
          <w:trHeight w:val="515"/>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333-276348</w:t>
            </w:r>
          </w:p>
        </w:tc>
        <w:tc>
          <w:tcPr>
            <w:tcW w:w="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10.26</w:t>
            </w: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1/10/2024</w:t>
            </w:r>
          </w:p>
        </w:tc>
      </w:tr>
      <w:tr>
        <w:trPr>
          <w:trHeight w:val="1031"/>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001-41938</w:t>
            </w:r>
          </w:p>
        </w:tc>
        <w:tc>
          <w:tcPr>
            <w:tcW w:w="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10.26</w:t>
            </w: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3/6/2025</w:t>
            </w:r>
          </w:p>
        </w:tc>
      </w:tr>
      <w:tr>
        <w:trPr>
          <w:trHeight w:val="515"/>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001-41938</w:t>
            </w:r>
          </w:p>
        </w:tc>
        <w:tc>
          <w:tcPr>
            <w:tcW w:w="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10.1</w:t>
            </w: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6/20/2025</w:t>
            </w:r>
          </w:p>
        </w:tc>
      </w:tr>
      <w:tr>
        <w:trPr>
          <w:trHeight w:val="687"/>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333-260334</w:t>
            </w:r>
          </w:p>
        </w:tc>
        <w:tc>
          <w:tcPr>
            <w:tcW w:w="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10.13</w:t>
            </w: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1/14/2024</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333-276348</w:t>
            </w:r>
          </w:p>
        </w:tc>
        <w:tc>
          <w:tcPr>
            <w:tcW w:w="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10.27</w:t>
            </w: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1/10/2024</w:t>
            </w:r>
          </w:p>
        </w:tc>
      </w:tr>
      <w:tr>
        <w:trPr>
          <w:trHeight w:val="515"/>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333-276348</w:t>
            </w:r>
          </w:p>
        </w:tc>
        <w:tc>
          <w:tcPr>
            <w:tcW w:w="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10.29</w:t>
            </w: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1/10/2024</w:t>
            </w:r>
          </w:p>
        </w:tc>
      </w:tr>
      <w:tr>
        <w:trPr>
          <w:trHeight w:val="515"/>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333-276348</w:t>
            </w:r>
          </w:p>
        </w:tc>
        <w:tc>
          <w:tcPr>
            <w:tcW w:w="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10.30</w:t>
            </w: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1/10/2024</w:t>
            </w:r>
          </w:p>
        </w:tc>
      </w:tr>
      <w:tr>
        <w:trPr>
          <w:trHeight w:val="687"/>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001-41938</w:t>
            </w:r>
          </w:p>
        </w:tc>
        <w:tc>
          <w:tcPr>
            <w:tcW w:w="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10.1</w:t>
            </w: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1/30/2024</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333-276348</w:t>
            </w:r>
          </w:p>
        </w:tc>
        <w:tc>
          <w:tcPr>
            <w:tcW w:w="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10.22</w:t>
            </w: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1/17/2024</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333-276348</w:t>
            </w:r>
          </w:p>
        </w:tc>
        <w:tc>
          <w:tcPr>
            <w:tcW w:w="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10.23</w:t>
            </w: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1/17/2024</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333-276348</w:t>
            </w:r>
          </w:p>
        </w:tc>
        <w:tc>
          <w:tcPr>
            <w:tcW w:w="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10.24</w:t>
            </w: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1/17/2024</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333-276348</w:t>
            </w:r>
          </w:p>
        </w:tc>
        <w:tc>
          <w:tcPr>
            <w:tcW w:w="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10.25</w:t>
            </w: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1/17/2024</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333-276348</w:t>
            </w:r>
          </w:p>
        </w:tc>
        <w:tc>
          <w:tcPr>
            <w:tcW w:w="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10.26</w:t>
            </w: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1/17/2024</w:t>
            </w: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333-276348</w:t>
            </w:r>
          </w:p>
        </w:tc>
        <w:tc>
          <w:tcPr>
            <w:tcW w:w="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10.31</w:t>
            </w: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1/10/2024</w:t>
            </w:r>
          </w:p>
        </w:tc>
      </w:tr>
    </w:tbl>
    <w:p>
      <w:pPr>
        <w:sectPr>
          <w:pgSz w:w="11900" w:h="16838" w:orient="portrait"/>
          <w:cols w:equalWidth="0" w:num="2">
            <w:col w:w="4640" w:space="220"/>
            <w:col w:w="4159"/>
          </w:cols>
          <w:pgMar w:left="1440" w:top="123" w:right="1440" w:bottom="1440" w:gutter="0" w:footer="0" w:header="0"/>
          <w:type w:val="continuous"/>
        </w:sectPr>
      </w:pPr>
    </w:p>
    <w:bookmarkStart w:id="135" w:name="page136"/>
    <w:bookmarkEnd w:id="135"/>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74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240" w:type="dxa"/>
            <w:vAlign w:val="bottom"/>
            <w:gridSpan w:val="10"/>
          </w:tcPr>
          <w:p>
            <w:pPr>
              <w:ind w:left="134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860" w:type="dxa"/>
            <w:vAlign w:val="bottom"/>
          </w:tcPr>
          <w:p>
            <w:pPr>
              <w:ind w:left="40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4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w w:val="99"/>
              </w:rPr>
              <w:t>Filing Date</w:t>
            </w:r>
          </w:p>
        </w:tc>
      </w:tr>
      <w:tr>
        <w:trPr>
          <w:trHeight w:val="123"/>
        </w:trPr>
        <w:tc>
          <w:tcPr>
            <w:tcW w:w="740" w:type="dxa"/>
            <w:vAlign w:val="bottom"/>
          </w:tcPr>
          <w:p>
            <w:pPr>
              <w:ind w:left="40"/>
              <w:spacing w:after="0" w:line="123" w:lineRule="exact"/>
              <w:rPr>
                <w:sz w:val="20"/>
                <w:szCs w:val="20"/>
                <w:color w:val="auto"/>
              </w:rPr>
            </w:pPr>
            <w:r>
              <w:rPr>
                <w:rFonts w:ascii="Times New Roman" w:cs="Times New Roman" w:eastAsia="Times New Roman" w:hAnsi="Times New Roman"/>
                <w:sz w:val="11"/>
                <w:szCs w:val="11"/>
                <w:b w:val="1"/>
                <w:bCs w:val="1"/>
                <w:color w:val="auto"/>
              </w:rPr>
              <w:t>Number</w:t>
            </w: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54"/>
        </w:trPr>
        <w:tc>
          <w:tcPr>
            <w:tcW w:w="7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10.38†</w:t>
            </w:r>
          </w:p>
        </w:tc>
        <w:tc>
          <w:tcPr>
            <w:tcW w:w="3240" w:type="dxa"/>
            <w:vAlign w:val="bottom"/>
            <w:gridSpan w:val="10"/>
          </w:tcPr>
          <w:p>
            <w:pPr>
              <w:spacing w:after="0" w:line="155" w:lineRule="exact"/>
              <w:rPr>
                <w:rFonts w:ascii="Times New Roman" w:cs="Times New Roman" w:eastAsia="Times New Roman" w:hAnsi="Times New Roman"/>
                <w:sz w:val="14"/>
                <w:szCs w:val="14"/>
                <w:color w:val="0000FF"/>
              </w:rPr>
            </w:pPr>
            <w:hyperlink r:id="rId557">
              <w:r>
                <w:rPr>
                  <w:rFonts w:ascii="Times New Roman" w:cs="Times New Roman" w:eastAsia="Times New Roman" w:hAnsi="Times New Roman"/>
                  <w:sz w:val="14"/>
                  <w:szCs w:val="14"/>
                  <w:color w:val="0000FF"/>
                </w:rPr>
                <w:t>BrightSpring Health Services, Inc. Senior Executive</w:t>
              </w:r>
            </w:hyperlink>
          </w:p>
        </w:tc>
        <w:tc>
          <w:tcPr>
            <w:tcW w:w="860" w:type="dxa"/>
            <w:vAlign w:val="bottom"/>
          </w:tcPr>
          <w:p>
            <w:pPr>
              <w:ind w:left="240"/>
              <w:spacing w:after="0" w:line="155" w:lineRule="exact"/>
              <w:rPr>
                <w:sz w:val="20"/>
                <w:szCs w:val="20"/>
                <w:color w:val="auto"/>
              </w:rPr>
            </w:pPr>
            <w:r>
              <w:rPr>
                <w:rFonts w:ascii="Times New Roman" w:cs="Times New Roman" w:eastAsia="Times New Roman" w:hAnsi="Times New Roman"/>
                <w:sz w:val="14"/>
                <w:szCs w:val="14"/>
                <w:color w:val="auto"/>
              </w:rPr>
              <w:t>8-K</w:t>
            </w:r>
          </w:p>
        </w:tc>
        <w:tc>
          <w:tcPr>
            <w:tcW w:w="1000" w:type="dxa"/>
            <w:vAlign w:val="bottom"/>
          </w:tcPr>
          <w:p>
            <w:pPr>
              <w:jc w:val="right"/>
              <w:ind w:right="132"/>
              <w:spacing w:after="0" w:line="155" w:lineRule="exact"/>
              <w:rPr>
                <w:sz w:val="20"/>
                <w:szCs w:val="20"/>
                <w:color w:val="auto"/>
              </w:rPr>
            </w:pPr>
            <w:r>
              <w:rPr>
                <w:rFonts w:ascii="Times New Roman" w:cs="Times New Roman" w:eastAsia="Times New Roman" w:hAnsi="Times New Roman"/>
                <w:sz w:val="14"/>
                <w:szCs w:val="14"/>
                <w:color w:val="auto"/>
              </w:rPr>
              <w:t>001-41938</w:t>
            </w:r>
          </w:p>
        </w:tc>
        <w:tc>
          <w:tcPr>
            <w:tcW w:w="800" w:type="dxa"/>
            <w:vAlign w:val="bottom"/>
          </w:tcPr>
          <w:p>
            <w:pPr>
              <w:jc w:val="right"/>
              <w:ind w:right="272"/>
              <w:spacing w:after="0" w:line="155" w:lineRule="exact"/>
              <w:rPr>
                <w:sz w:val="20"/>
                <w:szCs w:val="20"/>
                <w:color w:val="auto"/>
              </w:rPr>
            </w:pPr>
            <w:r>
              <w:rPr>
                <w:rFonts w:ascii="Times New Roman" w:cs="Times New Roman" w:eastAsia="Times New Roman" w:hAnsi="Times New Roman"/>
                <w:sz w:val="14"/>
                <w:szCs w:val="14"/>
                <w:color w:val="auto"/>
              </w:rPr>
              <w:t>10.1</w:t>
            </w:r>
          </w:p>
        </w:tc>
        <w:tc>
          <w:tcPr>
            <w:tcW w:w="84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color w:val="auto"/>
              </w:rPr>
              <w:t>5/31/2024</w:t>
            </w:r>
          </w:p>
        </w:tc>
      </w:tr>
      <w:tr>
        <w:trPr>
          <w:trHeight w:val="20"/>
        </w:trPr>
        <w:tc>
          <w:tcPr>
            <w:tcW w:w="740" w:type="dxa"/>
            <w:vAlign w:val="bottom"/>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40" w:type="dxa"/>
            <w:vAlign w:val="bottom"/>
            <w:gridSpan w:val="10"/>
          </w:tcPr>
          <w:p>
            <w:pPr>
              <w:spacing w:after="0" w:line="152" w:lineRule="exact"/>
              <w:rPr>
                <w:rFonts w:ascii="Times New Roman" w:cs="Times New Roman" w:eastAsia="Times New Roman" w:hAnsi="Times New Roman"/>
                <w:sz w:val="14"/>
                <w:szCs w:val="14"/>
                <w:color w:val="0000FF"/>
              </w:rPr>
            </w:pPr>
            <w:hyperlink r:id="rId557">
              <w:r>
                <w:rPr>
                  <w:rFonts w:ascii="Times New Roman" w:cs="Times New Roman" w:eastAsia="Times New Roman" w:hAnsi="Times New Roman"/>
                  <w:sz w:val="14"/>
                  <w:szCs w:val="14"/>
                  <w:color w:val="0000FF"/>
                </w:rPr>
                <w:t>Cash Incentive Bonus Plan, adopted May 29, 2024.</w:t>
              </w:r>
            </w:hyperlink>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19.1</w:t>
            </w:r>
          </w:p>
        </w:tc>
        <w:tc>
          <w:tcPr>
            <w:tcW w:w="3240" w:type="dxa"/>
            <w:vAlign w:val="bottom"/>
            <w:gridSpan w:val="10"/>
          </w:tcPr>
          <w:p>
            <w:pPr>
              <w:spacing w:after="0" w:line="152" w:lineRule="exact"/>
              <w:rPr>
                <w:rFonts w:ascii="Times New Roman" w:cs="Times New Roman" w:eastAsia="Times New Roman" w:hAnsi="Times New Roman"/>
                <w:sz w:val="14"/>
                <w:szCs w:val="14"/>
                <w:color w:val="0000FF"/>
              </w:rPr>
            </w:pPr>
            <w:hyperlink r:id="rId558">
              <w:r>
                <w:rPr>
                  <w:rFonts w:ascii="Times New Roman" w:cs="Times New Roman" w:eastAsia="Times New Roman" w:hAnsi="Times New Roman"/>
                  <w:sz w:val="14"/>
                  <w:szCs w:val="14"/>
                  <w:color w:val="0000FF"/>
                </w:rPr>
                <w:t>Securities Trading Policy</w:t>
              </w:r>
            </w:hyperlink>
          </w:p>
        </w:tc>
        <w:tc>
          <w:tcPr>
            <w:tcW w:w="860" w:type="dxa"/>
            <w:vAlign w:val="bottom"/>
          </w:tcPr>
          <w:p>
            <w:pPr>
              <w:ind w:left="240"/>
              <w:spacing w:after="0" w:line="152" w:lineRule="exact"/>
              <w:rPr>
                <w:sz w:val="20"/>
                <w:szCs w:val="20"/>
                <w:color w:val="auto"/>
              </w:rPr>
            </w:pPr>
            <w:r>
              <w:rPr>
                <w:rFonts w:ascii="Times New Roman" w:cs="Times New Roman" w:eastAsia="Times New Roman" w:hAnsi="Times New Roman"/>
                <w:sz w:val="14"/>
                <w:szCs w:val="14"/>
                <w:color w:val="auto"/>
              </w:rPr>
              <w:t>10-K</w:t>
            </w:r>
          </w:p>
        </w:tc>
        <w:tc>
          <w:tcPr>
            <w:tcW w:w="1000" w:type="dxa"/>
            <w:vAlign w:val="bottom"/>
          </w:tcPr>
          <w:p>
            <w:pPr>
              <w:jc w:val="right"/>
              <w:ind w:right="132"/>
              <w:spacing w:after="0" w:line="152" w:lineRule="exact"/>
              <w:rPr>
                <w:sz w:val="20"/>
                <w:szCs w:val="20"/>
                <w:color w:val="auto"/>
              </w:rPr>
            </w:pPr>
            <w:r>
              <w:rPr>
                <w:rFonts w:ascii="Times New Roman" w:cs="Times New Roman" w:eastAsia="Times New Roman" w:hAnsi="Times New Roman"/>
                <w:sz w:val="14"/>
                <w:szCs w:val="14"/>
                <w:color w:val="auto"/>
              </w:rPr>
              <w:t>001-31938</w:t>
            </w:r>
          </w:p>
        </w:tc>
        <w:tc>
          <w:tcPr>
            <w:tcW w:w="800" w:type="dxa"/>
            <w:vAlign w:val="bottom"/>
          </w:tcPr>
          <w:p>
            <w:pPr>
              <w:jc w:val="right"/>
              <w:ind w:right="272"/>
              <w:spacing w:after="0" w:line="152" w:lineRule="exact"/>
              <w:rPr>
                <w:sz w:val="20"/>
                <w:szCs w:val="20"/>
                <w:color w:val="auto"/>
              </w:rPr>
            </w:pPr>
            <w:r>
              <w:rPr>
                <w:rFonts w:ascii="Times New Roman" w:cs="Times New Roman" w:eastAsia="Times New Roman" w:hAnsi="Times New Roman"/>
                <w:sz w:val="14"/>
                <w:szCs w:val="14"/>
                <w:color w:val="auto"/>
              </w:rPr>
              <w:t>19.1</w:t>
            </w:r>
          </w:p>
        </w:tc>
        <w:tc>
          <w:tcPr>
            <w:tcW w:w="840" w:type="dxa"/>
            <w:vAlign w:val="bottom"/>
          </w:tcPr>
          <w:p>
            <w:pPr>
              <w:ind w:left="140"/>
              <w:spacing w:after="0" w:line="152" w:lineRule="exact"/>
              <w:rPr>
                <w:sz w:val="20"/>
                <w:szCs w:val="20"/>
                <w:color w:val="auto"/>
              </w:rPr>
            </w:pPr>
            <w:r>
              <w:rPr>
                <w:rFonts w:ascii="Times New Roman" w:cs="Times New Roman" w:eastAsia="Times New Roman" w:hAnsi="Times New Roman"/>
                <w:sz w:val="14"/>
                <w:szCs w:val="14"/>
                <w:color w:val="auto"/>
              </w:rPr>
              <w:t>3/6/2025</w:t>
            </w: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21.1</w:t>
            </w:r>
          </w:p>
        </w:tc>
        <w:tc>
          <w:tcPr>
            <w:tcW w:w="3240" w:type="dxa"/>
            <w:vAlign w:val="bottom"/>
            <w:gridSpan w:val="10"/>
          </w:tcPr>
          <w:p>
            <w:pPr>
              <w:spacing w:after="0" w:line="152" w:lineRule="exact"/>
              <w:rPr>
                <w:sz w:val="20"/>
                <w:szCs w:val="20"/>
                <w:color w:val="auto"/>
              </w:rPr>
            </w:pPr>
            <w:r>
              <w:rPr>
                <w:rFonts w:ascii="Times New Roman" w:cs="Times New Roman" w:eastAsia="Times New Roman" w:hAnsi="Times New Roman"/>
                <w:sz w:val="14"/>
                <w:szCs w:val="14"/>
                <w:color w:val="0000FF"/>
              </w:rPr>
              <w:t>Subsidiaries of BrightSpring Health Services, Inc.</w:t>
            </w: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23.1</w:t>
            </w:r>
          </w:p>
        </w:tc>
        <w:tc>
          <w:tcPr>
            <w:tcW w:w="3240" w:type="dxa"/>
            <w:vAlign w:val="bottom"/>
            <w:gridSpan w:val="10"/>
          </w:tcPr>
          <w:p>
            <w:pPr>
              <w:spacing w:after="0" w:line="152" w:lineRule="exact"/>
              <w:rPr>
                <w:sz w:val="20"/>
                <w:szCs w:val="20"/>
                <w:color w:val="auto"/>
              </w:rPr>
            </w:pPr>
            <w:r>
              <w:rPr>
                <w:rFonts w:ascii="Times New Roman" w:cs="Times New Roman" w:eastAsia="Times New Roman" w:hAnsi="Times New Roman"/>
                <w:sz w:val="14"/>
                <w:szCs w:val="14"/>
                <w:color w:val="0000FF"/>
              </w:rPr>
              <w:t>Consent of KPMG LLP</w:t>
            </w:r>
            <w:r>
              <w:rPr>
                <w:rFonts w:ascii="Times New Roman" w:cs="Times New Roman" w:eastAsia="Times New Roman" w:hAnsi="Times New Roman"/>
                <w:sz w:val="14"/>
                <w:szCs w:val="14"/>
                <w:color w:val="000000"/>
              </w:rPr>
              <w:t>.</w:t>
            </w: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31.1</w:t>
            </w:r>
          </w:p>
        </w:tc>
        <w:tc>
          <w:tcPr>
            <w:tcW w:w="3240" w:type="dxa"/>
            <w:vAlign w:val="bottom"/>
            <w:gridSpan w:val="10"/>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w:t>
            </w: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
        </w:trPr>
        <w:tc>
          <w:tcPr>
            <w:tcW w:w="740" w:type="dxa"/>
            <w:vAlign w:val="bottom"/>
          </w:tcPr>
          <w:p>
            <w:pPr>
              <w:spacing w:after="0" w:line="20" w:lineRule="exact"/>
              <w:rPr>
                <w:sz w:val="1"/>
                <w:szCs w:val="1"/>
                <w:color w:val="auto"/>
              </w:rPr>
            </w:pPr>
          </w:p>
        </w:tc>
        <w:tc>
          <w:tcPr>
            <w:tcW w:w="186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40" w:type="dxa"/>
            <w:vAlign w:val="bottom"/>
            <w:gridSpan w:val="10"/>
          </w:tcPr>
          <w:p>
            <w:pPr>
              <w:spacing w:after="0" w:line="152" w:lineRule="exact"/>
              <w:rPr>
                <w:sz w:val="20"/>
                <w:szCs w:val="20"/>
                <w:color w:val="auto"/>
              </w:rPr>
            </w:pPr>
            <w:r>
              <w:rPr>
                <w:rFonts w:ascii="Times New Roman" w:cs="Times New Roman" w:eastAsia="Times New Roman" w:hAnsi="Times New Roman"/>
                <w:sz w:val="14"/>
                <w:szCs w:val="14"/>
                <w:color w:val="0000FF"/>
              </w:rPr>
              <w:t>Rules 13a-14(a) and 15d-14(a) under the Securities</w:t>
            </w: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
        </w:trPr>
        <w:tc>
          <w:tcPr>
            <w:tcW w:w="740" w:type="dxa"/>
            <w:vAlign w:val="bottom"/>
          </w:tcPr>
          <w:p>
            <w:pPr>
              <w:spacing w:after="0" w:line="20" w:lineRule="exact"/>
              <w:rPr>
                <w:sz w:val="1"/>
                <w:szCs w:val="1"/>
                <w:color w:val="auto"/>
              </w:rPr>
            </w:pPr>
          </w:p>
        </w:tc>
        <w:tc>
          <w:tcPr>
            <w:tcW w:w="186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40" w:type="dxa"/>
            <w:vAlign w:val="bottom"/>
            <w:gridSpan w:val="10"/>
          </w:tcPr>
          <w:p>
            <w:pPr>
              <w:spacing w:after="0" w:line="152" w:lineRule="exact"/>
              <w:rPr>
                <w:sz w:val="20"/>
                <w:szCs w:val="20"/>
                <w:color w:val="auto"/>
              </w:rPr>
            </w:pPr>
            <w:r>
              <w:rPr>
                <w:rFonts w:ascii="Times New Roman" w:cs="Times New Roman" w:eastAsia="Times New Roman" w:hAnsi="Times New Roman"/>
                <w:sz w:val="14"/>
                <w:szCs w:val="14"/>
                <w:color w:val="0000FF"/>
              </w:rPr>
              <w:t>Exchange Act of 1934, as Adopted Pursuant to Section</w:t>
            </w: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
        </w:trPr>
        <w:tc>
          <w:tcPr>
            <w:tcW w:w="740" w:type="dxa"/>
            <w:vAlign w:val="bottom"/>
          </w:tcPr>
          <w:p>
            <w:pPr>
              <w:spacing w:after="0" w:line="20" w:lineRule="exact"/>
              <w:rPr>
                <w:sz w:val="1"/>
                <w:szCs w:val="1"/>
                <w:color w:val="auto"/>
              </w:rPr>
            </w:pPr>
          </w:p>
        </w:tc>
        <w:tc>
          <w:tcPr>
            <w:tcW w:w="186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40" w:type="dxa"/>
            <w:vAlign w:val="bottom"/>
            <w:gridSpan w:val="10"/>
          </w:tcPr>
          <w:p>
            <w:pPr>
              <w:spacing w:after="0" w:line="152" w:lineRule="exact"/>
              <w:rPr>
                <w:sz w:val="20"/>
                <w:szCs w:val="20"/>
                <w:color w:val="auto"/>
              </w:rPr>
            </w:pPr>
            <w:r>
              <w:rPr>
                <w:rFonts w:ascii="Times New Roman" w:cs="Times New Roman" w:eastAsia="Times New Roman" w:hAnsi="Times New Roman"/>
                <w:sz w:val="14"/>
                <w:szCs w:val="14"/>
                <w:color w:val="0000FF"/>
              </w:rPr>
              <w:t>302 of the Sarbanes-Oxley Act of 2002.</w:t>
            </w: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86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31.2</w:t>
            </w:r>
          </w:p>
        </w:tc>
        <w:tc>
          <w:tcPr>
            <w:tcW w:w="3240" w:type="dxa"/>
            <w:vAlign w:val="bottom"/>
            <w:gridSpan w:val="10"/>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w:t>
            </w: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
        </w:trPr>
        <w:tc>
          <w:tcPr>
            <w:tcW w:w="740" w:type="dxa"/>
            <w:vAlign w:val="bottom"/>
          </w:tcPr>
          <w:p>
            <w:pPr>
              <w:spacing w:after="0" w:line="20" w:lineRule="exact"/>
              <w:rPr>
                <w:sz w:val="1"/>
                <w:szCs w:val="1"/>
                <w:color w:val="auto"/>
              </w:rPr>
            </w:pPr>
          </w:p>
        </w:tc>
        <w:tc>
          <w:tcPr>
            <w:tcW w:w="186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40" w:type="dxa"/>
            <w:vAlign w:val="bottom"/>
            <w:gridSpan w:val="10"/>
          </w:tcPr>
          <w:p>
            <w:pPr>
              <w:spacing w:after="0" w:line="152" w:lineRule="exact"/>
              <w:rPr>
                <w:sz w:val="20"/>
                <w:szCs w:val="20"/>
                <w:color w:val="auto"/>
              </w:rPr>
            </w:pPr>
            <w:r>
              <w:rPr>
                <w:rFonts w:ascii="Times New Roman" w:cs="Times New Roman" w:eastAsia="Times New Roman" w:hAnsi="Times New Roman"/>
                <w:sz w:val="14"/>
                <w:szCs w:val="14"/>
                <w:color w:val="0000FF"/>
              </w:rPr>
              <w:t>Rules 13a-14(a) and 15d-14(a) under the Securities</w:t>
            </w: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
        </w:trPr>
        <w:tc>
          <w:tcPr>
            <w:tcW w:w="740" w:type="dxa"/>
            <w:vAlign w:val="bottom"/>
          </w:tcPr>
          <w:p>
            <w:pPr>
              <w:spacing w:after="0" w:line="20" w:lineRule="exact"/>
              <w:rPr>
                <w:sz w:val="1"/>
                <w:szCs w:val="1"/>
                <w:color w:val="auto"/>
              </w:rPr>
            </w:pPr>
          </w:p>
        </w:tc>
        <w:tc>
          <w:tcPr>
            <w:tcW w:w="186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40" w:type="dxa"/>
            <w:vAlign w:val="bottom"/>
            <w:gridSpan w:val="10"/>
          </w:tcPr>
          <w:p>
            <w:pPr>
              <w:spacing w:after="0" w:line="152" w:lineRule="exact"/>
              <w:rPr>
                <w:sz w:val="20"/>
                <w:szCs w:val="20"/>
                <w:color w:val="auto"/>
              </w:rPr>
            </w:pPr>
            <w:r>
              <w:rPr>
                <w:rFonts w:ascii="Times New Roman" w:cs="Times New Roman" w:eastAsia="Times New Roman" w:hAnsi="Times New Roman"/>
                <w:sz w:val="14"/>
                <w:szCs w:val="14"/>
                <w:color w:val="0000FF"/>
              </w:rPr>
              <w:t>Exchange Act of 1934, as Adopted Pursuant to Section</w:t>
            </w: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
        </w:trPr>
        <w:tc>
          <w:tcPr>
            <w:tcW w:w="740" w:type="dxa"/>
            <w:vAlign w:val="bottom"/>
          </w:tcPr>
          <w:p>
            <w:pPr>
              <w:spacing w:after="0" w:line="20" w:lineRule="exact"/>
              <w:rPr>
                <w:sz w:val="1"/>
                <w:szCs w:val="1"/>
                <w:color w:val="auto"/>
              </w:rPr>
            </w:pPr>
          </w:p>
        </w:tc>
        <w:tc>
          <w:tcPr>
            <w:tcW w:w="186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40" w:type="dxa"/>
            <w:vAlign w:val="bottom"/>
            <w:gridSpan w:val="10"/>
          </w:tcPr>
          <w:p>
            <w:pPr>
              <w:spacing w:after="0" w:line="152" w:lineRule="exact"/>
              <w:rPr>
                <w:sz w:val="20"/>
                <w:szCs w:val="20"/>
                <w:color w:val="auto"/>
              </w:rPr>
            </w:pPr>
            <w:r>
              <w:rPr>
                <w:rFonts w:ascii="Times New Roman" w:cs="Times New Roman" w:eastAsia="Times New Roman" w:hAnsi="Times New Roman"/>
                <w:sz w:val="14"/>
                <w:szCs w:val="14"/>
                <w:color w:val="0000FF"/>
              </w:rPr>
              <w:t>302 of the Sarbanes-Oxley Act of 2002.</w:t>
            </w: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86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32.1</w:t>
            </w:r>
          </w:p>
        </w:tc>
        <w:tc>
          <w:tcPr>
            <w:tcW w:w="3240" w:type="dxa"/>
            <w:vAlign w:val="bottom"/>
            <w:gridSpan w:val="10"/>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w:t>
            </w: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
        </w:trPr>
        <w:tc>
          <w:tcPr>
            <w:tcW w:w="740" w:type="dxa"/>
            <w:vAlign w:val="bottom"/>
          </w:tcPr>
          <w:p>
            <w:pPr>
              <w:spacing w:after="0" w:line="20" w:lineRule="exact"/>
              <w:rPr>
                <w:sz w:val="1"/>
                <w:szCs w:val="1"/>
                <w:color w:val="auto"/>
              </w:rPr>
            </w:pPr>
          </w:p>
        </w:tc>
        <w:tc>
          <w:tcPr>
            <w:tcW w:w="186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40" w:type="dxa"/>
            <w:vAlign w:val="bottom"/>
            <w:gridSpan w:val="10"/>
          </w:tcPr>
          <w:p>
            <w:pPr>
              <w:spacing w:after="0" w:line="152" w:lineRule="exact"/>
              <w:rPr>
                <w:sz w:val="20"/>
                <w:szCs w:val="20"/>
                <w:color w:val="auto"/>
              </w:rPr>
            </w:pPr>
            <w:r>
              <w:rPr>
                <w:rFonts w:ascii="Times New Roman" w:cs="Times New Roman" w:eastAsia="Times New Roman" w:hAnsi="Times New Roman"/>
                <w:sz w:val="14"/>
                <w:szCs w:val="14"/>
                <w:color w:val="0000FF"/>
              </w:rPr>
              <w:t>18 U.S.C. Section 1350, as Adopted Pursuant to Section</w:t>
            </w: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
        </w:trPr>
        <w:tc>
          <w:tcPr>
            <w:tcW w:w="740" w:type="dxa"/>
            <w:vAlign w:val="bottom"/>
          </w:tcPr>
          <w:p>
            <w:pPr>
              <w:spacing w:after="0" w:line="20" w:lineRule="exact"/>
              <w:rPr>
                <w:sz w:val="1"/>
                <w:szCs w:val="1"/>
                <w:color w:val="auto"/>
              </w:rPr>
            </w:pPr>
          </w:p>
        </w:tc>
        <w:tc>
          <w:tcPr>
            <w:tcW w:w="186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40" w:type="dxa"/>
            <w:vAlign w:val="bottom"/>
            <w:gridSpan w:val="10"/>
          </w:tcPr>
          <w:p>
            <w:pPr>
              <w:spacing w:after="0" w:line="152" w:lineRule="exact"/>
              <w:rPr>
                <w:sz w:val="20"/>
                <w:szCs w:val="20"/>
                <w:color w:val="auto"/>
              </w:rPr>
            </w:pPr>
            <w:r>
              <w:rPr>
                <w:rFonts w:ascii="Times New Roman" w:cs="Times New Roman" w:eastAsia="Times New Roman" w:hAnsi="Times New Roman"/>
                <w:sz w:val="14"/>
                <w:szCs w:val="14"/>
                <w:color w:val="0000FF"/>
              </w:rPr>
              <w:t>906 of the Sarbanes-Oxley Act of 2002.</w:t>
            </w: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86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32.2</w:t>
            </w:r>
          </w:p>
        </w:tc>
        <w:tc>
          <w:tcPr>
            <w:tcW w:w="3240" w:type="dxa"/>
            <w:vAlign w:val="bottom"/>
            <w:gridSpan w:val="10"/>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w:t>
            </w: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
        </w:trPr>
        <w:tc>
          <w:tcPr>
            <w:tcW w:w="740" w:type="dxa"/>
            <w:vAlign w:val="bottom"/>
          </w:tcPr>
          <w:p>
            <w:pPr>
              <w:spacing w:after="0" w:line="20" w:lineRule="exact"/>
              <w:rPr>
                <w:sz w:val="1"/>
                <w:szCs w:val="1"/>
                <w:color w:val="auto"/>
              </w:rPr>
            </w:pPr>
          </w:p>
        </w:tc>
        <w:tc>
          <w:tcPr>
            <w:tcW w:w="186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40" w:type="dxa"/>
            <w:vAlign w:val="bottom"/>
            <w:gridSpan w:val="10"/>
          </w:tcPr>
          <w:p>
            <w:pPr>
              <w:spacing w:after="0" w:line="152" w:lineRule="exact"/>
              <w:rPr>
                <w:sz w:val="20"/>
                <w:szCs w:val="20"/>
                <w:color w:val="auto"/>
              </w:rPr>
            </w:pPr>
            <w:r>
              <w:rPr>
                <w:rFonts w:ascii="Times New Roman" w:cs="Times New Roman" w:eastAsia="Times New Roman" w:hAnsi="Times New Roman"/>
                <w:sz w:val="14"/>
                <w:szCs w:val="14"/>
                <w:color w:val="0000FF"/>
              </w:rPr>
              <w:t>18 U.S.C. Section 1350, as Adopted Pursuant to Section</w:t>
            </w: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
        </w:trPr>
        <w:tc>
          <w:tcPr>
            <w:tcW w:w="740" w:type="dxa"/>
            <w:vAlign w:val="bottom"/>
          </w:tcPr>
          <w:p>
            <w:pPr>
              <w:spacing w:after="0" w:line="20" w:lineRule="exact"/>
              <w:rPr>
                <w:sz w:val="1"/>
                <w:szCs w:val="1"/>
                <w:color w:val="auto"/>
              </w:rPr>
            </w:pPr>
          </w:p>
        </w:tc>
        <w:tc>
          <w:tcPr>
            <w:tcW w:w="186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40" w:type="dxa"/>
            <w:vAlign w:val="bottom"/>
            <w:gridSpan w:val="10"/>
          </w:tcPr>
          <w:p>
            <w:pPr>
              <w:spacing w:after="0" w:line="152" w:lineRule="exact"/>
              <w:rPr>
                <w:sz w:val="20"/>
                <w:szCs w:val="20"/>
                <w:color w:val="auto"/>
              </w:rPr>
            </w:pPr>
            <w:r>
              <w:rPr>
                <w:rFonts w:ascii="Times New Roman" w:cs="Times New Roman" w:eastAsia="Times New Roman" w:hAnsi="Times New Roman"/>
                <w:sz w:val="14"/>
                <w:szCs w:val="14"/>
                <w:color w:val="0000FF"/>
              </w:rPr>
              <w:t>906 of the Sarbanes-Oxley Act of 2002.</w:t>
            </w: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86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2"/>
        </w:trPr>
        <w:tc>
          <w:tcPr>
            <w:tcW w:w="7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97.1</w:t>
            </w:r>
          </w:p>
        </w:tc>
        <w:tc>
          <w:tcPr>
            <w:tcW w:w="3240" w:type="dxa"/>
            <w:vAlign w:val="bottom"/>
            <w:gridSpan w:val="10"/>
          </w:tcPr>
          <w:p>
            <w:pPr>
              <w:spacing w:after="0" w:line="152" w:lineRule="exact"/>
              <w:rPr>
                <w:rFonts w:ascii="Times New Roman" w:cs="Times New Roman" w:eastAsia="Times New Roman" w:hAnsi="Times New Roman"/>
                <w:sz w:val="14"/>
                <w:szCs w:val="14"/>
                <w:color w:val="0000FF"/>
              </w:rPr>
            </w:pPr>
            <w:hyperlink r:id="rId559">
              <w:r>
                <w:rPr>
                  <w:rFonts w:ascii="Times New Roman" w:cs="Times New Roman" w:eastAsia="Times New Roman" w:hAnsi="Times New Roman"/>
                  <w:sz w:val="14"/>
                  <w:szCs w:val="14"/>
                  <w:color w:val="0000FF"/>
                </w:rPr>
                <w:t>BrightSpring Health Services, Inc. Incentive</w:t>
              </w:r>
            </w:hyperlink>
          </w:p>
        </w:tc>
        <w:tc>
          <w:tcPr>
            <w:tcW w:w="860" w:type="dxa"/>
            <w:vAlign w:val="bottom"/>
          </w:tcPr>
          <w:p>
            <w:pPr>
              <w:ind w:left="240"/>
              <w:spacing w:after="0" w:line="152" w:lineRule="exact"/>
              <w:rPr>
                <w:sz w:val="20"/>
                <w:szCs w:val="20"/>
                <w:color w:val="auto"/>
              </w:rPr>
            </w:pPr>
            <w:r>
              <w:rPr>
                <w:rFonts w:ascii="Times New Roman" w:cs="Times New Roman" w:eastAsia="Times New Roman" w:hAnsi="Times New Roman"/>
                <w:sz w:val="14"/>
                <w:szCs w:val="14"/>
                <w:color w:val="auto"/>
              </w:rPr>
              <w:t>10-K</w:t>
            </w:r>
          </w:p>
        </w:tc>
        <w:tc>
          <w:tcPr>
            <w:tcW w:w="1000" w:type="dxa"/>
            <w:vAlign w:val="bottom"/>
          </w:tcPr>
          <w:p>
            <w:pPr>
              <w:jc w:val="right"/>
              <w:ind w:right="132"/>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800" w:type="dxa"/>
            <w:vAlign w:val="bottom"/>
          </w:tcPr>
          <w:p>
            <w:pPr>
              <w:jc w:val="right"/>
              <w:ind w:right="272"/>
              <w:spacing w:after="0" w:line="152" w:lineRule="exact"/>
              <w:rPr>
                <w:sz w:val="20"/>
                <w:szCs w:val="20"/>
                <w:color w:val="auto"/>
              </w:rPr>
            </w:pPr>
            <w:r>
              <w:rPr>
                <w:rFonts w:ascii="Times New Roman" w:cs="Times New Roman" w:eastAsia="Times New Roman" w:hAnsi="Times New Roman"/>
                <w:sz w:val="14"/>
                <w:szCs w:val="14"/>
                <w:color w:val="auto"/>
              </w:rPr>
              <w:t>97.1</w:t>
            </w:r>
          </w:p>
        </w:tc>
        <w:tc>
          <w:tcPr>
            <w:tcW w:w="840" w:type="dxa"/>
            <w:vAlign w:val="bottom"/>
          </w:tcPr>
          <w:p>
            <w:pPr>
              <w:ind w:left="140"/>
              <w:spacing w:after="0" w:line="152" w:lineRule="exact"/>
              <w:rPr>
                <w:sz w:val="20"/>
                <w:szCs w:val="20"/>
                <w:color w:val="auto"/>
              </w:rPr>
            </w:pPr>
            <w:r>
              <w:rPr>
                <w:rFonts w:ascii="Times New Roman" w:cs="Times New Roman" w:eastAsia="Times New Roman" w:hAnsi="Times New Roman"/>
                <w:sz w:val="14"/>
                <w:szCs w:val="14"/>
                <w:color w:val="auto"/>
              </w:rPr>
              <w:t>3/6/2024</w:t>
            </w:r>
          </w:p>
        </w:tc>
      </w:tr>
      <w:tr>
        <w:trPr>
          <w:trHeight w:val="20"/>
        </w:trPr>
        <w:tc>
          <w:tcPr>
            <w:tcW w:w="740" w:type="dxa"/>
            <w:vAlign w:val="bottom"/>
          </w:tcPr>
          <w:p>
            <w:pPr>
              <w:spacing w:after="0" w:line="20" w:lineRule="exact"/>
              <w:rPr>
                <w:sz w:val="1"/>
                <w:szCs w:val="1"/>
                <w:color w:val="auto"/>
              </w:rPr>
            </w:pPr>
          </w:p>
        </w:tc>
        <w:tc>
          <w:tcPr>
            <w:tcW w:w="186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2"/>
        </w:trPr>
        <w:tc>
          <w:tcPr>
            <w:tcW w:w="740" w:type="dxa"/>
            <w:vAlign w:val="bottom"/>
          </w:tcPr>
          <w:p>
            <w:pPr>
              <w:spacing w:after="0"/>
              <w:rPr>
                <w:sz w:val="13"/>
                <w:szCs w:val="13"/>
                <w:color w:val="auto"/>
              </w:rPr>
            </w:pPr>
          </w:p>
        </w:tc>
        <w:tc>
          <w:tcPr>
            <w:tcW w:w="3240" w:type="dxa"/>
            <w:vAlign w:val="bottom"/>
            <w:gridSpan w:val="10"/>
          </w:tcPr>
          <w:p>
            <w:pPr>
              <w:spacing w:after="0" w:line="152" w:lineRule="exact"/>
              <w:rPr>
                <w:rFonts w:ascii="Times New Roman" w:cs="Times New Roman" w:eastAsia="Times New Roman" w:hAnsi="Times New Roman"/>
                <w:sz w:val="14"/>
                <w:szCs w:val="14"/>
                <w:color w:val="0000FF"/>
              </w:rPr>
            </w:pPr>
            <w:hyperlink r:id="rId559">
              <w:r>
                <w:rPr>
                  <w:rFonts w:ascii="Times New Roman" w:cs="Times New Roman" w:eastAsia="Times New Roman" w:hAnsi="Times New Roman"/>
                  <w:sz w:val="14"/>
                  <w:szCs w:val="14"/>
                  <w:color w:val="0000FF"/>
                </w:rPr>
                <w:t>Compensation Clawback Policy.</w:t>
              </w:r>
            </w:hyperlink>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25" w:lineRule="exact"/>
        <w:rPr>
          <w:sz w:val="20"/>
          <w:szCs w:val="20"/>
          <w:color w:val="auto"/>
        </w:rPr>
      </w:pPr>
    </w:p>
    <w:p>
      <w:pPr>
        <w:ind w:left="1000" w:right="759" w:hanging="362"/>
        <w:spacing w:after="0" w:line="262" w:lineRule="auto"/>
        <w:tabs>
          <w:tab w:leader="none" w:pos="10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and similar attachments have been omitted pursuant to Item 601(a)(5) of Regulation S-K. The registrant hereby undertakes to furnish supplementally copies of any of the omitted schedules or similar attachments upon request by the SEC or its staff.</w:t>
      </w:r>
    </w:p>
    <w:p>
      <w:pPr>
        <w:spacing w:after="0" w:line="2" w:lineRule="exact"/>
        <w:rPr>
          <w:sz w:val="20"/>
          <w:szCs w:val="20"/>
          <w:color w:val="auto"/>
        </w:rPr>
      </w:pPr>
    </w:p>
    <w:p>
      <w:pPr>
        <w:ind w:left="1000" w:hanging="362"/>
        <w:spacing w:after="0"/>
        <w:tabs>
          <w:tab w:leader="none" w:pos="10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in which directors and/or executive officers are eligible to participate.</w:t>
      </w:r>
    </w:p>
    <w:p>
      <w:pPr>
        <w:spacing w:after="0" w:line="83" w:lineRule="exact"/>
        <w:rPr>
          <w:sz w:val="20"/>
          <w:szCs w:val="20"/>
          <w:color w:val="auto"/>
        </w:rPr>
      </w:pPr>
    </w:p>
    <w:p>
      <w:pPr>
        <w:ind w:left="640" w:right="759" w:firstLine="516"/>
        <w:spacing w:after="0" w:line="265" w:lineRule="auto"/>
        <w:rPr>
          <w:sz w:val="20"/>
          <w:szCs w:val="20"/>
          <w:color w:val="auto"/>
        </w:rPr>
      </w:pPr>
      <w:r>
        <w:rPr>
          <w:rFonts w:ascii="Times New Roman" w:cs="Times New Roman" w:eastAsia="Times New Roman" w:hAnsi="Times New Roman"/>
          <w:sz w:val="14"/>
          <w:szCs w:val="14"/>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None.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6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6" w:name="page137"/>
    <w:bookmarkEnd w:id="13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640" w:right="799" w:firstLine="351"/>
        <w:spacing w:after="0" w:line="292"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r>
        <w:rPr>
          <w:rFonts w:ascii="Times New Roman" w:cs="Times New Roman" w:eastAsia="Times New Roman" w:hAnsi="Times New Roman"/>
          <w:sz w:val="14"/>
          <w:szCs w:val="14"/>
          <w:b w:val="1"/>
          <w:bCs w:val="1"/>
          <w:color w:val="auto"/>
        </w:rPr>
        <w:t>.</w:t>
      </w:r>
    </w:p>
    <w:p>
      <w:pPr>
        <w:spacing w:after="0" w:line="14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BrightSpring Health Services, Inc.</w:t>
      </w:r>
    </w:p>
    <w:p>
      <w:pPr>
        <w:spacing w:after="0" w:line="183" w:lineRule="exact"/>
        <w:rPr>
          <w:sz w:val="20"/>
          <w:szCs w:val="20"/>
          <w:color w:val="auto"/>
        </w:rPr>
      </w:pPr>
    </w:p>
    <w:p>
      <w:pPr>
        <w:ind w:left="640"/>
        <w:spacing w:after="0"/>
        <w:tabs>
          <w:tab w:leader="none" w:pos="4340" w:val="left"/>
          <w:tab w:leader="none" w:pos="6080" w:val="left"/>
        </w:tabs>
        <w:rPr>
          <w:sz w:val="20"/>
          <w:szCs w:val="20"/>
          <w:color w:val="auto"/>
        </w:rPr>
      </w:pPr>
      <w:r>
        <w:rPr>
          <w:rFonts w:ascii="Times New Roman" w:cs="Times New Roman" w:eastAsia="Times New Roman" w:hAnsi="Times New Roman"/>
          <w:sz w:val="14"/>
          <w:szCs w:val="14"/>
          <w:color w:val="auto"/>
        </w:rPr>
        <w:t>Date: February 27,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Jon Rousseau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16510</wp:posOffset>
            </wp:positionV>
            <wp:extent cx="2270760" cy="698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61">
                      <a:extLst>
                        <a:ext uri="{28A0092B-C50C-407E-A947-70E740481C1C}"/>
                      </a:extLst>
                    </a:blip>
                    <a:srcRect/>
                    <a:stretch>
                      <a:fillRect/>
                    </a:stretch>
                  </pic:blipFill>
                  <pic:spPr bwMode="auto">
                    <a:xfrm>
                      <a:off x="0" y="0"/>
                      <a:ext cx="2270760" cy="6985"/>
                    </a:xfrm>
                    <a:prstGeom prst="rect">
                      <a:avLst/>
                    </a:prstGeom>
                    <a:noFill/>
                  </pic:spPr>
                </pic:pic>
              </a:graphicData>
            </a:graphic>
          </wp:anchor>
        </w:drawing>
      </w:r>
    </w:p>
    <w:p>
      <w:pPr>
        <w:spacing w:after="0" w:line="15"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Jon Rousseau</w:t>
      </w:r>
    </w:p>
    <w:p>
      <w:pPr>
        <w:spacing w:after="0" w:line="11"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p>
      <w:pPr>
        <w:spacing w:after="0" w:line="201" w:lineRule="exact"/>
        <w:rPr>
          <w:sz w:val="20"/>
          <w:szCs w:val="20"/>
          <w:color w:val="auto"/>
        </w:rPr>
      </w:pPr>
    </w:p>
    <w:p>
      <w:pPr>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19"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520" w:type="dxa"/>
            <w:vAlign w:val="bottom"/>
          </w:tcPr>
          <w:p>
            <w:pPr>
              <w:spacing w:after="0"/>
              <w:rPr>
                <w:sz w:val="11"/>
                <w:szCs w:val="1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Name</w:t>
            </w:r>
          </w:p>
        </w:tc>
        <w:tc>
          <w:tcPr>
            <w:tcW w:w="80" w:type="dxa"/>
            <w:vAlign w:val="bottom"/>
          </w:tcPr>
          <w:p>
            <w:pPr>
              <w:spacing w:after="0"/>
              <w:rPr>
                <w:sz w:val="11"/>
                <w:szCs w:val="11"/>
                <w:color w:val="auto"/>
              </w:rPr>
            </w:pPr>
          </w:p>
        </w:tc>
        <w:tc>
          <w:tcPr>
            <w:tcW w:w="388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80" w:type="dxa"/>
            <w:vAlign w:val="bottom"/>
          </w:tcPr>
          <w:p>
            <w:pPr>
              <w:spacing w:after="0"/>
              <w:rPr>
                <w:sz w:val="11"/>
                <w:szCs w:val="11"/>
                <w:color w:val="auto"/>
              </w:rPr>
            </w:pPr>
          </w:p>
        </w:tc>
        <w:tc>
          <w:tcPr>
            <w:tcW w:w="16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1"/>
                <w:szCs w:val="11"/>
                <w:b w:val="1"/>
                <w:bCs w:val="1"/>
                <w:color w:val="auto"/>
              </w:rPr>
              <w:t>Date</w:t>
            </w:r>
          </w:p>
        </w:tc>
        <w:tc>
          <w:tcPr>
            <w:tcW w:w="520" w:type="dxa"/>
            <w:vAlign w:val="bottom"/>
          </w:tcPr>
          <w:p>
            <w:pPr>
              <w:spacing w:after="0"/>
              <w:rPr>
                <w:sz w:val="11"/>
                <w:szCs w:val="11"/>
                <w:color w:val="auto"/>
              </w:rPr>
            </w:pPr>
          </w:p>
        </w:tc>
      </w:tr>
      <w:tr>
        <w:trPr>
          <w:trHeight w:val="227"/>
        </w:trPr>
        <w:tc>
          <w:tcPr>
            <w:tcW w:w="520" w:type="dxa"/>
            <w:vAlign w:val="bottom"/>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Jon Rousseau</w:t>
            </w:r>
          </w:p>
        </w:tc>
        <w:tc>
          <w:tcPr>
            <w:tcW w:w="8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c>
          <w:tcPr>
            <w:tcW w:w="80" w:type="dxa"/>
            <w:vAlign w:val="bottom"/>
          </w:tcPr>
          <w:p>
            <w:pPr>
              <w:spacing w:after="0"/>
              <w:rPr>
                <w:sz w:val="19"/>
                <w:szCs w:val="19"/>
                <w:color w:val="auto"/>
              </w:rPr>
            </w:pPr>
          </w:p>
        </w:tc>
        <w:tc>
          <w:tcPr>
            <w:tcW w:w="2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February 27, 2026</w:t>
            </w:r>
          </w:p>
        </w:tc>
      </w:tr>
      <w:tr>
        <w:trPr>
          <w:trHeight w:val="141"/>
        </w:trPr>
        <w:tc>
          <w:tcPr>
            <w:tcW w:w="52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Jon Rousseau</w:t>
            </w:r>
          </w:p>
        </w:tc>
        <w:tc>
          <w:tcPr>
            <w:tcW w:w="8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1"/>
                <w:szCs w:val="11"/>
                <w:color w:val="auto"/>
              </w:rPr>
              <w:t>(Principal Executive Officer)</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04"/>
        </w:trPr>
        <w:tc>
          <w:tcPr>
            <w:tcW w:w="520" w:type="dxa"/>
            <w:vAlign w:val="bottom"/>
          </w:tcPr>
          <w:p>
            <w:pPr>
              <w:spacing w:after="0"/>
              <w:rPr>
                <w:sz w:val="17"/>
                <w:szCs w:val="17"/>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Jennifer Phipps</w:t>
            </w:r>
          </w:p>
        </w:tc>
        <w:tc>
          <w:tcPr>
            <w:tcW w:w="80" w:type="dxa"/>
            <w:vAlign w:val="bottom"/>
          </w:tcPr>
          <w:p>
            <w:pPr>
              <w:spacing w:after="0"/>
              <w:rPr>
                <w:sz w:val="17"/>
                <w:szCs w:val="17"/>
                <w:color w:val="auto"/>
              </w:rPr>
            </w:pPr>
          </w:p>
        </w:tc>
        <w:tc>
          <w:tcPr>
            <w:tcW w:w="3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c>
          <w:tcPr>
            <w:tcW w:w="80" w:type="dxa"/>
            <w:vAlign w:val="bottom"/>
          </w:tcPr>
          <w:p>
            <w:pPr>
              <w:spacing w:after="0"/>
              <w:rPr>
                <w:sz w:val="17"/>
                <w:szCs w:val="17"/>
                <w:color w:val="auto"/>
              </w:rPr>
            </w:pPr>
          </w:p>
        </w:tc>
        <w:tc>
          <w:tcPr>
            <w:tcW w:w="2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February 27, 2026</w:t>
            </w:r>
          </w:p>
        </w:tc>
      </w:tr>
      <w:tr>
        <w:trPr>
          <w:trHeight w:val="141"/>
        </w:trPr>
        <w:tc>
          <w:tcPr>
            <w:tcW w:w="52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Jennifer Phipps</w:t>
            </w:r>
          </w:p>
        </w:tc>
        <w:tc>
          <w:tcPr>
            <w:tcW w:w="8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1"/>
                <w:szCs w:val="11"/>
                <w:color w:val="auto"/>
              </w:rPr>
              <w:t>(Principal Financial Officer and Principal Accounting Officer)</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04"/>
        </w:trPr>
        <w:tc>
          <w:tcPr>
            <w:tcW w:w="520" w:type="dxa"/>
            <w:vAlign w:val="bottom"/>
          </w:tcPr>
          <w:p>
            <w:pPr>
              <w:spacing w:after="0"/>
              <w:rPr>
                <w:sz w:val="17"/>
                <w:szCs w:val="17"/>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Hunter Craig</w:t>
            </w:r>
          </w:p>
        </w:tc>
        <w:tc>
          <w:tcPr>
            <w:tcW w:w="80" w:type="dxa"/>
            <w:vAlign w:val="bottom"/>
          </w:tcPr>
          <w:p>
            <w:pPr>
              <w:spacing w:after="0"/>
              <w:rPr>
                <w:sz w:val="17"/>
                <w:szCs w:val="17"/>
                <w:color w:val="auto"/>
              </w:rPr>
            </w:pPr>
          </w:p>
        </w:tc>
        <w:tc>
          <w:tcPr>
            <w:tcW w:w="3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Director</w:t>
            </w:r>
          </w:p>
        </w:tc>
        <w:tc>
          <w:tcPr>
            <w:tcW w:w="80" w:type="dxa"/>
            <w:vAlign w:val="bottom"/>
          </w:tcPr>
          <w:p>
            <w:pPr>
              <w:spacing w:after="0"/>
              <w:rPr>
                <w:sz w:val="17"/>
                <w:szCs w:val="17"/>
                <w:color w:val="auto"/>
              </w:rPr>
            </w:pPr>
          </w:p>
        </w:tc>
        <w:tc>
          <w:tcPr>
            <w:tcW w:w="2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February 27, 2026</w:t>
            </w:r>
          </w:p>
        </w:tc>
      </w:tr>
      <w:tr>
        <w:trPr>
          <w:trHeight w:val="141"/>
        </w:trPr>
        <w:tc>
          <w:tcPr>
            <w:tcW w:w="52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Hunter Craig</w:t>
            </w:r>
          </w:p>
        </w:tc>
        <w:tc>
          <w:tcPr>
            <w:tcW w:w="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04"/>
        </w:trPr>
        <w:tc>
          <w:tcPr>
            <w:tcW w:w="520" w:type="dxa"/>
            <w:vAlign w:val="bottom"/>
          </w:tcPr>
          <w:p>
            <w:pPr>
              <w:spacing w:after="0"/>
              <w:rPr>
                <w:sz w:val="17"/>
                <w:szCs w:val="17"/>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Johnny Kim</w:t>
            </w:r>
          </w:p>
        </w:tc>
        <w:tc>
          <w:tcPr>
            <w:tcW w:w="80" w:type="dxa"/>
            <w:vAlign w:val="bottom"/>
          </w:tcPr>
          <w:p>
            <w:pPr>
              <w:spacing w:after="0"/>
              <w:rPr>
                <w:sz w:val="17"/>
                <w:szCs w:val="17"/>
                <w:color w:val="auto"/>
              </w:rPr>
            </w:pPr>
          </w:p>
        </w:tc>
        <w:tc>
          <w:tcPr>
            <w:tcW w:w="3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Director</w:t>
            </w:r>
          </w:p>
        </w:tc>
        <w:tc>
          <w:tcPr>
            <w:tcW w:w="80" w:type="dxa"/>
            <w:vAlign w:val="bottom"/>
          </w:tcPr>
          <w:p>
            <w:pPr>
              <w:spacing w:after="0"/>
              <w:rPr>
                <w:sz w:val="17"/>
                <w:szCs w:val="17"/>
                <w:color w:val="auto"/>
              </w:rPr>
            </w:pPr>
          </w:p>
        </w:tc>
        <w:tc>
          <w:tcPr>
            <w:tcW w:w="2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February 27, 2026</w:t>
            </w:r>
          </w:p>
        </w:tc>
      </w:tr>
      <w:tr>
        <w:trPr>
          <w:trHeight w:val="141"/>
        </w:trPr>
        <w:tc>
          <w:tcPr>
            <w:tcW w:w="52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Johnny Kim</w:t>
            </w:r>
          </w:p>
        </w:tc>
        <w:tc>
          <w:tcPr>
            <w:tcW w:w="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04"/>
        </w:trPr>
        <w:tc>
          <w:tcPr>
            <w:tcW w:w="520" w:type="dxa"/>
            <w:vAlign w:val="bottom"/>
          </w:tcPr>
          <w:p>
            <w:pPr>
              <w:spacing w:after="0"/>
              <w:rPr>
                <w:sz w:val="17"/>
                <w:szCs w:val="17"/>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Max Lin</w:t>
            </w:r>
          </w:p>
        </w:tc>
        <w:tc>
          <w:tcPr>
            <w:tcW w:w="80" w:type="dxa"/>
            <w:vAlign w:val="bottom"/>
          </w:tcPr>
          <w:p>
            <w:pPr>
              <w:spacing w:after="0"/>
              <w:rPr>
                <w:sz w:val="17"/>
                <w:szCs w:val="17"/>
                <w:color w:val="auto"/>
              </w:rPr>
            </w:pPr>
          </w:p>
        </w:tc>
        <w:tc>
          <w:tcPr>
            <w:tcW w:w="3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Director</w:t>
            </w:r>
          </w:p>
        </w:tc>
        <w:tc>
          <w:tcPr>
            <w:tcW w:w="80" w:type="dxa"/>
            <w:vAlign w:val="bottom"/>
          </w:tcPr>
          <w:p>
            <w:pPr>
              <w:spacing w:after="0"/>
              <w:rPr>
                <w:sz w:val="17"/>
                <w:szCs w:val="17"/>
                <w:color w:val="auto"/>
              </w:rPr>
            </w:pPr>
          </w:p>
        </w:tc>
        <w:tc>
          <w:tcPr>
            <w:tcW w:w="2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February 27, 2026</w:t>
            </w:r>
          </w:p>
        </w:tc>
      </w:tr>
      <w:tr>
        <w:trPr>
          <w:trHeight w:val="141"/>
        </w:trPr>
        <w:tc>
          <w:tcPr>
            <w:tcW w:w="52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Max Lin</w:t>
            </w:r>
          </w:p>
        </w:tc>
        <w:tc>
          <w:tcPr>
            <w:tcW w:w="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04"/>
        </w:trPr>
        <w:tc>
          <w:tcPr>
            <w:tcW w:w="520" w:type="dxa"/>
            <w:vAlign w:val="bottom"/>
          </w:tcPr>
          <w:p>
            <w:pPr>
              <w:spacing w:after="0"/>
              <w:rPr>
                <w:sz w:val="17"/>
                <w:szCs w:val="17"/>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Olivia Kirtley</w:t>
            </w:r>
          </w:p>
        </w:tc>
        <w:tc>
          <w:tcPr>
            <w:tcW w:w="80" w:type="dxa"/>
            <w:vAlign w:val="bottom"/>
          </w:tcPr>
          <w:p>
            <w:pPr>
              <w:spacing w:after="0"/>
              <w:rPr>
                <w:sz w:val="17"/>
                <w:szCs w:val="17"/>
                <w:color w:val="auto"/>
              </w:rPr>
            </w:pPr>
          </w:p>
        </w:tc>
        <w:tc>
          <w:tcPr>
            <w:tcW w:w="3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Director</w:t>
            </w:r>
          </w:p>
        </w:tc>
        <w:tc>
          <w:tcPr>
            <w:tcW w:w="80" w:type="dxa"/>
            <w:vAlign w:val="bottom"/>
          </w:tcPr>
          <w:p>
            <w:pPr>
              <w:spacing w:after="0"/>
              <w:rPr>
                <w:sz w:val="17"/>
                <w:szCs w:val="17"/>
                <w:color w:val="auto"/>
              </w:rPr>
            </w:pPr>
          </w:p>
        </w:tc>
        <w:tc>
          <w:tcPr>
            <w:tcW w:w="2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February 27, 2026</w:t>
            </w:r>
          </w:p>
        </w:tc>
      </w:tr>
      <w:tr>
        <w:trPr>
          <w:trHeight w:val="141"/>
        </w:trPr>
        <w:tc>
          <w:tcPr>
            <w:tcW w:w="52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Olivia Kirtley</w:t>
            </w:r>
          </w:p>
        </w:tc>
        <w:tc>
          <w:tcPr>
            <w:tcW w:w="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04"/>
        </w:trPr>
        <w:tc>
          <w:tcPr>
            <w:tcW w:w="520" w:type="dxa"/>
            <w:vAlign w:val="bottom"/>
          </w:tcPr>
          <w:p>
            <w:pPr>
              <w:spacing w:after="0"/>
              <w:rPr>
                <w:sz w:val="17"/>
                <w:szCs w:val="17"/>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Timothy Wicks</w:t>
            </w:r>
          </w:p>
        </w:tc>
        <w:tc>
          <w:tcPr>
            <w:tcW w:w="80" w:type="dxa"/>
            <w:vAlign w:val="bottom"/>
          </w:tcPr>
          <w:p>
            <w:pPr>
              <w:spacing w:after="0"/>
              <w:rPr>
                <w:sz w:val="17"/>
                <w:szCs w:val="17"/>
                <w:color w:val="auto"/>
              </w:rPr>
            </w:pPr>
          </w:p>
        </w:tc>
        <w:tc>
          <w:tcPr>
            <w:tcW w:w="3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Director</w:t>
            </w:r>
          </w:p>
        </w:tc>
        <w:tc>
          <w:tcPr>
            <w:tcW w:w="80" w:type="dxa"/>
            <w:vAlign w:val="bottom"/>
          </w:tcPr>
          <w:p>
            <w:pPr>
              <w:spacing w:after="0"/>
              <w:rPr>
                <w:sz w:val="17"/>
                <w:szCs w:val="17"/>
                <w:color w:val="auto"/>
              </w:rPr>
            </w:pPr>
          </w:p>
        </w:tc>
        <w:tc>
          <w:tcPr>
            <w:tcW w:w="2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February 27, 2026</w:t>
            </w:r>
          </w:p>
        </w:tc>
      </w:tr>
      <w:tr>
        <w:trPr>
          <w:trHeight w:val="175"/>
        </w:trPr>
        <w:tc>
          <w:tcPr>
            <w:tcW w:w="52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Timothy Wicks</w:t>
            </w:r>
          </w:p>
        </w:tc>
        <w:tc>
          <w:tcPr>
            <w:tcW w:w="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24"/>
        </w:trPr>
        <w:tc>
          <w:tcPr>
            <w:tcW w:w="520" w:type="dxa"/>
            <w:vAlign w:val="bottom"/>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Steve Miller</w:t>
            </w:r>
          </w:p>
        </w:tc>
        <w:tc>
          <w:tcPr>
            <w:tcW w:w="80" w:type="dxa"/>
            <w:vAlign w:val="bottom"/>
          </w:tcPr>
          <w:p>
            <w:pPr>
              <w:spacing w:after="0"/>
              <w:rPr>
                <w:sz w:val="19"/>
                <w:szCs w:val="19"/>
                <w:color w:val="auto"/>
              </w:rPr>
            </w:pPr>
          </w:p>
        </w:tc>
        <w:tc>
          <w:tcPr>
            <w:tcW w:w="3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Director</w:t>
            </w:r>
          </w:p>
        </w:tc>
        <w:tc>
          <w:tcPr>
            <w:tcW w:w="80" w:type="dxa"/>
            <w:vAlign w:val="bottom"/>
          </w:tcPr>
          <w:p>
            <w:pPr>
              <w:spacing w:after="0"/>
              <w:rPr>
                <w:sz w:val="19"/>
                <w:szCs w:val="19"/>
                <w:color w:val="auto"/>
              </w:rPr>
            </w:pPr>
          </w:p>
        </w:tc>
        <w:tc>
          <w:tcPr>
            <w:tcW w:w="2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February 27, 2026</w:t>
            </w:r>
          </w:p>
        </w:tc>
      </w:tr>
      <w:tr>
        <w:trPr>
          <w:trHeight w:val="141"/>
        </w:trPr>
        <w:tc>
          <w:tcPr>
            <w:tcW w:w="52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Steve Miller</w:t>
            </w:r>
          </w:p>
        </w:tc>
        <w:tc>
          <w:tcPr>
            <w:tcW w:w="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483"/>
        </w:trPr>
        <w:tc>
          <w:tcPr>
            <w:tcW w:w="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960" w:type="dxa"/>
            <w:vAlign w:val="bottom"/>
            <w:gridSpan w:val="2"/>
          </w:tcPr>
          <w:p>
            <w:pPr>
              <w:jc w:val="right"/>
              <w:ind w:right="1932"/>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6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6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7" w:name="page138"/>
    <w:bookmarkEnd w:id="137"/>
    <w:p>
      <w:pPr>
        <w:ind w:left="7200"/>
        <w:spacing w:after="0"/>
        <w:rPr>
          <w:sz w:val="20"/>
          <w:szCs w:val="20"/>
          <w:color w:val="auto"/>
        </w:rPr>
      </w:pPr>
      <w:r>
        <w:rPr>
          <w:rFonts w:ascii="Times New Roman" w:cs="Times New Roman" w:eastAsia="Times New Roman" w:hAnsi="Times New Roman"/>
          <w:sz w:val="14"/>
          <w:szCs w:val="14"/>
          <w:b w:val="1"/>
          <w:bCs w:val="1"/>
          <w:color w:val="auto"/>
        </w:rPr>
        <w:t>Exhibit 2.2</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FIRST AMENDMENT TO PURCHASE AGREEMENT</w:t>
      </w:r>
    </w:p>
    <w:p>
      <w:pPr>
        <w:spacing w:after="0" w:line="170" w:lineRule="exact"/>
        <w:rPr>
          <w:sz w:val="20"/>
          <w:szCs w:val="20"/>
          <w:color w:val="auto"/>
        </w:rPr>
      </w:pPr>
    </w:p>
    <w:p>
      <w:pPr>
        <w:jc w:val="both"/>
        <w:ind w:left="1160" w:right="1159" w:firstLine="515"/>
        <w:spacing w:after="0" w:line="244" w:lineRule="auto"/>
        <w:rPr>
          <w:sz w:val="20"/>
          <w:szCs w:val="20"/>
          <w:color w:val="auto"/>
        </w:rPr>
      </w:pPr>
      <w:r>
        <w:rPr>
          <w:rFonts w:ascii="Times New Roman" w:cs="Times New Roman" w:eastAsia="Times New Roman" w:hAnsi="Times New Roman"/>
          <w:sz w:val="16"/>
          <w:szCs w:val="16"/>
          <w:color w:val="auto"/>
        </w:rPr>
        <w:t xml:space="preserve">This </w:t>
      </w:r>
      <w:r>
        <w:rPr>
          <w:rFonts w:ascii="Times New Roman" w:cs="Times New Roman" w:eastAsia="Times New Roman" w:hAnsi="Times New Roman"/>
          <w:sz w:val="16"/>
          <w:szCs w:val="16"/>
          <w:b w:val="1"/>
          <w:bCs w:val="1"/>
          <w:color w:val="auto"/>
        </w:rPr>
        <w:t>FIRST AMENDMENT TO PURCHASE AGREEMENT</w:t>
      </w:r>
      <w:r>
        <w:rPr>
          <w:rFonts w:ascii="Times New Roman" w:cs="Times New Roman" w:eastAsia="Times New Roman" w:hAnsi="Times New Roman"/>
          <w:sz w:val="16"/>
          <w:szCs w:val="16"/>
          <w:color w:val="auto"/>
        </w:rPr>
        <w:t xml:space="preserve"> (this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dated as of December 5, 2025, is made and entered into by and among National Mentor Holdings, Inc., a Delaware corporation (“</w:t>
      </w:r>
      <w:r>
        <w:rPr>
          <w:rFonts w:ascii="Times New Roman" w:cs="Times New Roman" w:eastAsia="Times New Roman" w:hAnsi="Times New Roman"/>
          <w:sz w:val="16"/>
          <w:szCs w:val="16"/>
          <w:u w:val="single" w:color="auto"/>
          <w:color w:val="auto"/>
        </w:rPr>
        <w:t>Buyer</w:t>
      </w:r>
      <w:r>
        <w:rPr>
          <w:rFonts w:ascii="Times New Roman" w:cs="Times New Roman" w:eastAsia="Times New Roman" w:hAnsi="Times New Roman"/>
          <w:sz w:val="16"/>
          <w:szCs w:val="16"/>
          <w:color w:val="auto"/>
        </w:rPr>
        <w:t>”), Res-Care, Inc., a Kentucky corporation (“</w:t>
      </w:r>
      <w:r>
        <w:rPr>
          <w:rFonts w:ascii="Times New Roman" w:cs="Times New Roman" w:eastAsia="Times New Roman" w:hAnsi="Times New Roman"/>
          <w:sz w:val="16"/>
          <w:szCs w:val="16"/>
          <w:u w:val="single" w:color="auto"/>
          <w:color w:val="auto"/>
        </w:rPr>
        <w:t>Res-Care</w:t>
      </w:r>
      <w:r>
        <w:rPr>
          <w:rFonts w:ascii="Times New Roman" w:cs="Times New Roman" w:eastAsia="Times New Roman" w:hAnsi="Times New Roman"/>
          <w:sz w:val="16"/>
          <w:szCs w:val="16"/>
          <w:color w:val="auto"/>
        </w:rPr>
        <w:t>”), the other entities identified herein as “Sellers” set forth on Exhibit H of the Purchase Agreement, and BrightSpring Health Services, Inc., a Delaware corporation (“</w:t>
      </w:r>
      <w:r>
        <w:rPr>
          <w:rFonts w:ascii="Times New Roman" w:cs="Times New Roman" w:eastAsia="Times New Roman" w:hAnsi="Times New Roman"/>
          <w:sz w:val="16"/>
          <w:szCs w:val="16"/>
          <w:u w:val="single" w:color="auto"/>
          <w:color w:val="auto"/>
        </w:rPr>
        <w:t>Seller Guarantor</w:t>
      </w:r>
      <w:r>
        <w:rPr>
          <w:rFonts w:ascii="Times New Roman" w:cs="Times New Roman" w:eastAsia="Times New Roman" w:hAnsi="Times New Roman"/>
          <w:sz w:val="16"/>
          <w:szCs w:val="16"/>
          <w:color w:val="auto"/>
        </w:rPr>
        <w:t>”). Capitalized terms used but not defined herein shall have the meanings assigned to such terms in the Purchase Agreement.</w:t>
      </w:r>
    </w:p>
    <w:p>
      <w:pPr>
        <w:spacing w:after="0" w:line="156" w:lineRule="exact"/>
        <w:rPr>
          <w:sz w:val="20"/>
          <w:szCs w:val="20"/>
          <w:color w:val="auto"/>
        </w:rPr>
      </w:pPr>
    </w:p>
    <w:p>
      <w:pPr>
        <w:jc w:val="both"/>
        <w:ind w:left="1160" w:right="1179" w:firstLine="515"/>
        <w:spacing w:after="0" w:line="269" w:lineRule="auto"/>
        <w:rPr>
          <w:sz w:val="20"/>
          <w:szCs w:val="20"/>
          <w:color w:val="auto"/>
        </w:rPr>
      </w:pPr>
      <w:r>
        <w:rPr>
          <w:rFonts w:ascii="Times New Roman" w:cs="Times New Roman" w:eastAsia="Times New Roman" w:hAnsi="Times New Roman"/>
          <w:sz w:val="16"/>
          <w:szCs w:val="16"/>
          <w:b w:val="1"/>
          <w:bCs w:val="1"/>
          <w:color w:val="auto"/>
        </w:rPr>
        <w:t xml:space="preserve">WHEREAS, </w:t>
      </w:r>
      <w:r>
        <w:rPr>
          <w:rFonts w:ascii="Times New Roman" w:cs="Times New Roman" w:eastAsia="Times New Roman" w:hAnsi="Times New Roman"/>
          <w:sz w:val="16"/>
          <w:szCs w:val="16"/>
          <w:color w:val="auto"/>
        </w:rPr>
        <w:t>Buyer, Res-Care, Seller Guarantor, and the Sellers entered into that certain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Purchase Agreement dated as of January 17, 2025 (the “</w:t>
      </w:r>
      <w:r>
        <w:rPr>
          <w:rFonts w:ascii="Times New Roman" w:cs="Times New Roman" w:eastAsia="Times New Roman" w:hAnsi="Times New Roman"/>
          <w:sz w:val="16"/>
          <w:szCs w:val="16"/>
          <w:u w:val="single" w:color="auto"/>
          <w:color w:val="auto"/>
        </w:rPr>
        <w:t>Purchase Agreement</w:t>
      </w:r>
      <w:r>
        <w:rPr>
          <w:rFonts w:ascii="Times New Roman" w:cs="Times New Roman" w:eastAsia="Times New Roman" w:hAnsi="Times New Roman"/>
          <w:sz w:val="16"/>
          <w:szCs w:val="16"/>
          <w:color w:val="auto"/>
        </w:rPr>
        <w:t>”).</w:t>
      </w:r>
    </w:p>
    <w:p>
      <w:pPr>
        <w:spacing w:after="0" w:line="13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b w:val="1"/>
          <w:bCs w:val="1"/>
          <w:color w:val="auto"/>
        </w:rPr>
        <w:t xml:space="preserve">WHEREAS, </w:t>
      </w:r>
      <w:r>
        <w:rPr>
          <w:rFonts w:ascii="Times New Roman" w:cs="Times New Roman" w:eastAsia="Times New Roman" w:hAnsi="Times New Roman"/>
          <w:sz w:val="16"/>
          <w:szCs w:val="16"/>
          <w:color w:val="auto"/>
        </w:rPr>
        <w:t>the Parties desire to amend the Purchase Agreement as provided herein.</w:t>
      </w:r>
    </w:p>
    <w:p>
      <w:pPr>
        <w:spacing w:after="0" w:line="192" w:lineRule="exact"/>
        <w:rPr>
          <w:sz w:val="20"/>
          <w:szCs w:val="20"/>
          <w:color w:val="auto"/>
        </w:rPr>
      </w:pPr>
    </w:p>
    <w:p>
      <w:pPr>
        <w:ind w:left="1160" w:right="939" w:firstLine="515"/>
        <w:spacing w:after="0" w:line="269" w:lineRule="auto"/>
        <w:rPr>
          <w:sz w:val="20"/>
          <w:szCs w:val="20"/>
          <w:color w:val="auto"/>
        </w:rPr>
      </w:pPr>
      <w:r>
        <w:rPr>
          <w:rFonts w:ascii="Times New Roman" w:cs="Times New Roman" w:eastAsia="Times New Roman" w:hAnsi="Times New Roman"/>
          <w:sz w:val="16"/>
          <w:szCs w:val="16"/>
          <w:b w:val="1"/>
          <w:bCs w:val="1"/>
          <w:color w:val="auto"/>
        </w:rPr>
        <w:t xml:space="preserve">NOW, THEREFORE, </w:t>
      </w:r>
      <w:r>
        <w:rPr>
          <w:rFonts w:ascii="Times New Roman" w:cs="Times New Roman" w:eastAsia="Times New Roman" w:hAnsi="Times New Roman"/>
          <w:sz w:val="16"/>
          <w:szCs w:val="16"/>
          <w:color w:val="auto"/>
        </w:rPr>
        <w:t>in consideration of the representations, warranties, covenants and agreements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herein contained, and intending to be legally bound hereby, the Parties hereby agree as follows:</w:t>
      </w:r>
    </w:p>
    <w:p>
      <w:pPr>
        <w:spacing w:after="0" w:line="137" w:lineRule="exact"/>
        <w:rPr>
          <w:sz w:val="20"/>
          <w:szCs w:val="20"/>
          <w:color w:val="auto"/>
        </w:rPr>
      </w:pPr>
    </w:p>
    <w:p>
      <w:pPr>
        <w:ind w:left="1660" w:hanging="507"/>
        <w:spacing w:after="0"/>
        <w:tabs>
          <w:tab w:leader="none" w:pos="16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Amendments</w:t>
      </w:r>
      <w:r>
        <w:rPr>
          <w:rFonts w:ascii="Times New Roman" w:cs="Times New Roman" w:eastAsia="Times New Roman" w:hAnsi="Times New Roman"/>
          <w:sz w:val="16"/>
          <w:szCs w:val="16"/>
          <w:color w:val="auto"/>
        </w:rPr>
        <w:t>. The Purchase Agreement is hereby amended as follows:</w:t>
      </w:r>
    </w:p>
    <w:p>
      <w:pPr>
        <w:spacing w:after="0" w:line="181" w:lineRule="exact"/>
        <w:rPr>
          <w:sz w:val="20"/>
          <w:szCs w:val="20"/>
          <w:color w:val="auto"/>
        </w:rPr>
      </w:pPr>
    </w:p>
    <w:p>
      <w:pPr>
        <w:ind w:left="2180" w:right="1479" w:firstLine="4"/>
        <w:spacing w:after="0" w:line="267" w:lineRule="auto"/>
        <w:tabs>
          <w:tab w:leader="none" w:pos="2535"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6.1(b) of the Purchase Agreement is hereby amended and restated in its entirety to read as follows:</w:t>
      </w:r>
    </w:p>
    <w:p>
      <w:pPr>
        <w:spacing w:after="0" w:line="117" w:lineRule="exact"/>
        <w:rPr>
          <w:sz w:val="20"/>
          <w:szCs w:val="20"/>
          <w:color w:val="auto"/>
        </w:rPr>
      </w:pPr>
    </w:p>
    <w:p>
      <w:pPr>
        <w:ind w:left="2700" w:right="1519" w:firstLine="516"/>
        <w:spacing w:after="0" w:line="267" w:lineRule="auto"/>
        <w:rPr>
          <w:sz w:val="20"/>
          <w:szCs w:val="20"/>
          <w:color w:val="auto"/>
        </w:rPr>
      </w:pPr>
      <w:r>
        <w:rPr>
          <w:rFonts w:ascii="Times New Roman" w:cs="Times New Roman" w:eastAsia="Times New Roman" w:hAnsi="Times New Roman"/>
          <w:sz w:val="16"/>
          <w:szCs w:val="16"/>
          <w:color w:val="auto"/>
        </w:rPr>
        <w:t>“(b) by Buyer or Res-Care, if Closing has not occurred on or before March 31, 2026 (the “</w:t>
      </w:r>
      <w:r>
        <w:rPr>
          <w:rFonts w:ascii="Times New Roman" w:cs="Times New Roman" w:eastAsia="Times New Roman" w:hAnsi="Times New Roman"/>
          <w:sz w:val="16"/>
          <w:szCs w:val="16"/>
          <w:u w:val="single" w:color="auto"/>
          <w:color w:val="auto"/>
        </w:rPr>
        <w:t>Final Date</w:t>
      </w:r>
      <w:r>
        <w:rPr>
          <w:rFonts w:ascii="Times New Roman" w:cs="Times New Roman" w:eastAsia="Times New Roman" w:hAnsi="Times New Roman"/>
          <w:sz w:val="16"/>
          <w:szCs w:val="16"/>
          <w:color w:val="auto"/>
        </w:rPr>
        <w:t>”);”</w:t>
      </w:r>
    </w:p>
    <w:p>
      <w:pPr>
        <w:spacing w:after="0" w:line="149" w:lineRule="exact"/>
        <w:rPr>
          <w:sz w:val="20"/>
          <w:szCs w:val="20"/>
          <w:color w:val="auto"/>
        </w:rPr>
      </w:pPr>
    </w:p>
    <w:p>
      <w:pPr>
        <w:ind w:left="2700" w:hanging="516"/>
        <w:spacing w:after="0"/>
        <w:tabs>
          <w:tab w:leader="none" w:pos="27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Article V of the Purchase Agreement is hereby amended by adding a new Section</w:t>
      </w:r>
    </w:p>
    <w:p>
      <w:pPr>
        <w:spacing w:after="0" w:line="16" w:lineRule="exact"/>
        <w:rPr>
          <w:rFonts w:ascii="Times New Roman" w:cs="Times New Roman" w:eastAsia="Times New Roman" w:hAnsi="Times New Roman"/>
          <w:sz w:val="16"/>
          <w:szCs w:val="16"/>
          <w:color w:val="auto"/>
        </w:rPr>
      </w:pPr>
    </w:p>
    <w:p>
      <w:pPr>
        <w:ind w:left="2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5.30 (after the existing Section 5.29) that reads as follows:</w:t>
      </w:r>
    </w:p>
    <w:p>
      <w:pPr>
        <w:spacing w:after="0" w:line="152" w:lineRule="exact"/>
        <w:rPr>
          <w:sz w:val="20"/>
          <w:szCs w:val="20"/>
          <w:color w:val="auto"/>
        </w:rPr>
      </w:pPr>
    </w:p>
    <w:p>
      <w:pPr>
        <w:jc w:val="both"/>
        <w:ind w:left="2700" w:right="1159" w:firstLine="516"/>
        <w:spacing w:after="0" w:line="245" w:lineRule="auto"/>
        <w:rPr>
          <w:sz w:val="20"/>
          <w:szCs w:val="20"/>
          <w:color w:val="auto"/>
        </w:rPr>
      </w:pPr>
      <w:r>
        <w:rPr>
          <w:rFonts w:ascii="Times New Roman" w:cs="Times New Roman" w:eastAsia="Times New Roman" w:hAnsi="Times New Roman"/>
          <w:sz w:val="16"/>
          <w:szCs w:val="16"/>
          <w:color w:val="auto"/>
        </w:rPr>
        <w:t xml:space="preserve">“Section 5.30. </w:t>
      </w:r>
      <w:r>
        <w:rPr>
          <w:rFonts w:ascii="Times New Roman" w:cs="Times New Roman" w:eastAsia="Times New Roman" w:hAnsi="Times New Roman"/>
          <w:sz w:val="16"/>
          <w:szCs w:val="16"/>
          <w:u w:val="single" w:color="auto"/>
          <w:color w:val="auto"/>
        </w:rPr>
        <w:t>Further Negotiations</w:t>
      </w:r>
      <w:r>
        <w:rPr>
          <w:rFonts w:ascii="Times New Roman" w:cs="Times New Roman" w:eastAsia="Times New Roman" w:hAnsi="Times New Roman"/>
          <w:sz w:val="16"/>
          <w:szCs w:val="16"/>
          <w:color w:val="auto"/>
        </w:rPr>
        <w:t>. From and after December 5, 2025, the Parties agree to cooperate, in good faith and using commercially reasonable efforts, to negotiate on mutually acceptable terms for amendments to this Agreement to the extent necessary to allow and account for the Regulatory Arrangements.”</w:t>
      </w:r>
    </w:p>
    <w:p>
      <w:pPr>
        <w:spacing w:after="0" w:line="146" w:lineRule="exact"/>
        <w:rPr>
          <w:sz w:val="20"/>
          <w:szCs w:val="20"/>
          <w:color w:val="auto"/>
        </w:rPr>
      </w:pPr>
    </w:p>
    <w:p>
      <w:pPr>
        <w:jc w:val="both"/>
        <w:ind w:left="2180" w:right="1159" w:firstLine="4"/>
        <w:spacing w:after="0" w:line="252" w:lineRule="auto"/>
        <w:tabs>
          <w:tab w:leader="none" w:pos="2535"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1.1 of the Disclosure Schedule referred to in and delivered pursuant to the Purchase Agreement (the “</w:t>
      </w:r>
      <w:r>
        <w:rPr>
          <w:rFonts w:ascii="Times New Roman" w:cs="Times New Roman" w:eastAsia="Times New Roman" w:hAnsi="Times New Roman"/>
          <w:sz w:val="16"/>
          <w:szCs w:val="16"/>
          <w:u w:val="single" w:color="auto"/>
          <w:color w:val="auto"/>
        </w:rPr>
        <w:t>Schedules</w:t>
      </w:r>
      <w:r>
        <w:rPr>
          <w:rFonts w:ascii="Times New Roman" w:cs="Times New Roman" w:eastAsia="Times New Roman" w:hAnsi="Times New Roman"/>
          <w:sz w:val="16"/>
          <w:szCs w:val="16"/>
          <w:color w:val="auto"/>
        </w:rPr>
        <w:t xml:space="preserve">”) is hereby amended by adding the definition set forth in Section A of </w:t>
      </w:r>
      <w:r>
        <w:rPr>
          <w:rFonts w:ascii="Times New Roman" w:cs="Times New Roman" w:eastAsia="Times New Roman" w:hAnsi="Times New Roman"/>
          <w:sz w:val="16"/>
          <w:szCs w:val="16"/>
          <w:u w:val="single" w:color="auto"/>
          <w:color w:val="auto"/>
        </w:rPr>
        <w:t>Annex 1</w:t>
      </w:r>
      <w:r>
        <w:rPr>
          <w:rFonts w:ascii="Times New Roman" w:cs="Times New Roman" w:eastAsia="Times New Roman" w:hAnsi="Times New Roman"/>
          <w:sz w:val="16"/>
          <w:szCs w:val="16"/>
          <w:color w:val="auto"/>
        </w:rPr>
        <w:t xml:space="preserve"> attached hereto in applicable alphabetical order therein.</w:t>
      </w:r>
    </w:p>
    <w:p>
      <w:pPr>
        <w:spacing w:after="0" w:line="139" w:lineRule="exact"/>
        <w:rPr>
          <w:rFonts w:ascii="Times New Roman" w:cs="Times New Roman" w:eastAsia="Times New Roman" w:hAnsi="Times New Roman"/>
          <w:sz w:val="16"/>
          <w:szCs w:val="16"/>
          <w:color w:val="auto"/>
        </w:rPr>
      </w:pPr>
    </w:p>
    <w:p>
      <w:pPr>
        <w:ind w:left="2180" w:right="1159" w:firstLine="4"/>
        <w:spacing w:after="0" w:line="281" w:lineRule="auto"/>
        <w:tabs>
          <w:tab w:leader="none" w:pos="2695"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Section 7.1(h) of the Schedules is hereby amended by amending and restated item 6. on such schedule to read as set forth in Clause (B) to </w:t>
      </w:r>
      <w:r>
        <w:rPr>
          <w:rFonts w:ascii="Times New Roman" w:cs="Times New Roman" w:eastAsia="Times New Roman" w:hAnsi="Times New Roman"/>
          <w:sz w:val="16"/>
          <w:szCs w:val="16"/>
          <w:u w:val="single" w:color="auto"/>
          <w:color w:val="auto"/>
        </w:rPr>
        <w:t>Annex 1</w:t>
      </w:r>
      <w:r>
        <w:rPr>
          <w:rFonts w:ascii="Times New Roman" w:cs="Times New Roman" w:eastAsia="Times New Roman" w:hAnsi="Times New Roman"/>
          <w:sz w:val="16"/>
          <w:szCs w:val="16"/>
          <w:color w:val="auto"/>
        </w:rPr>
        <w:t xml:space="preserve"> attached hereto.</w:t>
      </w:r>
    </w:p>
    <w:p>
      <w:pPr>
        <w:spacing w:after="0" w:line="116" w:lineRule="exact"/>
        <w:rPr>
          <w:rFonts w:ascii="Times New Roman" w:cs="Times New Roman" w:eastAsia="Times New Roman" w:hAnsi="Times New Roman"/>
          <w:sz w:val="16"/>
          <w:szCs w:val="16"/>
          <w:color w:val="auto"/>
        </w:rPr>
      </w:pPr>
    </w:p>
    <w:p>
      <w:pPr>
        <w:jc w:val="both"/>
        <w:ind w:left="1160" w:right="1179" w:hanging="7"/>
        <w:spacing w:after="0" w:line="252" w:lineRule="auto"/>
        <w:tabs>
          <w:tab w:leader="none" w:pos="1497"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The terms of this Amendment, including the modifications to the Purchase Agreement described herein, are effective as of the date of this Amendment and will not be deemed to apply on a retroactive basis.</w:t>
      </w:r>
    </w:p>
    <w:p>
      <w:pPr>
        <w:spacing w:after="0" w:line="148" w:lineRule="exact"/>
        <w:rPr>
          <w:rFonts w:ascii="Times New Roman" w:cs="Times New Roman" w:eastAsia="Times New Roman" w:hAnsi="Times New Roman"/>
          <w:sz w:val="16"/>
          <w:szCs w:val="16"/>
          <w:color w:val="auto"/>
        </w:rPr>
      </w:pPr>
    </w:p>
    <w:p>
      <w:pPr>
        <w:ind w:left="1160" w:right="1159" w:hanging="7"/>
        <w:spacing w:after="0" w:line="269" w:lineRule="auto"/>
        <w:tabs>
          <w:tab w:leader="none" w:pos="1497"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 xml:space="preserve">. Article IX of the Purchase Agreement is hereby incorporated by reference, </w:t>
      </w:r>
      <w:r>
        <w:rPr>
          <w:rFonts w:ascii="Times New Roman" w:cs="Times New Roman" w:eastAsia="Times New Roman" w:hAnsi="Times New Roman"/>
          <w:sz w:val="16"/>
          <w:szCs w:val="16"/>
          <w:i w:val="1"/>
          <w:iCs w:val="1"/>
          <w:color w:val="auto"/>
        </w:rPr>
        <w:t>mutatis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mutandis</w:t>
      </w:r>
      <w:r>
        <w:rPr>
          <w:rFonts w:ascii="Times New Roman" w:cs="Times New Roman" w:eastAsia="Times New Roman" w:hAnsi="Times New Roman"/>
          <w:sz w:val="16"/>
          <w:szCs w:val="16"/>
          <w:color w:val="auto"/>
        </w:rPr>
        <w:t>.</w:t>
      </w:r>
    </w:p>
    <w:p>
      <w:pPr>
        <w:spacing w:after="0" w:line="137" w:lineRule="exact"/>
        <w:rPr>
          <w:rFonts w:ascii="Times New Roman" w:cs="Times New Roman" w:eastAsia="Times New Roman" w:hAnsi="Times New Roman"/>
          <w:sz w:val="16"/>
          <w:szCs w:val="16"/>
          <w:color w:val="auto"/>
        </w:rPr>
      </w:pPr>
    </w:p>
    <w:p>
      <w:pPr>
        <w:jc w:val="both"/>
        <w:ind w:left="1160" w:right="1179" w:hanging="7"/>
        <w:spacing w:after="0" w:line="277" w:lineRule="auto"/>
        <w:tabs>
          <w:tab w:leader="none" w:pos="1497"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Further Amendment</w:t>
      </w:r>
      <w:r>
        <w:rPr>
          <w:rFonts w:ascii="Times New Roman" w:cs="Times New Roman" w:eastAsia="Times New Roman" w:hAnsi="Times New Roman"/>
          <w:sz w:val="15"/>
          <w:szCs w:val="15"/>
          <w:color w:val="auto"/>
        </w:rPr>
        <w:t>. Except as expressly provided herein, this Amendment shall not, by implication or otherwise, alter, modify, amend or in any way affect any of the obligations, covenants or rights contained in the Purchase Agreement, all of which remain unchanged and continue in full force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751840</wp:posOffset>
            </wp:positionV>
            <wp:extent cx="5603875" cy="387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6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28" w:right="1440" w:bottom="1440" w:gutter="0" w:footer="0" w:header="0"/>
        </w:sectPr>
      </w:pPr>
    </w:p>
    <w:bookmarkStart w:id="138" w:name="page139"/>
    <w:bookmarkEnd w:id="138"/>
    <w:p>
      <w:pPr>
        <w:jc w:val="both"/>
        <w:ind w:left="1160" w:right="1159"/>
        <w:spacing w:after="0" w:line="247" w:lineRule="auto"/>
        <w:rPr>
          <w:sz w:val="20"/>
          <w:szCs w:val="20"/>
          <w:color w:val="auto"/>
        </w:rPr>
      </w:pPr>
      <w:r>
        <w:rPr>
          <w:rFonts w:ascii="Times New Roman" w:cs="Times New Roman" w:eastAsia="Times New Roman" w:hAnsi="Times New Roman"/>
          <w:sz w:val="16"/>
          <w:szCs w:val="16"/>
          <w:color w:val="auto"/>
        </w:rPr>
        <w:t>effect. After the date hereof, any reference to the Purchase Agreement (including within the Purchase Agreement) shall mean the Purchase Agreement as amended hereby and any reference to the Disclosure Schedule (or the Schedules) (including within the Schedules) shall mean the Schedules as amended hereby.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182245</wp:posOffset>
            </wp:positionV>
            <wp:extent cx="5603875" cy="3873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6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76" w:right="1440" w:bottom="1440" w:gutter="0" w:footer="0" w:header="0"/>
        </w:sectPr>
      </w:pPr>
    </w:p>
    <w:bookmarkStart w:id="139" w:name="page140"/>
    <w:bookmarkEnd w:id="139"/>
    <w:p>
      <w:pPr>
        <w:ind w:left="1160" w:right="1179" w:firstLine="515"/>
        <w:spacing w:after="0" w:line="267" w:lineRule="auto"/>
        <w:rPr>
          <w:sz w:val="20"/>
          <w:szCs w:val="20"/>
          <w:color w:val="auto"/>
        </w:rPr>
      </w:pPr>
      <w:r>
        <w:rPr>
          <w:rFonts w:ascii="Times New Roman" w:cs="Times New Roman" w:eastAsia="Times New Roman" w:hAnsi="Times New Roman"/>
          <w:sz w:val="16"/>
          <w:szCs w:val="16"/>
          <w:color w:val="auto"/>
        </w:rPr>
        <w:t>IN WITNESS WHEREOF, each of the Parties hereto has duly executed this Agreement or caused this Agreement to be duly executed on its behalf as of the day and year first above written.</w:t>
      </w:r>
    </w:p>
    <w:p>
      <w:pPr>
        <w:spacing w:after="0" w:line="21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BUYER</w:t>
      </w:r>
      <w:r>
        <w:rPr>
          <w:rFonts w:ascii="Times New Roman" w:cs="Times New Roman" w:eastAsia="Times New Roman" w:hAnsi="Times New Roman"/>
          <w:sz w:val="16"/>
          <w:szCs w:val="16"/>
          <w:color w:val="auto"/>
        </w:rPr>
        <w:t>:</w:t>
      </w:r>
    </w:p>
    <w:p>
      <w:pPr>
        <w:spacing w:after="0" w:line="18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NATIONAL MENTOR HOLDINGS, INC.</w:t>
      </w:r>
    </w:p>
    <w:p>
      <w:pPr>
        <w:spacing w:after="0" w:line="200" w:lineRule="exact"/>
        <w:rPr>
          <w:sz w:val="20"/>
          <w:szCs w:val="20"/>
          <w:color w:val="auto"/>
        </w:rPr>
      </w:pPr>
    </w:p>
    <w:p>
      <w:pPr>
        <w:spacing w:after="0" w:line="34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By: /s/ Philip Kaufman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2866390</wp:posOffset>
            </wp:positionH>
            <wp:positionV relativeFrom="paragraph">
              <wp:posOffset>-8890</wp:posOffset>
            </wp:positionV>
            <wp:extent cx="1029970" cy="698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66">
                      <a:extLst>
                        <a:ext uri="{28A0092B-C50C-407E-A947-70E740481C1C}"/>
                      </a:extLst>
                    </a:blip>
                    <a:srcRect/>
                    <a:stretch>
                      <a:fillRect/>
                    </a:stretch>
                  </pic:blipFill>
                  <pic:spPr bwMode="auto">
                    <a:xfrm>
                      <a:off x="0" y="0"/>
                      <a:ext cx="1029970" cy="698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16"/>
          <w:szCs w:val="16"/>
          <w:color w:val="auto"/>
        </w:rPr>
        <w:t xml:space="preserve">Name: </w:t>
      </w:r>
      <w:r>
        <w:rPr>
          <w:rFonts w:ascii="Times New Roman" w:cs="Times New Roman" w:eastAsia="Times New Roman" w:hAnsi="Times New Roman"/>
          <w:sz w:val="16"/>
          <w:szCs w:val="16"/>
          <w:u w:val="single" w:color="auto"/>
          <w:color w:val="auto"/>
        </w:rPr>
        <w:t>Philip Kaufman</w:t>
      </w:r>
    </w:p>
    <w:p>
      <w:pPr>
        <w:ind w:left="4240"/>
        <w:spacing w:after="0"/>
        <w:rPr>
          <w:sz w:val="20"/>
          <w:szCs w:val="20"/>
          <w:color w:val="auto"/>
        </w:rPr>
      </w:pPr>
      <w:r>
        <w:rPr>
          <w:rFonts w:ascii="Times New Roman" w:cs="Times New Roman" w:eastAsia="Times New Roman" w:hAnsi="Times New Roman"/>
          <w:sz w:val="16"/>
          <w:szCs w:val="16"/>
          <w:color w:val="auto"/>
        </w:rPr>
        <w:t>Title: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-20320</wp:posOffset>
            </wp:positionV>
            <wp:extent cx="982980" cy="698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7">
                      <a:extLst>
                        <a:ext uri="{28A0092B-C50C-407E-A947-70E740481C1C}"/>
                      </a:extLst>
                    </a:blip>
                    <a:srcRect/>
                    <a:stretch>
                      <a:fillRect/>
                    </a:stretch>
                  </pic:blipFill>
                  <pic:spPr bwMode="auto">
                    <a:xfrm>
                      <a:off x="0" y="0"/>
                      <a:ext cx="9829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to Amendment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182245</wp:posOffset>
            </wp:positionV>
            <wp:extent cx="5603875" cy="387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1" w:right="1440" w:bottom="1440" w:gutter="0" w:footer="0" w:header="0"/>
        </w:sectPr>
      </w:pPr>
    </w:p>
    <w:bookmarkStart w:id="140" w:name="page141"/>
    <w:bookmarkEnd w:id="140"/>
    <w:p>
      <w:pPr>
        <w:ind w:left="1240"/>
        <w:spacing w:after="0"/>
        <w:rPr>
          <w:sz w:val="20"/>
          <w:szCs w:val="20"/>
          <w:color w:val="auto"/>
        </w:rPr>
      </w:pPr>
      <w:r>
        <w:rPr>
          <w:rFonts w:ascii="Times New Roman" w:cs="Times New Roman" w:eastAsia="Times New Roman" w:hAnsi="Times New Roman"/>
          <w:sz w:val="16"/>
          <w:szCs w:val="16"/>
          <w:b w:val="1"/>
          <w:bCs w:val="1"/>
          <w:color w:val="auto"/>
        </w:rPr>
        <w:t>SELLER GUARANTOR:</w:t>
      </w:r>
    </w:p>
    <w:p>
      <w:pPr>
        <w:spacing w:after="0" w:line="18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5"/>
          <w:szCs w:val="15"/>
          <w:color w:val="auto"/>
        </w:rPr>
        <w:t xml:space="preserve">BrightSpring Health Services, Inc., solely for purposes of </w:t>
      </w:r>
      <w:r>
        <w:rPr>
          <w:rFonts w:ascii="Times New Roman" w:cs="Times New Roman" w:eastAsia="Times New Roman" w:hAnsi="Times New Roman"/>
          <w:sz w:val="15"/>
          <w:szCs w:val="15"/>
          <w:u w:val="single" w:color="auto"/>
          <w:color w:val="auto"/>
        </w:rPr>
        <w:t>Section 5.24</w:t>
      </w:r>
      <w:r>
        <w:rPr>
          <w:rFonts w:ascii="Times New Roman" w:cs="Times New Roman" w:eastAsia="Times New Roman" w:hAnsi="Times New Roman"/>
          <w:sz w:val="15"/>
          <w:szCs w:val="15"/>
          <w:color w:val="auto"/>
        </w:rPr>
        <w:t>:</w:t>
      </w:r>
    </w:p>
    <w:p>
      <w:pPr>
        <w:spacing w:after="0" w:line="37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Jennifer A. Phipps</w:t>
      </w:r>
    </w:p>
    <w:p>
      <w:pPr>
        <w:spacing w:after="0" w:line="1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Name: Jennifer A. Phipps</w:t>
      </w:r>
    </w:p>
    <w:p>
      <w:pPr>
        <w:ind w:left="1240"/>
        <w:spacing w:after="0"/>
        <w:rPr>
          <w:sz w:val="20"/>
          <w:szCs w:val="20"/>
          <w:color w:val="auto"/>
        </w:rPr>
      </w:pPr>
      <w:r>
        <w:rPr>
          <w:rFonts w:ascii="Times New Roman" w:cs="Times New Roman" w:eastAsia="Times New Roman" w:hAnsi="Times New Roman"/>
          <w:sz w:val="16"/>
          <w:szCs w:val="16"/>
          <w:color w:val="auto"/>
        </w:rPr>
        <w:t>Title: Authorized Representative</w:t>
      </w:r>
    </w:p>
    <w:p>
      <w:pPr>
        <w:spacing w:after="0" w:line="34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b w:val="1"/>
          <w:bCs w:val="1"/>
          <w:color w:val="auto"/>
        </w:rPr>
        <w:t>SELLERS (OTHER THAN RES-CARE)</w:t>
      </w:r>
      <w:r>
        <w:rPr>
          <w:rFonts w:ascii="Times New Roman" w:cs="Times New Roman" w:eastAsia="Times New Roman" w:hAnsi="Times New Roman"/>
          <w:sz w:val="16"/>
          <w:szCs w:val="16"/>
          <w:color w:val="auto"/>
        </w:rPr>
        <w:t>:</w:t>
      </w:r>
    </w:p>
    <w:p>
      <w:pPr>
        <w:spacing w:after="0" w:line="18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CNC/Access, Inc.</w:t>
      </w:r>
    </w:p>
    <w:p>
      <w:pPr>
        <w:spacing w:after="0" w:line="1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By: /s/ Jennifer A. Phipps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925830</wp:posOffset>
            </wp:positionH>
            <wp:positionV relativeFrom="paragraph">
              <wp:posOffset>-8890</wp:posOffset>
            </wp:positionV>
            <wp:extent cx="885825" cy="698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9">
                      <a:extLst>
                        <a:ext uri="{28A0092B-C50C-407E-A947-70E740481C1C}"/>
                      </a:extLst>
                    </a:blip>
                    <a:srcRect/>
                    <a:stretch>
                      <a:fillRect/>
                    </a:stretch>
                  </pic:blipFill>
                  <pic:spPr bwMode="auto">
                    <a:xfrm>
                      <a:off x="0" y="0"/>
                      <a:ext cx="885825" cy="6985"/>
                    </a:xfrm>
                    <a:prstGeom prst="rect">
                      <a:avLst/>
                    </a:prstGeom>
                    <a:noFill/>
                  </pic:spPr>
                </pic:pic>
              </a:graphicData>
            </a:graphic>
          </wp:anchor>
        </w:drawing>
      </w:r>
    </w:p>
    <w:p>
      <w:pPr>
        <w:ind w:left="1240"/>
        <w:spacing w:after="0"/>
        <w:rPr>
          <w:sz w:val="20"/>
          <w:szCs w:val="20"/>
          <w:color w:val="auto"/>
        </w:rPr>
      </w:pPr>
      <w:r>
        <w:rPr>
          <w:rFonts w:ascii="Times New Roman" w:cs="Times New Roman" w:eastAsia="Times New Roman" w:hAnsi="Times New Roman"/>
          <w:sz w:val="16"/>
          <w:szCs w:val="16"/>
          <w:color w:val="auto"/>
        </w:rPr>
        <w:t>Name: Jennifer A. Phipps</w:t>
      </w:r>
    </w:p>
    <w:p>
      <w:pPr>
        <w:ind w:left="1240"/>
        <w:spacing w:after="0"/>
        <w:rPr>
          <w:sz w:val="20"/>
          <w:szCs w:val="20"/>
          <w:color w:val="auto"/>
        </w:rPr>
      </w:pPr>
      <w:r>
        <w:rPr>
          <w:rFonts w:ascii="Times New Roman" w:cs="Times New Roman" w:eastAsia="Times New Roman" w:hAnsi="Times New Roman"/>
          <w:sz w:val="16"/>
          <w:szCs w:val="16"/>
          <w:color w:val="auto"/>
        </w:rPr>
        <w:t>Title: Authorized Representative</w:t>
      </w:r>
    </w:p>
    <w:p>
      <w:pPr>
        <w:spacing w:after="0" w:line="16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Community Alternatives Illinois, Inc.</w:t>
      </w:r>
    </w:p>
    <w:p>
      <w:pPr>
        <w:spacing w:after="0" w:line="1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Jennifer A. Phipps</w:t>
      </w:r>
    </w:p>
    <w:p>
      <w:pPr>
        <w:spacing w:after="0" w:line="1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Name: Jennifer A. Phipps</w:t>
      </w:r>
    </w:p>
    <w:p>
      <w:pPr>
        <w:ind w:left="1240"/>
        <w:spacing w:after="0"/>
        <w:rPr>
          <w:sz w:val="20"/>
          <w:szCs w:val="20"/>
          <w:color w:val="auto"/>
        </w:rPr>
      </w:pPr>
      <w:r>
        <w:rPr>
          <w:rFonts w:ascii="Times New Roman" w:cs="Times New Roman" w:eastAsia="Times New Roman" w:hAnsi="Times New Roman"/>
          <w:sz w:val="16"/>
          <w:szCs w:val="16"/>
          <w:color w:val="auto"/>
        </w:rPr>
        <w:t>Title: Authorized Representative</w:t>
      </w:r>
    </w:p>
    <w:p>
      <w:pPr>
        <w:spacing w:after="0" w:line="3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Res-Care Florida, Inc.</w:t>
      </w:r>
    </w:p>
    <w:p>
      <w:pPr>
        <w:spacing w:after="0" w:line="1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Jennifer A. Phipps</w:t>
      </w:r>
    </w:p>
    <w:p>
      <w:pPr>
        <w:spacing w:after="0" w:line="1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Name: Jennifer A. Phipps</w:t>
      </w:r>
    </w:p>
    <w:p>
      <w:pPr>
        <w:ind w:left="1240"/>
        <w:spacing w:after="0"/>
        <w:rPr>
          <w:sz w:val="20"/>
          <w:szCs w:val="20"/>
          <w:color w:val="auto"/>
        </w:rPr>
      </w:pPr>
      <w:r>
        <w:rPr>
          <w:rFonts w:ascii="Times New Roman" w:cs="Times New Roman" w:eastAsia="Times New Roman" w:hAnsi="Times New Roman"/>
          <w:sz w:val="16"/>
          <w:szCs w:val="16"/>
          <w:color w:val="auto"/>
        </w:rPr>
        <w:t>Title: Authorized Representative</w:t>
      </w:r>
    </w:p>
    <w:p>
      <w:pPr>
        <w:spacing w:after="0" w:line="3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Res-Care Kansas, Inc.</w:t>
      </w:r>
    </w:p>
    <w:p>
      <w:pPr>
        <w:spacing w:after="0" w:line="1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Jennifer A. Phipps</w:t>
      </w:r>
    </w:p>
    <w:p>
      <w:pPr>
        <w:spacing w:after="0" w:line="1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Name: Jennifer A. Phipps</w:t>
      </w:r>
    </w:p>
    <w:p>
      <w:pPr>
        <w:ind w:left="1240"/>
        <w:spacing w:after="0"/>
        <w:rPr>
          <w:sz w:val="20"/>
          <w:szCs w:val="20"/>
          <w:color w:val="auto"/>
        </w:rPr>
      </w:pPr>
      <w:r>
        <w:rPr>
          <w:rFonts w:ascii="Times New Roman" w:cs="Times New Roman" w:eastAsia="Times New Roman" w:hAnsi="Times New Roman"/>
          <w:sz w:val="16"/>
          <w:szCs w:val="16"/>
          <w:color w:val="auto"/>
        </w:rPr>
        <w:t>Title: Authorized Representative</w:t>
      </w:r>
    </w:p>
    <w:p>
      <w:pPr>
        <w:spacing w:after="0" w:line="3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Res-Care Oklahoma, Inc.</w:t>
      </w:r>
    </w:p>
    <w:p>
      <w:pPr>
        <w:spacing w:after="0" w:line="1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Jennifer A. Phipps</w:t>
      </w:r>
    </w:p>
    <w:p>
      <w:pPr>
        <w:spacing w:after="0" w:line="1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Name: Jennifer A. Phipps</w:t>
      </w:r>
    </w:p>
    <w:p>
      <w:pPr>
        <w:ind w:left="1240"/>
        <w:spacing w:after="0"/>
        <w:rPr>
          <w:sz w:val="20"/>
          <w:szCs w:val="20"/>
          <w:color w:val="auto"/>
        </w:rPr>
      </w:pPr>
      <w:r>
        <w:rPr>
          <w:rFonts w:ascii="Times New Roman" w:cs="Times New Roman" w:eastAsia="Times New Roman" w:hAnsi="Times New Roman"/>
          <w:sz w:val="16"/>
          <w:szCs w:val="16"/>
          <w:color w:val="auto"/>
        </w:rPr>
        <w:t>Title: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471170</wp:posOffset>
            </wp:positionV>
            <wp:extent cx="5603875" cy="387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7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141" w:name="page142"/>
    <w:bookmarkEnd w:id="141"/>
    <w:p>
      <w:pPr>
        <w:ind w:left="1240"/>
        <w:spacing w:after="0"/>
        <w:rPr>
          <w:sz w:val="20"/>
          <w:szCs w:val="20"/>
          <w:color w:val="auto"/>
        </w:rPr>
      </w:pPr>
      <w:r>
        <w:rPr>
          <w:rFonts w:ascii="Times New Roman" w:cs="Times New Roman" w:eastAsia="Times New Roman" w:hAnsi="Times New Roman"/>
          <w:sz w:val="16"/>
          <w:szCs w:val="16"/>
          <w:b w:val="1"/>
          <w:bCs w:val="1"/>
          <w:color w:val="auto"/>
        </w:rPr>
        <w:t>RES-CARE</w:t>
      </w:r>
      <w:r>
        <w:rPr>
          <w:rFonts w:ascii="Times New Roman" w:cs="Times New Roman" w:eastAsia="Times New Roman" w:hAnsi="Times New Roman"/>
          <w:sz w:val="16"/>
          <w:szCs w:val="16"/>
          <w:color w:val="auto"/>
        </w:rPr>
        <w:t>:</w:t>
      </w:r>
    </w:p>
    <w:p>
      <w:pPr>
        <w:spacing w:after="0" w:line="36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Res-Care, Inc.</w:t>
      </w:r>
    </w:p>
    <w:p>
      <w:pPr>
        <w:spacing w:after="0" w:line="25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Jennifer A. Phipps</w:t>
      </w:r>
    </w:p>
    <w:p>
      <w:pPr>
        <w:spacing w:after="0" w:line="1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Name: Jennifer A. Phipps</w:t>
      </w:r>
    </w:p>
    <w:p>
      <w:pPr>
        <w:ind w:left="1240"/>
        <w:spacing w:after="0"/>
        <w:rPr>
          <w:sz w:val="20"/>
          <w:szCs w:val="20"/>
          <w:color w:val="auto"/>
        </w:rPr>
      </w:pPr>
      <w:r>
        <w:rPr>
          <w:rFonts w:ascii="Times New Roman" w:cs="Times New Roman" w:eastAsia="Times New Roman" w:hAnsi="Times New Roman"/>
          <w:sz w:val="16"/>
          <w:szCs w:val="16"/>
          <w:color w:val="auto"/>
        </w:rPr>
        <w:t>Title: Authorized Representative</w:t>
      </w:r>
    </w:p>
    <w:p>
      <w:pPr>
        <w:spacing w:after="0" w:line="3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Res-Care Premier, Inc.</w:t>
      </w:r>
    </w:p>
    <w:p>
      <w:pPr>
        <w:spacing w:after="0" w:line="25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Jennifer A. Phipps</w:t>
      </w:r>
    </w:p>
    <w:p>
      <w:pPr>
        <w:spacing w:after="0" w:line="1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Name: Jennifer A. Phipps</w:t>
      </w:r>
    </w:p>
    <w:p>
      <w:pPr>
        <w:ind w:left="1240"/>
        <w:spacing w:after="0"/>
        <w:rPr>
          <w:sz w:val="20"/>
          <w:szCs w:val="20"/>
          <w:color w:val="auto"/>
        </w:rPr>
      </w:pPr>
      <w:r>
        <w:rPr>
          <w:rFonts w:ascii="Times New Roman" w:cs="Times New Roman" w:eastAsia="Times New Roman" w:hAnsi="Times New Roman"/>
          <w:sz w:val="16"/>
          <w:szCs w:val="16"/>
          <w:color w:val="auto"/>
        </w:rPr>
        <w:t>Title: Authorized Representative</w:t>
      </w:r>
    </w:p>
    <w:p>
      <w:pPr>
        <w:spacing w:after="0" w:line="3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ResCare Residential Services, Inc.</w:t>
      </w:r>
    </w:p>
    <w:p>
      <w:pPr>
        <w:spacing w:after="0" w:line="25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Jennifer A. Phipps</w:t>
      </w:r>
    </w:p>
    <w:p>
      <w:pPr>
        <w:spacing w:after="0" w:line="1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Name: Jennifer A. Phipps</w:t>
      </w:r>
    </w:p>
    <w:p>
      <w:pPr>
        <w:ind w:left="1240"/>
        <w:spacing w:after="0"/>
        <w:rPr>
          <w:sz w:val="20"/>
          <w:szCs w:val="20"/>
          <w:color w:val="auto"/>
        </w:rPr>
      </w:pPr>
      <w:r>
        <w:rPr>
          <w:rFonts w:ascii="Times New Roman" w:cs="Times New Roman" w:eastAsia="Times New Roman" w:hAnsi="Times New Roman"/>
          <w:sz w:val="16"/>
          <w:szCs w:val="16"/>
          <w:color w:val="auto"/>
        </w:rPr>
        <w:t>Title: Authorized Representative</w:t>
      </w:r>
    </w:p>
    <w:p>
      <w:pPr>
        <w:spacing w:after="0" w:line="16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Res-Care Washington, Inc.</w:t>
      </w:r>
    </w:p>
    <w:p>
      <w:pPr>
        <w:spacing w:after="0" w:line="25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Jennifer A. Phipps</w:t>
      </w:r>
    </w:p>
    <w:p>
      <w:pPr>
        <w:spacing w:after="0" w:line="1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Name: Jennifer A. Phipps</w:t>
      </w:r>
    </w:p>
    <w:p>
      <w:pPr>
        <w:ind w:left="1240"/>
        <w:spacing w:after="0"/>
        <w:rPr>
          <w:sz w:val="20"/>
          <w:szCs w:val="20"/>
          <w:color w:val="auto"/>
        </w:rPr>
      </w:pPr>
      <w:r>
        <w:rPr>
          <w:rFonts w:ascii="Times New Roman" w:cs="Times New Roman" w:eastAsia="Times New Roman" w:hAnsi="Times New Roman"/>
          <w:sz w:val="16"/>
          <w:szCs w:val="16"/>
          <w:color w:val="auto"/>
        </w:rPr>
        <w:t>Title: Authorized Representative</w:t>
      </w:r>
    </w:p>
    <w:p>
      <w:pPr>
        <w:spacing w:after="0" w:line="3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ResCare Residential Services Central, LLC</w:t>
      </w:r>
    </w:p>
    <w:p>
      <w:pPr>
        <w:spacing w:after="0" w:line="25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Jennifer A. Phipps</w:t>
      </w:r>
    </w:p>
    <w:p>
      <w:pPr>
        <w:spacing w:after="0" w:line="1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Name: Jennifer A. Phipps</w:t>
      </w:r>
    </w:p>
    <w:p>
      <w:pPr>
        <w:ind w:left="1240"/>
        <w:spacing w:after="0"/>
        <w:rPr>
          <w:sz w:val="20"/>
          <w:szCs w:val="20"/>
          <w:color w:val="auto"/>
        </w:rPr>
      </w:pPr>
      <w:r>
        <w:rPr>
          <w:rFonts w:ascii="Times New Roman" w:cs="Times New Roman" w:eastAsia="Times New Roman" w:hAnsi="Times New Roman"/>
          <w:sz w:val="16"/>
          <w:szCs w:val="16"/>
          <w:color w:val="auto"/>
        </w:rPr>
        <w:t>Title: Authorized Representative</w:t>
      </w:r>
    </w:p>
    <w:p>
      <w:pPr>
        <w:spacing w:after="0" w:line="16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SpringHealth Integrated Care, Inc.</w:t>
      </w:r>
    </w:p>
    <w:p>
      <w:pPr>
        <w:spacing w:after="0" w:line="25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Jennifer A. Phipps</w:t>
      </w:r>
    </w:p>
    <w:p>
      <w:pPr>
        <w:spacing w:after="0" w:line="1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Name: Jennifer A. Phipps</w:t>
      </w:r>
    </w:p>
    <w:p>
      <w:pPr>
        <w:ind w:left="1240"/>
        <w:spacing w:after="0"/>
        <w:rPr>
          <w:sz w:val="20"/>
          <w:szCs w:val="20"/>
          <w:color w:val="auto"/>
        </w:rPr>
      </w:pPr>
      <w:r>
        <w:rPr>
          <w:rFonts w:ascii="Times New Roman" w:cs="Times New Roman" w:eastAsia="Times New Roman" w:hAnsi="Times New Roman"/>
          <w:sz w:val="16"/>
          <w:szCs w:val="16"/>
          <w:color w:val="auto"/>
        </w:rPr>
        <w:t>Title: Authorized Representative</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 to Amendment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188595</wp:posOffset>
            </wp:positionV>
            <wp:extent cx="5603875" cy="387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7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6"/>
          <w:szCs w:val="16"/>
          <w:b w:val="1"/>
          <w:bCs w:val="1"/>
          <w:color w:val="auto"/>
        </w:rPr>
        <w:t>ANNEX 1</w:t>
      </w:r>
    </w:p>
    <w:p>
      <w:pPr>
        <w:spacing w:after="0" w:line="183" w:lineRule="exact"/>
        <w:rPr>
          <w:sz w:val="20"/>
          <w:szCs w:val="20"/>
          <w:color w:val="auto"/>
        </w:rPr>
      </w:pPr>
    </w:p>
    <w:p>
      <w:pPr>
        <w:jc w:val="both"/>
        <w:ind w:left="1660" w:right="1159" w:hanging="249"/>
        <w:spacing w:after="0" w:line="247" w:lineRule="auto"/>
        <w:tabs>
          <w:tab w:leader="none" w:pos="16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Regulatory Arrangements</w:t>
      </w:r>
      <w:r>
        <w:rPr>
          <w:rFonts w:ascii="Times New Roman" w:cs="Times New Roman" w:eastAsia="Times New Roman" w:hAnsi="Times New Roman"/>
          <w:sz w:val="16"/>
          <w:szCs w:val="16"/>
          <w:color w:val="auto"/>
        </w:rPr>
        <w:t>” means the separation of the California components of the Transactions as needed to meet the requirements of the California Office of Health Care Affordability so that the Transactions may proceed to Closing in compliance with such requirements.</w:t>
      </w:r>
    </w:p>
    <w:p>
      <w:pPr>
        <w:spacing w:after="0" w:line="133" w:lineRule="exact"/>
        <w:rPr>
          <w:rFonts w:ascii="Times New Roman" w:cs="Times New Roman" w:eastAsia="Times New Roman" w:hAnsi="Times New Roman"/>
          <w:sz w:val="16"/>
          <w:szCs w:val="16"/>
          <w:color w:val="auto"/>
        </w:rPr>
      </w:pPr>
    </w:p>
    <w:p>
      <w:pPr>
        <w:jc w:val="both"/>
        <w:ind w:left="1660" w:right="1159" w:hanging="249"/>
        <w:spacing w:after="0" w:line="243" w:lineRule="auto"/>
        <w:tabs>
          <w:tab w:leader="none" w:pos="16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 California ((i) the expiration of the relevant waiting period for the Cost and Market Impact Review being undertaken by the California Office of Health Care Affordability or (ii) the California Office of Health Care Affordability allowing the separation of the California components of the Transactions through entering into an asset preservation and hold separate arrangement so that the Transactions may proceed to Closing before the expiration of the relevant waiting periods for such Cost and Market Impact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168910</wp:posOffset>
            </wp:positionV>
            <wp:extent cx="5603875" cy="387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7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39" w:right="1440" w:bottom="1440" w:gutter="0" w:footer="0" w:header="0"/>
        </w:sectPr>
      </w:pPr>
    </w:p>
    <w:bookmarkStart w:id="143" w:name="page144"/>
    <w:bookmarkEnd w:id="143"/>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Exhibit 4.8</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REGISTERED PURSUANT TO SECTION 12 OF THE SECURITIES EXCHANGE ACT OF 1934</w:t>
      </w:r>
    </w:p>
    <w:p>
      <w:pPr>
        <w:spacing w:after="0" w:line="341" w:lineRule="exact"/>
        <w:rPr>
          <w:sz w:val="20"/>
          <w:szCs w:val="20"/>
          <w:color w:val="auto"/>
        </w:rPr>
      </w:pPr>
    </w:p>
    <w:p>
      <w:pPr>
        <w:ind w:left="1160" w:right="1379"/>
        <w:spacing w:after="0" w:line="268" w:lineRule="auto"/>
        <w:rPr>
          <w:sz w:val="20"/>
          <w:szCs w:val="20"/>
          <w:color w:val="auto"/>
        </w:rPr>
      </w:pPr>
      <w:r>
        <w:rPr>
          <w:rFonts w:ascii="Times New Roman" w:cs="Times New Roman" w:eastAsia="Times New Roman" w:hAnsi="Times New Roman"/>
          <w:sz w:val="14"/>
          <w:szCs w:val="14"/>
          <w:color w:val="auto"/>
        </w:rPr>
        <w:t>BrightSpring Health Services, Inc. (the “Company,” “BTSG,” “we,” or “our”) has two classes of securities registered under Section 12 of the Securities Exchange Act of 1934, as amended (the “Exchange Act”): (1) the Company’s common stock, par value $0.01 per share (“common stock”), and (2) the Company’s 6.75% Tangible Equity Units (the “Units”).</w:t>
      </w:r>
    </w:p>
    <w:p>
      <w:pPr>
        <w:spacing w:after="0" w:line="140" w:lineRule="exact"/>
        <w:rPr>
          <w:sz w:val="20"/>
          <w:szCs w:val="20"/>
          <w:color w:val="auto"/>
        </w:rPr>
      </w:pPr>
    </w:p>
    <w:p>
      <w:pPr>
        <w:ind w:left="1160" w:right="1159"/>
        <w:spacing w:after="0" w:line="260" w:lineRule="auto"/>
        <w:rPr>
          <w:sz w:val="20"/>
          <w:szCs w:val="20"/>
          <w:color w:val="auto"/>
        </w:rPr>
      </w:pPr>
      <w:r>
        <w:rPr>
          <w:rFonts w:ascii="Times New Roman" w:cs="Times New Roman" w:eastAsia="Times New Roman" w:hAnsi="Times New Roman"/>
          <w:sz w:val="14"/>
          <w:szCs w:val="14"/>
          <w:color w:val="auto"/>
        </w:rPr>
        <w:t>The following description of the terms of our common stock and Units is only a summary. This description is subject to, and qualified in its entirety by our Second Amended and Restated Certificate of Incorporation (the “Articles of Incorporation”), Amended and Restated Bylaws (the “Bylaws”), and applicable provisions of Delaware law, and in the case of the Units, the indenture dated as of January 30, 2024, between the Company and U.S. Bank Trust Company, National Association, as trustee, as supplemented by the First Supplemental Indenture dated as of January 30, 2024, between the Company and U.S. Bank Trust Company, National Association, as trustee, paying agent and security registrar (collectively, the “Indenture”), and the Purchase Contract Agreement, dated as of January 30, 2024, between the Company and U.S. Bank Trust Company, National Association, as purchase contract agent, as attorney-in-fact for the holders from time to time as provided therein and as trustee under the Indenture (the “Purchase Contract Agreement”). We encourage you to read our Articles of Incorporation, Bylaws, Indenture and Purchase Contract Agreement, each of which is incorporated by reference as an exhibit to our Annual Report on Form 10-K, of which this Exhibit 4.8 is a part, and the applicable provisions of Delaware law for additional information.</w:t>
      </w:r>
    </w:p>
    <w:p>
      <w:pPr>
        <w:spacing w:after="0" w:line="3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Under the Articles of Incorporation, the Company is authorized to issue 1,500,000,000 shares of common stock, par</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value $0.01 per share. The Company is also authorized to issue 250,000,000 shares of preferred stock, par value</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$0.01 per share (“preferred stock”), all of which shares of preferred stock are currently undesignated. Our board of</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directors may establish the rights and preferences of the preferred stock from time to time.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8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auto"/>
        </w:rPr>
        <w:t>Common Stock</w:t>
      </w:r>
    </w:p>
    <w:p>
      <w:pPr>
        <w:spacing w:after="0" w:line="18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185" w:lineRule="exact"/>
        <w:rPr>
          <w:sz w:val="20"/>
          <w:szCs w:val="20"/>
          <w:color w:val="auto"/>
        </w:rPr>
      </w:pPr>
    </w:p>
    <w:p>
      <w:pPr>
        <w:ind w:left="1160" w:right="1159"/>
        <w:spacing w:after="0" w:line="265" w:lineRule="auto"/>
        <w:rPr>
          <w:sz w:val="20"/>
          <w:szCs w:val="20"/>
          <w:color w:val="auto"/>
        </w:rPr>
      </w:pPr>
      <w:r>
        <w:rPr>
          <w:rFonts w:ascii="Times New Roman" w:cs="Times New Roman" w:eastAsia="Times New Roman" w:hAnsi="Times New Roman"/>
          <w:sz w:val="14"/>
          <w:szCs w:val="14"/>
          <w:color w:val="auto"/>
        </w:rPr>
        <w:t>Holders of shares of our common stock are entitled to one vote for each share held of record on all matters submitted to a vote of stockholders. The holders of our common stock vote to elect our directors by a plurality of the votes cast. On all other matters other than those specified in our Articles of Incorporation and Bylaws, where a 66 2/3% vote of the then outstanding shares of our common stock is required, the affirmative vote of a majority in voting power of shares present at a meeting of the holders of our common stock is required.</w:t>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Dividend Rights and Limitations</w:t>
      </w:r>
    </w:p>
    <w:p>
      <w:pPr>
        <w:spacing w:after="0" w:line="185" w:lineRule="exact"/>
        <w:rPr>
          <w:sz w:val="20"/>
          <w:szCs w:val="20"/>
          <w:color w:val="auto"/>
        </w:rPr>
      </w:pPr>
    </w:p>
    <w:p>
      <w:pPr>
        <w:ind w:left="1160" w:right="1199"/>
        <w:spacing w:after="0" w:line="268" w:lineRule="auto"/>
        <w:rPr>
          <w:sz w:val="20"/>
          <w:szCs w:val="20"/>
          <w:color w:val="auto"/>
        </w:rPr>
      </w:pPr>
      <w:r>
        <w:rPr>
          <w:rFonts w:ascii="Times New Roman" w:cs="Times New Roman" w:eastAsia="Times New Roman" w:hAnsi="Times New Roman"/>
          <w:sz w:val="14"/>
          <w:szCs w:val="14"/>
          <w:color w:val="auto"/>
        </w:rPr>
        <w:t>Holders of shares of our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Liquidation Rights</w:t>
      </w:r>
    </w:p>
    <w:p>
      <w:pPr>
        <w:spacing w:after="0" w:line="185" w:lineRule="exact"/>
        <w:rPr>
          <w:sz w:val="20"/>
          <w:szCs w:val="20"/>
          <w:color w:val="auto"/>
        </w:rPr>
      </w:pPr>
    </w:p>
    <w:p>
      <w:pPr>
        <w:ind w:left="1160" w:right="1239"/>
        <w:spacing w:after="0" w:line="274" w:lineRule="auto"/>
        <w:rPr>
          <w:sz w:val="20"/>
          <w:szCs w:val="20"/>
          <w:color w:val="auto"/>
        </w:rPr>
      </w:pPr>
      <w:r>
        <w:rPr>
          <w:rFonts w:ascii="Times New Roman" w:cs="Times New Roman" w:eastAsia="Times New Roman" w:hAnsi="Times New Roman"/>
          <w:sz w:val="14"/>
          <w:szCs w:val="14"/>
          <w:color w:val="auto"/>
        </w:rPr>
        <w:t>Upon our dissolution or liquidation or the sale of all or substantially all of our assets, after payment in full of all amounts required to be paid to creditors and to the holders of preferred stock having liquidation preferences, if any, the holders of shares of our common stock will be entitled to receive our remaining assets available for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683260</wp:posOffset>
            </wp:positionV>
            <wp:extent cx="5603875" cy="387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7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144" w:name="page145"/>
    <w:bookmarkEnd w:id="144"/>
    <w:p>
      <w:pPr>
        <w:ind w:left="1160" w:right="1479"/>
        <w:spacing w:after="0" w:line="292" w:lineRule="auto"/>
        <w:rPr>
          <w:sz w:val="20"/>
          <w:szCs w:val="20"/>
          <w:color w:val="auto"/>
        </w:rPr>
      </w:pPr>
      <w:r>
        <w:rPr>
          <w:rFonts w:ascii="Times New Roman" w:cs="Times New Roman" w:eastAsia="Times New Roman" w:hAnsi="Times New Roman"/>
          <w:sz w:val="14"/>
          <w:szCs w:val="14"/>
          <w:color w:val="auto"/>
        </w:rPr>
        <w:t>Holders of shares of our common stock do not have preemptive, subscription or conversion rights. There are no redemption or sinking fund provisions applicable to our common stock.</w:t>
      </w:r>
    </w:p>
    <w:p>
      <w:pPr>
        <w:spacing w:after="0" w:line="12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u w:val="single" w:color="auto"/>
          <w:color w:val="auto"/>
        </w:rPr>
        <w:t>Preferred Stock</w:t>
      </w:r>
    </w:p>
    <w:p>
      <w:pPr>
        <w:spacing w:after="0" w:line="185" w:lineRule="exact"/>
        <w:rPr>
          <w:sz w:val="20"/>
          <w:szCs w:val="20"/>
          <w:color w:val="auto"/>
        </w:rPr>
      </w:pPr>
    </w:p>
    <w:p>
      <w:pPr>
        <w:ind w:left="1160" w:right="1319"/>
        <w:spacing w:after="0" w:line="259" w:lineRule="auto"/>
        <w:rPr>
          <w:sz w:val="20"/>
          <w:szCs w:val="20"/>
          <w:color w:val="auto"/>
        </w:rPr>
      </w:pPr>
      <w:r>
        <w:rPr>
          <w:rFonts w:ascii="Times New Roman" w:cs="Times New Roman" w:eastAsia="Times New Roman" w:hAnsi="Times New Roman"/>
          <w:sz w:val="14"/>
          <w:szCs w:val="14"/>
          <w:color w:val="auto"/>
        </w:rPr>
        <w:t>We do not currently have any preferred stock outstanding. However, our Articles of Incorporation authorize our board of directors to establish one or more series of preferred stock (including convertible preferred stock). Unless required by law or by The Nasdaq Global Select Market LLC (“Nasdaq”), the authorized shares of preferred stock will be available for issuance without further action by our stockholders. Our board of directors has discretion to determine, with respect to any series of preferred stock, the terms and rights of that series, including, without limitation:</w:t>
      </w:r>
    </w:p>
    <w:p>
      <w:pPr>
        <w:spacing w:after="0" w:line="2" w:lineRule="exact"/>
        <w:rPr>
          <w:sz w:val="20"/>
          <w:szCs w:val="20"/>
          <w:color w:val="auto"/>
        </w:rPr>
      </w:pPr>
    </w:p>
    <w:p>
      <w:pPr>
        <w:ind w:left="1660" w:hanging="249"/>
        <w:spacing w:after="0"/>
        <w:tabs>
          <w:tab w:leader="none" w:pos="16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series;</w:t>
      </w:r>
    </w:p>
    <w:p>
      <w:pPr>
        <w:spacing w:after="0" w:line="10" w:lineRule="exact"/>
        <w:rPr>
          <w:rFonts w:ascii="Times New Roman" w:cs="Times New Roman" w:eastAsia="Times New Roman" w:hAnsi="Times New Roman"/>
          <w:sz w:val="14"/>
          <w:szCs w:val="14"/>
          <w:color w:val="auto"/>
        </w:rPr>
      </w:pPr>
    </w:p>
    <w:p>
      <w:pPr>
        <w:jc w:val="both"/>
        <w:ind w:left="1660" w:right="1299" w:hanging="249"/>
        <w:spacing w:after="0" w:line="256" w:lineRule="auto"/>
        <w:tabs>
          <w:tab w:leader="none" w:pos="16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of such series then outstanding);</w:t>
      </w:r>
    </w:p>
    <w:p>
      <w:pPr>
        <w:ind w:left="1660" w:right="1219" w:hanging="249"/>
        <w:spacing w:after="0" w:line="256" w:lineRule="auto"/>
        <w:tabs>
          <w:tab w:leader="none" w:pos="16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payable on shares of the series in the event of any dissolution, liquidation or winding up of the affairs of the Company; and</w:t>
      </w:r>
    </w:p>
    <w:p>
      <w:pPr>
        <w:ind w:left="1660" w:hanging="249"/>
        <w:spacing w:after="0"/>
        <w:tabs>
          <w:tab w:leader="none" w:pos="16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voting rights, if any, of the holders of the series.</w:t>
      </w:r>
    </w:p>
    <w:p>
      <w:pPr>
        <w:spacing w:after="0" w:line="11" w:lineRule="exact"/>
        <w:rPr>
          <w:sz w:val="20"/>
          <w:szCs w:val="20"/>
          <w:color w:val="auto"/>
        </w:rPr>
      </w:pPr>
    </w:p>
    <w:p>
      <w:pPr>
        <w:ind w:left="1160" w:right="1259"/>
        <w:spacing w:after="0" w:line="258" w:lineRule="auto"/>
        <w:rPr>
          <w:sz w:val="20"/>
          <w:szCs w:val="20"/>
          <w:color w:val="auto"/>
        </w:rPr>
      </w:pPr>
      <w:r>
        <w:rPr>
          <w:rFonts w:ascii="Times New Roman" w:cs="Times New Roman" w:eastAsia="Times New Roman" w:hAnsi="Times New Roman"/>
          <w:sz w:val="14"/>
          <w:szCs w:val="14"/>
          <w:color w:val="auto"/>
        </w:rPr>
        <w:t>We are able to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for their common stock over the market price of the common stock. In addition, the issuance of preferred stock may adversely affect the holders of our common stock by restricting the payment of dividends on the common stock, diluting the voting power of the common stock or subordinating the rights of the common stock to any payment upon a liquidation, dissolution or winding up of the Company or other event. The issuance of preferred stock could have the effect of delaying, deferring, impeding, or preventing a change of control, or other corporate action.</w:t>
      </w:r>
    </w:p>
    <w:p>
      <w:pPr>
        <w:spacing w:after="0" w:line="14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85" w:lineRule="exact"/>
        <w:rPr>
          <w:sz w:val="20"/>
          <w:szCs w:val="20"/>
          <w:color w:val="auto"/>
        </w:rPr>
      </w:pPr>
    </w:p>
    <w:p>
      <w:pPr>
        <w:ind w:left="1160" w:right="1179"/>
        <w:spacing w:after="0" w:line="261" w:lineRule="auto"/>
        <w:rPr>
          <w:sz w:val="20"/>
          <w:szCs w:val="20"/>
          <w:color w:val="auto"/>
        </w:rPr>
      </w:pPr>
      <w:r>
        <w:rPr>
          <w:rFonts w:ascii="Times New Roman" w:cs="Times New Roman" w:eastAsia="Times New Roman" w:hAnsi="Times New Roman"/>
          <w:sz w:val="14"/>
          <w:szCs w:val="14"/>
          <w:color w:val="auto"/>
        </w:rPr>
        <w:t>The Delaware General Corporation Law (the “DGCL”) permits a corporation to declare and pay dividends out of “surplus” or, if there is no “surplus,” out of its net profits for the year in which the dividend is declared and/or the preceding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having a par value. Net assets equal the fair value of the total assets minus total liabilities. The DGCL also provides that dividends may not be paid out of net profits if, after the payment of the dividend, the capital of the corporation is less than the capital represented by the outstanding stock of all classes having a preference upon the distribution of assets.</w:t>
      </w:r>
    </w:p>
    <w:p>
      <w:pPr>
        <w:spacing w:after="0" w:line="146" w:lineRule="exact"/>
        <w:rPr>
          <w:sz w:val="20"/>
          <w:szCs w:val="20"/>
          <w:color w:val="auto"/>
        </w:rPr>
      </w:pPr>
    </w:p>
    <w:p>
      <w:pPr>
        <w:ind w:left="1160" w:right="1239"/>
        <w:spacing w:after="0" w:line="265" w:lineRule="auto"/>
        <w:rPr>
          <w:sz w:val="20"/>
          <w:szCs w:val="20"/>
          <w:color w:val="auto"/>
        </w:rPr>
      </w:pPr>
      <w:r>
        <w:rPr>
          <w:rFonts w:ascii="Times New Roman" w:cs="Times New Roman" w:eastAsia="Times New Roman" w:hAnsi="Times New Roman"/>
          <w:sz w:val="14"/>
          <w:szCs w:val="14"/>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Anti-Takeover Effects of Our Articles of Incorporation and Bylaws and Certain Provisions of Delaware Law</w:t>
      </w:r>
    </w:p>
    <w:p>
      <w:pPr>
        <w:spacing w:after="0" w:line="185" w:lineRule="exact"/>
        <w:rPr>
          <w:sz w:val="20"/>
          <w:szCs w:val="20"/>
          <w:color w:val="auto"/>
        </w:rPr>
      </w:pPr>
    </w:p>
    <w:p>
      <w:pPr>
        <w:ind w:left="1160" w:right="1179"/>
        <w:spacing w:after="0" w:line="261" w:lineRule="auto"/>
        <w:rPr>
          <w:sz w:val="20"/>
          <w:szCs w:val="20"/>
          <w:color w:val="auto"/>
        </w:rPr>
      </w:pPr>
      <w:r>
        <w:rPr>
          <w:rFonts w:ascii="Times New Roman" w:cs="Times New Roman" w:eastAsia="Times New Roman" w:hAnsi="Times New Roman"/>
          <w:sz w:val="14"/>
          <w:szCs w:val="14"/>
          <w:color w:val="auto"/>
        </w:rPr>
        <w:t>Our Articles of Incorporation, Bylaws, and the DGCL,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798195</wp:posOffset>
            </wp:positionV>
            <wp:extent cx="5603875" cy="387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7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45" w:name="page146"/>
    <w:bookmarkEnd w:id="145"/>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Authorized but Unissued Capital Stock</w:t>
      </w:r>
    </w:p>
    <w:p>
      <w:pPr>
        <w:spacing w:after="0" w:line="187" w:lineRule="exact"/>
        <w:rPr>
          <w:sz w:val="20"/>
          <w:szCs w:val="20"/>
          <w:color w:val="auto"/>
        </w:rPr>
      </w:pPr>
    </w:p>
    <w:p>
      <w:pPr>
        <w:ind w:left="1160" w:right="1299"/>
        <w:spacing w:after="0" w:line="265" w:lineRule="auto"/>
        <w:rPr>
          <w:sz w:val="20"/>
          <w:szCs w:val="20"/>
          <w:color w:val="auto"/>
        </w:rPr>
      </w:pPr>
      <w:r>
        <w:rPr>
          <w:rFonts w:ascii="Times New Roman" w:cs="Times New Roman" w:eastAsia="Times New Roman" w:hAnsi="Times New Roman"/>
          <w:sz w:val="14"/>
          <w:szCs w:val="14"/>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then-outstanding voting power or then-outstanding number of shares of common stock. These additional shares may be used for a variety of corporate purposes, including future public offerings to raise additional capital or to facilitate acquisitions.</w:t>
      </w:r>
    </w:p>
    <w:p>
      <w:pPr>
        <w:spacing w:after="0" w:line="142" w:lineRule="exact"/>
        <w:rPr>
          <w:sz w:val="20"/>
          <w:szCs w:val="20"/>
          <w:color w:val="auto"/>
        </w:rPr>
      </w:pPr>
    </w:p>
    <w:p>
      <w:pPr>
        <w:ind w:left="1160" w:right="1199"/>
        <w:spacing w:after="0" w:line="265" w:lineRule="auto"/>
        <w:rPr>
          <w:sz w:val="20"/>
          <w:szCs w:val="20"/>
          <w:color w:val="auto"/>
        </w:rPr>
      </w:pPr>
      <w:r>
        <w:rPr>
          <w:rFonts w:ascii="Times New Roman" w:cs="Times New Roman" w:eastAsia="Times New Roman" w:hAnsi="Times New Roman"/>
          <w:sz w:val="14"/>
          <w:szCs w:val="14"/>
          <w:color w:val="auto"/>
        </w:rPr>
        <w:t>Our board of directors may issue shares of preferred stock on terms calculated to discourage, delay, or prevent a change of control of the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or employee benefit plans.</w:t>
      </w:r>
    </w:p>
    <w:p>
      <w:pPr>
        <w:spacing w:after="0" w:line="142" w:lineRule="exact"/>
        <w:rPr>
          <w:sz w:val="20"/>
          <w:szCs w:val="20"/>
          <w:color w:val="auto"/>
        </w:rPr>
      </w:pPr>
    </w:p>
    <w:p>
      <w:pPr>
        <w:ind w:left="1160" w:right="1199"/>
        <w:spacing w:after="0" w:line="265" w:lineRule="auto"/>
        <w:rPr>
          <w:sz w:val="20"/>
          <w:szCs w:val="20"/>
          <w:color w:val="auto"/>
        </w:rPr>
      </w:pPr>
      <w:r>
        <w:rPr>
          <w:rFonts w:ascii="Times New Roman" w:cs="Times New Roman" w:eastAsia="Times New Roman" w:hAnsi="Times New Roman"/>
          <w:sz w:val="14"/>
          <w:szCs w:val="14"/>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1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Classified Board of Directors</w:t>
      </w:r>
    </w:p>
    <w:p>
      <w:pPr>
        <w:spacing w:after="0" w:line="187" w:lineRule="exact"/>
        <w:rPr>
          <w:sz w:val="20"/>
          <w:szCs w:val="20"/>
          <w:color w:val="auto"/>
        </w:rPr>
      </w:pPr>
    </w:p>
    <w:p>
      <w:pPr>
        <w:ind w:left="1160" w:right="1259"/>
        <w:spacing w:after="0" w:line="262" w:lineRule="auto"/>
        <w:rPr>
          <w:sz w:val="20"/>
          <w:szCs w:val="20"/>
          <w:color w:val="auto"/>
        </w:rPr>
      </w:pPr>
      <w:r>
        <w:rPr>
          <w:rFonts w:ascii="Times New Roman" w:cs="Times New Roman" w:eastAsia="Times New Roman" w:hAnsi="Times New Roman"/>
          <w:sz w:val="14"/>
          <w:szCs w:val="14"/>
          <w:color w:val="auto"/>
        </w:rPr>
        <w:t>Our Articles of Incorporation divide our board of directors into three classes of directors, with the classes to be as nearly equal in number as possible, and with the directors serving staggered three-year terms. As a result, approximately one-third of our board of directors will be elected each year. The classification of directors has the effect of making it more difficult for stockholders to change the composition of our board of directors. Our Articles of Incorporation and Bylaws provide that, subject to any rights of holders of preferred stock to elect additional directors under specified circumstances, the total number of directors constituting our board of directors will be fixed from time to time exclusively pursuant to a resolution adopted by the board of directors.</w:t>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187" w:lineRule="exact"/>
        <w:rPr>
          <w:sz w:val="20"/>
          <w:szCs w:val="20"/>
          <w:color w:val="auto"/>
        </w:rPr>
      </w:pPr>
    </w:p>
    <w:p>
      <w:pPr>
        <w:jc w:val="both"/>
        <w:ind w:left="1160" w:right="1259"/>
        <w:spacing w:after="0" w:line="262" w:lineRule="auto"/>
        <w:rPr>
          <w:sz w:val="20"/>
          <w:szCs w:val="20"/>
          <w:color w:val="auto"/>
        </w:rPr>
      </w:pPr>
      <w:r>
        <w:rPr>
          <w:rFonts w:ascii="Times New Roman" w:cs="Times New Roman" w:eastAsia="Times New Roman" w:hAnsi="Times New Roman"/>
          <w:sz w:val="14"/>
          <w:szCs w:val="14"/>
          <w:color w:val="auto"/>
        </w:rPr>
        <w:t>We have opted out of Section 203 of the DGCL; however, our Articles of Incorporation contain similar provisions providing that we may not engage in certain “business combinations” with any “interested stockholder” for a three-year period following the time that the stockholder became an interested stockholder, unless:</w:t>
      </w:r>
    </w:p>
    <w:p>
      <w:pPr>
        <w:spacing w:after="0" w:line="10" w:lineRule="exact"/>
        <w:rPr>
          <w:sz w:val="20"/>
          <w:szCs w:val="20"/>
          <w:color w:val="auto"/>
        </w:rPr>
      </w:pPr>
    </w:p>
    <w:p>
      <w:pPr>
        <w:ind w:left="1660" w:right="1199" w:hanging="249"/>
        <w:spacing w:after="0"/>
        <w:tabs>
          <w:tab w:leader="none" w:pos="16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prior to such time, our board of directors approved either the business combination or the transaction which resulted in the stockholder becoming an interested stockholder;</w:t>
      </w:r>
    </w:p>
    <w:p>
      <w:pPr>
        <w:spacing w:after="0" w:line="8" w:lineRule="exact"/>
        <w:rPr>
          <w:rFonts w:ascii="Times New Roman" w:cs="Times New Roman" w:eastAsia="Times New Roman" w:hAnsi="Times New Roman"/>
          <w:sz w:val="17"/>
          <w:szCs w:val="17"/>
          <w:color w:val="auto"/>
        </w:rPr>
      </w:pPr>
    </w:p>
    <w:p>
      <w:pPr>
        <w:ind w:left="1660" w:right="1259" w:hanging="249"/>
        <w:spacing w:after="0" w:line="245" w:lineRule="auto"/>
        <w:tabs>
          <w:tab w:leader="none" w:pos="16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8" w:lineRule="exact"/>
        <w:rPr>
          <w:rFonts w:ascii="Times New Roman" w:cs="Times New Roman" w:eastAsia="Times New Roman" w:hAnsi="Times New Roman"/>
          <w:sz w:val="17"/>
          <w:szCs w:val="17"/>
          <w:color w:val="auto"/>
        </w:rPr>
      </w:pPr>
    </w:p>
    <w:p>
      <w:pPr>
        <w:ind w:left="1660" w:right="1419" w:hanging="249"/>
        <w:spacing w:after="0"/>
        <w:tabs>
          <w:tab w:leader="none" w:pos="16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at or subsequent to that time, the business combination is approved by our board of directors and by the affirmative vote of holders of at least 662/3% of the outstanding voting stock that is not owned by the</w:t>
      </w:r>
    </w:p>
    <w:p>
      <w:pPr>
        <w:spacing w:after="0" w:line="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interested stockholder.</w:t>
      </w:r>
    </w:p>
    <w:p>
      <w:pPr>
        <w:spacing w:after="0" w:line="11" w:lineRule="exact"/>
        <w:rPr>
          <w:sz w:val="20"/>
          <w:szCs w:val="20"/>
          <w:color w:val="auto"/>
        </w:rPr>
      </w:pPr>
    </w:p>
    <w:p>
      <w:pPr>
        <w:ind w:left="1160" w:right="1179"/>
        <w:spacing w:after="0" w:line="260" w:lineRule="auto"/>
        <w:rPr>
          <w:sz w:val="20"/>
          <w:szCs w:val="20"/>
          <w:color w:val="auto"/>
        </w:rPr>
      </w:pPr>
      <w:r>
        <w:rPr>
          <w:rFonts w:ascii="Times New Roman" w:cs="Times New Roman" w:eastAsia="Times New Roman" w:hAnsi="Times New Roman"/>
          <w:sz w:val="14"/>
          <w:szCs w:val="14"/>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For purposes of this section only, “voting stock” has the meaning given to it in Section 203 of the DGCL.</w:t>
      </w:r>
    </w:p>
    <w:p>
      <w:pPr>
        <w:spacing w:after="0" w:line="145" w:lineRule="exact"/>
        <w:rPr>
          <w:sz w:val="20"/>
          <w:szCs w:val="20"/>
          <w:color w:val="auto"/>
        </w:rPr>
      </w:pPr>
    </w:p>
    <w:p>
      <w:pPr>
        <w:ind w:left="1160" w:right="1179"/>
        <w:spacing w:after="0" w:line="265" w:lineRule="auto"/>
        <w:rPr>
          <w:sz w:val="20"/>
          <w:szCs w:val="20"/>
          <w:color w:val="auto"/>
        </w:rPr>
      </w:pPr>
      <w:r>
        <w:rPr>
          <w:rFonts w:ascii="Times New Roman" w:cs="Times New Roman" w:eastAsia="Times New Roman" w:hAnsi="Times New Roman"/>
          <w:sz w:val="14"/>
          <w:szCs w:val="14"/>
          <w:color w:val="auto"/>
        </w:rPr>
        <w:t>This provision makes it more difficult for a person who would be an “interested stockholder” to effect various business combinations with the Company for a three-year period after the time at which they became an interested stockholder subject to the restrictions on business combinations. This provision may encourage companies interested in acquiring the Company to negotiate in advance with our board of directors because the restrictions on business combinations would not apply to an interested stockholder if our board of directors, prior to the time a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687070</wp:posOffset>
            </wp:positionV>
            <wp:extent cx="5603875" cy="387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7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146" w:name="page147"/>
    <w:bookmarkEnd w:id="146"/>
    <w:p>
      <w:pPr>
        <w:ind w:left="1160" w:right="1239"/>
        <w:spacing w:after="0" w:line="268" w:lineRule="auto"/>
        <w:rPr>
          <w:sz w:val="20"/>
          <w:szCs w:val="20"/>
          <w:color w:val="auto"/>
        </w:rPr>
      </w:pPr>
      <w:r>
        <w:rPr>
          <w:rFonts w:ascii="Times New Roman" w:cs="Times New Roman" w:eastAsia="Times New Roman" w:hAnsi="Times New Roman"/>
          <w:sz w:val="14"/>
          <w:szCs w:val="14"/>
          <w:color w:val="auto"/>
        </w:rPr>
        <w:t>becomes an interested stockholder, approves either the business combination or the transaction which results in the stockholder becoming an interested stockholder. By discouraging persons from becoming interested stockholders, these provisions may have the effect of preventing changes in our board of directors and may make it more difficult to accomplish transactions which stockholders may otherwise deem to be in their best interests.</w:t>
      </w:r>
    </w:p>
    <w:p>
      <w:pPr>
        <w:spacing w:after="0" w:line="140" w:lineRule="exact"/>
        <w:rPr>
          <w:sz w:val="20"/>
          <w:szCs w:val="20"/>
          <w:color w:val="auto"/>
        </w:rPr>
      </w:pPr>
    </w:p>
    <w:p>
      <w:pPr>
        <w:ind w:left="1160" w:right="1359"/>
        <w:spacing w:after="0" w:line="268" w:lineRule="auto"/>
        <w:rPr>
          <w:sz w:val="20"/>
          <w:szCs w:val="20"/>
          <w:color w:val="auto"/>
        </w:rPr>
      </w:pPr>
      <w:r>
        <w:rPr>
          <w:rFonts w:ascii="Times New Roman" w:cs="Times New Roman" w:eastAsia="Times New Roman" w:hAnsi="Times New Roman"/>
          <w:sz w:val="14"/>
          <w:szCs w:val="14"/>
          <w:color w:val="auto"/>
        </w:rPr>
        <w:t>Our Articles of Incorporation provide that any of KKR Phoenix Aggregator L.P., an investment entity owned by investment funds and other entities affiliated with Kohlberg Kravis Roberts &amp; Co. L.P. (the “KKR Stockholder”), and its affiliates and any of its direct or indirect transferees and any group as to which such persons are a party do not constitute “interested stockholders” for purposes of this provision.</w:t>
      </w:r>
    </w:p>
    <w:p>
      <w:pPr>
        <w:spacing w:after="0" w:line="1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Removal of Directors; Vacancies</w:t>
      </w:r>
    </w:p>
    <w:p>
      <w:pPr>
        <w:spacing w:after="0" w:line="187" w:lineRule="exact"/>
        <w:rPr>
          <w:sz w:val="20"/>
          <w:szCs w:val="20"/>
          <w:color w:val="auto"/>
        </w:rPr>
      </w:pPr>
    </w:p>
    <w:p>
      <w:pPr>
        <w:ind w:left="1160" w:right="1219"/>
        <w:spacing w:after="0" w:line="261" w:lineRule="auto"/>
        <w:rPr>
          <w:sz w:val="20"/>
          <w:szCs w:val="20"/>
          <w:color w:val="auto"/>
        </w:rPr>
      </w:pPr>
      <w:r>
        <w:rPr>
          <w:rFonts w:ascii="Times New Roman" w:cs="Times New Roman" w:eastAsia="Times New Roman" w:hAnsi="Times New Roman"/>
          <w:sz w:val="14"/>
          <w:szCs w:val="14"/>
          <w:color w:val="auto"/>
        </w:rPr>
        <w:t>Under the DGCL, unless otherwise provided in our Articles of Incorporation, directors serving on a classified board may be removed by the stockholders only for cause. Our Articles of Incorporation provide that directors may only be removed for cause and only by the affirmative vote of holders of at least 66 2/3% in voting power of all the then-outstanding shares of stock entitled to vote generally in the election of directors, voting together as a single class. In addition, our Articles of Incorporation provide that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14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No Cumulative Voting</w:t>
      </w:r>
    </w:p>
    <w:p>
      <w:pPr>
        <w:spacing w:after="0" w:line="187" w:lineRule="exact"/>
        <w:rPr>
          <w:sz w:val="20"/>
          <w:szCs w:val="20"/>
          <w:color w:val="auto"/>
        </w:rPr>
      </w:pPr>
    </w:p>
    <w:p>
      <w:pPr>
        <w:ind w:left="1160" w:right="1219"/>
        <w:spacing w:after="0" w:line="268" w:lineRule="auto"/>
        <w:rPr>
          <w:sz w:val="20"/>
          <w:szCs w:val="20"/>
          <w:color w:val="auto"/>
        </w:rPr>
      </w:pPr>
      <w:r>
        <w:rPr>
          <w:rFonts w:ascii="Times New Roman" w:cs="Times New Roman" w:eastAsia="Times New Roman" w:hAnsi="Times New Roman"/>
          <w:sz w:val="14"/>
          <w:szCs w:val="14"/>
          <w:color w:val="auto"/>
        </w:rPr>
        <w:t>Under Delaware law, the right to vote cumulatively does not exist unless the certificate of incorporation specifically authorizes cumulative voting. Our Articles of Incorporation do not authorize cumulative voting. Therefore, stockholders holding a majority in voting power of the shares of our stock entitled to vote generally in the election of directors will be able to elect all of our directors who are elected by a vote of our stockholders generally.</w:t>
      </w:r>
    </w:p>
    <w:p>
      <w:pPr>
        <w:spacing w:after="0" w:line="1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Special Stockholder Meetings</w:t>
      </w:r>
    </w:p>
    <w:p>
      <w:pPr>
        <w:spacing w:after="0" w:line="187" w:lineRule="exact"/>
        <w:rPr>
          <w:sz w:val="20"/>
          <w:szCs w:val="20"/>
          <w:color w:val="auto"/>
        </w:rPr>
      </w:pPr>
    </w:p>
    <w:p>
      <w:pPr>
        <w:ind w:left="1160" w:right="1199"/>
        <w:spacing w:after="0" w:line="267" w:lineRule="auto"/>
        <w:rPr>
          <w:sz w:val="20"/>
          <w:szCs w:val="20"/>
          <w:color w:val="auto"/>
        </w:rPr>
      </w:pPr>
      <w:r>
        <w:rPr>
          <w:rFonts w:ascii="Times New Roman" w:cs="Times New Roman" w:eastAsia="Times New Roman" w:hAnsi="Times New Roman"/>
          <w:sz w:val="14"/>
          <w:szCs w:val="14"/>
          <w:color w:val="auto"/>
        </w:rPr>
        <w:t>Our Articles of Incorporation provide that special meetings of our stockholders may be called at any time only by or at the direction of the board of directors or the chairman of the board of directors. Our Bylaws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3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Requirements for Advance Notification of Director Nominations and Stockholder Proposals</w:t>
      </w:r>
    </w:p>
    <w:p>
      <w:pPr>
        <w:spacing w:after="0" w:line="187" w:lineRule="exact"/>
        <w:rPr>
          <w:sz w:val="20"/>
          <w:szCs w:val="20"/>
          <w:color w:val="auto"/>
        </w:rPr>
      </w:pPr>
    </w:p>
    <w:p>
      <w:pPr>
        <w:ind w:left="1160" w:right="1179"/>
        <w:spacing w:after="0" w:line="258" w:lineRule="auto"/>
        <w:rPr>
          <w:sz w:val="20"/>
          <w:szCs w:val="20"/>
          <w:color w:val="auto"/>
        </w:rPr>
      </w:pPr>
      <w:r>
        <w:rPr>
          <w:rFonts w:ascii="Times New Roman" w:cs="Times New Roman" w:eastAsia="Times New Roman" w:hAnsi="Times New Roman"/>
          <w:sz w:val="14"/>
          <w:szCs w:val="14"/>
          <w:color w:val="auto"/>
        </w:rPr>
        <w:t>Our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Bylaws also specify requirements as to the form and content of a stockholder’s notice. Our Bylaws allow the chairman of the meeting at a meeting of the stockholders to adopt rules and regulations for the conduct of meetings which may have the effect of precluding the conduct of certain business at a meeting if the rules and regulations are not followed. These notice requirements do not apply to KKR Stockholder and its affiliates for as long as the Amended and Restated Stockholders’ Agreement, dated as of March 5, 2019, with KKR Stockholder and the other parties party thereto remains in effect. These provisions may defer, delay or discourage a potential acquiror from conducting a solicitation of proxies to elect the acquiror’s own slate of directors or otherwise attempting to influence or obtain control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1131570</wp:posOffset>
            </wp:positionV>
            <wp:extent cx="5603875" cy="387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7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47" w:name="page148"/>
    <w:bookmarkEnd w:id="147"/>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Stockholder Action by Written Consent</w:t>
      </w:r>
    </w:p>
    <w:p>
      <w:pPr>
        <w:spacing w:after="0" w:line="187" w:lineRule="exact"/>
        <w:rPr>
          <w:sz w:val="20"/>
          <w:szCs w:val="20"/>
          <w:color w:val="auto"/>
        </w:rPr>
      </w:pPr>
    </w:p>
    <w:p>
      <w:pPr>
        <w:ind w:left="1160" w:right="1239"/>
        <w:spacing w:after="0" w:line="263" w:lineRule="auto"/>
        <w:rPr>
          <w:sz w:val="20"/>
          <w:szCs w:val="20"/>
          <w:color w:val="auto"/>
        </w:rPr>
      </w:pPr>
      <w:r>
        <w:rPr>
          <w:rFonts w:ascii="Times New Roman" w:cs="Times New Roman" w:eastAsia="Times New Roman" w:hAnsi="Times New Roman"/>
          <w:sz w:val="14"/>
          <w:szCs w:val="14"/>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Articles of Incorporation provide otherwise. Our Articles of Incorporation preclude stockholder action by written consent.</w:t>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Supermajority Provisions</w:t>
      </w:r>
    </w:p>
    <w:p>
      <w:pPr>
        <w:spacing w:after="0" w:line="187" w:lineRule="exact"/>
        <w:rPr>
          <w:sz w:val="20"/>
          <w:szCs w:val="20"/>
          <w:color w:val="auto"/>
        </w:rPr>
      </w:pPr>
    </w:p>
    <w:p>
      <w:pPr>
        <w:ind w:left="1160" w:right="1219"/>
        <w:spacing w:after="0" w:line="263" w:lineRule="auto"/>
        <w:rPr>
          <w:sz w:val="20"/>
          <w:szCs w:val="20"/>
          <w:color w:val="auto"/>
        </w:rPr>
      </w:pPr>
      <w:r>
        <w:rPr>
          <w:rFonts w:ascii="Times New Roman" w:cs="Times New Roman" w:eastAsia="Times New Roman" w:hAnsi="Times New Roman"/>
          <w:sz w:val="14"/>
          <w:szCs w:val="14"/>
          <w:color w:val="auto"/>
        </w:rPr>
        <w:t>Our Articles of Incorporation and Bylaws provide that the board of directors is expressly authorized to make, alter, amend, change, add to, rescind, or repeal, in whole or in part, our Bylaws without a stockholder vote in any matter not inconsistent with the applicable provisions of Delaware law or our Articles of Incorporation. Any amendment, alteration, change, addition, rescission, or repeal of our Bylaws by our stockholders will require the affirmative vote of the holders of at least 66 2/3% in voting power of all the then-outstanding shares of stock entitled to vote generally in the election of directors, voting together as a single class.</w:t>
      </w:r>
    </w:p>
    <w:p>
      <w:pPr>
        <w:spacing w:after="0" w:line="144" w:lineRule="exact"/>
        <w:rPr>
          <w:sz w:val="20"/>
          <w:szCs w:val="20"/>
          <w:color w:val="auto"/>
        </w:rPr>
      </w:pPr>
    </w:p>
    <w:p>
      <w:pPr>
        <w:ind w:left="1160" w:right="1419"/>
        <w:spacing w:after="0" w:line="274" w:lineRule="auto"/>
        <w:rPr>
          <w:sz w:val="20"/>
          <w:szCs w:val="20"/>
          <w:color w:val="auto"/>
        </w:rPr>
      </w:pPr>
      <w:r>
        <w:rPr>
          <w:rFonts w:ascii="Times New Roman" w:cs="Times New Roman" w:eastAsia="Times New Roman" w:hAnsi="Times New Roman"/>
          <w:sz w:val="14"/>
          <w:szCs w:val="14"/>
          <w:color w:val="auto"/>
        </w:rPr>
        <w:t>The DGCL generally provides that the affirmative vote of the holders of a majority in voting power of the outstanding shares entitled to vote thereon, voting together as a single class, is required to amend a corporation’s certificate of incorporation, unless the certificate of incorporation requires a greater percentage.</w:t>
      </w:r>
    </w:p>
    <w:p>
      <w:pPr>
        <w:spacing w:after="0" w:line="136" w:lineRule="exact"/>
        <w:rPr>
          <w:sz w:val="20"/>
          <w:szCs w:val="20"/>
          <w:color w:val="auto"/>
        </w:rPr>
      </w:pPr>
    </w:p>
    <w:p>
      <w:pPr>
        <w:ind w:left="1160" w:right="1259"/>
        <w:spacing w:after="0" w:line="270" w:lineRule="auto"/>
        <w:rPr>
          <w:sz w:val="20"/>
          <w:szCs w:val="20"/>
          <w:color w:val="auto"/>
        </w:rPr>
      </w:pPr>
      <w:r>
        <w:rPr>
          <w:rFonts w:ascii="Times New Roman" w:cs="Times New Roman" w:eastAsia="Times New Roman" w:hAnsi="Times New Roman"/>
          <w:sz w:val="14"/>
          <w:szCs w:val="14"/>
          <w:color w:val="auto"/>
        </w:rPr>
        <w:t>Our Articles of Incorporation provide that the following provisions in our Articles of Incorporation may be amended, altered, repealed or rescinded only by the affirmative vote of the holders of at least 66 2/3% in the voting power of all outstanding shares of stock entitled to vote generally in the election of directors, voting together as a single class:</w:t>
      </w:r>
    </w:p>
    <w:p>
      <w:pPr>
        <w:spacing w:after="0" w:line="156" w:lineRule="exact"/>
        <w:rPr>
          <w:sz w:val="20"/>
          <w:szCs w:val="20"/>
          <w:color w:val="auto"/>
        </w:rPr>
      </w:pPr>
    </w:p>
    <w:p>
      <w:pPr>
        <w:ind w:left="1660" w:hanging="249"/>
        <w:spacing w:after="0"/>
        <w:tabs>
          <w:tab w:leader="none" w:pos="16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provision requiring a 66 2/3% supermajority vote for stockholders to amend our Bylaws;</w:t>
      </w:r>
    </w:p>
    <w:p>
      <w:pPr>
        <w:spacing w:after="0" w:line="10" w:lineRule="exact"/>
        <w:rPr>
          <w:rFonts w:ascii="Times New Roman" w:cs="Times New Roman" w:eastAsia="Times New Roman" w:hAnsi="Times New Roman"/>
          <w:sz w:val="17"/>
          <w:szCs w:val="17"/>
          <w:color w:val="auto"/>
        </w:rPr>
      </w:pPr>
    </w:p>
    <w:p>
      <w:pPr>
        <w:ind w:left="1660" w:hanging="249"/>
        <w:spacing w:after="0" w:line="225" w:lineRule="auto"/>
        <w:tabs>
          <w:tab w:leader="none" w:pos="16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provisions providing for a classified board of directors (the election and term of our directors);</w:t>
      </w:r>
    </w:p>
    <w:p>
      <w:pPr>
        <w:spacing w:after="0" w:line="10" w:lineRule="exact"/>
        <w:rPr>
          <w:rFonts w:ascii="Times New Roman" w:cs="Times New Roman" w:eastAsia="Times New Roman" w:hAnsi="Times New Roman"/>
          <w:sz w:val="17"/>
          <w:szCs w:val="17"/>
          <w:color w:val="auto"/>
        </w:rPr>
      </w:pPr>
    </w:p>
    <w:p>
      <w:pPr>
        <w:ind w:left="1660" w:hanging="249"/>
        <w:spacing w:after="0" w:line="225" w:lineRule="auto"/>
        <w:tabs>
          <w:tab w:leader="none" w:pos="16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provisions regarding the total number of directors;</w:t>
      </w:r>
    </w:p>
    <w:p>
      <w:pPr>
        <w:spacing w:after="0" w:line="10" w:lineRule="exact"/>
        <w:rPr>
          <w:rFonts w:ascii="Times New Roman" w:cs="Times New Roman" w:eastAsia="Times New Roman" w:hAnsi="Times New Roman"/>
          <w:sz w:val="17"/>
          <w:szCs w:val="17"/>
          <w:color w:val="auto"/>
        </w:rPr>
      </w:pPr>
    </w:p>
    <w:p>
      <w:pPr>
        <w:ind w:left="1660" w:hanging="249"/>
        <w:spacing w:after="0" w:line="225" w:lineRule="auto"/>
        <w:tabs>
          <w:tab w:leader="none" w:pos="16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provisions regarding resignation and removal of directors;</w:t>
      </w:r>
    </w:p>
    <w:p>
      <w:pPr>
        <w:spacing w:after="0" w:line="10" w:lineRule="exact"/>
        <w:rPr>
          <w:rFonts w:ascii="Times New Roman" w:cs="Times New Roman" w:eastAsia="Times New Roman" w:hAnsi="Times New Roman"/>
          <w:sz w:val="17"/>
          <w:szCs w:val="17"/>
          <w:color w:val="auto"/>
        </w:rPr>
      </w:pPr>
    </w:p>
    <w:p>
      <w:pPr>
        <w:ind w:left="1660" w:hanging="249"/>
        <w:spacing w:after="0" w:line="225" w:lineRule="auto"/>
        <w:tabs>
          <w:tab w:leader="none" w:pos="16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provisions regarding competition and corporate opportunities;</w:t>
      </w:r>
    </w:p>
    <w:p>
      <w:pPr>
        <w:spacing w:after="0" w:line="10" w:lineRule="exact"/>
        <w:rPr>
          <w:rFonts w:ascii="Times New Roman" w:cs="Times New Roman" w:eastAsia="Times New Roman" w:hAnsi="Times New Roman"/>
          <w:sz w:val="17"/>
          <w:szCs w:val="17"/>
          <w:color w:val="auto"/>
        </w:rPr>
      </w:pPr>
    </w:p>
    <w:p>
      <w:pPr>
        <w:ind w:left="1660" w:hanging="249"/>
        <w:spacing w:after="0" w:line="225" w:lineRule="auto"/>
        <w:tabs>
          <w:tab w:leader="none" w:pos="16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provisions regarding entering into business combinations with interested stockholders;</w:t>
      </w:r>
    </w:p>
    <w:p>
      <w:pPr>
        <w:spacing w:after="0" w:line="10" w:lineRule="exact"/>
        <w:rPr>
          <w:rFonts w:ascii="Times New Roman" w:cs="Times New Roman" w:eastAsia="Times New Roman" w:hAnsi="Times New Roman"/>
          <w:sz w:val="17"/>
          <w:szCs w:val="17"/>
          <w:color w:val="auto"/>
        </w:rPr>
      </w:pPr>
    </w:p>
    <w:p>
      <w:pPr>
        <w:ind w:left="1660" w:hanging="249"/>
        <w:spacing w:after="0" w:line="225" w:lineRule="auto"/>
        <w:tabs>
          <w:tab w:leader="none" w:pos="16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provisions regarding stockholder action by written consent;</w:t>
      </w:r>
    </w:p>
    <w:p>
      <w:pPr>
        <w:spacing w:after="0" w:line="10" w:lineRule="exact"/>
        <w:rPr>
          <w:rFonts w:ascii="Times New Roman" w:cs="Times New Roman" w:eastAsia="Times New Roman" w:hAnsi="Times New Roman"/>
          <w:sz w:val="17"/>
          <w:szCs w:val="17"/>
          <w:color w:val="auto"/>
        </w:rPr>
      </w:pPr>
    </w:p>
    <w:p>
      <w:pPr>
        <w:ind w:left="1660" w:hanging="249"/>
        <w:spacing w:after="0" w:line="225" w:lineRule="auto"/>
        <w:tabs>
          <w:tab w:leader="none" w:pos="16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provisions regarding calling special meetings of stockholders;</w:t>
      </w:r>
    </w:p>
    <w:p>
      <w:pPr>
        <w:spacing w:after="0" w:line="10" w:lineRule="exact"/>
        <w:rPr>
          <w:rFonts w:ascii="Times New Roman" w:cs="Times New Roman" w:eastAsia="Times New Roman" w:hAnsi="Times New Roman"/>
          <w:sz w:val="17"/>
          <w:szCs w:val="17"/>
          <w:color w:val="auto"/>
        </w:rPr>
      </w:pPr>
    </w:p>
    <w:p>
      <w:pPr>
        <w:ind w:left="1660" w:hanging="249"/>
        <w:spacing w:after="0" w:line="225" w:lineRule="auto"/>
        <w:tabs>
          <w:tab w:leader="none" w:pos="16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provisions regarding filling vacancies on our board of directors and newly created directorships;</w:t>
      </w:r>
    </w:p>
    <w:p>
      <w:pPr>
        <w:spacing w:after="0" w:line="10" w:lineRule="exact"/>
        <w:rPr>
          <w:rFonts w:ascii="Times New Roman" w:cs="Times New Roman" w:eastAsia="Times New Roman" w:hAnsi="Times New Roman"/>
          <w:sz w:val="17"/>
          <w:szCs w:val="17"/>
          <w:color w:val="auto"/>
        </w:rPr>
      </w:pPr>
    </w:p>
    <w:p>
      <w:pPr>
        <w:ind w:left="1660" w:hanging="249"/>
        <w:spacing w:after="0" w:line="225" w:lineRule="auto"/>
        <w:tabs>
          <w:tab w:leader="none" w:pos="16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provisions eliminating monetary damages for breaches of fiduciary duty by a director or officer; and</w:t>
      </w:r>
    </w:p>
    <w:p>
      <w:pPr>
        <w:spacing w:after="0" w:line="10" w:lineRule="exact"/>
        <w:rPr>
          <w:rFonts w:ascii="Times New Roman" w:cs="Times New Roman" w:eastAsia="Times New Roman" w:hAnsi="Times New Roman"/>
          <w:sz w:val="17"/>
          <w:szCs w:val="17"/>
          <w:color w:val="auto"/>
        </w:rPr>
      </w:pPr>
    </w:p>
    <w:p>
      <w:pPr>
        <w:ind w:left="1660" w:right="1939" w:hanging="249"/>
        <w:spacing w:after="0" w:line="239" w:lineRule="auto"/>
        <w:tabs>
          <w:tab w:leader="none" w:pos="16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amendment provision requiring that the above provisions be amended only with a 66 2/3% supermajority vote.</w:t>
      </w:r>
    </w:p>
    <w:p>
      <w:pPr>
        <w:ind w:left="1160" w:right="1219"/>
        <w:spacing w:after="0" w:line="260" w:lineRule="auto"/>
        <w:rPr>
          <w:sz w:val="20"/>
          <w:szCs w:val="20"/>
          <w:color w:val="auto"/>
        </w:rPr>
      </w:pPr>
      <w:r>
        <w:rPr>
          <w:rFonts w:ascii="Times New Roman" w:cs="Times New Roman" w:eastAsia="Times New Roman" w:hAnsi="Times New Roman"/>
          <w:sz w:val="14"/>
          <w:szCs w:val="14"/>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45" w:lineRule="exact"/>
        <w:rPr>
          <w:sz w:val="20"/>
          <w:szCs w:val="20"/>
          <w:color w:val="auto"/>
        </w:rPr>
      </w:pPr>
    </w:p>
    <w:p>
      <w:pPr>
        <w:ind w:left="1160" w:right="1179"/>
        <w:spacing w:after="0" w:line="262" w:lineRule="auto"/>
        <w:rPr>
          <w:sz w:val="20"/>
          <w:szCs w:val="20"/>
          <w:color w:val="auto"/>
        </w:rPr>
      </w:pPr>
      <w:r>
        <w:rPr>
          <w:rFonts w:ascii="Times New Roman" w:cs="Times New Roman" w:eastAsia="Times New Roman" w:hAnsi="Times New Roman"/>
          <w:sz w:val="14"/>
          <w:szCs w:val="14"/>
          <w:color w:val="auto"/>
        </w:rPr>
        <w:t>These supermajority provisions may have the effect of deterring hostile takeovers, delaying or preventing changes in control of our management or the Company, such as a merger, reorganization, or tender offer. These supermajority provisions are intended to enhance the likelihood of continued stability in the composition of our board of directors and its policies and to discourage certain types of transactions that may involve an actual or threatened acquisition of the Company. These supermajority provisions are designed to reduce our vulnerability to an unsolicited acquisition proposal. The supermajority provisions are also intended to discourage certain tactics that may be used in proxy fights. However, such supermajority provisions could have the effect of discouraging others from making 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688340</wp:posOffset>
            </wp:positionV>
            <wp:extent cx="5603875" cy="387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7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324" w:right="1440" w:bottom="1440" w:gutter="0" w:footer="0" w:header="0"/>
        </w:sectPr>
      </w:pPr>
    </w:p>
    <w:bookmarkStart w:id="148" w:name="page149"/>
    <w:bookmarkEnd w:id="148"/>
    <w:p>
      <w:pPr>
        <w:ind w:left="1160" w:right="1279"/>
        <w:spacing w:after="0" w:line="274" w:lineRule="auto"/>
        <w:rPr>
          <w:sz w:val="20"/>
          <w:szCs w:val="20"/>
          <w:color w:val="auto"/>
        </w:rPr>
      </w:pPr>
      <w:r>
        <w:rPr>
          <w:rFonts w:ascii="Times New Roman" w:cs="Times New Roman" w:eastAsia="Times New Roman" w:hAnsi="Times New Roman"/>
          <w:sz w:val="14"/>
          <w:szCs w:val="14"/>
          <w:color w:val="auto"/>
        </w:rPr>
        <w:t>offers for our shares and, as a consequence, they also may inhibit fluctuations in the market price of our shares that could result from actual or rumored takeover attempts. Such supermajority provisions may also have the effect of preventing changes in management.</w:t>
      </w:r>
    </w:p>
    <w:p>
      <w:pPr>
        <w:spacing w:after="0" w:line="13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Dissenters’ Rights of Appraisal and Payment</w:t>
      </w:r>
    </w:p>
    <w:p>
      <w:pPr>
        <w:spacing w:after="0" w:line="185" w:lineRule="exact"/>
        <w:rPr>
          <w:sz w:val="20"/>
          <w:szCs w:val="20"/>
          <w:color w:val="auto"/>
        </w:rPr>
      </w:pPr>
    </w:p>
    <w:p>
      <w:pPr>
        <w:ind w:left="1160" w:right="1439"/>
        <w:spacing w:after="0" w:line="268" w:lineRule="auto"/>
        <w:rPr>
          <w:sz w:val="20"/>
          <w:szCs w:val="20"/>
          <w:color w:val="auto"/>
        </w:rPr>
      </w:pPr>
      <w:r>
        <w:rPr>
          <w:rFonts w:ascii="Times New Roman" w:cs="Times New Roman" w:eastAsia="Times New Roman" w:hAnsi="Times New Roman"/>
          <w:sz w:val="14"/>
          <w:szCs w:val="14"/>
          <w:color w:val="auto"/>
        </w:rPr>
        <w:t>Under the DGCL, with certain exceptions, our stockholders have appraisal rights in connection with a merger or consolidation of us. Pursuant to the DGCL, stockholders who properly request and perfect appraisal rights in connection with such merger or consolidation has the right to receive payment in cash of the fair value of their shares as determined by the Delaware Court of Chancery.</w:t>
      </w:r>
    </w:p>
    <w:p>
      <w:pPr>
        <w:spacing w:after="0" w:line="1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Stockholders’ Derivative Actions</w:t>
      </w:r>
    </w:p>
    <w:p>
      <w:pPr>
        <w:spacing w:after="0" w:line="27" w:lineRule="exact"/>
        <w:rPr>
          <w:sz w:val="20"/>
          <w:szCs w:val="20"/>
          <w:color w:val="auto"/>
        </w:rPr>
      </w:pPr>
    </w:p>
    <w:p>
      <w:pPr>
        <w:ind w:left="1160" w:right="1159"/>
        <w:spacing w:after="0" w:line="264" w:lineRule="auto"/>
        <w:rPr>
          <w:sz w:val="20"/>
          <w:szCs w:val="20"/>
          <w:color w:val="auto"/>
        </w:rPr>
      </w:pPr>
      <w:r>
        <w:rPr>
          <w:rFonts w:ascii="Times New Roman" w:cs="Times New Roman" w:eastAsia="Times New Roman" w:hAnsi="Times New Roman"/>
          <w:sz w:val="14"/>
          <w:szCs w:val="14"/>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Exclusive Forum</w:t>
      </w:r>
    </w:p>
    <w:p>
      <w:pPr>
        <w:spacing w:after="0" w:line="185" w:lineRule="exact"/>
        <w:rPr>
          <w:sz w:val="20"/>
          <w:szCs w:val="20"/>
          <w:color w:val="auto"/>
        </w:rPr>
      </w:pPr>
    </w:p>
    <w:p>
      <w:pPr>
        <w:ind w:left="1160" w:right="1299"/>
        <w:spacing w:after="0" w:line="260" w:lineRule="auto"/>
        <w:rPr>
          <w:sz w:val="20"/>
          <w:szCs w:val="20"/>
          <w:color w:val="auto"/>
        </w:rPr>
      </w:pPr>
      <w:r>
        <w:rPr>
          <w:rFonts w:ascii="Times New Roman" w:cs="Times New Roman" w:eastAsia="Times New Roman" w:hAnsi="Times New Roman"/>
          <w:sz w:val="14"/>
          <w:szCs w:val="14"/>
          <w:color w:val="auto"/>
        </w:rPr>
        <w:t>Our Articles of Incorporation provide, subject to limited exceptions, that unless we consent to the selection of an alternative forum, the Court of Chancery of the State of Delaware (or if such court does not have subject matter jurisdiction another state or the federal court (as appropriate) located within the State of Delaware) is, to the fullest extent permitted by law, the sole and exclusive forum for any (i) derivative action or proceeding brought on behalf of the Company, (ii) action asserting a claim of breach of a fiduciary duty owed by any current or former director, officer or other employee or stockholder of the Company to the Company or our stockholders, creditors, or other constituents, (iii) action asserting a claim against the Company or any current or former director or officer of the Company arising pursuant to any provision of the DGCL or our Articles of Incorporation or our Bylaws or as to which the DGCL confers jurisdiction on the Court of Chancery of the State of Delaware, or (iv) action asserting a claim governed by the internal affairs doctrine.</w:t>
      </w:r>
    </w:p>
    <w:p>
      <w:pPr>
        <w:spacing w:after="0" w:line="146" w:lineRule="exact"/>
        <w:rPr>
          <w:sz w:val="20"/>
          <w:szCs w:val="20"/>
          <w:color w:val="auto"/>
        </w:rPr>
      </w:pPr>
    </w:p>
    <w:p>
      <w:pPr>
        <w:ind w:left="1160" w:right="1159"/>
        <w:spacing w:after="0" w:line="260" w:lineRule="auto"/>
        <w:rPr>
          <w:sz w:val="20"/>
          <w:szCs w:val="20"/>
          <w:color w:val="auto"/>
        </w:rPr>
      </w:pPr>
      <w:r>
        <w:rPr>
          <w:rFonts w:ascii="Times New Roman" w:cs="Times New Roman" w:eastAsia="Times New Roman" w:hAnsi="Times New Roman"/>
          <w:sz w:val="14"/>
          <w:szCs w:val="14"/>
          <w:color w:val="auto"/>
        </w:rPr>
        <w:t>Our Articles of Incorporation also provide that, unless we consent in writing to the selection of an alternative forum, to the fullest extent permitted by law, the U.S. federal district courts are the exclusive forum for the resolution of any complaint asserting a cause of action arising under the federal securities laws of the United States, including any claims under the Securities Act of 1933, as amended (the “Securities Act”), and the Exchange Act. However, Section 22 of the Securities Act creates concurrent jurisdiction for federal and state courts over all suits brought to enforce a duty or liability created by the Securities Act or the rules and regulations thereunder and accordingly, we cannot be certain that a court would enforce such provision. It is possible that a court could find our forum selection provisions to be inapplicable or unenforceable and, accordingly, we could be required to litigate claims in multiple jurisdictions, incur additional costs, or otherwise not receive the benefits that we expect our forum selection provisions to provide.</w:t>
      </w:r>
    </w:p>
    <w:p>
      <w:pPr>
        <w:spacing w:after="0" w:line="320" w:lineRule="exact"/>
        <w:rPr>
          <w:sz w:val="20"/>
          <w:szCs w:val="20"/>
          <w:color w:val="auto"/>
        </w:rPr>
      </w:pPr>
    </w:p>
    <w:p>
      <w:pPr>
        <w:ind w:left="1160" w:right="1199"/>
        <w:spacing w:after="0" w:line="265" w:lineRule="auto"/>
        <w:rPr>
          <w:sz w:val="20"/>
          <w:szCs w:val="20"/>
          <w:color w:val="auto"/>
        </w:rPr>
      </w:pPr>
      <w:r>
        <w:rPr>
          <w:rFonts w:ascii="Times New Roman" w:cs="Times New Roman" w:eastAsia="Times New Roman" w:hAnsi="Times New Roman"/>
          <w:sz w:val="14"/>
          <w:szCs w:val="14"/>
          <w:color w:val="auto"/>
        </w:rPr>
        <w:t>Any person or entity purchasing or otherwise acquiring or holding any interest in shares of capital stock of the Company is deemed to have notice of and consented to the forum provisions in our Articles of Incorporation. Our exclusive forum provision shall not relieve the Company of its duties to comply with the federal securities laws and the rules and regulations thereunder, and our stockholders are not deemed to have waived our compliance with these laws, rules, and regulations.</w:t>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Conflicts of Interest</w:t>
      </w:r>
    </w:p>
    <w:p>
      <w:pPr>
        <w:spacing w:after="0" w:line="185" w:lineRule="exact"/>
        <w:rPr>
          <w:sz w:val="20"/>
          <w:szCs w:val="20"/>
          <w:color w:val="auto"/>
        </w:rPr>
      </w:pPr>
    </w:p>
    <w:p>
      <w:pPr>
        <w:ind w:left="1160" w:right="1199"/>
        <w:spacing w:after="0" w:line="261" w:lineRule="auto"/>
        <w:rPr>
          <w:sz w:val="20"/>
          <w:szCs w:val="20"/>
          <w:color w:val="auto"/>
        </w:rPr>
      </w:pPr>
      <w:r>
        <w:rPr>
          <w:rFonts w:ascii="Times New Roman" w:cs="Times New Roman" w:eastAsia="Times New Roman" w:hAnsi="Times New Roman"/>
          <w:sz w:val="14"/>
          <w:szCs w:val="14"/>
          <w:color w:val="auto"/>
        </w:rPr>
        <w:t>Delaware law permits corporations to adopt provisions renouncing any interest or expectancy in certain opportunities that are presented to the corporation or its officers, directors, or stockholders. Our Articles of Incorporation renounce, to the maximum extent permitted from time to time by Delaware law,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Articles of Incorporation provide that, to the fullest extent permitted by law, KKR Stockholder or any of its affiliates or any director who is not employed by us or his or her affiliates does not have any duty to refrain from (1) engaging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689610</wp:posOffset>
            </wp:positionV>
            <wp:extent cx="5603875" cy="387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7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49" w:name="page150"/>
    <w:bookmarkEnd w:id="149"/>
    <w:p>
      <w:pPr>
        <w:ind w:left="1160" w:right="1179"/>
        <w:spacing w:after="0" w:line="259" w:lineRule="auto"/>
        <w:rPr>
          <w:sz w:val="20"/>
          <w:szCs w:val="20"/>
          <w:color w:val="auto"/>
        </w:rPr>
      </w:pPr>
      <w:r>
        <w:rPr>
          <w:rFonts w:ascii="Times New Roman" w:cs="Times New Roman" w:eastAsia="Times New Roman" w:hAnsi="Times New Roman"/>
          <w:sz w:val="14"/>
          <w:szCs w:val="14"/>
          <w:color w:val="auto"/>
        </w:rPr>
        <w:t>corporate opportunity in the same or similar lines of business in which we or our affiliates now engage or propose to engage or (2) otherwise competing with us or our affiliates. In addition, to the fullest extent permitted by law, in the event that KKR Stockholder or any of its affiliates or any non-employee director acquires knowledge of a potential transaction or other business opportunity which may be a corporate opportunity for itself or himself or its or his affiliates or for us or our affiliates, such person has no duty to communicate or offer such transaction or business opportunity to us or any of our affiliates and they may take any such opportunity for themselves or offer it to another person or entity. Our Articles of Incorporation do not renounce our interest in any business opportunity that is expressly offered to a non-employee director solely in his or her capacity as a director or officer of the Company. To the fullest extent permitted by law, no business opportunity is deemed to be a potential corporate opportunity for us unless we would be permitted to undertake the opportunity under our Articles of Incorporation, we have sufficient financial resources to undertake the opportunity and the opportunity would be in line with our business.</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Limitations on Liability and Indemnification of Officers and Directors</w:t>
      </w:r>
    </w:p>
    <w:p>
      <w:pPr>
        <w:spacing w:after="0" w:line="185" w:lineRule="exact"/>
        <w:rPr>
          <w:sz w:val="20"/>
          <w:szCs w:val="20"/>
          <w:color w:val="auto"/>
        </w:rPr>
      </w:pPr>
    </w:p>
    <w:p>
      <w:pPr>
        <w:ind w:left="1160" w:right="1179"/>
        <w:spacing w:after="0" w:line="259" w:lineRule="auto"/>
        <w:rPr>
          <w:sz w:val="20"/>
          <w:szCs w:val="20"/>
          <w:color w:val="auto"/>
        </w:rPr>
      </w:pPr>
      <w:r>
        <w:rPr>
          <w:rFonts w:ascii="Times New Roman" w:cs="Times New Roman" w:eastAsia="Times New Roman" w:hAnsi="Times New Roman"/>
          <w:sz w:val="14"/>
          <w:szCs w:val="14"/>
          <w:color w:val="auto"/>
        </w:rPr>
        <w:t>The DGCL authorizes corporations to limit or eliminate the personal liability of directors and certain officers to corporations and their stockholders for monetary damages for breaches of directors’ and certain officers’ fiduciary duties, subject to certain exceptions. Our Articles of Incorporation include a provision that eliminates the personal liability of directors and officers for monetary damages for any breach of fiduciary duty as a director or officer,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This provision does not limit or eliminate the liability of any officer in any action by or in the right of the Company, including any derivative claims. Further, the exculpation does not apply to any director or officer if the director or officer has breached the duty of loyalty to the corporation and its stockholders, acted in bad faith, knowingly or intentionally violated the law, or derived an improper benefit from his or her actions as a director or officer. In addition, exculpation does not apply to any director in connection with the authorization of illegal dividends, redemptions or stock repurchases.</w:t>
      </w:r>
    </w:p>
    <w:p>
      <w:pPr>
        <w:spacing w:after="0" w:line="147" w:lineRule="exact"/>
        <w:rPr>
          <w:sz w:val="20"/>
          <w:szCs w:val="20"/>
          <w:color w:val="auto"/>
        </w:rPr>
      </w:pPr>
    </w:p>
    <w:p>
      <w:pPr>
        <w:ind w:left="1160" w:right="1199"/>
        <w:spacing w:after="0" w:line="261" w:lineRule="auto"/>
        <w:rPr>
          <w:sz w:val="20"/>
          <w:szCs w:val="20"/>
          <w:color w:val="auto"/>
        </w:rPr>
      </w:pPr>
      <w:r>
        <w:rPr>
          <w:rFonts w:ascii="Times New Roman" w:cs="Times New Roman" w:eastAsia="Times New Roman" w:hAnsi="Times New Roman"/>
          <w:sz w:val="14"/>
          <w:szCs w:val="14"/>
          <w:color w:val="auto"/>
        </w:rPr>
        <w:t>Our Bylaws provide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have also entered into indemnification agreements with each of our directors and executive officers,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are useful to attract and retain qualified directors and officers.</w:t>
      </w:r>
    </w:p>
    <w:p>
      <w:pPr>
        <w:spacing w:after="0" w:line="146" w:lineRule="exact"/>
        <w:rPr>
          <w:sz w:val="20"/>
          <w:szCs w:val="20"/>
          <w:color w:val="auto"/>
        </w:rPr>
      </w:pPr>
    </w:p>
    <w:p>
      <w:pPr>
        <w:ind w:left="1160" w:right="1199"/>
        <w:spacing w:after="0" w:line="263" w:lineRule="auto"/>
        <w:rPr>
          <w:sz w:val="20"/>
          <w:szCs w:val="20"/>
          <w:color w:val="auto"/>
        </w:rPr>
      </w:pPr>
      <w:r>
        <w:rPr>
          <w:rFonts w:ascii="Times New Roman" w:cs="Times New Roman" w:eastAsia="Times New Roman" w:hAnsi="Times New Roman"/>
          <w:sz w:val="14"/>
          <w:szCs w:val="14"/>
          <w:color w:val="auto"/>
        </w:rPr>
        <w:t>The limitation of liability, indemnification, and advancement provisions in our Articles of Incorporation and Bylaws may discourage stockholders from bringing a lawsuit against directors or officers for breach of their fiduciary duty. These provisions also may have the effect of reducing the likelihood of derivative litigation against directors and officers, even though such an action, if successful, might otherwise benefit us and our stockholders. In addition, our stockholders may be adversely affected to the extent we pay the costs of settlement and damage awards against directors and officers pursuant to these indemnification provisions.</w:t>
      </w:r>
    </w:p>
    <w:p>
      <w:pPr>
        <w:spacing w:after="0" w:line="14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The transfer agent and registrar for our common stock is Equiniti Trust Company, LLC.</w:t>
      </w:r>
    </w:p>
    <w:p>
      <w:pPr>
        <w:spacing w:after="0" w:line="1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1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Our common stock is listed on Nasdaq under the symbol “BTSG.”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1258570</wp:posOffset>
            </wp:positionV>
            <wp:extent cx="5603875" cy="387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7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6.75% TANGIBLE EQUITY UNITS</w:t>
      </w:r>
    </w:p>
    <w:p>
      <w:pPr>
        <w:spacing w:after="0" w:line="185" w:lineRule="exact"/>
        <w:rPr>
          <w:sz w:val="20"/>
          <w:szCs w:val="20"/>
          <w:color w:val="auto"/>
        </w:rPr>
      </w:pPr>
    </w:p>
    <w:p>
      <w:pPr>
        <w:ind w:left="1160" w:right="1599"/>
        <w:spacing w:after="0" w:line="292" w:lineRule="auto"/>
        <w:rPr>
          <w:sz w:val="20"/>
          <w:szCs w:val="20"/>
          <w:color w:val="auto"/>
        </w:rPr>
      </w:pPr>
      <w:r>
        <w:rPr>
          <w:rFonts w:ascii="Times New Roman" w:cs="Times New Roman" w:eastAsia="Times New Roman" w:hAnsi="Times New Roman"/>
          <w:sz w:val="14"/>
          <w:szCs w:val="14"/>
          <w:color w:val="auto"/>
        </w:rPr>
        <w:t>Concurrently with our initial public offering in January 2024, we issued 8,000,000 Units, which have a stated amount of $50.00.</w:t>
      </w:r>
    </w:p>
    <w:p>
      <w:pPr>
        <w:spacing w:after="0" w:line="124" w:lineRule="exact"/>
        <w:rPr>
          <w:sz w:val="20"/>
          <w:szCs w:val="20"/>
          <w:color w:val="auto"/>
        </w:rPr>
      </w:pPr>
    </w:p>
    <w:p>
      <w:pPr>
        <w:ind w:left="1160" w:right="1159"/>
        <w:spacing w:after="0" w:line="259" w:lineRule="auto"/>
        <w:rPr>
          <w:sz w:val="20"/>
          <w:szCs w:val="20"/>
          <w:color w:val="auto"/>
        </w:rPr>
      </w:pPr>
      <w:r>
        <w:rPr>
          <w:rFonts w:ascii="Times New Roman" w:cs="Times New Roman" w:eastAsia="Times New Roman" w:hAnsi="Times New Roman"/>
          <w:sz w:val="14"/>
          <w:szCs w:val="14"/>
          <w:color w:val="auto"/>
        </w:rPr>
        <w:t>Each Unit is comprised of two parts: (1) a prepaid stock purchase contract issued by the Company, which we refer to in this Exhibit as a purchase contract, and (2) a senior amortizing note issued by the Company, which we refer to in this Exhibit as an amortizing note. Unless settled earlier at the holder’s option or at our option, each purchase contract will, subject to postponement in certain limited circumstances, automatically settle on February 1, 2027 (such date, the “mandatory settlement date”), and the Company will deliver between 3.2733 and 3.8461 shares of our common stock per purchase contract, subject to certain anti-dilution adjustments, based upon the applicable settlement rate and applicable market value of our common stock. The number of shares of common stock issuable upon settlement will be determined based on the average volume weighted average price per share of our common stock over the 20 consecutive trading day period beginning on, and including, the 21st scheduled trading day immediately preceding the mandatory settlement date in accordance with the Purchase Contract Agreement. The maximum number of shares issuable upon automatic settlement of such purchase contracts based on the initial public offering price of $13.00 per share is 30,768,800 shares of common stock, subject to certain anti-dilution adjustments.</w:t>
      </w:r>
    </w:p>
    <w:p>
      <w:pPr>
        <w:spacing w:after="0" w:line="321" w:lineRule="exact"/>
        <w:rPr>
          <w:sz w:val="20"/>
          <w:szCs w:val="20"/>
          <w:color w:val="auto"/>
        </w:rPr>
      </w:pPr>
    </w:p>
    <w:p>
      <w:pPr>
        <w:ind w:left="1160" w:right="1259"/>
        <w:spacing w:after="0" w:line="260" w:lineRule="auto"/>
        <w:rPr>
          <w:sz w:val="20"/>
          <w:szCs w:val="20"/>
          <w:color w:val="auto"/>
        </w:rPr>
      </w:pPr>
      <w:r>
        <w:rPr>
          <w:rFonts w:ascii="Times New Roman" w:cs="Times New Roman" w:eastAsia="Times New Roman" w:hAnsi="Times New Roman"/>
          <w:sz w:val="14"/>
          <w:szCs w:val="14"/>
          <w:color w:val="auto"/>
        </w:rPr>
        <w:t>At any time prior to the second scheduled trading day immediately preceding February 1, 2027, holders of the purchase contracts may elect to settle purchase contracts early and the Company will deliver shares of our common stock at the minimum settlement rate of shares of our common stock per purchase contract, subject to certain anti-dilution adjustments. Upon early settlement at the holder’s election, the market value of our common stock on the early settlement date will not affect the early settlement rate and the corresponding amortizing note will remain outstanding. If holders elect to settle any purchase contracts early in connection with a fundamental change, such purchase contracts will be settled at the fundamental change early settlement rate, which may be greater than the minimum settlement rate. Upon early settlement in connection with a fundamental change, the corresponding amortizing note will remain outstanding.</w:t>
      </w:r>
    </w:p>
    <w:p>
      <w:pPr>
        <w:spacing w:after="0" w:line="149" w:lineRule="exact"/>
        <w:rPr>
          <w:sz w:val="20"/>
          <w:szCs w:val="20"/>
          <w:color w:val="auto"/>
        </w:rPr>
      </w:pPr>
    </w:p>
    <w:p>
      <w:pPr>
        <w:ind w:left="1160" w:right="1199"/>
        <w:spacing w:after="0" w:line="260" w:lineRule="auto"/>
        <w:rPr>
          <w:sz w:val="20"/>
          <w:szCs w:val="20"/>
          <w:color w:val="auto"/>
        </w:rPr>
      </w:pPr>
      <w:r>
        <w:rPr>
          <w:rFonts w:ascii="Times New Roman" w:cs="Times New Roman" w:eastAsia="Times New Roman" w:hAnsi="Times New Roman"/>
          <w:sz w:val="14"/>
          <w:szCs w:val="14"/>
          <w:color w:val="auto"/>
        </w:rPr>
        <w:t>On or after November 1, 2024, the Company may elect to settle all, but not less than all, outstanding purchase contracts at the maximum settlement rate per purchase contract unless the closing price per share of our common stock for at least 20 trading days (whether or not consecutive), including the trading day immediately preceding date we provide notice of our election to settle in a period of 30 consecutive trading days ending on, and including, the trading day immediately preceding such date of notice exceeds 130% of the threshold appreciation price in effect on each such trading day, in which case we may elect to settle at the minimum settlement rate, subject to certain anti-dilution adjustments. Upon early settlement at the Company’s election, holders will have the right to require the Company to repurchase their amortizing notes for cash at a price equal to the principal amount of such amortizing note, plus accrued and unpaid interest, calculated at an annual rate of 10.00%.</w:t>
      </w:r>
    </w:p>
    <w:p>
      <w:pPr>
        <w:spacing w:after="0" w:line="149" w:lineRule="exact"/>
        <w:rPr>
          <w:sz w:val="20"/>
          <w:szCs w:val="20"/>
          <w:color w:val="auto"/>
        </w:rPr>
      </w:pPr>
    </w:p>
    <w:p>
      <w:pPr>
        <w:ind w:left="1160" w:right="1399"/>
        <w:spacing w:after="0" w:line="292" w:lineRule="auto"/>
        <w:rPr>
          <w:sz w:val="20"/>
          <w:szCs w:val="20"/>
          <w:color w:val="auto"/>
        </w:rPr>
      </w:pPr>
      <w:r>
        <w:rPr>
          <w:rFonts w:ascii="Times New Roman" w:cs="Times New Roman" w:eastAsia="Times New Roman" w:hAnsi="Times New Roman"/>
          <w:sz w:val="14"/>
          <w:szCs w:val="14"/>
          <w:color w:val="auto"/>
        </w:rPr>
        <w:t>The amortizing notes have a specified initial principal amount and a specified interest rate and the Company will make specified payments of interest and partial repayments of principal on quarterly installment payment dates.</w:t>
      </w:r>
    </w:p>
    <w:p>
      <w:pPr>
        <w:spacing w:after="0" w:line="124" w:lineRule="exact"/>
        <w:rPr>
          <w:sz w:val="20"/>
          <w:szCs w:val="20"/>
          <w:color w:val="auto"/>
        </w:rPr>
      </w:pPr>
    </w:p>
    <w:p>
      <w:pPr>
        <w:ind w:left="1160" w:right="1219"/>
        <w:spacing w:after="0" w:line="260" w:lineRule="auto"/>
        <w:rPr>
          <w:sz w:val="20"/>
          <w:szCs w:val="20"/>
          <w:color w:val="auto"/>
        </w:rPr>
      </w:pPr>
      <w:r>
        <w:rPr>
          <w:rFonts w:ascii="Times New Roman" w:cs="Times New Roman" w:eastAsia="Times New Roman" w:hAnsi="Times New Roman"/>
          <w:sz w:val="14"/>
          <w:szCs w:val="14"/>
          <w:color w:val="auto"/>
        </w:rPr>
        <w:t>Each amortizing note has an initial principal amount of $8.6618, bears interest at the rate of 10.00% per annum and has a final installment payment date of February 1, 2027. On each February 1, May 1, August 1 and November 1, commencing on May 1, 2024, the Company pays equal quarterly cash installments of $0.8438 per amortizing note (except for the May 1, 2024 installment payment, which will be $0.8531 per amortizing note), which constitutes a payment of interest and a partial repayment of principal, and which cash payment in the aggregate per year is equivalent to 6.75% per year with respect to the $50.00 stated amount per Unit. The amortizing notes are the Company’s general unsecured senior obligations and will rank equally with all of our other existing and future unsecured senior indebtedness from time to time outstanding. The amortizing notes are not guaranteed by any of the Company’s subsidiaries and will be structurally subordinated to all existing and future indebtedness and other liabilities of the Company’s subsidiaries.</w:t>
      </w:r>
    </w:p>
    <w:p>
      <w:pPr>
        <w:spacing w:after="0" w:line="146" w:lineRule="exact"/>
        <w:rPr>
          <w:sz w:val="20"/>
          <w:szCs w:val="20"/>
          <w:color w:val="auto"/>
        </w:rPr>
      </w:pPr>
    </w:p>
    <w:p>
      <w:pPr>
        <w:ind w:left="1160" w:right="1279"/>
        <w:spacing w:after="0" w:line="292" w:lineRule="auto"/>
        <w:rPr>
          <w:sz w:val="20"/>
          <w:szCs w:val="20"/>
          <w:color w:val="auto"/>
        </w:rPr>
      </w:pPr>
      <w:r>
        <w:rPr>
          <w:rFonts w:ascii="Times New Roman" w:cs="Times New Roman" w:eastAsia="Times New Roman" w:hAnsi="Times New Roman"/>
          <w:sz w:val="14"/>
          <w:szCs w:val="14"/>
          <w:color w:val="auto"/>
        </w:rPr>
        <w:t>The Indenture contains customary terms and covenants, including that upon certain events of default occurring and continuing, either the trustee or the holders of not less than 25% in aggregate principal amount of the amortizing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675005</wp:posOffset>
            </wp:positionV>
            <wp:extent cx="5603875" cy="387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8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326" w:right="1440" w:bottom="1440" w:gutter="0" w:footer="0" w:header="0"/>
        </w:sectPr>
      </w:pPr>
    </w:p>
    <w:bookmarkStart w:id="151" w:name="page152"/>
    <w:bookmarkEnd w:id="151"/>
    <w:p>
      <w:pPr>
        <w:ind w:left="1160" w:right="1219"/>
        <w:spacing w:after="0" w:line="268" w:lineRule="auto"/>
        <w:rPr>
          <w:sz w:val="20"/>
          <w:szCs w:val="20"/>
          <w:color w:val="auto"/>
        </w:rPr>
      </w:pPr>
      <w:r>
        <w:rPr>
          <w:rFonts w:ascii="Times New Roman" w:cs="Times New Roman" w:eastAsia="Times New Roman" w:hAnsi="Times New Roman"/>
          <w:sz w:val="14"/>
          <w:szCs w:val="14"/>
          <w:color w:val="auto"/>
        </w:rPr>
        <w:t>notes then outstanding may declare the unpaid principal of the amortizing notes and any accrued and unpaid interest thereon immediately due and payable. In the case of certain events of bankruptcy, insolvency, or reorganization relating to the Company, the principal amount of the amortizing notes together with any accrued and unpaid interest thereon will become due and payable.</w:t>
      </w:r>
    </w:p>
    <w:p>
      <w:pPr>
        <w:spacing w:after="0" w:line="140" w:lineRule="exact"/>
        <w:rPr>
          <w:sz w:val="20"/>
          <w:szCs w:val="20"/>
          <w:color w:val="auto"/>
        </w:rPr>
      </w:pPr>
    </w:p>
    <w:p>
      <w:pPr>
        <w:ind w:left="1160" w:right="1219"/>
        <w:spacing w:after="0" w:line="268" w:lineRule="auto"/>
        <w:rPr>
          <w:sz w:val="20"/>
          <w:szCs w:val="20"/>
          <w:color w:val="auto"/>
        </w:rPr>
      </w:pPr>
      <w:r>
        <w:rPr>
          <w:rFonts w:ascii="Times New Roman" w:cs="Times New Roman" w:eastAsia="Times New Roman" w:hAnsi="Times New Roman"/>
          <w:sz w:val="14"/>
          <w:szCs w:val="14"/>
          <w:color w:val="auto"/>
        </w:rPr>
        <w:t>The Units trade on Nasdaq under the trading symbol “BTSGU.” Each Unit may be separated into its constituent purchase contract and amortizing note, and the separate components may be combined to create a Unit, in each case in accordance with the Purchase Contract Agreement. The Company has not applied to list the separate purchase contracts or the separate amortizing notes on any securities exchange or automated inter-dealer quotation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685800</wp:posOffset>
            </wp:positionV>
            <wp:extent cx="5603875" cy="387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8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52" w:name="page153"/>
    <w:bookmarkEnd w:id="152"/>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Exhibit 10.23</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T</w:t>
      </w:r>
      <w:r>
        <w:rPr>
          <w:rFonts w:ascii="Times New Roman" w:cs="Times New Roman" w:eastAsia="Times New Roman" w:hAnsi="Times New Roman"/>
          <w:sz w:val="16"/>
          <w:szCs w:val="16"/>
          <w:b w:val="1"/>
          <w:bCs w:val="1"/>
          <w:color w:val="auto"/>
        </w:rPr>
        <w:t>ransition</w:t>
      </w:r>
      <w:r>
        <w:rPr>
          <w:rFonts w:ascii="Times New Roman" w:cs="Times New Roman" w:eastAsia="Times New Roman" w:hAnsi="Times New Roman"/>
          <w:sz w:val="23"/>
          <w:szCs w:val="23"/>
          <w:b w:val="1"/>
          <w:bCs w:val="1"/>
          <w:color w:val="auto"/>
        </w:rPr>
        <w:t xml:space="preserve"> A</w:t>
      </w:r>
      <w:r>
        <w:rPr>
          <w:rFonts w:ascii="Times New Roman" w:cs="Times New Roman" w:eastAsia="Times New Roman" w:hAnsi="Times New Roman"/>
          <w:sz w:val="16"/>
          <w:szCs w:val="16"/>
          <w:b w:val="1"/>
          <w:bCs w:val="1"/>
          <w:color w:val="auto"/>
        </w:rPr>
        <w:t>greement and</w:t>
      </w:r>
      <w:r>
        <w:rPr>
          <w:rFonts w:ascii="Times New Roman" w:cs="Times New Roman" w:eastAsia="Times New Roman" w:hAnsi="Times New Roman"/>
          <w:sz w:val="23"/>
          <w:szCs w:val="23"/>
          <w:b w:val="1"/>
          <w:bCs w:val="1"/>
          <w:color w:val="auto"/>
        </w:rPr>
        <w:t xml:space="preserve"> R</w:t>
      </w:r>
      <w:r>
        <w:rPr>
          <w:rFonts w:ascii="Times New Roman" w:cs="Times New Roman" w:eastAsia="Times New Roman" w:hAnsi="Times New Roman"/>
          <w:sz w:val="16"/>
          <w:szCs w:val="16"/>
          <w:b w:val="1"/>
          <w:bCs w:val="1"/>
          <w:color w:val="auto"/>
        </w:rPr>
        <w:t>elease</w:t>
      </w:r>
    </w:p>
    <w:p>
      <w:pPr>
        <w:spacing w:after="0" w:line="181" w:lineRule="exact"/>
        <w:rPr>
          <w:sz w:val="20"/>
          <w:szCs w:val="20"/>
          <w:color w:val="auto"/>
        </w:rPr>
      </w:pPr>
    </w:p>
    <w:p>
      <w:pPr>
        <w:jc w:val="both"/>
        <w:ind w:left="1100" w:right="1119" w:firstLine="515"/>
        <w:spacing w:after="0" w:line="250" w:lineRule="auto"/>
        <w:rPr>
          <w:sz w:val="20"/>
          <w:szCs w:val="20"/>
          <w:color w:val="auto"/>
        </w:rPr>
      </w:pPr>
      <w:r>
        <w:rPr>
          <w:rFonts w:ascii="Times New Roman" w:cs="Times New Roman" w:eastAsia="Times New Roman" w:hAnsi="Times New Roman"/>
          <w:sz w:val="17"/>
          <w:szCs w:val="17"/>
          <w:color w:val="auto"/>
        </w:rPr>
        <w:t>THIS TRANSITION AGREEMENT AND RELEASE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is entered into by and between PharMerica Corporation, a Delaware corporation (“</w:t>
      </w:r>
      <w:r>
        <w:rPr>
          <w:rFonts w:ascii="Times New Roman" w:cs="Times New Roman" w:eastAsia="Times New Roman" w:hAnsi="Times New Roman"/>
          <w:sz w:val="17"/>
          <w:szCs w:val="17"/>
          <w:b w:val="1"/>
          <w:bCs w:val="1"/>
          <w:color w:val="auto"/>
        </w:rPr>
        <w:t>PharMerica</w:t>
      </w:r>
      <w:r>
        <w:rPr>
          <w:rFonts w:ascii="Times New Roman" w:cs="Times New Roman" w:eastAsia="Times New Roman" w:hAnsi="Times New Roman"/>
          <w:sz w:val="17"/>
          <w:szCs w:val="17"/>
          <w:color w:val="auto"/>
        </w:rPr>
        <w:t>”), and Jennifer Yowler, a resident of the State of Ohio (“</w:t>
      </w:r>
      <w:r>
        <w:rPr>
          <w:rFonts w:ascii="Times New Roman" w:cs="Times New Roman" w:eastAsia="Times New Roman" w:hAnsi="Times New Roman"/>
          <w:sz w:val="17"/>
          <w:szCs w:val="17"/>
          <w:b w:val="1"/>
          <w:bCs w:val="1"/>
          <w:color w:val="auto"/>
        </w:rPr>
        <w:t>Executive</w:t>
      </w:r>
      <w:r>
        <w:rPr>
          <w:rFonts w:ascii="Times New Roman" w:cs="Times New Roman" w:eastAsia="Times New Roman" w:hAnsi="Times New Roman"/>
          <w:sz w:val="17"/>
          <w:szCs w:val="17"/>
          <w:color w:val="auto"/>
        </w:rPr>
        <w:t>”), (each individually referred to as “</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and collectively referred to as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w:t>
      </w:r>
    </w:p>
    <w:p>
      <w:pPr>
        <w:spacing w:after="0" w:line="49" w:lineRule="exact"/>
        <w:rPr>
          <w:sz w:val="20"/>
          <w:szCs w:val="20"/>
          <w:color w:val="auto"/>
        </w:rPr>
      </w:pPr>
    </w:p>
    <w:p>
      <w:pPr>
        <w:jc w:val="both"/>
        <w:ind w:left="1100" w:right="1119" w:firstLine="515"/>
        <w:spacing w:after="0" w:line="248" w:lineRule="auto"/>
        <w:rPr>
          <w:sz w:val="20"/>
          <w:szCs w:val="20"/>
          <w:color w:val="auto"/>
        </w:rPr>
      </w:pPr>
      <w:r>
        <w:rPr>
          <w:rFonts w:ascii="Times New Roman" w:cs="Times New Roman" w:eastAsia="Times New Roman" w:hAnsi="Times New Roman"/>
          <w:sz w:val="17"/>
          <w:szCs w:val="17"/>
          <w:color w:val="auto"/>
        </w:rPr>
        <w:t>WHEREAS, Executive is a party to that certain Employment Agreement between Executive and PharMerica made effective May 4, 2019, as amended by that letter agreement dated March 18, 2022 (the “</w:t>
      </w:r>
      <w:r>
        <w:rPr>
          <w:rFonts w:ascii="Times New Roman" w:cs="Times New Roman" w:eastAsia="Times New Roman" w:hAnsi="Times New Roman"/>
          <w:sz w:val="17"/>
          <w:szCs w:val="17"/>
          <w:b w:val="1"/>
          <w:bCs w:val="1"/>
          <w:color w:val="auto"/>
        </w:rPr>
        <w:t>Original Employment Agreement</w:t>
      </w:r>
      <w:r>
        <w:rPr>
          <w:rFonts w:ascii="Times New Roman" w:cs="Times New Roman" w:eastAsia="Times New Roman" w:hAnsi="Times New Roman"/>
          <w:sz w:val="17"/>
          <w:szCs w:val="17"/>
          <w:color w:val="auto"/>
        </w:rPr>
        <w:t>” and, as modified by this Agreement, the “</w:t>
      </w:r>
      <w:r>
        <w:rPr>
          <w:rFonts w:ascii="Times New Roman" w:cs="Times New Roman" w:eastAsia="Times New Roman" w:hAnsi="Times New Roman"/>
          <w:sz w:val="17"/>
          <w:szCs w:val="17"/>
          <w:b w:val="1"/>
          <w:bCs w:val="1"/>
          <w:color w:val="auto"/>
        </w:rPr>
        <w:t>Employment Agreement</w:t>
      </w:r>
      <w:r>
        <w:rPr>
          <w:rFonts w:ascii="Times New Roman" w:cs="Times New Roman" w:eastAsia="Times New Roman" w:hAnsi="Times New Roman"/>
          <w:sz w:val="17"/>
          <w:szCs w:val="17"/>
          <w:color w:val="auto"/>
        </w:rPr>
        <w:t>”);</w:t>
      </w:r>
    </w:p>
    <w:p>
      <w:pPr>
        <w:spacing w:after="0" w:line="51" w:lineRule="exact"/>
        <w:rPr>
          <w:sz w:val="20"/>
          <w:szCs w:val="20"/>
          <w:color w:val="auto"/>
        </w:rPr>
      </w:pPr>
    </w:p>
    <w:p>
      <w:pPr>
        <w:jc w:val="both"/>
        <w:ind w:left="1100" w:right="1119" w:firstLine="515"/>
        <w:spacing w:after="0" w:line="254" w:lineRule="auto"/>
        <w:rPr>
          <w:sz w:val="20"/>
          <w:szCs w:val="20"/>
          <w:color w:val="auto"/>
        </w:rPr>
      </w:pPr>
      <w:r>
        <w:rPr>
          <w:rFonts w:ascii="Times New Roman" w:cs="Times New Roman" w:eastAsia="Times New Roman" w:hAnsi="Times New Roman"/>
          <w:sz w:val="17"/>
          <w:szCs w:val="17"/>
          <w:color w:val="auto"/>
        </w:rPr>
        <w:t>WHEREAS, Executive and PharMerica have agreed that Executive will voluntarily resign from the role of President of PharMerica and assume the role of Senior Vice President Sales and Account Management of PharMerica;</w:t>
      </w:r>
    </w:p>
    <w:p>
      <w:pPr>
        <w:spacing w:after="0" w:line="45" w:lineRule="exact"/>
        <w:rPr>
          <w:sz w:val="20"/>
          <w:szCs w:val="20"/>
          <w:color w:val="auto"/>
        </w:rPr>
      </w:pPr>
    </w:p>
    <w:p>
      <w:pPr>
        <w:jc w:val="both"/>
        <w:ind w:left="1100" w:right="1119" w:firstLine="515"/>
        <w:spacing w:after="0" w:line="254" w:lineRule="auto"/>
        <w:rPr>
          <w:sz w:val="20"/>
          <w:szCs w:val="20"/>
          <w:color w:val="auto"/>
        </w:rPr>
      </w:pPr>
      <w:r>
        <w:rPr>
          <w:rFonts w:ascii="Times New Roman" w:cs="Times New Roman" w:eastAsia="Times New Roman" w:hAnsi="Times New Roman"/>
          <w:sz w:val="17"/>
          <w:szCs w:val="17"/>
          <w:color w:val="auto"/>
        </w:rPr>
        <w:t>WHEREAS, PharMerica desires to provide for an orderly transition of Executive’s duties and responsibilities as President and Executive desires to assist PharMerica and its affiliates in realizing an orderly transition; and</w:t>
      </w:r>
    </w:p>
    <w:p>
      <w:pPr>
        <w:spacing w:after="0" w:line="45" w:lineRule="exact"/>
        <w:rPr>
          <w:sz w:val="20"/>
          <w:szCs w:val="20"/>
          <w:color w:val="auto"/>
        </w:rPr>
      </w:pPr>
    </w:p>
    <w:p>
      <w:pPr>
        <w:jc w:val="both"/>
        <w:ind w:left="1100" w:right="1099" w:firstLine="515"/>
        <w:spacing w:after="0" w:line="244" w:lineRule="auto"/>
        <w:rPr>
          <w:sz w:val="20"/>
          <w:szCs w:val="20"/>
          <w:color w:val="auto"/>
        </w:rPr>
      </w:pPr>
      <w:r>
        <w:rPr>
          <w:rFonts w:ascii="Times New Roman" w:cs="Times New Roman" w:eastAsia="Times New Roman" w:hAnsi="Times New Roman"/>
          <w:sz w:val="17"/>
          <w:szCs w:val="17"/>
          <w:color w:val="auto"/>
        </w:rPr>
        <w:t>WHEREAS, Executive and PharMerica have negotiated and reached an agreement with respect to all rights, duties, and obligations arising between them, including, but in no way limited to any rights, duties, and obligations that have arisen or might arise out of or are in any way related to Executive’s continued employment and change in title, duties and responsibilities with PharMerica and the amendment of the Employment Agreement in conformance with such aforementioned terms and conditions;</w:t>
      </w:r>
    </w:p>
    <w:p>
      <w:pPr>
        <w:spacing w:after="0" w:line="53" w:lineRule="exact"/>
        <w:rPr>
          <w:sz w:val="20"/>
          <w:szCs w:val="20"/>
          <w:color w:val="auto"/>
        </w:rPr>
      </w:pPr>
    </w:p>
    <w:p>
      <w:pPr>
        <w:jc w:val="both"/>
        <w:ind w:left="1100" w:right="1119" w:firstLine="515"/>
        <w:spacing w:after="0" w:line="271" w:lineRule="auto"/>
        <w:rPr>
          <w:sz w:val="20"/>
          <w:szCs w:val="20"/>
          <w:color w:val="auto"/>
        </w:rPr>
      </w:pPr>
      <w:r>
        <w:rPr>
          <w:rFonts w:ascii="Times New Roman" w:cs="Times New Roman" w:eastAsia="Times New Roman" w:hAnsi="Times New Roman"/>
          <w:sz w:val="17"/>
          <w:szCs w:val="17"/>
          <w:color w:val="auto"/>
        </w:rPr>
        <w:t>NOW THEREFORE, in consideration of the covenants and mutual promises recited below, the parties agree as follows:</w:t>
      </w:r>
    </w:p>
    <w:p>
      <w:pPr>
        <w:spacing w:after="0" w:line="27" w:lineRule="exact"/>
        <w:rPr>
          <w:sz w:val="20"/>
          <w:szCs w:val="20"/>
          <w:color w:val="auto"/>
        </w:rPr>
      </w:pPr>
    </w:p>
    <w:p>
      <w:pPr>
        <w:jc w:val="both"/>
        <w:ind w:left="1160" w:right="1119" w:firstLine="519"/>
        <w:spacing w:after="0" w:line="244" w:lineRule="auto"/>
        <w:tabs>
          <w:tab w:leader="none" w:pos="1884" w:val="left"/>
        </w:tabs>
        <w:numPr>
          <w:ilvl w:val="1"/>
          <w:numId w:val="5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DEFINITIONS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Throughout this Agreement, the term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used alone, shall include each and all of the following: (a) BrightSpring Health Services, Inc., a Delaware corporation (“</w:t>
      </w:r>
      <w:r>
        <w:rPr>
          <w:rFonts w:ascii="Times New Roman" w:cs="Times New Roman" w:eastAsia="Times New Roman" w:hAnsi="Times New Roman"/>
          <w:sz w:val="17"/>
          <w:szCs w:val="17"/>
          <w:b w:val="1"/>
          <w:bCs w:val="1"/>
          <w:color w:val="auto"/>
        </w:rPr>
        <w:t>BrightSpring</w:t>
      </w:r>
      <w:r>
        <w:rPr>
          <w:rFonts w:ascii="Times New Roman" w:cs="Times New Roman" w:eastAsia="Times New Roman" w:hAnsi="Times New Roman"/>
          <w:sz w:val="17"/>
          <w:szCs w:val="17"/>
          <w:color w:val="auto"/>
        </w:rPr>
        <w:t>”); (b) PharMerica; (c) any direct or indirect subsidiary, parent organization, affiliated entity, related entity, or division of BrightSpring and/or PharMerica; and</w:t>
      </w:r>
    </w:p>
    <w:p>
      <w:pPr>
        <w:jc w:val="both"/>
        <w:ind w:left="1160" w:right="1099" w:firstLine="7"/>
        <w:spacing w:after="0" w:line="238" w:lineRule="auto"/>
        <w:tabs>
          <w:tab w:leader="none" w:pos="1474"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current or former officer, director, manager, trustee, agent, employee, member, shareholder, representative, insurer, or employee benefit or welfare program or plan (including the administrators, trustees, fiduciaries, and insurers of such program or plan) of an entity referenced in or encompassed by Subsection 1(a), 1(b), 1(c). Throughout this Agreement, the term “</w:t>
      </w:r>
      <w:r>
        <w:rPr>
          <w:rFonts w:ascii="Times New Roman" w:cs="Times New Roman" w:eastAsia="Times New Roman" w:hAnsi="Times New Roman"/>
          <w:sz w:val="17"/>
          <w:szCs w:val="17"/>
          <w:b w:val="1"/>
          <w:bCs w:val="1"/>
          <w:color w:val="auto"/>
        </w:rPr>
        <w:t>Restrictive Covenants</w:t>
      </w:r>
      <w:r>
        <w:rPr>
          <w:rFonts w:ascii="Times New Roman" w:cs="Times New Roman" w:eastAsia="Times New Roman" w:hAnsi="Times New Roman"/>
          <w:sz w:val="17"/>
          <w:szCs w:val="17"/>
          <w:color w:val="auto"/>
        </w:rPr>
        <w:t>” shall encompass all covenants of non-disparagement, non-competition, non-solicitation and confidentiality contained in any document agreed to and executed by Executive, including, but not limited to, the Employment Agreement, the Confidentiality, Non-Interference and Invention Assignment Agreement, and any Stock Incentive Plans. For purposes of this Agreement, the term “</w:t>
      </w:r>
      <w:r>
        <w:rPr>
          <w:rFonts w:ascii="Times New Roman" w:cs="Times New Roman" w:eastAsia="Times New Roman" w:hAnsi="Times New Roman"/>
          <w:sz w:val="17"/>
          <w:szCs w:val="17"/>
          <w:b w:val="1"/>
          <w:bCs w:val="1"/>
          <w:color w:val="auto"/>
        </w:rPr>
        <w:t>Stock Incentive Plans</w:t>
      </w:r>
      <w:r>
        <w:rPr>
          <w:rFonts w:ascii="Times New Roman" w:cs="Times New Roman" w:eastAsia="Times New Roman" w:hAnsi="Times New Roman"/>
          <w:sz w:val="17"/>
          <w:szCs w:val="17"/>
          <w:color w:val="auto"/>
        </w:rPr>
        <w:t>” means, collectively, the 2017 Plan Documents (as defined below) and the 2024 Plan Documents (as defined below). Any capitalized term used herein and not defined herein shall have the meaning ascribed to such term in the Original Employment Agreement.</w:t>
      </w:r>
    </w:p>
    <w:p>
      <w:pPr>
        <w:spacing w:after="0" w:line="61" w:lineRule="exact"/>
        <w:rPr>
          <w:rFonts w:ascii="Times New Roman" w:cs="Times New Roman" w:eastAsia="Times New Roman" w:hAnsi="Times New Roman"/>
          <w:sz w:val="17"/>
          <w:szCs w:val="17"/>
          <w:color w:val="auto"/>
        </w:rPr>
      </w:pPr>
    </w:p>
    <w:p>
      <w:pPr>
        <w:ind w:left="2200" w:hanging="521"/>
        <w:spacing w:after="0"/>
        <w:tabs>
          <w:tab w:leader="none" w:pos="2200" w:val="left"/>
        </w:tabs>
        <w:numPr>
          <w:ilvl w:val="1"/>
          <w:numId w:val="6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EMPLOYMENT AGREEMENT AMENDMENTS.</w:t>
      </w:r>
    </w:p>
    <w:p>
      <w:pPr>
        <w:spacing w:after="0" w:line="80" w:lineRule="exact"/>
        <w:rPr>
          <w:sz w:val="20"/>
          <w:szCs w:val="20"/>
          <w:color w:val="auto"/>
        </w:rPr>
      </w:pPr>
    </w:p>
    <w:p>
      <w:pPr>
        <w:jc w:val="both"/>
        <w:ind w:left="1620" w:right="1119" w:firstLine="515"/>
        <w:spacing w:after="0" w:line="250" w:lineRule="auto"/>
        <w:rPr>
          <w:sz w:val="20"/>
          <w:szCs w:val="20"/>
          <w:color w:val="auto"/>
        </w:rPr>
      </w:pPr>
      <w:r>
        <w:rPr>
          <w:rFonts w:ascii="Times New Roman" w:cs="Times New Roman" w:eastAsia="Times New Roman" w:hAnsi="Times New Roman"/>
          <w:sz w:val="17"/>
          <w:szCs w:val="17"/>
          <w:color w:val="010000"/>
        </w:rPr>
        <w:t>(a)</w:t>
      </w:r>
      <w:r>
        <w:rPr>
          <w:rFonts w:ascii="Times New Roman" w:cs="Times New Roman" w:eastAsia="Times New Roman" w:hAnsi="Times New Roman"/>
          <w:sz w:val="17"/>
          <w:szCs w:val="17"/>
          <w:color w:val="000000"/>
        </w:rPr>
        <w:t>Effective as of June 16, 2025 (the “</w:t>
      </w:r>
      <w:r>
        <w:rPr>
          <w:rFonts w:ascii="Times New Roman" w:cs="Times New Roman" w:eastAsia="Times New Roman" w:hAnsi="Times New Roman"/>
          <w:sz w:val="17"/>
          <w:szCs w:val="17"/>
          <w:b w:val="1"/>
          <w:bCs w:val="1"/>
          <w:color w:val="000000"/>
        </w:rPr>
        <w:t>Transition Date</w:t>
      </w:r>
      <w:r>
        <w:rPr>
          <w:rFonts w:ascii="Times New Roman" w:cs="Times New Roman" w:eastAsia="Times New Roman" w:hAnsi="Times New Roman"/>
          <w:sz w:val="17"/>
          <w:szCs w:val="17"/>
          <w:color w:val="000000"/>
        </w:rPr>
        <w:t>”), the first sentence of</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Section 1 of the Original Employment Agreement is hereby amended and restated as follows: “1. Employment. As of June 16, 2025 (the “Transition Date”), the Employee shall serve as Senior Vice President Sales and Account Management for the Company.”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406400</wp:posOffset>
            </wp:positionV>
            <wp:extent cx="5603875" cy="387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8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53" w:name="page154"/>
    <w:bookmarkEnd w:id="153"/>
    <w:p>
      <w:pPr>
        <w:jc w:val="both"/>
        <w:ind w:left="1620" w:right="1119"/>
        <w:spacing w:after="0" w:line="254" w:lineRule="auto"/>
        <w:rPr>
          <w:sz w:val="20"/>
          <w:szCs w:val="20"/>
          <w:color w:val="auto"/>
        </w:rPr>
      </w:pPr>
      <w:r>
        <w:rPr>
          <w:rFonts w:ascii="Times New Roman" w:cs="Times New Roman" w:eastAsia="Times New Roman" w:hAnsi="Times New Roman"/>
          <w:sz w:val="17"/>
          <w:szCs w:val="17"/>
          <w:color w:val="auto"/>
        </w:rPr>
        <w:t>words Sr. Vice President and Chief Financial Officer in section 1 of the Original Employment Agreement is hereby amended and restated to read “Senior Vice President Sales and Account Management”.</w:t>
      </w:r>
    </w:p>
    <w:p>
      <w:pPr>
        <w:spacing w:after="0" w:line="45" w:lineRule="exact"/>
        <w:rPr>
          <w:sz w:val="20"/>
          <w:szCs w:val="20"/>
          <w:color w:val="auto"/>
        </w:rPr>
      </w:pPr>
    </w:p>
    <w:p>
      <w:pPr>
        <w:jc w:val="both"/>
        <w:ind w:left="1620" w:right="1119" w:firstLine="515"/>
        <w:spacing w:after="0" w:line="244" w:lineRule="auto"/>
        <w:rPr>
          <w:sz w:val="20"/>
          <w:szCs w:val="20"/>
          <w:color w:val="auto"/>
        </w:rPr>
      </w:pPr>
      <w:r>
        <w:rPr>
          <w:rFonts w:ascii="Times New Roman" w:cs="Times New Roman" w:eastAsia="Times New Roman" w:hAnsi="Times New Roman"/>
          <w:sz w:val="17"/>
          <w:szCs w:val="17"/>
          <w:color w:val="010000"/>
        </w:rPr>
        <w:t>(b)</w:t>
      </w:r>
      <w:r>
        <w:rPr>
          <w:rFonts w:ascii="Times New Roman" w:cs="Times New Roman" w:eastAsia="Times New Roman" w:hAnsi="Times New Roman"/>
          <w:sz w:val="17"/>
          <w:szCs w:val="17"/>
          <w:color w:val="000000"/>
        </w:rPr>
        <w:t>Effective as of the Transition Date, the first sentence of Section 3 of the Original</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Employment Agreement is hereby amended and restated to read as follows: “Beginning on the Transition Date and continuing until December 31, 2025, the Company shall continue to pay to the Employee the current annual salary and thereafter the Employee’s annual salary shall be $365,393.00 (the “Base Salary”), subject to applicable federal, state and local tax withholding.”</w:t>
      </w:r>
    </w:p>
    <w:p>
      <w:pPr>
        <w:spacing w:after="0" w:line="53" w:lineRule="exact"/>
        <w:rPr>
          <w:sz w:val="20"/>
          <w:szCs w:val="20"/>
          <w:color w:val="auto"/>
        </w:rPr>
      </w:pPr>
    </w:p>
    <w:p>
      <w:pPr>
        <w:jc w:val="both"/>
        <w:ind w:left="1620" w:right="1119" w:firstLine="515"/>
        <w:spacing w:after="0"/>
        <w:rPr>
          <w:sz w:val="20"/>
          <w:szCs w:val="20"/>
          <w:color w:val="auto"/>
        </w:rPr>
      </w:pPr>
      <w:r>
        <w:rPr>
          <w:rFonts w:ascii="Times New Roman" w:cs="Times New Roman" w:eastAsia="Times New Roman" w:hAnsi="Times New Roman"/>
          <w:sz w:val="17"/>
          <w:szCs w:val="17"/>
          <w:color w:val="010000"/>
        </w:rPr>
        <w:t>(c)</w:t>
      </w:r>
      <w:r>
        <w:rPr>
          <w:rFonts w:ascii="Times New Roman" w:cs="Times New Roman" w:eastAsia="Times New Roman" w:hAnsi="Times New Roman"/>
          <w:sz w:val="17"/>
          <w:szCs w:val="17"/>
          <w:color w:val="000000"/>
        </w:rPr>
        <w:t>Effective as of the Transition Date, the defined term “Business” as set forth in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Section 11 of the Original Agreement is hereby amended and restated to read as follows: “The “Business” means shall mean (i) the provision of pharmacy services to skilled nursing homes, assisted living facilities, hospitals, group homes (e.g., related to intellectual or developmental disability clients and/or residents), drug treatment and mental health centers and other institutional settings; (ii) the provision of pharmacy services to individuals directly in the home, for self-administration, hospice, infusion in the home, or otherwise, or directly in the physician or clinic setting; (iii) the provision of services in the specialty pharmacy market; and (iv) the provision of services related to any pharmacy business activity that is materially competitive with the then current or demonstrably planned business activities of the Company or any of the Affiliated Companies.”</w:t>
      </w:r>
    </w:p>
    <w:p>
      <w:pPr>
        <w:spacing w:after="0" w:line="62" w:lineRule="exact"/>
        <w:rPr>
          <w:sz w:val="20"/>
          <w:szCs w:val="20"/>
          <w:color w:val="auto"/>
        </w:rPr>
      </w:pPr>
    </w:p>
    <w:p>
      <w:pPr>
        <w:ind w:left="2200" w:hanging="521"/>
        <w:spacing w:after="0"/>
        <w:tabs>
          <w:tab w:leader="none" w:pos="2200" w:val="left"/>
        </w:tabs>
        <w:numPr>
          <w:ilvl w:val="0"/>
          <w:numId w:val="6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INTENTIONALLY OMITTED.</w:t>
      </w:r>
    </w:p>
    <w:p>
      <w:pPr>
        <w:spacing w:after="0" w:line="83" w:lineRule="exact"/>
        <w:rPr>
          <w:rFonts w:ascii="Times New Roman" w:cs="Times New Roman" w:eastAsia="Times New Roman" w:hAnsi="Times New Roman"/>
          <w:sz w:val="17"/>
          <w:szCs w:val="17"/>
          <w:color w:val="010000"/>
        </w:rPr>
      </w:pPr>
    </w:p>
    <w:p>
      <w:pPr>
        <w:ind w:left="2200" w:hanging="521"/>
        <w:spacing w:after="0"/>
        <w:tabs>
          <w:tab w:leader="none" w:pos="2200" w:val="left"/>
        </w:tabs>
        <w:numPr>
          <w:ilvl w:val="0"/>
          <w:numId w:val="6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ENHANCED SEPARATION PAYMENT.</w:t>
      </w:r>
    </w:p>
    <w:p>
      <w:pPr>
        <w:spacing w:after="0" w:line="84" w:lineRule="exact"/>
        <w:rPr>
          <w:sz w:val="20"/>
          <w:szCs w:val="20"/>
          <w:color w:val="auto"/>
        </w:rPr>
      </w:pPr>
    </w:p>
    <w:p>
      <w:pPr>
        <w:jc w:val="both"/>
        <w:ind w:left="1620" w:right="1119" w:firstLine="515"/>
        <w:spacing w:after="0"/>
        <w:rPr>
          <w:sz w:val="20"/>
          <w:szCs w:val="20"/>
          <w:color w:val="auto"/>
        </w:rPr>
      </w:pPr>
      <w:r>
        <w:rPr>
          <w:rFonts w:ascii="Times New Roman" w:cs="Times New Roman" w:eastAsia="Times New Roman" w:hAnsi="Times New Roman"/>
          <w:sz w:val="17"/>
          <w:szCs w:val="17"/>
          <w:color w:val="010000"/>
        </w:rPr>
        <w:t>(a)</w:t>
      </w:r>
      <w:r>
        <w:rPr>
          <w:rFonts w:ascii="Times New Roman" w:cs="Times New Roman" w:eastAsia="Times New Roman" w:hAnsi="Times New Roman"/>
          <w:sz w:val="17"/>
          <w:szCs w:val="17"/>
          <w:color w:val="000000"/>
        </w:rPr>
        <w:t>If Executive’s employment with Company ceases on or before September 30,</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2027 (the “</w:t>
      </w:r>
      <w:r>
        <w:rPr>
          <w:rFonts w:ascii="Times New Roman" w:cs="Times New Roman" w:eastAsia="Times New Roman" w:hAnsi="Times New Roman"/>
          <w:sz w:val="17"/>
          <w:szCs w:val="17"/>
          <w:b w:val="1"/>
          <w:bCs w:val="1"/>
          <w:color w:val="000000"/>
        </w:rPr>
        <w:t>Separation Date</w:t>
      </w:r>
      <w:r>
        <w:rPr>
          <w:rFonts w:ascii="Times New Roman" w:cs="Times New Roman" w:eastAsia="Times New Roman" w:hAnsi="Times New Roman"/>
          <w:sz w:val="17"/>
          <w:szCs w:val="17"/>
          <w:color w:val="000000"/>
        </w:rPr>
        <w:t>”) as a result of termination by Company without Cause or resignation by Executive (with or without Good Reason and at a time when Company does not have Cause to terminate Executive) (the “</w:t>
      </w:r>
      <w:r>
        <w:rPr>
          <w:rFonts w:ascii="Times New Roman" w:cs="Times New Roman" w:eastAsia="Times New Roman" w:hAnsi="Times New Roman"/>
          <w:sz w:val="17"/>
          <w:szCs w:val="17"/>
          <w:b w:val="1"/>
          <w:bCs w:val="1"/>
          <w:color w:val="000000"/>
        </w:rPr>
        <w:t>Separation</w:t>
      </w:r>
      <w:r>
        <w:rPr>
          <w:rFonts w:ascii="Times New Roman" w:cs="Times New Roman" w:eastAsia="Times New Roman" w:hAnsi="Times New Roman"/>
          <w:sz w:val="17"/>
          <w:szCs w:val="17"/>
          <w:color w:val="000000"/>
        </w:rPr>
        <w:t>”), then notwithstanding anything to the contrary contained in Section 7 of the Original Employment Agreement, if the provisions and conditions contained in Section 7 of the Original Employment Agreement and in this Section 4 and Section 5 of this Agreement are met, then the provisions of Section 5 of this Agreement, and not Section 7 of the Original Employment Agreement, will be applicable as a result of such Separation. As of the Separation Date, Executive shall incur a separation from service from Company within the meaning of Section 409A of the Internal Revenue Code of 1986, as amended (the “</w:t>
      </w:r>
      <w:r>
        <w:rPr>
          <w:rFonts w:ascii="Times New Roman" w:cs="Times New Roman" w:eastAsia="Times New Roman" w:hAnsi="Times New Roman"/>
          <w:sz w:val="17"/>
          <w:szCs w:val="17"/>
          <w:b w:val="1"/>
          <w:bCs w:val="1"/>
          <w:color w:val="000000"/>
        </w:rPr>
        <w:t>Code</w:t>
      </w:r>
      <w:r>
        <w:rPr>
          <w:rFonts w:ascii="Times New Roman" w:cs="Times New Roman" w:eastAsia="Times New Roman" w:hAnsi="Times New Roman"/>
          <w:sz w:val="17"/>
          <w:szCs w:val="17"/>
          <w:color w:val="000000"/>
        </w:rPr>
        <w:t>”).</w:t>
      </w:r>
    </w:p>
    <w:p>
      <w:pPr>
        <w:spacing w:after="0" w:line="62" w:lineRule="exact"/>
        <w:rPr>
          <w:sz w:val="20"/>
          <w:szCs w:val="20"/>
          <w:color w:val="auto"/>
        </w:rPr>
      </w:pPr>
    </w:p>
    <w:p>
      <w:pPr>
        <w:jc w:val="both"/>
        <w:ind w:left="1620" w:right="1119" w:firstLine="515"/>
        <w:spacing w:after="0"/>
        <w:rPr>
          <w:sz w:val="20"/>
          <w:szCs w:val="20"/>
          <w:color w:val="auto"/>
        </w:rPr>
      </w:pPr>
      <w:r>
        <w:rPr>
          <w:rFonts w:ascii="Times New Roman" w:cs="Times New Roman" w:eastAsia="Times New Roman" w:hAnsi="Times New Roman"/>
          <w:sz w:val="17"/>
          <w:szCs w:val="17"/>
          <w:color w:val="010000"/>
        </w:rPr>
        <w:t>(b)</w:t>
      </w:r>
      <w:r>
        <w:rPr>
          <w:rFonts w:ascii="Times New Roman" w:cs="Times New Roman" w:eastAsia="Times New Roman" w:hAnsi="Times New Roman"/>
          <w:sz w:val="17"/>
          <w:szCs w:val="17"/>
          <w:color w:val="000000"/>
        </w:rPr>
        <w:t>No later than twenty-one (21) days after the Separation Date, Executive shall</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execute the Release Reaffirmation Agreement attached hereto as </w:t>
      </w:r>
      <w:r>
        <w:rPr>
          <w:rFonts w:ascii="Times New Roman" w:cs="Times New Roman" w:eastAsia="Times New Roman" w:hAnsi="Times New Roman"/>
          <w:sz w:val="17"/>
          <w:szCs w:val="17"/>
          <w:u w:val="single" w:color="auto"/>
          <w:color w:val="000000"/>
        </w:rPr>
        <w:t>Exhibit A</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b w:val="1"/>
          <w:bCs w:val="1"/>
          <w:color w:val="000000"/>
        </w:rPr>
        <w:t>Reaffirmation</w:t>
      </w:r>
      <w:r>
        <w:rPr>
          <w:rFonts w:ascii="Times New Roman" w:cs="Times New Roman" w:eastAsia="Times New Roman" w:hAnsi="Times New Roman"/>
          <w:sz w:val="17"/>
          <w:szCs w:val="17"/>
          <w:color w:val="000000"/>
        </w:rPr>
        <w:t>”) and deliver same to the attention of CHRO, BrightSpring Health Services, Inc. by both mail and email to 805 N. Whittington Parkway, Louisville, KY 40222; email: ***** with a copy by email to *****. Under no circumstances can the Reaffirmation be executed prior to the Separation Date; however, if Executive executes the Reaffirmation on or after the Separation Date, but prior to the 21st day, Executive expressly waives any right to the balance of that time. Once executed, Executive has seven</w:t>
      </w:r>
    </w:p>
    <w:p>
      <w:pPr>
        <w:spacing w:after="0" w:line="1" w:lineRule="exact"/>
        <w:rPr>
          <w:sz w:val="20"/>
          <w:szCs w:val="20"/>
          <w:color w:val="auto"/>
        </w:rPr>
      </w:pPr>
    </w:p>
    <w:p>
      <w:pPr>
        <w:jc w:val="both"/>
        <w:ind w:left="1620" w:right="1119" w:hanging="3"/>
        <w:spacing w:after="0"/>
        <w:tabs>
          <w:tab w:leader="none" w:pos="187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to revoke consistent with the terms of Section 10. Should Executive execute and not revoke, the Reaffirmation shall be deemed part of this Agreement and together with this Agreement shall be deemed to be a single merged integrated document. Should Executive revoke or fail to timely execute the Reaffirmation for any reason, Executive waives and forfeits any right to</w:t>
      </w:r>
    </w:p>
    <w:p>
      <w:pPr>
        <w:spacing w:after="0" w:line="36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317500</wp:posOffset>
            </wp:positionV>
            <wp:extent cx="5603875" cy="387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8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54" w:name="page155"/>
    <w:bookmarkEnd w:id="154"/>
    <w:p>
      <w:pPr>
        <w:ind w:left="1620"/>
        <w:spacing w:after="0"/>
        <w:rPr>
          <w:sz w:val="20"/>
          <w:szCs w:val="20"/>
          <w:color w:val="auto"/>
        </w:rPr>
      </w:pPr>
      <w:r>
        <w:rPr>
          <w:rFonts w:ascii="Times New Roman" w:cs="Times New Roman" w:eastAsia="Times New Roman" w:hAnsi="Times New Roman"/>
          <w:sz w:val="17"/>
          <w:szCs w:val="17"/>
          <w:color w:val="auto"/>
        </w:rPr>
        <w:t>any Severance.</w:t>
      </w:r>
    </w:p>
    <w:p>
      <w:pPr>
        <w:spacing w:after="0" w:line="84" w:lineRule="exact"/>
        <w:rPr>
          <w:sz w:val="20"/>
          <w:szCs w:val="20"/>
          <w:color w:val="auto"/>
        </w:rPr>
      </w:pPr>
    </w:p>
    <w:p>
      <w:pPr>
        <w:jc w:val="both"/>
        <w:ind w:left="1160" w:right="1119" w:firstLine="519"/>
        <w:spacing w:after="0" w:line="248" w:lineRule="auto"/>
        <w:tabs>
          <w:tab w:leader="none" w:pos="1884" w:val="left"/>
        </w:tabs>
        <w:numPr>
          <w:ilvl w:val="0"/>
          <w:numId w:val="6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SEVERANCE. In the event of Separation on or prior to the Separation Date and if Executive timely signs, returns and does not revoke this Agreement and the Reaffirmation and complies with the promises and obligations herein and therein, Company will provide Executive with the following (collectively, the following is the “</w:t>
      </w:r>
      <w:r>
        <w:rPr>
          <w:rFonts w:ascii="Times New Roman" w:cs="Times New Roman" w:eastAsia="Times New Roman" w:hAnsi="Times New Roman"/>
          <w:sz w:val="17"/>
          <w:szCs w:val="17"/>
          <w:b w:val="1"/>
          <w:bCs w:val="1"/>
          <w:color w:val="auto"/>
        </w:rPr>
        <w:t>Severance</w:t>
      </w:r>
      <w:r>
        <w:rPr>
          <w:rFonts w:ascii="Times New Roman" w:cs="Times New Roman" w:eastAsia="Times New Roman" w:hAnsi="Times New Roman"/>
          <w:sz w:val="17"/>
          <w:szCs w:val="17"/>
          <w:color w:val="auto"/>
        </w:rPr>
        <w:t>”):</w:t>
      </w:r>
    </w:p>
    <w:p>
      <w:pPr>
        <w:spacing w:after="0" w:line="51" w:lineRule="exact"/>
        <w:rPr>
          <w:sz w:val="20"/>
          <w:szCs w:val="20"/>
          <w:color w:val="auto"/>
        </w:rPr>
      </w:pPr>
    </w:p>
    <w:p>
      <w:pPr>
        <w:jc w:val="both"/>
        <w:ind w:left="1620" w:right="1119" w:firstLine="515"/>
        <w:spacing w:after="0" w:line="242" w:lineRule="auto"/>
        <w:rPr>
          <w:sz w:val="20"/>
          <w:szCs w:val="20"/>
          <w:color w:val="auto"/>
        </w:rPr>
      </w:pPr>
      <w:r>
        <w:rPr>
          <w:rFonts w:ascii="Times New Roman" w:cs="Times New Roman" w:eastAsia="Times New Roman" w:hAnsi="Times New Roman"/>
          <w:sz w:val="17"/>
          <w:szCs w:val="17"/>
          <w:color w:val="010000"/>
        </w:rPr>
        <w:t>(a)</w:t>
      </w:r>
      <w:r>
        <w:rPr>
          <w:rFonts w:ascii="Times New Roman" w:cs="Times New Roman" w:eastAsia="Times New Roman" w:hAnsi="Times New Roman"/>
          <w:sz w:val="17"/>
          <w:szCs w:val="17"/>
          <w:color w:val="000000"/>
        </w:rPr>
        <w:t>PharMerica shall continue to pay Executive’s Base Salary paid to Executive in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calendar year 2025 for twelve (12) months following the Separation Date (“</w:t>
      </w:r>
      <w:r>
        <w:rPr>
          <w:rFonts w:ascii="Times New Roman" w:cs="Times New Roman" w:eastAsia="Times New Roman" w:hAnsi="Times New Roman"/>
          <w:sz w:val="17"/>
          <w:szCs w:val="17"/>
          <w:b w:val="1"/>
          <w:bCs w:val="1"/>
          <w:color w:val="000000"/>
        </w:rPr>
        <w:t>Severance</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b w:val="1"/>
          <w:bCs w:val="1"/>
          <w:color w:val="000000"/>
        </w:rPr>
        <w:t>Period</w:t>
      </w:r>
      <w:r>
        <w:rPr>
          <w:rFonts w:ascii="Times New Roman" w:cs="Times New Roman" w:eastAsia="Times New Roman" w:hAnsi="Times New Roman"/>
          <w:sz w:val="17"/>
          <w:szCs w:val="17"/>
          <w:color w:val="000000"/>
        </w:rPr>
        <w:t>”) according to the same payroll schedule on which other employees receive</w:t>
      </w:r>
      <w:r>
        <w:rPr>
          <w:rFonts w:ascii="Times New Roman" w:cs="Times New Roman" w:eastAsia="Times New Roman" w:hAnsi="Times New Roman"/>
          <w:sz w:val="17"/>
          <w:szCs w:val="17"/>
          <w:b w:val="1"/>
          <w:bCs w:val="1"/>
          <w:color w:val="000000"/>
        </w:rPr>
        <w:t xml:space="preserve"> </w:t>
      </w:r>
      <w:r>
        <w:rPr>
          <w:rFonts w:ascii="Times New Roman" w:cs="Times New Roman" w:eastAsia="Times New Roman" w:hAnsi="Times New Roman"/>
          <w:sz w:val="17"/>
          <w:szCs w:val="17"/>
          <w:color w:val="000000"/>
        </w:rPr>
        <w:t>payment. The first payment shall begin no later than thirty (30) days following the execution and non-revocation of the Reaffirmation and include all amounts that would otherwise have been paid to Executive during the period beginning on the Separation Date and ending on the first payment date.</w:t>
      </w:r>
    </w:p>
    <w:p>
      <w:pPr>
        <w:spacing w:after="0" w:line="59" w:lineRule="exact"/>
        <w:rPr>
          <w:sz w:val="20"/>
          <w:szCs w:val="20"/>
          <w:color w:val="auto"/>
        </w:rPr>
      </w:pPr>
    </w:p>
    <w:p>
      <w:pPr>
        <w:jc w:val="both"/>
        <w:ind w:left="1620" w:right="1119" w:firstLine="515"/>
        <w:spacing w:after="0" w:line="248" w:lineRule="auto"/>
        <w:rPr>
          <w:sz w:val="20"/>
          <w:szCs w:val="20"/>
          <w:color w:val="auto"/>
        </w:rPr>
      </w:pPr>
      <w:r>
        <w:rPr>
          <w:rFonts w:ascii="Times New Roman" w:cs="Times New Roman" w:eastAsia="Times New Roman" w:hAnsi="Times New Roman"/>
          <w:sz w:val="17"/>
          <w:szCs w:val="17"/>
          <w:color w:val="010000"/>
        </w:rPr>
        <w:t>(b)</w:t>
      </w:r>
      <w:r>
        <w:rPr>
          <w:rFonts w:ascii="Times New Roman" w:cs="Times New Roman" w:eastAsia="Times New Roman" w:hAnsi="Times New Roman"/>
          <w:sz w:val="17"/>
          <w:szCs w:val="17"/>
          <w:color w:val="000000"/>
        </w:rPr>
        <w:t>A pro-rata payment of Executive’s annual performance bonus for the then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current year subject to actual performance and based on the number of days in that year until the Separation Date, which will be payable in the next calendar year and around the same time as other PharMerica employees receive payment.</w:t>
      </w:r>
    </w:p>
    <w:p>
      <w:pPr>
        <w:spacing w:after="0" w:line="51" w:lineRule="exact"/>
        <w:rPr>
          <w:sz w:val="20"/>
          <w:szCs w:val="20"/>
          <w:color w:val="auto"/>
        </w:rPr>
      </w:pPr>
    </w:p>
    <w:p>
      <w:pPr>
        <w:jc w:val="both"/>
        <w:ind w:left="1620" w:right="1119" w:firstLine="515"/>
        <w:spacing w:after="0" w:line="242" w:lineRule="auto"/>
        <w:rPr>
          <w:sz w:val="20"/>
          <w:szCs w:val="20"/>
          <w:color w:val="auto"/>
        </w:rPr>
      </w:pPr>
      <w:r>
        <w:rPr>
          <w:rFonts w:ascii="Times New Roman" w:cs="Times New Roman" w:eastAsia="Times New Roman" w:hAnsi="Times New Roman"/>
          <w:sz w:val="17"/>
          <w:szCs w:val="17"/>
          <w:color w:val="010000"/>
        </w:rPr>
        <w:t>(c)</w:t>
      </w:r>
      <w:r>
        <w:rPr>
          <w:rFonts w:ascii="Times New Roman" w:cs="Times New Roman" w:eastAsia="Times New Roman" w:hAnsi="Times New Roman"/>
          <w:sz w:val="17"/>
          <w:szCs w:val="17"/>
          <w:color w:val="000000"/>
        </w:rPr>
        <w:t>Should Executive timely elect continuation coverage under Company health</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plan, PharMerica shall continue to pay PharMerica’s portion of Executive’s COBRA coverage premiums during the Severance Period (or such shorter time if such coverage terminates earlier under Section 4980B of the Code), provided that Executive shall continue to pay the same amount toward the cost of such premiums as paid immediately prior to the Separation Date, which Company may pay through deductions by Company from the salary continuation payments referenced herein, and shall comply with applicable election and eligibility requirements, beginning after the Reaffirmation becomes effective.</w:t>
      </w:r>
    </w:p>
    <w:p>
      <w:pPr>
        <w:spacing w:after="0" w:line="55" w:lineRule="exact"/>
        <w:rPr>
          <w:sz w:val="20"/>
          <w:szCs w:val="20"/>
          <w:color w:val="auto"/>
        </w:rPr>
      </w:pPr>
    </w:p>
    <w:p>
      <w:pPr>
        <w:jc w:val="both"/>
        <w:ind w:left="1620" w:right="1119" w:firstLine="515"/>
        <w:spacing w:after="0"/>
        <w:rPr>
          <w:sz w:val="20"/>
          <w:szCs w:val="20"/>
          <w:color w:val="auto"/>
        </w:rPr>
      </w:pPr>
      <w:r>
        <w:rPr>
          <w:rFonts w:ascii="Times New Roman" w:cs="Times New Roman" w:eastAsia="Times New Roman" w:hAnsi="Times New Roman"/>
          <w:sz w:val="17"/>
          <w:szCs w:val="17"/>
          <w:color w:val="010000"/>
        </w:rPr>
        <w:t>(d)</w:t>
      </w:r>
      <w:r>
        <w:rPr>
          <w:rFonts w:ascii="Times New Roman" w:cs="Times New Roman" w:eastAsia="Times New Roman" w:hAnsi="Times New Roman"/>
          <w:sz w:val="17"/>
          <w:szCs w:val="17"/>
          <w:color w:val="000000"/>
        </w:rPr>
        <w:t>If Executive holds unvested performance-based stock options granted to</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Executive pursuant to the Amended and Restated Phoenix Parent Holdings Inc. 2017 Incentive Plan (as amended, the “</w:t>
      </w:r>
      <w:r>
        <w:rPr>
          <w:rFonts w:ascii="Times New Roman" w:cs="Times New Roman" w:eastAsia="Times New Roman" w:hAnsi="Times New Roman"/>
          <w:sz w:val="17"/>
          <w:szCs w:val="17"/>
          <w:b w:val="1"/>
          <w:bCs w:val="1"/>
          <w:color w:val="000000"/>
        </w:rPr>
        <w:t>2017 Plan</w:t>
      </w:r>
      <w:r>
        <w:rPr>
          <w:rFonts w:ascii="Times New Roman" w:cs="Times New Roman" w:eastAsia="Times New Roman" w:hAnsi="Times New Roman"/>
          <w:sz w:val="17"/>
          <w:szCs w:val="17"/>
          <w:color w:val="000000"/>
        </w:rPr>
        <w:t>”) and the grant notice(s) and award agreement(s) issued to Executive thereunder (collectively, with the 2017 Plan, the “</w:t>
      </w:r>
      <w:r>
        <w:rPr>
          <w:rFonts w:ascii="Times New Roman" w:cs="Times New Roman" w:eastAsia="Times New Roman" w:hAnsi="Times New Roman"/>
          <w:sz w:val="17"/>
          <w:szCs w:val="17"/>
          <w:b w:val="1"/>
          <w:bCs w:val="1"/>
          <w:color w:val="000000"/>
        </w:rPr>
        <w:t>2017</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b w:val="1"/>
          <w:bCs w:val="1"/>
          <w:color w:val="000000"/>
        </w:rPr>
        <w:t>Plan Documents</w:t>
      </w:r>
      <w:r>
        <w:rPr>
          <w:rFonts w:ascii="Times New Roman" w:cs="Times New Roman" w:eastAsia="Times New Roman" w:hAnsi="Times New Roman"/>
          <w:sz w:val="17"/>
          <w:szCs w:val="17"/>
          <w:color w:val="000000"/>
        </w:rPr>
        <w:t>”), then (i) notwithstanding the termination of Executive’s employment,</w:t>
      </w:r>
      <w:r>
        <w:rPr>
          <w:rFonts w:ascii="Times New Roman" w:cs="Times New Roman" w:eastAsia="Times New Roman" w:hAnsi="Times New Roman"/>
          <w:sz w:val="17"/>
          <w:szCs w:val="17"/>
          <w:b w:val="1"/>
          <w:bCs w:val="1"/>
          <w:color w:val="000000"/>
        </w:rPr>
        <w:t xml:space="preserve"> </w:t>
      </w:r>
      <w:r>
        <w:rPr>
          <w:rFonts w:ascii="Times New Roman" w:cs="Times New Roman" w:eastAsia="Times New Roman" w:hAnsi="Times New Roman"/>
          <w:sz w:val="17"/>
          <w:szCs w:val="17"/>
          <w:color w:val="000000"/>
        </w:rPr>
        <w:t>the unvested portion of such stock options shall remain outstanding and eligible to vest following the Separation Date until the Final Measurement Date (as such term is defined in the 2017 Plan Documents), and (ii) the post-termination exercise period for Executive to exercise such stock options (to the extent they become vested and exercisable) shall be amended and extended to end on the earlier of (A) the last day of their applicable Option Period as defined in the 2017 Plan Documents) or (B) the last day of the 90 day period immediately subsequent to the attainment of the applicable performance goal for the stock options.</w:t>
      </w:r>
    </w:p>
    <w:p>
      <w:pPr>
        <w:spacing w:after="0" w:line="58" w:lineRule="exact"/>
        <w:rPr>
          <w:sz w:val="20"/>
          <w:szCs w:val="20"/>
          <w:color w:val="auto"/>
        </w:rPr>
      </w:pPr>
    </w:p>
    <w:p>
      <w:pPr>
        <w:ind w:left="1620" w:right="1119" w:firstLine="515"/>
        <w:spacing w:after="0" w:line="241" w:lineRule="auto"/>
        <w:rPr>
          <w:sz w:val="20"/>
          <w:szCs w:val="20"/>
          <w:color w:val="auto"/>
        </w:rPr>
      </w:pPr>
      <w:r>
        <w:rPr>
          <w:rFonts w:ascii="Times New Roman" w:cs="Times New Roman" w:eastAsia="Times New Roman" w:hAnsi="Times New Roman"/>
          <w:sz w:val="17"/>
          <w:szCs w:val="17"/>
          <w:color w:val="010000"/>
        </w:rPr>
        <w:t>(e)</w:t>
      </w:r>
      <w:r>
        <w:rPr>
          <w:rFonts w:ascii="Times New Roman" w:cs="Times New Roman" w:eastAsia="Times New Roman" w:hAnsi="Times New Roman"/>
          <w:sz w:val="17"/>
          <w:szCs w:val="17"/>
          <w:color w:val="000000"/>
        </w:rPr>
        <w:t>Executive is currently a party to that certain Management Stockholders’</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Agreement dated December 7, 2017, by and among BrightSpring, KKR Phoenix Aggregator, L.P., a Delaware limited partnership (“</w:t>
      </w:r>
      <w:r>
        <w:rPr>
          <w:rFonts w:ascii="Times New Roman" w:cs="Times New Roman" w:eastAsia="Times New Roman" w:hAnsi="Times New Roman"/>
          <w:sz w:val="17"/>
          <w:szCs w:val="17"/>
          <w:b w:val="1"/>
          <w:bCs w:val="1"/>
          <w:color w:val="000000"/>
        </w:rPr>
        <w:t>KKR</w:t>
      </w:r>
      <w:r>
        <w:rPr>
          <w:rFonts w:ascii="Times New Roman" w:cs="Times New Roman" w:eastAsia="Times New Roman" w:hAnsi="Times New Roman"/>
          <w:sz w:val="17"/>
          <w:szCs w:val="17"/>
          <w:color w:val="000000"/>
        </w:rPr>
        <w:t>”), and the other parties identified as Management Stockholders (which includes Executive) (as amended, the “</w:t>
      </w:r>
      <w:r>
        <w:rPr>
          <w:rFonts w:ascii="Times New Roman" w:cs="Times New Roman" w:eastAsia="Times New Roman" w:hAnsi="Times New Roman"/>
          <w:sz w:val="17"/>
          <w:szCs w:val="17"/>
          <w:b w:val="1"/>
          <w:bCs w:val="1"/>
          <w:color w:val="000000"/>
        </w:rPr>
        <w:t>Stockholders</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b w:val="1"/>
          <w:bCs w:val="1"/>
          <w:color w:val="000000"/>
        </w:rPr>
        <w:t>Agreement</w:t>
      </w:r>
      <w:r>
        <w:rPr>
          <w:rFonts w:ascii="Times New Roman" w:cs="Times New Roman" w:eastAsia="Times New Roman" w:hAnsi="Times New Roman"/>
          <w:sz w:val="17"/>
          <w:szCs w:val="17"/>
          <w:color w:val="000000"/>
        </w:rPr>
        <w:t>”). If Executive is bound by the Stockholders Agreement at the time of</w:t>
      </w:r>
      <w:r>
        <w:rPr>
          <w:rFonts w:ascii="Times New Roman" w:cs="Times New Roman" w:eastAsia="Times New Roman" w:hAnsi="Times New Roman"/>
          <w:sz w:val="17"/>
          <w:szCs w:val="17"/>
          <w:b w:val="1"/>
          <w:bCs w:val="1"/>
          <w:color w:val="000000"/>
        </w:rPr>
        <w:t xml:space="preserve"> </w:t>
      </w:r>
      <w:r>
        <w:rPr>
          <w:rFonts w:ascii="Times New Roman" w:cs="Times New Roman" w:eastAsia="Times New Roman" w:hAnsi="Times New Roman"/>
          <w:sz w:val="17"/>
          <w:szCs w:val="17"/>
          <w:color w:val="000000"/>
        </w:rPr>
        <w:t>Separation, then for outstanding stock options issued under the 2017 Plan: (i) Executive may pay the exercise price by delivering irrevocable instructions to a broker to sell a portion of the shares subject to the stock options sufficient to pay the applicable aggregate exercise</w:t>
      </w:r>
    </w:p>
    <w:p>
      <w:pPr>
        <w:spacing w:after="0" w:line="36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317500</wp:posOffset>
            </wp:positionV>
            <wp:extent cx="5603875" cy="387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8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93" w:right="1440" w:bottom="1440" w:gutter="0" w:footer="0" w:header="0"/>
        </w:sectPr>
      </w:pPr>
    </w:p>
    <w:bookmarkStart w:id="155" w:name="page156"/>
    <w:bookmarkEnd w:id="155"/>
    <w:p>
      <w:pPr>
        <w:jc w:val="both"/>
        <w:ind w:left="1620" w:right="1119"/>
        <w:spacing w:after="0" w:line="242" w:lineRule="auto"/>
        <w:rPr>
          <w:sz w:val="20"/>
          <w:szCs w:val="20"/>
          <w:color w:val="auto"/>
        </w:rPr>
      </w:pPr>
      <w:r>
        <w:rPr>
          <w:rFonts w:ascii="Times New Roman" w:cs="Times New Roman" w:eastAsia="Times New Roman" w:hAnsi="Times New Roman"/>
          <w:sz w:val="17"/>
          <w:szCs w:val="17"/>
          <w:color w:val="auto"/>
        </w:rPr>
        <w:t>price for each grant and to remit any amount equal to such aggregate exercise price to Company in cash and satisfy any applicable tax liability incurred upon exercise of stock options by delivering irrevocable instructions to a broker to sell a portion of the shares subject to such stock options determined by Company in its discretion to be sufficient to cover the tax withholding obligations of Company and to remit any amount equal to such tax withholding obligations to Company (collectively, “</w:t>
      </w:r>
      <w:r>
        <w:rPr>
          <w:rFonts w:ascii="Times New Roman" w:cs="Times New Roman" w:eastAsia="Times New Roman" w:hAnsi="Times New Roman"/>
          <w:sz w:val="17"/>
          <w:szCs w:val="17"/>
          <w:b w:val="1"/>
          <w:bCs w:val="1"/>
          <w:color w:val="auto"/>
        </w:rPr>
        <w:t>Sell to Cover</w:t>
      </w:r>
      <w:r>
        <w:rPr>
          <w:rFonts w:ascii="Times New Roman" w:cs="Times New Roman" w:eastAsia="Times New Roman" w:hAnsi="Times New Roman"/>
          <w:sz w:val="17"/>
          <w:szCs w:val="17"/>
          <w:color w:val="auto"/>
        </w:rPr>
        <w:t>”), and (ii) solely for purposes of the Sell to Cover, the provisions of Section 2(a)(i) of the Stockholders Agreement are waived.</w:t>
      </w:r>
    </w:p>
    <w:p>
      <w:pPr>
        <w:spacing w:after="0" w:line="55" w:lineRule="exact"/>
        <w:rPr>
          <w:sz w:val="20"/>
          <w:szCs w:val="20"/>
          <w:color w:val="auto"/>
        </w:rPr>
      </w:pPr>
    </w:p>
    <w:p>
      <w:pPr>
        <w:jc w:val="both"/>
        <w:ind w:left="1620" w:right="1119" w:firstLine="515"/>
        <w:spacing w:after="0" w:line="241" w:lineRule="auto"/>
        <w:rPr>
          <w:sz w:val="20"/>
          <w:szCs w:val="20"/>
          <w:color w:val="auto"/>
        </w:rPr>
      </w:pPr>
      <w:r>
        <w:rPr>
          <w:rFonts w:ascii="Times New Roman" w:cs="Times New Roman" w:eastAsia="Times New Roman" w:hAnsi="Times New Roman"/>
          <w:sz w:val="17"/>
          <w:szCs w:val="17"/>
          <w:color w:val="010000"/>
        </w:rPr>
        <w:t>(f)</w:t>
      </w:r>
      <w:r>
        <w:rPr>
          <w:rFonts w:ascii="Times New Roman" w:cs="Times New Roman" w:eastAsia="Times New Roman" w:hAnsi="Times New Roman"/>
          <w:sz w:val="17"/>
          <w:szCs w:val="17"/>
          <w:color w:val="000000"/>
        </w:rPr>
        <w:t>If Executive holds unvested stock options or unvested restricted stock units</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granted to Executive pursuant to the BrightSpring Health Services, Inc. 2024 Equity Incentive Plan (as amended, the “</w:t>
      </w:r>
      <w:r>
        <w:rPr>
          <w:rFonts w:ascii="Times New Roman" w:cs="Times New Roman" w:eastAsia="Times New Roman" w:hAnsi="Times New Roman"/>
          <w:sz w:val="17"/>
          <w:szCs w:val="17"/>
          <w:b w:val="1"/>
          <w:bCs w:val="1"/>
          <w:color w:val="000000"/>
        </w:rPr>
        <w:t>2024 Plan</w:t>
      </w:r>
      <w:r>
        <w:rPr>
          <w:rFonts w:ascii="Times New Roman" w:cs="Times New Roman" w:eastAsia="Times New Roman" w:hAnsi="Times New Roman"/>
          <w:sz w:val="17"/>
          <w:szCs w:val="17"/>
          <w:color w:val="000000"/>
        </w:rPr>
        <w:t>”) and the grant notice(s) and award agreement(s) issued to Executive thereunder (collectively, with the 2024 Plan, the “</w:t>
      </w:r>
      <w:r>
        <w:rPr>
          <w:rFonts w:ascii="Times New Roman" w:cs="Times New Roman" w:eastAsia="Times New Roman" w:hAnsi="Times New Roman"/>
          <w:sz w:val="17"/>
          <w:szCs w:val="17"/>
          <w:b w:val="1"/>
          <w:bCs w:val="1"/>
          <w:color w:val="000000"/>
        </w:rPr>
        <w:t>2024</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b w:val="1"/>
          <w:bCs w:val="1"/>
          <w:color w:val="000000"/>
        </w:rPr>
        <w:t>Plan Documents</w:t>
      </w:r>
      <w:r>
        <w:rPr>
          <w:rFonts w:ascii="Times New Roman" w:cs="Times New Roman" w:eastAsia="Times New Roman" w:hAnsi="Times New Roman"/>
          <w:sz w:val="17"/>
          <w:szCs w:val="17"/>
          <w:color w:val="000000"/>
        </w:rPr>
        <w:t>”), then the stock options and restricted stock units that are unvested</w:t>
      </w:r>
      <w:r>
        <w:rPr>
          <w:rFonts w:ascii="Times New Roman" w:cs="Times New Roman" w:eastAsia="Times New Roman" w:hAnsi="Times New Roman"/>
          <w:sz w:val="17"/>
          <w:szCs w:val="17"/>
          <w:b w:val="1"/>
          <w:bCs w:val="1"/>
          <w:color w:val="000000"/>
        </w:rPr>
        <w:t xml:space="preserve"> </w:t>
      </w:r>
      <w:r>
        <w:rPr>
          <w:rFonts w:ascii="Times New Roman" w:cs="Times New Roman" w:eastAsia="Times New Roman" w:hAnsi="Times New Roman"/>
          <w:sz w:val="17"/>
          <w:szCs w:val="17"/>
          <w:color w:val="000000"/>
        </w:rPr>
        <w:t>under the 2024 Plan Documents and otherwise would have vested in January following the Separation Date had Executive remained employed or continued to provide services to Company through such date shall immediately vest and become exercisable (as applicable) as of the Separation Date.</w:t>
      </w:r>
    </w:p>
    <w:p>
      <w:pPr>
        <w:spacing w:after="0" w:line="59" w:lineRule="exact"/>
        <w:rPr>
          <w:sz w:val="20"/>
          <w:szCs w:val="20"/>
          <w:color w:val="auto"/>
        </w:rPr>
      </w:pPr>
    </w:p>
    <w:p>
      <w:pPr>
        <w:jc w:val="both"/>
        <w:ind w:left="1100" w:right="1119"/>
        <w:spacing w:after="0" w:line="254" w:lineRule="auto"/>
        <w:rPr>
          <w:sz w:val="20"/>
          <w:szCs w:val="20"/>
          <w:color w:val="auto"/>
        </w:rPr>
      </w:pPr>
      <w:r>
        <w:rPr>
          <w:rFonts w:ascii="Times New Roman" w:cs="Times New Roman" w:eastAsia="Times New Roman" w:hAnsi="Times New Roman"/>
          <w:sz w:val="17"/>
          <w:szCs w:val="17"/>
          <w:color w:val="auto"/>
        </w:rPr>
        <w:t>The Severance reflects consideration provided to Executive over and above anything of value to which Executive is already entitled. Notwithstanding the foregoing, no payment shall be made or begin until the revocation period has elapsed.</w:t>
      </w:r>
    </w:p>
    <w:p>
      <w:pPr>
        <w:spacing w:after="0" w:line="45" w:lineRule="exact"/>
        <w:rPr>
          <w:sz w:val="20"/>
          <w:szCs w:val="20"/>
          <w:color w:val="auto"/>
        </w:rPr>
      </w:pPr>
    </w:p>
    <w:p>
      <w:pPr>
        <w:jc w:val="both"/>
        <w:ind w:left="1160" w:right="1099" w:firstLine="519"/>
        <w:spacing w:after="0" w:line="239" w:lineRule="auto"/>
        <w:tabs>
          <w:tab w:leader="none" w:pos="1885" w:val="left"/>
        </w:tabs>
        <w:numPr>
          <w:ilvl w:val="0"/>
          <w:numId w:val="6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NON-DISPARAGEMENT. Executive will not make any statements or representations that disparage, demean, or impugn Company, including without limitation any statements impugning the personal or professional character of Company or any director, officer, employee, or consultant for Company nor will Executive encourage or assist others to make any such statements or representations. This prohibition against disparaging, demeaning or impugning communications includes, but is not limited to, comments, statements or representations posted on social media platforms as well to any submissions or contributions to the press or any media. Further, Executive will not directly or indirectly seek to cause any person or organization to discontinue or limit such person’s or organization’s current relationship with Company. Executive agrees that the terms and requirements in this Section 6 are reasonably necessary to protect the legitimate business interests of Company. Nothing in this Section 6 or this Agreement shall be interpreted to waive or extinguish any rights which – by express and unequivocal terms of law – may not under any circumstances be waived or extinguished. For example, this Agreement is not intended to: (a) prevent Executive from filing a charge or complaint (including a challenge to the validity of this Agreement) with the Securities and Exchange Commission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or another governmental agency; (b) limit Executive’s ability to communicate directly with the SEC, or otherwise prevent Executive from participating in any investigation or proceeding conducted by the SEC, or other governmental agency; or (c) establish a condition precedent or other barrier to exercising these rights.</w:t>
      </w:r>
    </w:p>
    <w:p>
      <w:pPr>
        <w:spacing w:after="0" w:line="60" w:lineRule="exact"/>
        <w:rPr>
          <w:rFonts w:ascii="Times New Roman" w:cs="Times New Roman" w:eastAsia="Times New Roman" w:hAnsi="Times New Roman"/>
          <w:sz w:val="17"/>
          <w:szCs w:val="17"/>
          <w:color w:val="010000"/>
        </w:rPr>
      </w:pPr>
    </w:p>
    <w:p>
      <w:pPr>
        <w:jc w:val="both"/>
        <w:ind w:left="1160" w:right="1119" w:firstLine="519"/>
        <w:spacing w:after="0" w:line="242" w:lineRule="auto"/>
        <w:tabs>
          <w:tab w:leader="none" w:pos="1884" w:val="left"/>
        </w:tabs>
        <w:numPr>
          <w:ilvl w:val="0"/>
          <w:numId w:val="6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NON-COMPETITION. Notwithstanding anything to the contrary contained in any Restrictive Covenants, the Parties agree that (a) the length of any Restrictive covenants following any separation from service of Executive shall be twelve (12) months and (b) for purposes of any non-competition provision in any such Restrictive Covenants the business with which Executive is prohibited from competing following any separation from service shall be the Business (as defined in Paragraph 2(c) herein). Additionally, the Parties agree that should Executive serve on the board of Symbria following Executive’s separation from service, Executive will not be in violation of</w:t>
      </w:r>
    </w:p>
    <w:p>
      <w:pPr>
        <w:spacing w:after="0" w:line="200" w:lineRule="exact"/>
        <w:rPr>
          <w:sz w:val="20"/>
          <w:szCs w:val="20"/>
          <w:color w:val="auto"/>
        </w:rPr>
      </w:pPr>
    </w:p>
    <w:p>
      <w:pPr>
        <w:spacing w:after="0" w:line="35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317500</wp:posOffset>
            </wp:positionV>
            <wp:extent cx="5603875" cy="3873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8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56" w:name="page157"/>
    <w:bookmarkEnd w:id="156"/>
    <w:p>
      <w:pPr>
        <w:ind w:left="1160" w:right="1119"/>
        <w:spacing w:after="0" w:line="271" w:lineRule="auto"/>
        <w:rPr>
          <w:sz w:val="20"/>
          <w:szCs w:val="20"/>
          <w:color w:val="auto"/>
        </w:rPr>
      </w:pPr>
      <w:r>
        <w:rPr>
          <w:rFonts w:ascii="Times New Roman" w:cs="Times New Roman" w:eastAsia="Times New Roman" w:hAnsi="Times New Roman"/>
          <w:sz w:val="17"/>
          <w:szCs w:val="17"/>
          <w:color w:val="auto"/>
        </w:rPr>
        <w:t>any non-competition provision contained in any Restrictive Covenants so long as Executive continues to not disclose or use any Confidential Information.</w:t>
      </w:r>
    </w:p>
    <w:p>
      <w:pPr>
        <w:spacing w:after="0" w:line="31" w:lineRule="exact"/>
        <w:rPr>
          <w:sz w:val="20"/>
          <w:szCs w:val="20"/>
          <w:color w:val="auto"/>
        </w:rPr>
      </w:pPr>
    </w:p>
    <w:p>
      <w:pPr>
        <w:jc w:val="both"/>
        <w:ind w:left="1160" w:right="1119" w:firstLine="519"/>
        <w:spacing w:after="0" w:line="241" w:lineRule="auto"/>
        <w:tabs>
          <w:tab w:leader="none" w:pos="1884" w:val="left"/>
        </w:tabs>
        <w:numPr>
          <w:ilvl w:val="0"/>
          <w:numId w:val="6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TAX. The Severance is compensation, and shall be subject to all appropriate taxes, deductions, and withholdings. Company shall withhold appropriate taxes on the Severance and include such payments as wages on Executive’s W-2. Company makes no representation or warranty as to the tax consequences or liability arising from said payments, including but not limited to those under Section 409A of the Code. Moreover, the Parties understand and agree that any tax consequences and/or liability arising from these payments to Executive shall be the sole responsibility of Executive. To this extent, Executive acknowledges and agrees that Executive will pay any and all income or other tax which may be determined to be due in connection with the sums described herein and will indemnify and hold harmless Company from the same.</w:t>
      </w:r>
    </w:p>
    <w:p>
      <w:pPr>
        <w:spacing w:after="0" w:line="58" w:lineRule="exact"/>
        <w:rPr>
          <w:rFonts w:ascii="Times New Roman" w:cs="Times New Roman" w:eastAsia="Times New Roman" w:hAnsi="Times New Roman"/>
          <w:sz w:val="17"/>
          <w:szCs w:val="17"/>
          <w:color w:val="010000"/>
        </w:rPr>
      </w:pPr>
    </w:p>
    <w:p>
      <w:pPr>
        <w:jc w:val="both"/>
        <w:ind w:left="1160" w:right="1099" w:firstLine="519"/>
        <w:spacing w:after="0" w:line="238" w:lineRule="auto"/>
        <w:tabs>
          <w:tab w:leader="none" w:pos="1885" w:val="left"/>
        </w:tabs>
        <w:numPr>
          <w:ilvl w:val="0"/>
          <w:numId w:val="6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GENERAL RELEASE AND WAIVER. In consideration for this Agreement, Executive (for Executive, Executive’s agents, assigns, heirs, executors, estate and administrators) releases and discharges Company from any claim, demand, action, judgements, rights, fees, damages, debts, obligations, liabilities, and expenses (including claims for attorney’s fees and costs), of any kind whatsoever, whether known or unknown (collectively “</w:t>
      </w:r>
      <w:r>
        <w:rPr>
          <w:rFonts w:ascii="Times New Roman" w:cs="Times New Roman" w:eastAsia="Times New Roman" w:hAnsi="Times New Roman"/>
          <w:sz w:val="17"/>
          <w:szCs w:val="17"/>
          <w:b w:val="1"/>
          <w:bCs w:val="1"/>
          <w:color w:val="auto"/>
        </w:rPr>
        <w:t>Claims</w:t>
      </w:r>
      <w:r>
        <w:rPr>
          <w:rFonts w:ascii="Times New Roman" w:cs="Times New Roman" w:eastAsia="Times New Roman" w:hAnsi="Times New Roman"/>
          <w:sz w:val="17"/>
          <w:szCs w:val="17"/>
          <w:color w:val="auto"/>
        </w:rPr>
        <w:t>”), which arose at any time from the beginning of time to the Effective Date of this Agreement, and waives all Claims relating to, arising out of, or in any way connected with Executive’s interactions with Company and/or employment with Company, the cessation of that employment, or the compensation or benefits payable in connection with that employment or the cessation of that employment, including (without limitation) any Claim based on but not limited to: The Age Discrimination in Employment Act of 1967, as amended (“</w:t>
      </w:r>
      <w:r>
        <w:rPr>
          <w:rFonts w:ascii="Times New Roman" w:cs="Times New Roman" w:eastAsia="Times New Roman" w:hAnsi="Times New Roman"/>
          <w:sz w:val="17"/>
          <w:szCs w:val="17"/>
          <w:b w:val="1"/>
          <w:bCs w:val="1"/>
          <w:color w:val="auto"/>
        </w:rPr>
        <w:t>ADEA</w:t>
      </w:r>
      <w:r>
        <w:rPr>
          <w:rFonts w:ascii="Times New Roman" w:cs="Times New Roman" w:eastAsia="Times New Roman" w:hAnsi="Times New Roman"/>
          <w:sz w:val="17"/>
          <w:szCs w:val="17"/>
          <w:color w:val="auto"/>
        </w:rPr>
        <w:t xml:space="preserve">”), 29 U.S.C. § 621, </w:t>
      </w:r>
      <w:r>
        <w:rPr>
          <w:rFonts w:ascii="Times New Roman" w:cs="Times New Roman" w:eastAsia="Times New Roman" w:hAnsi="Times New Roman"/>
          <w:sz w:val="17"/>
          <w:szCs w:val="17"/>
          <w:u w:val="single" w:color="auto"/>
          <w:color w:val="auto"/>
        </w:rPr>
        <w:t>et seq</w:t>
      </w:r>
      <w:r>
        <w:rPr>
          <w:rFonts w:ascii="Times New Roman" w:cs="Times New Roman" w:eastAsia="Times New Roman" w:hAnsi="Times New Roman"/>
          <w:sz w:val="17"/>
          <w:szCs w:val="17"/>
          <w:color w:val="auto"/>
        </w:rPr>
        <w:t>; The Americans With Disabilities Act of 1990, as amended (“</w:t>
      </w:r>
      <w:r>
        <w:rPr>
          <w:rFonts w:ascii="Times New Roman" w:cs="Times New Roman" w:eastAsia="Times New Roman" w:hAnsi="Times New Roman"/>
          <w:sz w:val="17"/>
          <w:szCs w:val="17"/>
          <w:b w:val="1"/>
          <w:bCs w:val="1"/>
          <w:color w:val="auto"/>
        </w:rPr>
        <w:t>ADA</w:t>
      </w:r>
      <w:r>
        <w:rPr>
          <w:rFonts w:ascii="Times New Roman" w:cs="Times New Roman" w:eastAsia="Times New Roman" w:hAnsi="Times New Roman"/>
          <w:sz w:val="17"/>
          <w:szCs w:val="17"/>
          <w:color w:val="auto"/>
        </w:rPr>
        <w:t xml:space="preserve">”), 42 U.S.C. § 12101, </w:t>
      </w:r>
      <w:r>
        <w:rPr>
          <w:rFonts w:ascii="Times New Roman" w:cs="Times New Roman" w:eastAsia="Times New Roman" w:hAnsi="Times New Roman"/>
          <w:sz w:val="17"/>
          <w:szCs w:val="17"/>
          <w:u w:val="single" w:color="auto"/>
          <w:color w:val="auto"/>
        </w:rPr>
        <w:t>et seq</w:t>
      </w:r>
      <w:r>
        <w:rPr>
          <w:rFonts w:ascii="Times New Roman" w:cs="Times New Roman" w:eastAsia="Times New Roman" w:hAnsi="Times New Roman"/>
          <w:sz w:val="17"/>
          <w:szCs w:val="17"/>
          <w:color w:val="auto"/>
        </w:rPr>
        <w:t xml:space="preserve">.; The Rehabilitation Act of 1973, as amended, 29 U.S.C. § 701, </w:t>
      </w:r>
      <w:r>
        <w:rPr>
          <w:rFonts w:ascii="Times New Roman" w:cs="Times New Roman" w:eastAsia="Times New Roman" w:hAnsi="Times New Roman"/>
          <w:sz w:val="17"/>
          <w:szCs w:val="17"/>
          <w:u w:val="single" w:color="auto"/>
          <w:color w:val="auto"/>
        </w:rPr>
        <w:t>et seq</w:t>
      </w:r>
      <w:r>
        <w:rPr>
          <w:rFonts w:ascii="Times New Roman" w:cs="Times New Roman" w:eastAsia="Times New Roman" w:hAnsi="Times New Roman"/>
          <w:sz w:val="17"/>
          <w:szCs w:val="17"/>
          <w:color w:val="auto"/>
        </w:rPr>
        <w:t>.; The Family and Medical Leave Act of 1993, as amended (“</w:t>
      </w:r>
      <w:r>
        <w:rPr>
          <w:rFonts w:ascii="Times New Roman" w:cs="Times New Roman" w:eastAsia="Times New Roman" w:hAnsi="Times New Roman"/>
          <w:sz w:val="17"/>
          <w:szCs w:val="17"/>
          <w:b w:val="1"/>
          <w:bCs w:val="1"/>
          <w:color w:val="auto"/>
        </w:rPr>
        <w:t>FMLA</w:t>
      </w:r>
      <w:r>
        <w:rPr>
          <w:rFonts w:ascii="Times New Roman" w:cs="Times New Roman" w:eastAsia="Times New Roman" w:hAnsi="Times New Roman"/>
          <w:sz w:val="17"/>
          <w:szCs w:val="17"/>
          <w:color w:val="auto"/>
        </w:rPr>
        <w:t xml:space="preserve">”), 29 U.S.C. § 2601, </w:t>
      </w:r>
      <w:r>
        <w:rPr>
          <w:rFonts w:ascii="Times New Roman" w:cs="Times New Roman" w:eastAsia="Times New Roman" w:hAnsi="Times New Roman"/>
          <w:sz w:val="17"/>
          <w:szCs w:val="17"/>
          <w:u w:val="single" w:color="auto"/>
          <w:color w:val="auto"/>
        </w:rPr>
        <w:t>et seq</w:t>
      </w:r>
      <w:r>
        <w:rPr>
          <w:rFonts w:ascii="Times New Roman" w:cs="Times New Roman" w:eastAsia="Times New Roman" w:hAnsi="Times New Roman"/>
          <w:sz w:val="17"/>
          <w:szCs w:val="17"/>
          <w:color w:val="auto"/>
        </w:rPr>
        <w:t xml:space="preserve">.; The Civil Rights Act of 1866 and 1964, as amended, 42 U.S.C. § 1981; The Lilly Ledbetter Fair Pay Act of 2009; Title VII of the Civil Rights Act of 1964, as amended, 42 U.S.C. § 2000(e), </w:t>
      </w:r>
      <w:r>
        <w:rPr>
          <w:rFonts w:ascii="Times New Roman" w:cs="Times New Roman" w:eastAsia="Times New Roman" w:hAnsi="Times New Roman"/>
          <w:sz w:val="17"/>
          <w:szCs w:val="17"/>
          <w:u w:val="single" w:color="auto"/>
          <w:color w:val="auto"/>
        </w:rPr>
        <w:t>et seq</w:t>
      </w:r>
      <w:r>
        <w:rPr>
          <w:rFonts w:ascii="Times New Roman" w:cs="Times New Roman" w:eastAsia="Times New Roman" w:hAnsi="Times New Roman"/>
          <w:sz w:val="17"/>
          <w:szCs w:val="17"/>
          <w:color w:val="auto"/>
        </w:rPr>
        <w:t>.; The Pregnancy Discrimination Act; the Consolidated Omnibus Budget Reconciliation Act of 1985 (“</w:t>
      </w:r>
      <w:r>
        <w:rPr>
          <w:rFonts w:ascii="Times New Roman" w:cs="Times New Roman" w:eastAsia="Times New Roman" w:hAnsi="Times New Roman"/>
          <w:sz w:val="17"/>
          <w:szCs w:val="17"/>
          <w:b w:val="1"/>
          <w:bCs w:val="1"/>
          <w:color w:val="auto"/>
        </w:rPr>
        <w:t>COBRA</w:t>
      </w:r>
      <w:r>
        <w:rPr>
          <w:rFonts w:ascii="Times New Roman" w:cs="Times New Roman" w:eastAsia="Times New Roman" w:hAnsi="Times New Roman"/>
          <w:sz w:val="17"/>
          <w:szCs w:val="17"/>
          <w:color w:val="auto"/>
        </w:rPr>
        <w:t xml:space="preserve">”), 29 U.S.C. § 1161, </w:t>
      </w:r>
      <w:r>
        <w:rPr>
          <w:rFonts w:ascii="Times New Roman" w:cs="Times New Roman" w:eastAsia="Times New Roman" w:hAnsi="Times New Roman"/>
          <w:sz w:val="17"/>
          <w:szCs w:val="17"/>
          <w:u w:val="single" w:color="auto"/>
          <w:color w:val="auto"/>
        </w:rPr>
        <w:t>et seq.</w:t>
      </w:r>
      <w:r>
        <w:rPr>
          <w:rFonts w:ascii="Times New Roman" w:cs="Times New Roman" w:eastAsia="Times New Roman" w:hAnsi="Times New Roman"/>
          <w:sz w:val="17"/>
          <w:szCs w:val="17"/>
          <w:color w:val="auto"/>
        </w:rPr>
        <w:t xml:space="preserve"> (except if eligible, Executive’s right to obtain continuation of insurance coverage); The Fair Credit Reporting Act, as amended, 15 U.S.C. § 1681, </w:t>
      </w:r>
      <w:r>
        <w:rPr>
          <w:rFonts w:ascii="Times New Roman" w:cs="Times New Roman" w:eastAsia="Times New Roman" w:hAnsi="Times New Roman"/>
          <w:sz w:val="17"/>
          <w:szCs w:val="17"/>
          <w:u w:val="single" w:color="auto"/>
          <w:color w:val="auto"/>
        </w:rPr>
        <w:t>et seq</w:t>
      </w:r>
      <w:r>
        <w:rPr>
          <w:rFonts w:ascii="Times New Roman" w:cs="Times New Roman" w:eastAsia="Times New Roman" w:hAnsi="Times New Roman"/>
          <w:sz w:val="17"/>
          <w:szCs w:val="17"/>
          <w:color w:val="auto"/>
        </w:rPr>
        <w:t xml:space="preserve">.; The Worker Adjustment and Retraining Notification Act, 29 U.S.C. § 2101, </w:t>
      </w:r>
      <w:r>
        <w:rPr>
          <w:rFonts w:ascii="Times New Roman" w:cs="Times New Roman" w:eastAsia="Times New Roman" w:hAnsi="Times New Roman"/>
          <w:sz w:val="17"/>
          <w:szCs w:val="17"/>
          <w:u w:val="single" w:color="auto"/>
          <w:color w:val="auto"/>
        </w:rPr>
        <w:t>et seq</w:t>
      </w:r>
      <w:r>
        <w:rPr>
          <w:rFonts w:ascii="Times New Roman" w:cs="Times New Roman" w:eastAsia="Times New Roman" w:hAnsi="Times New Roman"/>
          <w:sz w:val="17"/>
          <w:szCs w:val="17"/>
          <w:color w:val="auto"/>
        </w:rPr>
        <w:t xml:space="preserve">., and any similar state law; The Equal Pay Act, as amended, 29 U.S.C. § 206, </w:t>
      </w:r>
      <w:r>
        <w:rPr>
          <w:rFonts w:ascii="Times New Roman" w:cs="Times New Roman" w:eastAsia="Times New Roman" w:hAnsi="Times New Roman"/>
          <w:sz w:val="17"/>
          <w:szCs w:val="17"/>
          <w:u w:val="single" w:color="auto"/>
          <w:color w:val="auto"/>
        </w:rPr>
        <w:t>et seq</w:t>
      </w:r>
      <w:r>
        <w:rPr>
          <w:rFonts w:ascii="Times New Roman" w:cs="Times New Roman" w:eastAsia="Times New Roman" w:hAnsi="Times New Roman"/>
          <w:sz w:val="17"/>
          <w:szCs w:val="17"/>
          <w:color w:val="auto"/>
        </w:rPr>
        <w:t>.; any and all claims under state or local laws, including the Kentucky Civil Rights Act, the Kentucky Equal Pay Act, the Kentucky Equal Opportunities Act, the Kentucky Wages and Hours Act, the anti-retaliation provisions under the Kentucky Workers' Compensation Law, the Kentucky Occupational Safety and Health Act, any and all claims under the Ohio Civil Rights Act (OCRA), the Ohio Equal Pay Statute, the Ohio Wage Payment Anti-Retaliation Statute, the Ohio Whistleblower's Protection Act, the Ohio Workers' Compensation Anti-Retaliation Statute, all including any amendments and their respective implementing regulations, and any other state or local law (statutory, regulatory, or otherwise) that may be legally waived and released; however, the identification of specific statutes is for purposes of example only, and the omission of any specific statute or law shall not limit the scope of this general release in any manner any existing or potential entitlement under any Company program or plan, including wages or other paid leave; any existing or potential agreement, contract, representation, policy, procedure, or statement (whether any of the foregoing are express or implied, oral or written); Claims arising under any federal, state and local fair employment practices law, and any other employee or labor relations statute, executive order, law or ordinance, and any duty or other employment-related obligation, Claims arising from any other type of statute, executive order, law or ordinance or common law,</w:t>
      </w:r>
    </w:p>
    <w:p>
      <w:pPr>
        <w:spacing w:after="0" w:line="3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317500</wp:posOffset>
            </wp:positionV>
            <wp:extent cx="5603875" cy="387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8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93" w:right="1440" w:bottom="1440" w:gutter="0" w:footer="0" w:header="0"/>
        </w:sectPr>
      </w:pPr>
    </w:p>
    <w:bookmarkStart w:id="157" w:name="page158"/>
    <w:bookmarkEnd w:id="157"/>
    <w:p>
      <w:pPr>
        <w:jc w:val="both"/>
        <w:ind w:left="1160" w:right="1099"/>
        <w:spacing w:after="0" w:line="241" w:lineRule="auto"/>
        <w:rPr>
          <w:sz w:val="20"/>
          <w:szCs w:val="20"/>
          <w:color w:val="auto"/>
        </w:rPr>
      </w:pPr>
      <w:r>
        <w:rPr>
          <w:rFonts w:ascii="Times New Roman" w:cs="Times New Roman" w:eastAsia="Times New Roman" w:hAnsi="Times New Roman"/>
          <w:sz w:val="17"/>
          <w:szCs w:val="17"/>
          <w:color w:val="auto"/>
        </w:rPr>
        <w:t>Claims arising from contract or public policy, as well as tort, tortious cause of conduct, breach of implied covenant of good faith and fair dealing, breach of contract, intentional and/or negligent infliction of emotional distress, invasion of privacy, defamation, wrongful discharge, negligence, discrimination, harassment, and retaliation, together with all claims for monetary and equitable relief, punitive and compensatory relief and attorneys’ fees and costs; and/or Claims under the U.S. or Kentucky or Ohio Constitution. Executive further releases and discharges Company, and waives all Claims related to any other federal, state, or local law, whether arising or emanating from statute, executive order, regulation, code, common law, or other source, including, but not limited to, all actions sounding in tort, contract, and/or any doctrine of good faith and fair dealing.</w:t>
      </w:r>
    </w:p>
    <w:p>
      <w:pPr>
        <w:spacing w:after="0" w:line="59" w:lineRule="exact"/>
        <w:rPr>
          <w:sz w:val="20"/>
          <w:szCs w:val="20"/>
          <w:color w:val="auto"/>
        </w:rPr>
      </w:pPr>
    </w:p>
    <w:p>
      <w:pPr>
        <w:jc w:val="both"/>
        <w:ind w:left="1100" w:right="1119" w:firstLine="515"/>
        <w:spacing w:after="0"/>
        <w:rPr>
          <w:sz w:val="20"/>
          <w:szCs w:val="20"/>
          <w:color w:val="auto"/>
        </w:rPr>
      </w:pPr>
      <w:r>
        <w:rPr>
          <w:rFonts w:ascii="Times New Roman" w:cs="Times New Roman" w:eastAsia="Times New Roman" w:hAnsi="Times New Roman"/>
          <w:sz w:val="17"/>
          <w:szCs w:val="17"/>
          <w:color w:val="auto"/>
        </w:rPr>
        <w:t xml:space="preserve">Notwithstanding the foregoing, this Agreement is </w:t>
      </w:r>
      <w:r>
        <w:rPr>
          <w:rFonts w:ascii="Times New Roman" w:cs="Times New Roman" w:eastAsia="Times New Roman" w:hAnsi="Times New Roman"/>
          <w:sz w:val="17"/>
          <w:szCs w:val="17"/>
          <w:u w:val="single" w:color="auto"/>
          <w:color w:val="auto"/>
        </w:rPr>
        <w:t>not</w:t>
      </w:r>
      <w:r>
        <w:rPr>
          <w:rFonts w:ascii="Times New Roman" w:cs="Times New Roman" w:eastAsia="Times New Roman" w:hAnsi="Times New Roman"/>
          <w:sz w:val="17"/>
          <w:szCs w:val="17"/>
          <w:color w:val="auto"/>
        </w:rPr>
        <w:t xml:space="preserve"> intended to operate as a waiver or release of: (a) any unpaid base compensation for the current pay period; (b) qualified 401k retirement benefits that are vested, the eligibility and entitlement to which shall be governed by the terms of the applicable plan; (c) Executive’s rights to continued indemnification under Company’s charter, bylaws or other operating documents and Company agrees to maintain D&amp;O coverage on Executive for as long as liability may exist; or (d) Executive’s rights under this Agreement. Moreover, nothing in this Section 9 or this Agreement shall be interpreted to waive or extinguish any rights which — by express and unequivocal terms of law — may not under any circumstances be waived or extinguished including, without limitation, state unemployment or workers compensation claims or under the ADEA if those rights or claims arise after the date Executive signs this Agreement, nor preclude Executive from challenging the validity of this Agreement under the ADEA.</w:t>
      </w:r>
    </w:p>
    <w:p>
      <w:pPr>
        <w:spacing w:after="0" w:line="60" w:lineRule="exact"/>
        <w:rPr>
          <w:sz w:val="20"/>
          <w:szCs w:val="20"/>
          <w:color w:val="auto"/>
        </w:rPr>
      </w:pPr>
    </w:p>
    <w:p>
      <w:pPr>
        <w:jc w:val="both"/>
        <w:ind w:left="1100" w:right="1119" w:firstLine="515"/>
        <w:spacing w:after="0" w:line="242" w:lineRule="auto"/>
        <w:rPr>
          <w:sz w:val="20"/>
          <w:szCs w:val="20"/>
          <w:color w:val="auto"/>
        </w:rPr>
      </w:pPr>
      <w:r>
        <w:rPr>
          <w:rFonts w:ascii="Times New Roman" w:cs="Times New Roman" w:eastAsia="Times New Roman" w:hAnsi="Times New Roman"/>
          <w:sz w:val="17"/>
          <w:szCs w:val="17"/>
          <w:color w:val="auto"/>
        </w:rPr>
        <w:t>In addition, nothing in this Section 9, Section 10, or Section 11 or in this Agreement shall be construed to (a) prevent Executive from filing a charge or complaint (including a challenge to the validity of this Agreement) with the Securities and Exchange Commission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Equal Employment Opportunity Commission, the state civil rights commission, or any other, similar federal, state, or local agency or another governmental agency; (b) limit Executive’s ability to communicate directly with the SEC, or otherwise prevent Executive from participating in any investigation or proceeding conducted by the SEC, or other governmental agency; or (c) establish a condition precedent or other barrier to exercising these rights.</w:t>
      </w:r>
    </w:p>
    <w:p>
      <w:pPr>
        <w:spacing w:after="0" w:line="55" w:lineRule="exact"/>
        <w:rPr>
          <w:sz w:val="20"/>
          <w:szCs w:val="20"/>
          <w:color w:val="auto"/>
        </w:rPr>
      </w:pPr>
    </w:p>
    <w:p>
      <w:pPr>
        <w:jc w:val="both"/>
        <w:ind w:left="1160" w:right="1119" w:firstLine="516"/>
        <w:spacing w:after="0"/>
        <w:rPr>
          <w:sz w:val="20"/>
          <w:szCs w:val="20"/>
          <w:color w:val="auto"/>
        </w:rPr>
      </w:pPr>
      <w:r>
        <w:rPr>
          <w:rFonts w:ascii="Times New Roman" w:cs="Times New Roman" w:eastAsia="Times New Roman" w:hAnsi="Times New Roman"/>
          <w:sz w:val="17"/>
          <w:szCs w:val="17"/>
          <w:color w:val="010000"/>
        </w:rPr>
        <w:t>10.</w:t>
      </w:r>
      <w:r>
        <w:rPr>
          <w:rFonts w:ascii="Times New Roman" w:cs="Times New Roman" w:eastAsia="Times New Roman" w:hAnsi="Times New Roman"/>
          <w:sz w:val="17"/>
          <w:szCs w:val="17"/>
          <w:color w:val="000000"/>
        </w:rPr>
        <w:t>SPECIFIC RELEASE OF ADEA CLAIMS. Executive knowingly and voluntarily</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releases and waives all rights or claims Executive may have arising under the Age Discrimination in Employment Act of 1967 29 U.S.C. §§621-634, as amended by the Older Workers’ Benefit Protection Act, P.L. 101-433 (“ADEA”), including but not limited to, all claims of age discrimination in employment and all claims of retaliation in violation of the ADEA and any other state or local statute (together with those claims enumerated above hereinafter “</w:t>
      </w:r>
      <w:r>
        <w:rPr>
          <w:rFonts w:ascii="Times New Roman" w:cs="Times New Roman" w:eastAsia="Times New Roman" w:hAnsi="Times New Roman"/>
          <w:sz w:val="17"/>
          <w:szCs w:val="17"/>
          <w:b w:val="1"/>
          <w:bCs w:val="1"/>
          <w:color w:val="000000"/>
        </w:rPr>
        <w:t>Released</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b w:val="1"/>
          <w:bCs w:val="1"/>
          <w:color w:val="000000"/>
        </w:rPr>
        <w:t>Claims</w:t>
      </w:r>
      <w:r>
        <w:rPr>
          <w:rFonts w:ascii="Times New Roman" w:cs="Times New Roman" w:eastAsia="Times New Roman" w:hAnsi="Times New Roman"/>
          <w:sz w:val="17"/>
          <w:szCs w:val="17"/>
          <w:color w:val="000000"/>
        </w:rPr>
        <w:t>”). Company and Executive agree that by entering into this Agreement, Executive does</w:t>
      </w:r>
      <w:r>
        <w:rPr>
          <w:rFonts w:ascii="Times New Roman" w:cs="Times New Roman" w:eastAsia="Times New Roman" w:hAnsi="Times New Roman"/>
          <w:sz w:val="17"/>
          <w:szCs w:val="17"/>
          <w:b w:val="1"/>
          <w:bCs w:val="1"/>
          <w:color w:val="000000"/>
        </w:rPr>
        <w:t xml:space="preserve"> </w:t>
      </w:r>
      <w:r>
        <w:rPr>
          <w:rFonts w:ascii="Times New Roman" w:cs="Times New Roman" w:eastAsia="Times New Roman" w:hAnsi="Times New Roman"/>
          <w:sz w:val="17"/>
          <w:szCs w:val="17"/>
          <w:color w:val="000000"/>
        </w:rPr>
        <w:t>not waive rights or claims of age discrimination that may arise after the date this Agreement is executed. Executive acknowledges that Company has advised Executive in writing to consult with an attorney prior to executing this Agreement, and that Company provided Executive with at least twenty-one (21) days to review and to consider this Agreement before executing it. Negotiation of or changes to the terms of this Agreement shall not require nor result in any additional time. The Parties agree that, for a period of seven (7) days following the execution of this Agreement (the “</w:t>
      </w:r>
      <w:r>
        <w:rPr>
          <w:rFonts w:ascii="Times New Roman" w:cs="Times New Roman" w:eastAsia="Times New Roman" w:hAnsi="Times New Roman"/>
          <w:sz w:val="17"/>
          <w:szCs w:val="17"/>
          <w:b w:val="1"/>
          <w:bCs w:val="1"/>
          <w:color w:val="000000"/>
        </w:rPr>
        <w:t>Revocation Period</w:t>
      </w:r>
      <w:r>
        <w:rPr>
          <w:rFonts w:ascii="Times New Roman" w:cs="Times New Roman" w:eastAsia="Times New Roman" w:hAnsi="Times New Roman"/>
          <w:sz w:val="17"/>
          <w:szCs w:val="17"/>
          <w:color w:val="000000"/>
        </w:rPr>
        <w:t>”), Executive has the right to revoke this Agreement, and that it shall not become enforceable until the Revocation Period has expired. This Agreement shall not become effective, and none of the benefits set forth in this Agreement will become due or payable, until after the Effective Date of this Agreement (the “Effective Date” being the first day after Executive has executed the Agreement within the allotted 21-day period and the 7-day revocation period has</w:t>
      </w:r>
    </w:p>
    <w:p>
      <w:pPr>
        <w:spacing w:after="0" w:line="200" w:lineRule="exact"/>
        <w:rPr>
          <w:sz w:val="20"/>
          <w:szCs w:val="20"/>
          <w:color w:val="auto"/>
        </w:rPr>
      </w:pPr>
    </w:p>
    <w:p>
      <w:pPr>
        <w:spacing w:after="0" w:line="3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317500</wp:posOffset>
            </wp:positionV>
            <wp:extent cx="5603875" cy="3873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8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93" w:right="1440" w:bottom="1440" w:gutter="0" w:footer="0" w:header="0"/>
        </w:sectPr>
      </w:pPr>
    </w:p>
    <w:bookmarkStart w:id="158" w:name="page159"/>
    <w:bookmarkEnd w:id="158"/>
    <w:p>
      <w:pPr>
        <w:jc w:val="both"/>
        <w:ind w:left="1160" w:right="1119"/>
        <w:spacing w:after="0" w:line="245" w:lineRule="auto"/>
        <w:rPr>
          <w:sz w:val="20"/>
          <w:szCs w:val="20"/>
          <w:color w:val="auto"/>
        </w:rPr>
      </w:pPr>
      <w:r>
        <w:rPr>
          <w:rFonts w:ascii="Times New Roman" w:cs="Times New Roman" w:eastAsia="Times New Roman" w:hAnsi="Times New Roman"/>
          <w:sz w:val="17"/>
          <w:szCs w:val="17"/>
          <w:color w:val="auto"/>
        </w:rPr>
        <w:t>expired without revocation being exercised). If Executive revokes this Agreement during the seven (7) day period, Executive must return all consideration received. Executive agrees that if Executive executes this Agreement prior to the end of the twenty-one (21) day period, such early execution was a knowing and voluntary waiver of rights to consider this Agreement for at least twenty-one (21) days.</w:t>
      </w:r>
    </w:p>
    <w:p>
      <w:pPr>
        <w:spacing w:after="0" w:line="55" w:lineRule="exact"/>
        <w:rPr>
          <w:sz w:val="20"/>
          <w:szCs w:val="20"/>
          <w:color w:val="auto"/>
        </w:rPr>
      </w:pPr>
    </w:p>
    <w:p>
      <w:pPr>
        <w:jc w:val="both"/>
        <w:ind w:left="1160" w:right="1119" w:firstLine="516"/>
        <w:spacing w:after="0" w:line="241" w:lineRule="auto"/>
        <w:rPr>
          <w:sz w:val="20"/>
          <w:szCs w:val="20"/>
          <w:color w:val="auto"/>
        </w:rPr>
      </w:pPr>
      <w:r>
        <w:rPr>
          <w:rFonts w:ascii="Times New Roman" w:cs="Times New Roman" w:eastAsia="Times New Roman" w:hAnsi="Times New Roman"/>
          <w:sz w:val="17"/>
          <w:szCs w:val="17"/>
          <w:color w:val="010000"/>
        </w:rPr>
        <w:t>11.</w:t>
      </w:r>
      <w:r>
        <w:rPr>
          <w:rFonts w:ascii="Times New Roman" w:cs="Times New Roman" w:eastAsia="Times New Roman" w:hAnsi="Times New Roman"/>
          <w:sz w:val="17"/>
          <w:szCs w:val="17"/>
          <w:color w:val="000000"/>
        </w:rPr>
        <w:t>COVENANT NOT TO SUE. Except for those matters not waived as set forth in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Section 9 and Section 10, Executive agrees that Executive will never sue or file a lawsuit against Company including, without limitation, any lawsuit concerning or in any way related to Executive’s employment with Company, the termination of that employment, the compensation or benefits payable in connection with Executive’s employment, or any other interaction or relationship with Company, and that no such suit is currently pending. Should Executive violate any aspect of this Section 11, Executive agrees that any suit shall be null and void and must be summarily dismissed or withdrawn. This Section 11 and this Agreement shall not operate to waive or bar any claim which — by express and unequivocal terms of law — may not under any circumstances be waived or barred.</w:t>
      </w:r>
    </w:p>
    <w:p>
      <w:pPr>
        <w:spacing w:after="0" w:line="56" w:lineRule="exact"/>
        <w:rPr>
          <w:sz w:val="20"/>
          <w:szCs w:val="20"/>
          <w:color w:val="auto"/>
        </w:rPr>
      </w:pPr>
    </w:p>
    <w:p>
      <w:pPr>
        <w:jc w:val="both"/>
        <w:ind w:left="1160" w:right="1119" w:firstLine="516"/>
        <w:spacing w:after="0" w:line="254" w:lineRule="auto"/>
        <w:rPr>
          <w:sz w:val="20"/>
          <w:szCs w:val="20"/>
          <w:color w:val="auto"/>
        </w:rPr>
      </w:pPr>
      <w:r>
        <w:rPr>
          <w:rFonts w:ascii="Times New Roman" w:cs="Times New Roman" w:eastAsia="Times New Roman" w:hAnsi="Times New Roman"/>
          <w:sz w:val="17"/>
          <w:szCs w:val="17"/>
          <w:color w:val="010000"/>
        </w:rPr>
        <w:t>12.</w:t>
      </w:r>
      <w:r>
        <w:rPr>
          <w:rFonts w:ascii="Times New Roman" w:cs="Times New Roman" w:eastAsia="Times New Roman" w:hAnsi="Times New Roman"/>
          <w:sz w:val="17"/>
          <w:szCs w:val="17"/>
          <w:color w:val="000000"/>
        </w:rPr>
        <w:t>APPLICABLE LAW. This Agreement shall be interpreted, enforced, and governed</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under the laws of the Commonwealth of Kentucky, without regard to conflict of laws principles thereof.</w:t>
      </w:r>
    </w:p>
    <w:p>
      <w:pPr>
        <w:spacing w:after="0" w:line="45" w:lineRule="exact"/>
        <w:rPr>
          <w:sz w:val="20"/>
          <w:szCs w:val="20"/>
          <w:color w:val="auto"/>
        </w:rPr>
      </w:pPr>
    </w:p>
    <w:p>
      <w:pPr>
        <w:jc w:val="both"/>
        <w:ind w:left="1160" w:right="1119" w:firstLine="516"/>
        <w:spacing w:after="0"/>
        <w:rPr>
          <w:sz w:val="20"/>
          <w:szCs w:val="20"/>
          <w:color w:val="auto"/>
        </w:rPr>
      </w:pPr>
      <w:r>
        <w:rPr>
          <w:rFonts w:ascii="Times New Roman" w:cs="Times New Roman" w:eastAsia="Times New Roman" w:hAnsi="Times New Roman"/>
          <w:sz w:val="17"/>
          <w:szCs w:val="17"/>
          <w:color w:val="010000"/>
        </w:rPr>
        <w:t>13.</w:t>
      </w:r>
      <w:r>
        <w:rPr>
          <w:rFonts w:ascii="Times New Roman" w:cs="Times New Roman" w:eastAsia="Times New Roman" w:hAnsi="Times New Roman"/>
          <w:sz w:val="17"/>
          <w:szCs w:val="17"/>
          <w:color w:val="000000"/>
        </w:rPr>
        <w:t>MUTUAL AGREEMENT TO ARBITRATE. Executive and Company understand and</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agree that any existing or future dispute or claim arising out of or related to this Agreement, Executive’s employment, or the termination of such employment, will be resolved by final and binding arbitration and that no other forum for dispute resolution will be available to either Party, except as those claims identified below. The decision of the arbitrator will be final and binding on both parties and it shall be enforceable in any court having proper jurisdiction. The arbitration proceedings shall be conducted pursuant to the Federal Arbitration Act, and in accordance with the National Rules for the Resolution of Employment Disputes of the American Arbitration Association or the Employment Arbitration Rules and Procedures adopted by Judicial Arbitration and Mediation Services (“JAMS”). Except as mutually agreed by the parties, the arbitration shall be conducted in Louisville, Kentucky. The arbitrator will have all powers a judge would have in dealing with any questions of dispute that may arise before, during, or after arbitration. Claims not covered by this agreement to agreement to arbitrate are:</w:t>
      </w:r>
    </w:p>
    <w:p>
      <w:pPr>
        <w:spacing w:after="0" w:line="58" w:lineRule="exact"/>
        <w:rPr>
          <w:sz w:val="20"/>
          <w:szCs w:val="20"/>
          <w:color w:val="auto"/>
        </w:rPr>
      </w:pPr>
    </w:p>
    <w:p>
      <w:pPr>
        <w:ind w:left="2640" w:hanging="507"/>
        <w:spacing w:after="0"/>
        <w:tabs>
          <w:tab w:leader="none" w:pos="2640" w:val="left"/>
        </w:tabs>
        <w:numPr>
          <w:ilvl w:val="0"/>
          <w:numId w:val="6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Claims that cannot be arbitrated as a matter of law, and</w:t>
      </w:r>
    </w:p>
    <w:p>
      <w:pPr>
        <w:spacing w:after="0" w:line="84" w:lineRule="exact"/>
        <w:rPr>
          <w:sz w:val="20"/>
          <w:szCs w:val="20"/>
          <w:color w:val="auto"/>
        </w:rPr>
      </w:pPr>
    </w:p>
    <w:p>
      <w:pPr>
        <w:jc w:val="both"/>
        <w:ind w:left="1620" w:right="1119" w:firstLine="515"/>
        <w:spacing w:after="0" w:line="271" w:lineRule="auto"/>
        <w:rPr>
          <w:sz w:val="20"/>
          <w:szCs w:val="20"/>
          <w:color w:val="auto"/>
        </w:rPr>
      </w:pPr>
      <w:r>
        <w:rPr>
          <w:rFonts w:ascii="Times New Roman" w:cs="Times New Roman" w:eastAsia="Times New Roman" w:hAnsi="Times New Roman"/>
          <w:sz w:val="17"/>
          <w:szCs w:val="17"/>
          <w:color w:val="010000"/>
        </w:rPr>
        <w:t>(b)</w:t>
      </w:r>
      <w:r>
        <w:rPr>
          <w:rFonts w:ascii="Times New Roman" w:cs="Times New Roman" w:eastAsia="Times New Roman" w:hAnsi="Times New Roman"/>
          <w:sz w:val="17"/>
          <w:szCs w:val="17"/>
          <w:color w:val="000000"/>
        </w:rPr>
        <w:t>Claims arising out Company’s efforts to enforce any Restrictive Covenants,</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including but not limited for claims of injunctive relief.</w:t>
      </w:r>
    </w:p>
    <w:p>
      <w:pPr>
        <w:spacing w:after="0" w:line="3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7"/>
          <w:szCs w:val="17"/>
          <w:color w:val="010000"/>
        </w:rPr>
        <w:t>14.</w:t>
      </w:r>
      <w:r>
        <w:rPr>
          <w:rFonts w:ascii="Times New Roman" w:cs="Times New Roman" w:eastAsia="Times New Roman" w:hAnsi="Times New Roman"/>
          <w:sz w:val="17"/>
          <w:szCs w:val="17"/>
          <w:color w:val="000000"/>
        </w:rPr>
        <w:t>REMEDIES. Should Executive ever breach any provision or obligation under this</w:t>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Agreement, the Parties agree that the range of remedies includes the following:</w:t>
      </w:r>
    </w:p>
    <w:p>
      <w:pPr>
        <w:spacing w:after="0" w:line="66" w:lineRule="exact"/>
        <w:rPr>
          <w:sz w:val="20"/>
          <w:szCs w:val="20"/>
          <w:color w:val="auto"/>
        </w:rPr>
      </w:pPr>
    </w:p>
    <w:p>
      <w:pPr>
        <w:jc w:val="both"/>
        <w:ind w:left="1620" w:right="1119" w:firstLine="515"/>
        <w:spacing w:after="0" w:line="245" w:lineRule="auto"/>
        <w:rPr>
          <w:sz w:val="20"/>
          <w:szCs w:val="20"/>
          <w:color w:val="auto"/>
        </w:rPr>
      </w:pPr>
      <w:r>
        <w:rPr>
          <w:rFonts w:ascii="Times New Roman" w:cs="Times New Roman" w:eastAsia="Times New Roman" w:hAnsi="Times New Roman"/>
          <w:sz w:val="17"/>
          <w:szCs w:val="17"/>
          <w:color w:val="010000"/>
        </w:rPr>
        <w:t>(a)</w:t>
      </w:r>
      <w:r>
        <w:rPr>
          <w:rFonts w:ascii="Times New Roman" w:cs="Times New Roman" w:eastAsia="Times New Roman" w:hAnsi="Times New Roman"/>
          <w:sz w:val="17"/>
          <w:szCs w:val="17"/>
          <w:color w:val="000000"/>
        </w:rPr>
        <w:t>Executive shall pay all damages (including, but not limited to, litigation and/or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defense costs, expenses, and reasonable attorneys’ fees) incurred by Company following and/or as a result of Executive’s breach if such breach is not cured or corrected to the satisfaction of Company within fourteen (14) days of Company mailing written notice of the breach to Executive’s last known address.</w:t>
      </w:r>
    </w:p>
    <w:p>
      <w:pPr>
        <w:spacing w:after="0" w:line="33" w:lineRule="exact"/>
        <w:rPr>
          <w:sz w:val="20"/>
          <w:szCs w:val="20"/>
          <w:color w:val="auto"/>
        </w:rPr>
      </w:pPr>
    </w:p>
    <w:p>
      <w:pPr>
        <w:jc w:val="both"/>
        <w:ind w:left="1620" w:right="1119" w:firstLine="515"/>
        <w:spacing w:after="0" w:line="271" w:lineRule="auto"/>
        <w:rPr>
          <w:sz w:val="20"/>
          <w:szCs w:val="20"/>
          <w:color w:val="auto"/>
        </w:rPr>
      </w:pPr>
      <w:r>
        <w:rPr>
          <w:rFonts w:ascii="Times New Roman" w:cs="Times New Roman" w:eastAsia="Times New Roman" w:hAnsi="Times New Roman"/>
          <w:sz w:val="17"/>
          <w:szCs w:val="17"/>
          <w:color w:val="010000"/>
        </w:rPr>
        <w:t>(b)</w:t>
      </w:r>
      <w:r>
        <w:rPr>
          <w:rFonts w:ascii="Times New Roman" w:cs="Times New Roman" w:eastAsia="Times New Roman" w:hAnsi="Times New Roman"/>
          <w:sz w:val="17"/>
          <w:szCs w:val="17"/>
          <w:color w:val="000000"/>
        </w:rPr>
        <w:t>Executive shall forego and no longer be entitled to any portion of any Severance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sum or benefit remaining to be paid or conferred pursuant to this Agreement.</w:t>
      </w:r>
    </w:p>
    <w:p>
      <w:pPr>
        <w:spacing w:after="0" w:line="3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7"/>
          <w:szCs w:val="17"/>
          <w:color w:val="010000"/>
        </w:rPr>
        <w:t>(c)</w:t>
      </w:r>
      <w:r>
        <w:rPr>
          <w:rFonts w:ascii="Times New Roman" w:cs="Times New Roman" w:eastAsia="Times New Roman" w:hAnsi="Times New Roman"/>
          <w:sz w:val="17"/>
          <w:szCs w:val="17"/>
          <w:color w:val="000000"/>
        </w:rPr>
        <w:t>Company shall cease all Severance payments and Executive shall — upon</w:t>
      </w:r>
    </w:p>
    <w:p>
      <w:pPr>
        <w:spacing w:after="0" w:line="3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317500</wp:posOffset>
            </wp:positionV>
            <wp:extent cx="5603875" cy="3873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8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93" w:right="1440" w:bottom="1440" w:gutter="0" w:footer="0" w:header="0"/>
        </w:sectPr>
      </w:pPr>
    </w:p>
    <w:bookmarkStart w:id="159" w:name="page160"/>
    <w:bookmarkEnd w:id="159"/>
    <w:p>
      <w:pPr>
        <w:ind w:left="1620" w:right="1119"/>
        <w:spacing w:after="0" w:line="248" w:lineRule="auto"/>
        <w:rPr>
          <w:sz w:val="20"/>
          <w:szCs w:val="20"/>
          <w:color w:val="auto"/>
        </w:rPr>
      </w:pPr>
      <w:r>
        <w:rPr>
          <w:rFonts w:ascii="Times New Roman" w:cs="Times New Roman" w:eastAsia="Times New Roman" w:hAnsi="Times New Roman"/>
          <w:sz w:val="17"/>
          <w:szCs w:val="17"/>
          <w:color w:val="auto"/>
        </w:rPr>
        <w:t>written request by Company to do so — reimburse Company via certified check for the value of anything previously paid or provided by Company as part of any Severance, save $5,000. In the event this reimbursement provision is triggered, Executive agrees that the remaining provisions of the Agreement shall remain in full force and effect.</w:t>
      </w:r>
    </w:p>
    <w:p>
      <w:pPr>
        <w:spacing w:after="0" w:line="51" w:lineRule="exact"/>
        <w:rPr>
          <w:sz w:val="20"/>
          <w:szCs w:val="20"/>
          <w:color w:val="auto"/>
        </w:rPr>
      </w:pPr>
    </w:p>
    <w:p>
      <w:pPr>
        <w:jc w:val="both"/>
        <w:ind w:left="1620" w:right="1099" w:firstLine="515"/>
        <w:spacing w:after="0" w:line="242" w:lineRule="auto"/>
        <w:rPr>
          <w:sz w:val="20"/>
          <w:szCs w:val="20"/>
          <w:color w:val="auto"/>
        </w:rPr>
      </w:pPr>
      <w:r>
        <w:rPr>
          <w:rFonts w:ascii="Times New Roman" w:cs="Times New Roman" w:eastAsia="Times New Roman" w:hAnsi="Times New Roman"/>
          <w:sz w:val="17"/>
          <w:szCs w:val="17"/>
          <w:color w:val="010000"/>
        </w:rPr>
        <w:t>(d)</w:t>
      </w:r>
      <w:r>
        <w:rPr>
          <w:rFonts w:ascii="Times New Roman" w:cs="Times New Roman" w:eastAsia="Times New Roman" w:hAnsi="Times New Roman"/>
          <w:sz w:val="17"/>
          <w:szCs w:val="17"/>
          <w:color w:val="000000"/>
        </w:rPr>
        <w:t>All stock options (whether vested or unvested) and all restricted stock units shall</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be immediately forfeited and shall terminate, expire and be of no further force and effect and (i) if any such options have been exercised Executive shall with respect to each exercised option – upon written request by Company to do so – reimburse Company by certified check the difference between the fair market value of such exercised option less the exercise price of such exercised option and (ii) if any such restricted stock units have vested Executive shall – upon written request by Company to do so – reimburse Company by certified check value of such vested restricted stock units.</w:t>
      </w:r>
    </w:p>
    <w:p>
      <w:pPr>
        <w:spacing w:after="0" w:line="55" w:lineRule="exact"/>
        <w:rPr>
          <w:sz w:val="20"/>
          <w:szCs w:val="20"/>
          <w:color w:val="auto"/>
        </w:rPr>
      </w:pPr>
    </w:p>
    <w:p>
      <w:pPr>
        <w:jc w:val="both"/>
        <w:ind w:left="1620" w:right="1119" w:firstLine="515"/>
        <w:spacing w:after="0" w:line="242" w:lineRule="auto"/>
        <w:rPr>
          <w:sz w:val="20"/>
          <w:szCs w:val="20"/>
          <w:color w:val="auto"/>
        </w:rPr>
      </w:pPr>
      <w:r>
        <w:rPr>
          <w:rFonts w:ascii="Times New Roman" w:cs="Times New Roman" w:eastAsia="Times New Roman" w:hAnsi="Times New Roman"/>
          <w:sz w:val="17"/>
          <w:szCs w:val="17"/>
          <w:color w:val="010000"/>
        </w:rPr>
        <w:t>(e)</w:t>
      </w:r>
      <w:r>
        <w:rPr>
          <w:rFonts w:ascii="Times New Roman" w:cs="Times New Roman" w:eastAsia="Times New Roman" w:hAnsi="Times New Roman"/>
          <w:sz w:val="17"/>
          <w:szCs w:val="17"/>
          <w:color w:val="000000"/>
        </w:rPr>
        <w:t>Executive acknowledges that a breach of Restrictive Covenants will result in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irreparable injury to the Company and that the remedy at law will be inadequate. Accordingly, Executive agrees and consents that Company shall be entitled to seek both preliminary and permanent injunctions in a court of competent jurisdiction, without the need to prove actual damages or post bond, to prevent and or halt a breach of threatened breach by employee of the restrictive covenants. Any equitable relief shall be in addition to, not instead of, other available relief.</w:t>
      </w:r>
    </w:p>
    <w:p>
      <w:pPr>
        <w:spacing w:after="0" w:line="59" w:lineRule="exact"/>
        <w:rPr>
          <w:sz w:val="20"/>
          <w:szCs w:val="20"/>
          <w:color w:val="auto"/>
        </w:rPr>
      </w:pPr>
    </w:p>
    <w:p>
      <w:pPr>
        <w:ind w:left="1100" w:right="1119"/>
        <w:spacing w:after="0" w:line="271" w:lineRule="auto"/>
        <w:rPr>
          <w:sz w:val="20"/>
          <w:szCs w:val="20"/>
          <w:color w:val="auto"/>
        </w:rPr>
      </w:pPr>
      <w:r>
        <w:rPr>
          <w:rFonts w:ascii="Times New Roman" w:cs="Times New Roman" w:eastAsia="Times New Roman" w:hAnsi="Times New Roman"/>
          <w:sz w:val="17"/>
          <w:szCs w:val="17"/>
          <w:color w:val="auto"/>
        </w:rPr>
        <w:t>Nothing in this Section is intended to limit or restrict any other rights or remedies Company may have by virtue of this Agreement or otherwise.</w:t>
      </w:r>
    </w:p>
    <w:p>
      <w:pPr>
        <w:spacing w:after="0" w:line="31" w:lineRule="exact"/>
        <w:rPr>
          <w:sz w:val="20"/>
          <w:szCs w:val="20"/>
          <w:color w:val="auto"/>
        </w:rPr>
      </w:pPr>
    </w:p>
    <w:p>
      <w:pPr>
        <w:jc w:val="both"/>
        <w:ind w:left="1160" w:right="1119" w:firstLine="516"/>
        <w:spacing w:after="0" w:line="244" w:lineRule="auto"/>
        <w:rPr>
          <w:sz w:val="20"/>
          <w:szCs w:val="20"/>
          <w:color w:val="auto"/>
        </w:rPr>
      </w:pPr>
      <w:r>
        <w:rPr>
          <w:rFonts w:ascii="Times New Roman" w:cs="Times New Roman" w:eastAsia="Times New Roman" w:hAnsi="Times New Roman"/>
          <w:sz w:val="17"/>
          <w:szCs w:val="17"/>
          <w:color w:val="010000"/>
        </w:rPr>
        <w:t>15.</w:t>
      </w:r>
      <w:r>
        <w:rPr>
          <w:rFonts w:ascii="Times New Roman" w:cs="Times New Roman" w:eastAsia="Times New Roman" w:hAnsi="Times New Roman"/>
          <w:sz w:val="17"/>
          <w:szCs w:val="17"/>
          <w:color w:val="000000"/>
        </w:rPr>
        <w:t>SUCCESSOR AND ASSIGNS. This Agreement is personal to Executive and shall not</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be assigned by Executive. Any purported assignment by Executive shall be null and void from the initial date of the purported assignment. Company may assign this Agreement to any successor or assign (whether direct or indirect, by purchase, merger, consolidation, or otherwise) to all or substantially all of the business or assets of Company. This Agreement shall inure to the benefit of Company and permitted successors and assigns.</w:t>
      </w:r>
    </w:p>
    <w:p>
      <w:pPr>
        <w:spacing w:after="0" w:line="53" w:lineRule="exact"/>
        <w:rPr>
          <w:sz w:val="20"/>
          <w:szCs w:val="20"/>
          <w:color w:val="auto"/>
        </w:rPr>
      </w:pPr>
    </w:p>
    <w:p>
      <w:pPr>
        <w:jc w:val="both"/>
        <w:ind w:left="1160" w:right="1119" w:firstLine="516"/>
        <w:spacing w:after="0"/>
        <w:rPr>
          <w:sz w:val="20"/>
          <w:szCs w:val="20"/>
          <w:color w:val="auto"/>
        </w:rPr>
      </w:pPr>
      <w:r>
        <w:rPr>
          <w:rFonts w:ascii="Times New Roman" w:cs="Times New Roman" w:eastAsia="Times New Roman" w:hAnsi="Times New Roman"/>
          <w:sz w:val="17"/>
          <w:szCs w:val="17"/>
          <w:color w:val="010000"/>
        </w:rPr>
        <w:t>16.</w:t>
      </w:r>
      <w:r>
        <w:rPr>
          <w:rFonts w:ascii="Times New Roman" w:cs="Times New Roman" w:eastAsia="Times New Roman" w:hAnsi="Times New Roman"/>
          <w:sz w:val="17"/>
          <w:szCs w:val="17"/>
          <w:color w:val="000000"/>
        </w:rPr>
        <w:t>SEVERABILITY. Should it be held at any time by a court of competent jurisdiction or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arbitral forum that any of the obligations, covenants or agreements set forth in this Agreement are illegal, invalid or unenforceable, the validity of the remaining parts, terms, or provisions shall not be affected thereby and any illegal, invalid or unenforceable parts, terms or provisions shall be deemed not to be a part of this Agreement. The Parties further agree that any such court or arbitral authority is expressly authorized to modify any such invalid, illegal, or unenforceable provision of this Agreement instead of severing the provision from this Agreement in its entirety, whether by rewriting, deleting, or adding to the offending provision, or making such other modifications as it deems necessary to carry out the intent and agreement of the Parties as embodied in this Agreement to the maximum extent permitted by law. Any such modification shall become part of and treated as though originally set forth in this Agreement. If such provision or provisions are not modified, this Agreement shall be construed as if such invalid, illegal, or unenforceable provisions had not been set forth in it. The Parties expressly agree that this Agreement as so modified by the court or arbitral authority shall be binding on an enforceable against each of them.</w:t>
      </w:r>
    </w:p>
    <w:p>
      <w:pPr>
        <w:spacing w:after="0" w:line="227" w:lineRule="exact"/>
        <w:rPr>
          <w:sz w:val="20"/>
          <w:szCs w:val="20"/>
          <w:color w:val="auto"/>
        </w:rPr>
      </w:pPr>
    </w:p>
    <w:p>
      <w:pPr>
        <w:jc w:val="both"/>
        <w:ind w:left="1160" w:right="1119" w:firstLine="516"/>
        <w:spacing w:after="0" w:line="271" w:lineRule="auto"/>
        <w:rPr>
          <w:sz w:val="20"/>
          <w:szCs w:val="20"/>
          <w:color w:val="auto"/>
        </w:rPr>
      </w:pPr>
      <w:r>
        <w:rPr>
          <w:rFonts w:ascii="Times New Roman" w:cs="Times New Roman" w:eastAsia="Times New Roman" w:hAnsi="Times New Roman"/>
          <w:sz w:val="17"/>
          <w:szCs w:val="17"/>
          <w:color w:val="010000"/>
        </w:rPr>
        <w:t>17.</w:t>
      </w:r>
      <w:r>
        <w:rPr>
          <w:rFonts w:ascii="Times New Roman" w:cs="Times New Roman" w:eastAsia="Times New Roman" w:hAnsi="Times New Roman"/>
          <w:sz w:val="17"/>
          <w:szCs w:val="17"/>
          <w:color w:val="000000"/>
        </w:rPr>
        <w:t>DISCLAIMER OF LIABILITY. This Agreement shall not be construed as an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admission of liability or wrong-doing by either Party.</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010000"/>
        </w:rPr>
        <w:t>18.</w:t>
      </w:r>
      <w:r>
        <w:rPr>
          <w:rFonts w:ascii="Times New Roman" w:cs="Times New Roman" w:eastAsia="Times New Roman" w:hAnsi="Times New Roman"/>
          <w:sz w:val="17"/>
          <w:szCs w:val="17"/>
          <w:color w:val="000000"/>
        </w:rPr>
        <w:t>RETURN OF PROPERTY. Upon any cessation of employment, Executive shall</w:t>
      </w:r>
    </w:p>
    <w:p>
      <w:pPr>
        <w:spacing w:after="0" w:line="3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317500</wp:posOffset>
            </wp:positionV>
            <wp:extent cx="5603875" cy="3873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93" w:right="1440" w:bottom="1440" w:gutter="0" w:footer="0" w:header="0"/>
        </w:sectPr>
      </w:pPr>
    </w:p>
    <w:bookmarkStart w:id="160" w:name="page161"/>
    <w:bookmarkEnd w:id="160"/>
    <w:p>
      <w:pPr>
        <w:jc w:val="both"/>
        <w:ind w:left="1160" w:right="1119"/>
        <w:spacing w:after="0" w:line="245" w:lineRule="auto"/>
        <w:rPr>
          <w:sz w:val="20"/>
          <w:szCs w:val="20"/>
          <w:color w:val="auto"/>
        </w:rPr>
      </w:pPr>
      <w:r>
        <w:rPr>
          <w:rFonts w:ascii="Times New Roman" w:cs="Times New Roman" w:eastAsia="Times New Roman" w:hAnsi="Times New Roman"/>
          <w:sz w:val="17"/>
          <w:szCs w:val="17"/>
          <w:color w:val="auto"/>
        </w:rPr>
        <w:t>promptly return to Company any property of Company then in Executive’s possession or control, including without limitation, any confidential information or any electronic devices owned by Company in Executive’s possession or control or otherwise purchased by Company on Executive’s behalf without deletion or modification of any business related or personal data, software, or programs then existing on such devices.</w:t>
      </w:r>
    </w:p>
    <w:p>
      <w:pPr>
        <w:spacing w:after="0" w:line="55" w:lineRule="exact"/>
        <w:rPr>
          <w:sz w:val="20"/>
          <w:szCs w:val="20"/>
          <w:color w:val="auto"/>
        </w:rPr>
      </w:pPr>
    </w:p>
    <w:p>
      <w:pPr>
        <w:jc w:val="both"/>
        <w:ind w:left="1160" w:right="1099" w:firstLine="516"/>
        <w:spacing w:after="0"/>
        <w:rPr>
          <w:sz w:val="20"/>
          <w:szCs w:val="20"/>
          <w:color w:val="auto"/>
        </w:rPr>
      </w:pPr>
      <w:r>
        <w:rPr>
          <w:rFonts w:ascii="Times New Roman" w:cs="Times New Roman" w:eastAsia="Times New Roman" w:hAnsi="Times New Roman"/>
          <w:sz w:val="17"/>
          <w:szCs w:val="17"/>
          <w:color w:val="010000"/>
        </w:rPr>
        <w:t>19.</w:t>
      </w:r>
      <w:r>
        <w:rPr>
          <w:rFonts w:ascii="Times New Roman" w:cs="Times New Roman" w:eastAsia="Times New Roman" w:hAnsi="Times New Roman"/>
          <w:sz w:val="17"/>
          <w:szCs w:val="17"/>
          <w:color w:val="000000"/>
        </w:rPr>
        <w:t>NOTICES. Except as specified herein, all notices, consents, waivers, and other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communications under this Agreement must be in writing if to BrightSpring Health Services, 805 N. Whittington Parkway, Louisville, KY 40222, attention CHRO, or if to Executive at the most recent address on the records of Company, or such other addresses as a Party may designate by notice to other parties, and will be deemed to have been duly given: (a) when delivered by hand (with written confirmation of receipt); (b) five days after being sent by U.S. certified mail, return receipt requested; or (c) one business day after being sent overnight for next day delivery if sent by a nationally recognized overnight delivery service, in each case to the appropriate addresses first set forth above (or to such other address as a Party may designate by notice to the other Party). </w:t>
      </w:r>
      <w:r>
        <w:rPr>
          <w:rFonts w:ascii="Times New Roman" w:cs="Times New Roman" w:eastAsia="Times New Roman" w:hAnsi="Times New Roman"/>
          <w:sz w:val="17"/>
          <w:szCs w:val="17"/>
          <w:b w:val="1"/>
          <w:bCs w:val="1"/>
          <w:color w:val="000000"/>
        </w:rPr>
        <w:t>Any revocation of this Agreement or the Reaffirmation shall be mailed</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b w:val="1"/>
          <w:bCs w:val="1"/>
          <w:u w:val="single" w:color="auto"/>
          <w:color w:val="000000"/>
        </w:rPr>
        <w:t>and</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b w:val="1"/>
          <w:bCs w:val="1"/>
          <w:color w:val="000000"/>
        </w:rPr>
        <w:t>emailed</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b w:val="1"/>
          <w:bCs w:val="1"/>
          <w:color w:val="000000"/>
        </w:rPr>
        <w:t>to the attention of CHRO, BrightSpring Health Services, Inc. 805 N. Whittington Parkway, Louisville, KY 40222; email: ***** with a copy by email to *****.</w:t>
      </w:r>
    </w:p>
    <w:p>
      <w:pPr>
        <w:spacing w:after="0" w:line="60" w:lineRule="exact"/>
        <w:rPr>
          <w:sz w:val="20"/>
          <w:szCs w:val="20"/>
          <w:color w:val="auto"/>
        </w:rPr>
      </w:pPr>
    </w:p>
    <w:p>
      <w:pPr>
        <w:jc w:val="both"/>
        <w:ind w:left="1160" w:right="1119" w:firstLine="516"/>
        <w:spacing w:after="0" w:line="241" w:lineRule="auto"/>
        <w:rPr>
          <w:sz w:val="20"/>
          <w:szCs w:val="20"/>
          <w:color w:val="auto"/>
        </w:rPr>
      </w:pPr>
      <w:r>
        <w:rPr>
          <w:rFonts w:ascii="Times New Roman" w:cs="Times New Roman" w:eastAsia="Times New Roman" w:hAnsi="Times New Roman"/>
          <w:sz w:val="17"/>
          <w:szCs w:val="17"/>
          <w:color w:val="010000"/>
        </w:rPr>
        <w:t>20.</w:t>
      </w:r>
      <w:r>
        <w:rPr>
          <w:rFonts w:ascii="Times New Roman" w:cs="Times New Roman" w:eastAsia="Times New Roman" w:hAnsi="Times New Roman"/>
          <w:sz w:val="17"/>
          <w:szCs w:val="17"/>
          <w:color w:val="000000"/>
        </w:rPr>
        <w:t>COMPLETE AGREEMENT. This Agreement, the Employment Agreement, the 2017</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Plan Documents, the 2024 Plan Documents, the Stockholders Agreement, the Confidentiality, Non-Interference, and Invention Assignment Agreement, and any separate confidentiality agreement, non-solicitation agreement and/or non-competition agreement to which Executive is a party, constitutes the entire agreement of the Parties with respect to the subject matter hereof. As such, the agreements, documents and obligations outlined in the preceding sentence supersede and encompass all prior and contemporaneous oral and written agreements, negotiations or discussions among the parties and constitutes a complete and exclusive statement of the terms of the agreements among the parties.</w:t>
      </w:r>
    </w:p>
    <w:p>
      <w:pPr>
        <w:spacing w:after="0" w:line="59" w:lineRule="exact"/>
        <w:rPr>
          <w:sz w:val="20"/>
          <w:szCs w:val="20"/>
          <w:color w:val="auto"/>
        </w:rPr>
      </w:pPr>
    </w:p>
    <w:p>
      <w:pPr>
        <w:jc w:val="both"/>
        <w:ind w:left="1160" w:right="1119" w:firstLine="516"/>
        <w:spacing w:after="0" w:line="248" w:lineRule="auto"/>
        <w:rPr>
          <w:sz w:val="20"/>
          <w:szCs w:val="20"/>
          <w:color w:val="auto"/>
        </w:rPr>
      </w:pPr>
      <w:r>
        <w:rPr>
          <w:rFonts w:ascii="Times New Roman" w:cs="Times New Roman" w:eastAsia="Times New Roman" w:hAnsi="Times New Roman"/>
          <w:sz w:val="17"/>
          <w:szCs w:val="17"/>
          <w:color w:val="010000"/>
        </w:rPr>
        <w:t>21.</w:t>
      </w:r>
      <w:r>
        <w:rPr>
          <w:rFonts w:ascii="Times New Roman" w:cs="Times New Roman" w:eastAsia="Times New Roman" w:hAnsi="Times New Roman"/>
          <w:sz w:val="17"/>
          <w:szCs w:val="17"/>
          <w:color w:val="000000"/>
        </w:rPr>
        <w:t>AMENDMENT. This Agreement may not be amended except by a written agreement</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executed by the Party to be charged with the amendment. The Parties agree that all representations, warranties, covenants, and agreements of and by the Parties will survive and are fully enforceable after the date hereof.</w:t>
      </w:r>
    </w:p>
    <w:p>
      <w:pPr>
        <w:spacing w:after="0" w:line="51" w:lineRule="exact"/>
        <w:rPr>
          <w:sz w:val="20"/>
          <w:szCs w:val="20"/>
          <w:color w:val="auto"/>
        </w:rPr>
      </w:pPr>
    </w:p>
    <w:p>
      <w:pPr>
        <w:jc w:val="both"/>
        <w:ind w:left="1160" w:right="1119" w:firstLine="516"/>
        <w:spacing w:after="0" w:line="244" w:lineRule="auto"/>
        <w:rPr>
          <w:sz w:val="20"/>
          <w:szCs w:val="20"/>
          <w:color w:val="auto"/>
        </w:rPr>
      </w:pPr>
      <w:r>
        <w:rPr>
          <w:rFonts w:ascii="Times New Roman" w:cs="Times New Roman" w:eastAsia="Times New Roman" w:hAnsi="Times New Roman"/>
          <w:sz w:val="17"/>
          <w:szCs w:val="17"/>
          <w:color w:val="010000"/>
        </w:rPr>
        <w:t>22.</w:t>
      </w:r>
      <w:r>
        <w:rPr>
          <w:rFonts w:ascii="Times New Roman" w:cs="Times New Roman" w:eastAsia="Times New Roman" w:hAnsi="Times New Roman"/>
          <w:sz w:val="17"/>
          <w:szCs w:val="17"/>
          <w:color w:val="000000"/>
        </w:rPr>
        <w:t>NO RELIANCE. Except as set forth herein, Executive acknowledges and agrees that,</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in executing this Agreement Executive does not rely and has not relied upon any representations or statements not set forth herein made by Company with regard to the subject matter, basis, or effect of this Agreement, the benefits to which Executive is or may be entitled, or any other matter. Executive agrees that the obligations set forth in this Agreement have been negotiated fully and fairly and represent an agreement based on the totality of the transactions.</w:t>
      </w:r>
    </w:p>
    <w:p>
      <w:pPr>
        <w:spacing w:after="0" w:line="53" w:lineRule="exact"/>
        <w:rPr>
          <w:sz w:val="20"/>
          <w:szCs w:val="20"/>
          <w:color w:val="auto"/>
        </w:rPr>
      </w:pPr>
    </w:p>
    <w:p>
      <w:pPr>
        <w:jc w:val="both"/>
        <w:ind w:left="1160" w:right="1119" w:firstLine="516"/>
        <w:spacing w:after="0" w:line="245" w:lineRule="auto"/>
        <w:rPr>
          <w:sz w:val="20"/>
          <w:szCs w:val="20"/>
          <w:color w:val="auto"/>
        </w:rPr>
      </w:pPr>
      <w:r>
        <w:rPr>
          <w:rFonts w:ascii="Times New Roman" w:cs="Times New Roman" w:eastAsia="Times New Roman" w:hAnsi="Times New Roman"/>
          <w:sz w:val="17"/>
          <w:szCs w:val="17"/>
          <w:color w:val="010000"/>
        </w:rPr>
        <w:t>23.</w:t>
      </w:r>
      <w:r>
        <w:rPr>
          <w:rFonts w:ascii="Times New Roman" w:cs="Times New Roman" w:eastAsia="Times New Roman" w:hAnsi="Times New Roman"/>
          <w:sz w:val="17"/>
          <w:szCs w:val="17"/>
          <w:color w:val="000000"/>
        </w:rPr>
        <w:t>FUTURE ASSISTANCE. Following any separation from service, Executive agrees</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that Executive will cooperate and make Executive reasonably available to current Company personnel in the event Executive’s assistance is needed to locate, understand, or clarify work previously performed by Executive or to assist with other work-related issues relating to Executive’s employment. Following any separation from service, Executive also agrees that</w:t>
      </w:r>
    </w:p>
    <w:p>
      <w:pPr>
        <w:spacing w:after="0" w:line="33" w:lineRule="exact"/>
        <w:rPr>
          <w:sz w:val="20"/>
          <w:szCs w:val="20"/>
          <w:color w:val="auto"/>
        </w:rPr>
      </w:pPr>
    </w:p>
    <w:p>
      <w:pPr>
        <w:jc w:val="both"/>
        <w:ind w:left="1160" w:right="1119"/>
        <w:spacing w:after="0" w:line="244" w:lineRule="auto"/>
        <w:rPr>
          <w:sz w:val="20"/>
          <w:szCs w:val="20"/>
          <w:color w:val="auto"/>
        </w:rPr>
      </w:pPr>
      <w:r>
        <w:rPr>
          <w:rFonts w:ascii="Times New Roman" w:cs="Times New Roman" w:eastAsia="Times New Roman" w:hAnsi="Times New Roman"/>
          <w:sz w:val="17"/>
          <w:szCs w:val="17"/>
          <w:color w:val="auto"/>
        </w:rPr>
        <w:t>Executive will cooperate, assist, and make Executive reasonably available to Company personnel or Company agents on an as-needed basis in order to respond to, defend, or address any issues or claims deemed important to Company or to respond to, defend, or address any complaint or claim filed, or any issue raised, by any person or entity who has sued Company or that does business with Company or is associated with Company in any way. Finally, Executive agrees that Executive will</w:t>
      </w:r>
    </w:p>
    <w:p>
      <w:pPr>
        <w:spacing w:after="0" w:line="34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317500</wp:posOffset>
            </wp:positionV>
            <wp:extent cx="5603875" cy="3873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9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93" w:right="1440" w:bottom="1440" w:gutter="0" w:footer="0" w:header="0"/>
        </w:sectPr>
      </w:pPr>
    </w:p>
    <w:bookmarkStart w:id="161" w:name="page162"/>
    <w:bookmarkEnd w:id="161"/>
    <w:p>
      <w:pPr>
        <w:jc w:val="both"/>
        <w:ind w:left="1160" w:right="1099"/>
        <w:spacing w:after="0" w:line="245" w:lineRule="auto"/>
        <w:rPr>
          <w:sz w:val="20"/>
          <w:szCs w:val="20"/>
          <w:color w:val="auto"/>
        </w:rPr>
      </w:pPr>
      <w:r>
        <w:rPr>
          <w:rFonts w:ascii="Times New Roman" w:cs="Times New Roman" w:eastAsia="Times New Roman" w:hAnsi="Times New Roman"/>
          <w:sz w:val="17"/>
          <w:szCs w:val="17"/>
          <w:color w:val="auto"/>
        </w:rPr>
        <w:t>provide truthful and accurate sworn testimony in the form of deposition, affidavit, and/or court testimony if requested by current Company personnel. Company will, following any separation from service, strive to keep the need for future assistance to a minimum and will reimburse Executive for reasonable out-of-pocket expenses incurred as a result of Executive’s assistance, unless such remuneration would be inappropriate or otherwise prohibited under existing law.</w:t>
      </w:r>
    </w:p>
    <w:p>
      <w:pPr>
        <w:spacing w:after="0" w:line="55" w:lineRule="exact"/>
        <w:rPr>
          <w:sz w:val="20"/>
          <w:szCs w:val="20"/>
          <w:color w:val="auto"/>
        </w:rPr>
      </w:pPr>
    </w:p>
    <w:p>
      <w:pPr>
        <w:jc w:val="both"/>
        <w:ind w:left="1160" w:right="1119" w:firstLine="516"/>
        <w:spacing w:after="0" w:line="248" w:lineRule="auto"/>
        <w:rPr>
          <w:sz w:val="20"/>
          <w:szCs w:val="20"/>
          <w:color w:val="auto"/>
        </w:rPr>
      </w:pPr>
      <w:r>
        <w:rPr>
          <w:rFonts w:ascii="Times New Roman" w:cs="Times New Roman" w:eastAsia="Times New Roman" w:hAnsi="Times New Roman"/>
          <w:sz w:val="17"/>
          <w:szCs w:val="17"/>
          <w:color w:val="010000"/>
        </w:rPr>
        <w:t>24.</w:t>
      </w:r>
      <w:r>
        <w:rPr>
          <w:rFonts w:ascii="Times New Roman" w:cs="Times New Roman" w:eastAsia="Times New Roman" w:hAnsi="Times New Roman"/>
          <w:sz w:val="17"/>
          <w:szCs w:val="17"/>
          <w:color w:val="000000"/>
        </w:rPr>
        <w:t>COUNSEL. Executive acknowledges and agrees that the Employment Agreement and</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this Agreement were drafted by Barnes &amp; Thornburg LLP, counsel to Company, and that Barnes</w:t>
      </w:r>
    </w:p>
    <w:p>
      <w:pPr>
        <w:spacing w:after="0" w:line="1" w:lineRule="exact"/>
        <w:rPr>
          <w:sz w:val="20"/>
          <w:szCs w:val="20"/>
          <w:color w:val="auto"/>
        </w:rPr>
      </w:pPr>
    </w:p>
    <w:p>
      <w:pPr>
        <w:jc w:val="both"/>
        <w:ind w:left="1160" w:right="1119" w:firstLine="3"/>
        <w:spacing w:after="0" w:line="241" w:lineRule="auto"/>
        <w:tabs>
          <w:tab w:leader="none" w:pos="1347"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Thornburg LLP is not counsel to Executive. Executive acknowledges that Executive has been fully, separately and independently informed and advised and that Executive has, in addition thereto, made such independent inquiry and investigation with respect to all of the same as Executive deemed necessary to be fully informed.</w:t>
      </w:r>
    </w:p>
    <w:p>
      <w:pPr>
        <w:spacing w:after="0" w:line="3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emainder of</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age</w:t>
      </w:r>
      <w:r>
        <w:rPr>
          <w:rFonts w:ascii="Times New Roman" w:cs="Times New Roman" w:eastAsia="Times New Roman" w:hAnsi="Times New Roman"/>
          <w:sz w:val="17"/>
          <w:szCs w:val="17"/>
          <w:b w:val="1"/>
          <w:bCs w:val="1"/>
          <w:color w:val="auto"/>
        </w:rPr>
        <w:t xml:space="preserve"> I</w:t>
      </w:r>
      <w:r>
        <w:rPr>
          <w:rFonts w:ascii="Times New Roman" w:cs="Times New Roman" w:eastAsia="Times New Roman" w:hAnsi="Times New Roman"/>
          <w:sz w:val="11"/>
          <w:szCs w:val="11"/>
          <w:b w:val="1"/>
          <w:bCs w:val="1"/>
          <w:color w:val="auto"/>
        </w:rPr>
        <w:t>ntentionally</w:t>
      </w:r>
      <w:r>
        <w:rPr>
          <w:rFonts w:ascii="Times New Roman" w:cs="Times New Roman" w:eastAsia="Times New Roman" w:hAnsi="Times New Roman"/>
          <w:sz w:val="17"/>
          <w:szCs w:val="17"/>
          <w:b w:val="1"/>
          <w:bCs w:val="1"/>
          <w:color w:val="auto"/>
        </w:rPr>
        <w:t xml:space="preserve"> L</w:t>
      </w:r>
      <w:r>
        <w:rPr>
          <w:rFonts w:ascii="Times New Roman" w:cs="Times New Roman" w:eastAsia="Times New Roman" w:hAnsi="Times New Roman"/>
          <w:sz w:val="11"/>
          <w:szCs w:val="11"/>
          <w:b w:val="1"/>
          <w:bCs w:val="1"/>
          <w:color w:val="auto"/>
        </w:rPr>
        <w:t>eft</w:t>
      </w:r>
      <w:r>
        <w:rPr>
          <w:rFonts w:ascii="Times New Roman" w:cs="Times New Roman" w:eastAsia="Times New Roman" w:hAnsi="Times New Roman"/>
          <w:sz w:val="17"/>
          <w:szCs w:val="17"/>
          <w:b w:val="1"/>
          <w:bCs w:val="1"/>
          <w:color w:val="auto"/>
        </w:rPr>
        <w:t xml:space="preserve"> B</w:t>
      </w:r>
      <w:r>
        <w:rPr>
          <w:rFonts w:ascii="Times New Roman" w:cs="Times New Roman" w:eastAsia="Times New Roman" w:hAnsi="Times New Roman"/>
          <w:sz w:val="11"/>
          <w:szCs w:val="11"/>
          <w:b w:val="1"/>
          <w:bCs w:val="1"/>
          <w:color w:val="auto"/>
        </w:rPr>
        <w:t>lank</w:t>
      </w:r>
      <w:r>
        <w:rPr>
          <w:rFonts w:ascii="Times New Roman" w:cs="Times New Roman" w:eastAsia="Times New Roman" w:hAnsi="Times New Roman"/>
          <w:sz w:val="17"/>
          <w:szCs w:val="17"/>
          <w:b w:val="1"/>
          <w:bCs w:val="1"/>
          <w:color w:val="auto"/>
        </w:rPr>
        <w:t>.]</w:t>
      </w:r>
    </w:p>
    <w:p>
      <w:pPr>
        <w:spacing w:after="0" w:line="8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age</w:t>
      </w:r>
      <w:r>
        <w:rPr>
          <w:rFonts w:ascii="Times New Roman" w:cs="Times New Roman" w:eastAsia="Times New Roman" w:hAnsi="Times New Roman"/>
          <w:sz w:val="17"/>
          <w:szCs w:val="17"/>
          <w:b w:val="1"/>
          <w:bCs w:val="1"/>
          <w:color w:val="auto"/>
        </w:rPr>
        <w:t xml:space="preserve"> F</w:t>
      </w:r>
      <w:r>
        <w:rPr>
          <w:rFonts w:ascii="Times New Roman" w:cs="Times New Roman" w:eastAsia="Times New Roman" w:hAnsi="Times New Roman"/>
          <w:sz w:val="11"/>
          <w:szCs w:val="11"/>
          <w:b w:val="1"/>
          <w:bCs w:val="1"/>
          <w:color w:val="auto"/>
        </w:rPr>
        <w:t>ollows</w:t>
      </w:r>
      <w:r>
        <w:rPr>
          <w:rFonts w:ascii="Times New Roman" w:cs="Times New Roman" w:eastAsia="Times New Roman" w:hAnsi="Times New Roman"/>
          <w:sz w:val="17"/>
          <w:szCs w:val="17"/>
          <w:b w:val="1"/>
          <w:bCs w:val="1"/>
          <w:color w:val="auto"/>
        </w:rPr>
        <w:t>.]</w:t>
      </w:r>
    </w:p>
    <w:p>
      <w:pPr>
        <w:spacing w:after="0" w:line="39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317500</wp:posOffset>
            </wp:positionV>
            <wp:extent cx="5603875" cy="3873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9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61" w:right="1440" w:bottom="1440" w:gutter="0" w:footer="0" w:header="0"/>
        </w:sectPr>
      </w:pPr>
    </w:p>
    <w:bookmarkStart w:id="162" w:name="page163"/>
    <w:bookmarkEnd w:id="162"/>
    <w:p>
      <w:pPr>
        <w:jc w:val="center"/>
        <w:ind w:right="19"/>
        <w:spacing w:after="0"/>
        <w:rPr>
          <w:sz w:val="20"/>
          <w:szCs w:val="20"/>
          <w:color w:val="auto"/>
        </w:rPr>
      </w:pPr>
      <w:r>
        <w:rPr>
          <w:rFonts w:ascii="Arial" w:cs="Arial" w:eastAsia="Arial" w:hAnsi="Arial"/>
          <w:sz w:val="23"/>
          <w:szCs w:val="23"/>
          <w:b w:val="1"/>
          <w:bCs w:val="1"/>
          <w:color w:val="auto"/>
        </w:rPr>
        <w:t>K</w:t>
      </w:r>
      <w:r>
        <w:rPr>
          <w:rFonts w:ascii="Arial" w:cs="Arial" w:eastAsia="Arial" w:hAnsi="Arial"/>
          <w:sz w:val="16"/>
          <w:szCs w:val="16"/>
          <w:b w:val="1"/>
          <w:bCs w:val="1"/>
          <w:color w:val="auto"/>
        </w:rPr>
        <w:t>nowledge and</w:t>
      </w:r>
      <w:r>
        <w:rPr>
          <w:rFonts w:ascii="Arial" w:cs="Arial" w:eastAsia="Arial" w:hAnsi="Arial"/>
          <w:sz w:val="23"/>
          <w:szCs w:val="23"/>
          <w:b w:val="1"/>
          <w:bCs w:val="1"/>
          <w:color w:val="auto"/>
        </w:rPr>
        <w:t xml:space="preserve"> U</w:t>
      </w:r>
      <w:r>
        <w:rPr>
          <w:rFonts w:ascii="Arial" w:cs="Arial" w:eastAsia="Arial" w:hAnsi="Arial"/>
          <w:sz w:val="16"/>
          <w:szCs w:val="16"/>
          <w:b w:val="1"/>
          <w:bCs w:val="1"/>
          <w:color w:val="auto"/>
        </w:rPr>
        <w:t>nderstanding</w:t>
      </w:r>
    </w:p>
    <w:p>
      <w:pPr>
        <w:spacing w:after="0" w:line="182" w:lineRule="exact"/>
        <w:rPr>
          <w:sz w:val="20"/>
          <w:szCs w:val="20"/>
          <w:color w:val="auto"/>
        </w:rPr>
      </w:pPr>
    </w:p>
    <w:p>
      <w:pPr>
        <w:jc w:val="both"/>
        <w:ind w:left="1160" w:right="1159" w:firstLine="515"/>
        <w:spacing w:after="0" w:line="241" w:lineRule="auto"/>
        <w:rPr>
          <w:sz w:val="20"/>
          <w:szCs w:val="20"/>
          <w:color w:val="auto"/>
        </w:rPr>
      </w:pPr>
      <w:r>
        <w:rPr>
          <w:rFonts w:ascii="Times New Roman" w:cs="Times New Roman" w:eastAsia="Times New Roman" w:hAnsi="Times New Roman"/>
          <w:sz w:val="17"/>
          <w:szCs w:val="17"/>
          <w:color w:val="auto"/>
        </w:rPr>
        <w:t>Executive acknowledges under penalties of perjury that: (a) Executive received this Agreement on September 21, 2025; (b) Executive has been, and is hereby, advised to consult with an attorney prior to executing this Agreement and has been given a reasonable amount of time within which to consult with an attorney; (c) Executive has been given a period of twenty-one (21) days within which to consider this Agreement; (d) Executive has availed Executive of all opportunities Executive deems necessary to make a knowing, voluntary, and fully informed decision; (e) Executive has signed this Agreement free of duress or coercion; and (f) Executive is fully aware of Executive’s rights, and has carefully read and fully understands all provisions of this Agreement before signing.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27"/>
        </w:trPr>
        <w:tc>
          <w:tcPr>
            <w:tcW w:w="3220" w:type="dxa"/>
            <w:vAlign w:val="bottom"/>
            <w:gridSpan w:val="3"/>
          </w:tcPr>
          <w:p>
            <w:pPr>
              <w:ind w:left="1040"/>
              <w:spacing w:after="0"/>
              <w:rPr>
                <w:sz w:val="20"/>
                <w:szCs w:val="20"/>
                <w:color w:val="auto"/>
              </w:rPr>
            </w:pPr>
            <w:r>
              <w:rPr>
                <w:rFonts w:ascii="Times New Roman" w:cs="Times New Roman" w:eastAsia="Times New Roman" w:hAnsi="Times New Roman"/>
                <w:sz w:val="17"/>
                <w:szCs w:val="17"/>
                <w:color w:val="auto"/>
              </w:rPr>
              <w:t>A</w:t>
            </w:r>
            <w:r>
              <w:rPr>
                <w:rFonts w:ascii="Times New Roman" w:cs="Times New Roman" w:eastAsia="Times New Roman" w:hAnsi="Times New Roman"/>
                <w:sz w:val="13"/>
                <w:szCs w:val="13"/>
                <w:color w:val="auto"/>
              </w:rPr>
              <w:t>GREED TO BY</w:t>
            </w:r>
            <w:r>
              <w:rPr>
                <w:rFonts w:ascii="Times New Roman" w:cs="Times New Roman" w:eastAsia="Times New Roman" w:hAnsi="Times New Roman"/>
                <w:sz w:val="17"/>
                <w:szCs w:val="17"/>
                <w:color w:val="auto"/>
              </w:rPr>
              <w:t>:</w:t>
            </w:r>
          </w:p>
        </w:tc>
        <w:tc>
          <w:tcPr>
            <w:tcW w:w="5560" w:type="dxa"/>
            <w:vAlign w:val="bottom"/>
            <w:gridSpan w:val="3"/>
          </w:tcPr>
          <w:p>
            <w:pPr>
              <w:ind w:left="560"/>
              <w:spacing w:after="0"/>
              <w:rPr>
                <w:sz w:val="20"/>
                <w:szCs w:val="20"/>
                <w:color w:val="auto"/>
              </w:rPr>
            </w:pP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3"/>
                <w:szCs w:val="13"/>
                <w:b w:val="1"/>
                <w:bCs w:val="1"/>
                <w:color w:val="auto"/>
              </w:rPr>
              <w:t>HAR</w:t>
            </w: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3"/>
                <w:szCs w:val="13"/>
                <w:b w:val="1"/>
                <w:bCs w:val="1"/>
                <w:color w:val="auto"/>
              </w:rPr>
              <w:t>ERICA</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3"/>
                <w:szCs w:val="13"/>
                <w:b w:val="1"/>
                <w:bCs w:val="1"/>
                <w:color w:val="auto"/>
              </w:rPr>
              <w:t>ORPORATION</w:t>
            </w:r>
          </w:p>
        </w:tc>
      </w:tr>
      <w:tr>
        <w:trPr>
          <w:trHeight w:val="474"/>
        </w:trPr>
        <w:tc>
          <w:tcPr>
            <w:tcW w:w="3220" w:type="dxa"/>
            <w:vAlign w:val="bottom"/>
            <w:gridSpan w:val="3"/>
          </w:tcPr>
          <w:p>
            <w:pPr>
              <w:ind w:left="1040"/>
              <w:spacing w:after="0"/>
              <w:rPr>
                <w:sz w:val="20"/>
                <w:szCs w:val="20"/>
                <w:color w:val="auto"/>
              </w:rPr>
            </w:pPr>
            <w:r>
              <w:rPr>
                <w:rFonts w:ascii="Times New Roman" w:cs="Times New Roman" w:eastAsia="Times New Roman" w:hAnsi="Times New Roman"/>
                <w:sz w:val="17"/>
                <w:szCs w:val="17"/>
                <w:color w:val="auto"/>
              </w:rPr>
              <w:t>By: /s/ Jennifer Yowler</w:t>
            </w:r>
          </w:p>
        </w:tc>
        <w:tc>
          <w:tcPr>
            <w:tcW w:w="5560" w:type="dxa"/>
            <w:vAlign w:val="bottom"/>
            <w:gridSpan w:val="3"/>
          </w:tcPr>
          <w:p>
            <w:pPr>
              <w:ind w:left="560"/>
              <w:spacing w:after="0"/>
              <w:rPr>
                <w:sz w:val="20"/>
                <w:szCs w:val="20"/>
                <w:color w:val="auto"/>
              </w:rPr>
            </w:pPr>
            <w:r>
              <w:rPr>
                <w:rFonts w:ascii="Times New Roman" w:cs="Times New Roman" w:eastAsia="Times New Roman" w:hAnsi="Times New Roman"/>
                <w:sz w:val="17"/>
                <w:szCs w:val="17"/>
                <w:color w:val="auto"/>
              </w:rPr>
              <w:t>By: /s/ Scott Greenwell</w:t>
            </w:r>
          </w:p>
        </w:tc>
      </w:tr>
      <w:tr>
        <w:trPr>
          <w:trHeight w:val="20"/>
        </w:trPr>
        <w:tc>
          <w:tcPr>
            <w:tcW w:w="13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215"/>
        </w:trPr>
        <w:tc>
          <w:tcPr>
            <w:tcW w:w="3220" w:type="dxa"/>
            <w:vAlign w:val="bottom"/>
            <w:gridSpan w:val="3"/>
          </w:tcPr>
          <w:p>
            <w:pPr>
              <w:ind w:left="1040"/>
              <w:spacing w:after="0"/>
              <w:rPr>
                <w:sz w:val="20"/>
                <w:szCs w:val="20"/>
                <w:color w:val="auto"/>
              </w:rPr>
            </w:pPr>
            <w:r>
              <w:rPr>
                <w:rFonts w:ascii="Times New Roman" w:cs="Times New Roman" w:eastAsia="Times New Roman" w:hAnsi="Times New Roman"/>
                <w:sz w:val="17"/>
                <w:szCs w:val="17"/>
                <w:color w:val="auto"/>
              </w:rPr>
              <w:t>Name: Jennifer Yowler</w:t>
            </w:r>
          </w:p>
        </w:tc>
        <w:tc>
          <w:tcPr>
            <w:tcW w:w="5560" w:type="dxa"/>
            <w:vAlign w:val="bottom"/>
            <w:gridSpan w:val="3"/>
          </w:tcPr>
          <w:p>
            <w:pPr>
              <w:ind w:left="560"/>
              <w:spacing w:after="0"/>
              <w:rPr>
                <w:sz w:val="20"/>
                <w:szCs w:val="20"/>
                <w:color w:val="auto"/>
              </w:rPr>
            </w:pPr>
            <w:r>
              <w:rPr>
                <w:rFonts w:ascii="Times New Roman" w:cs="Times New Roman" w:eastAsia="Times New Roman" w:hAnsi="Times New Roman"/>
                <w:sz w:val="17"/>
                <w:szCs w:val="17"/>
                <w:color w:val="auto"/>
              </w:rPr>
              <w:t>By: Scott Greenwell, President</w:t>
            </w:r>
          </w:p>
        </w:tc>
      </w:tr>
      <w:tr>
        <w:trPr>
          <w:trHeight w:val="387"/>
        </w:trPr>
        <w:tc>
          <w:tcPr>
            <w:tcW w:w="3220" w:type="dxa"/>
            <w:vAlign w:val="bottom"/>
            <w:gridSpan w:val="3"/>
          </w:tcPr>
          <w:p>
            <w:pPr>
              <w:ind w:left="1040"/>
              <w:spacing w:after="0"/>
              <w:rPr>
                <w:sz w:val="20"/>
                <w:szCs w:val="20"/>
                <w:color w:val="auto"/>
              </w:rPr>
            </w:pPr>
            <w:r>
              <w:rPr>
                <w:rFonts w:ascii="Times New Roman" w:cs="Times New Roman" w:eastAsia="Times New Roman" w:hAnsi="Times New Roman"/>
                <w:sz w:val="17"/>
                <w:szCs w:val="17"/>
                <w:color w:val="auto"/>
              </w:rPr>
              <w:t>Dated: 10/13/2025</w:t>
            </w:r>
          </w:p>
        </w:tc>
        <w:tc>
          <w:tcPr>
            <w:tcW w:w="5560" w:type="dxa"/>
            <w:vAlign w:val="bottom"/>
            <w:gridSpan w:val="3"/>
          </w:tcPr>
          <w:p>
            <w:pPr>
              <w:ind w:left="560"/>
              <w:spacing w:after="0"/>
              <w:rPr>
                <w:sz w:val="20"/>
                <w:szCs w:val="20"/>
                <w:color w:val="auto"/>
              </w:rPr>
            </w:pPr>
            <w:r>
              <w:rPr>
                <w:rFonts w:ascii="Times New Roman" w:cs="Times New Roman" w:eastAsia="Times New Roman" w:hAnsi="Times New Roman"/>
                <w:sz w:val="17"/>
                <w:szCs w:val="17"/>
                <w:color w:val="auto"/>
              </w:rPr>
              <w:t>Dated: 13 October 2025</w:t>
            </w:r>
          </w:p>
        </w:tc>
      </w:tr>
      <w:tr>
        <w:trPr>
          <w:trHeight w:val="1593"/>
        </w:trPr>
        <w:tc>
          <w:tcPr>
            <w:tcW w:w="13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9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9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939" w:right="1440" w:bottom="1440" w:gutter="0" w:footer="0" w:header="0"/>
        </w:sectPr>
      </w:pPr>
    </w:p>
    <w:bookmarkStart w:id="163" w:name="page164"/>
    <w:bookmarkEnd w:id="16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RELEASE REAFFIRMATION AGREEMENT</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(To be executed and returned to the Company on or after the Separation Date)</w:t>
      </w:r>
    </w:p>
    <w:p>
      <w:pPr>
        <w:spacing w:after="0" w:line="195" w:lineRule="exact"/>
        <w:rPr>
          <w:sz w:val="20"/>
          <w:szCs w:val="20"/>
          <w:color w:val="auto"/>
        </w:rPr>
      </w:pPr>
    </w:p>
    <w:p>
      <w:pPr>
        <w:jc w:val="both"/>
        <w:ind w:left="1160" w:right="1159"/>
        <w:spacing w:after="0" w:line="254" w:lineRule="auto"/>
        <w:rPr>
          <w:sz w:val="20"/>
          <w:szCs w:val="20"/>
          <w:color w:val="auto"/>
        </w:rPr>
      </w:pPr>
      <w:r>
        <w:rPr>
          <w:rFonts w:ascii="Times New Roman" w:cs="Times New Roman" w:eastAsia="Times New Roman" w:hAnsi="Times New Roman"/>
          <w:sz w:val="17"/>
          <w:szCs w:val="17"/>
          <w:color w:val="auto"/>
        </w:rPr>
        <w:t>The releases and representations contained in the Sections 9 and 10 of the Transition Agreement and Release dated as of , 2025 are ratified and confirmed with respect to any claims, acts or omissions through the date listed below.</w:t>
      </w:r>
    </w:p>
    <w:p>
      <w:pPr>
        <w:spacing w:after="0" w:line="153" w:lineRule="exact"/>
        <w:rPr>
          <w:sz w:val="20"/>
          <w:szCs w:val="20"/>
          <w:color w:val="auto"/>
        </w:rPr>
      </w:pPr>
    </w:p>
    <w:p>
      <w:pPr>
        <w:jc w:val="both"/>
        <w:ind w:left="1160" w:right="1159"/>
        <w:spacing w:after="0" w:line="241" w:lineRule="auto"/>
        <w:rPr>
          <w:sz w:val="20"/>
          <w:szCs w:val="20"/>
          <w:color w:val="auto"/>
        </w:rPr>
      </w:pPr>
      <w:r>
        <w:rPr>
          <w:rFonts w:ascii="Times New Roman" w:cs="Times New Roman" w:eastAsia="Times New Roman" w:hAnsi="Times New Roman"/>
          <w:sz w:val="17"/>
          <w:szCs w:val="17"/>
          <w:color w:val="auto"/>
        </w:rPr>
        <w:t>Executive acknowledges under penalty of perjury that: (a) Executive has been, and hereby is, advised to consult with an attorney prior to executing this Release Reaffirmation Agreement; (b) has been given a reasonable amount of time within which to consult with an attorney; (c) has been given a period of 21 days with when within which to consider this Release Reaffirmation Agreement (d) has availed herself of all opportunities she deems necessary to make a knowing, voluntary, and fully informed decision; (e) Executive has signed this Release Reaffirmation Agreement free of duress or coercion; and (f) Executive is fully aware of her rights and has carefully read and understands all provisions of this Release Reaffirmation Agreement before signing.</w:t>
      </w:r>
    </w:p>
    <w:p>
      <w:pPr>
        <w:spacing w:after="0" w:line="356" w:lineRule="exact"/>
        <w:rPr>
          <w:sz w:val="20"/>
          <w:szCs w:val="20"/>
          <w:color w:val="auto"/>
        </w:rPr>
      </w:pPr>
    </w:p>
    <w:tbl>
      <w:tblPr>
        <w:tblLayout w:type="fixed"/>
        <w:tblInd w:w="120" w:type="dxa"/>
        <w:tblCellMar>
          <w:top w:w="0" w:type="dxa"/>
          <w:left w:w="0" w:type="dxa"/>
          <w:bottom w:w="0" w:type="dxa"/>
          <w:right w:w="0" w:type="dxa"/>
        </w:tblCellMar>
      </w:tblPr>
      <w:tr>
        <w:trPr>
          <w:trHeight w:val="227"/>
        </w:trPr>
        <w:tc>
          <w:tcPr>
            <w:tcW w:w="372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A</w:t>
            </w:r>
            <w:r>
              <w:rPr>
                <w:rFonts w:ascii="Times New Roman" w:cs="Times New Roman" w:eastAsia="Times New Roman" w:hAnsi="Times New Roman"/>
                <w:sz w:val="13"/>
                <w:szCs w:val="13"/>
                <w:color w:val="auto"/>
              </w:rPr>
              <w:t>GREED TO BY</w:t>
            </w:r>
            <w:r>
              <w:rPr>
                <w:rFonts w:ascii="Times New Roman" w:cs="Times New Roman" w:eastAsia="Times New Roman" w:hAnsi="Times New Roman"/>
                <w:sz w:val="17"/>
                <w:szCs w:val="17"/>
                <w:color w:val="auto"/>
              </w:rPr>
              <w:t>:</w:t>
            </w:r>
          </w:p>
        </w:tc>
        <w:tc>
          <w:tcPr>
            <w:tcW w:w="506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3"/>
                <w:szCs w:val="13"/>
                <w:b w:val="1"/>
                <w:bCs w:val="1"/>
                <w:color w:val="auto"/>
              </w:rPr>
              <w:t>HAR</w:t>
            </w: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3"/>
                <w:szCs w:val="13"/>
                <w:b w:val="1"/>
                <w:bCs w:val="1"/>
                <w:color w:val="auto"/>
              </w:rPr>
              <w:t>ERICA</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3"/>
                <w:szCs w:val="13"/>
                <w:b w:val="1"/>
                <w:bCs w:val="1"/>
                <w:color w:val="auto"/>
              </w:rPr>
              <w:t>ORPORATION</w:t>
            </w:r>
          </w:p>
        </w:tc>
      </w:tr>
      <w:tr>
        <w:trPr>
          <w:trHeight w:val="818"/>
        </w:trPr>
        <w:tc>
          <w:tcPr>
            <w:tcW w:w="3720" w:type="dxa"/>
            <w:vAlign w:val="bottom"/>
          </w:tcPr>
          <w:p>
            <w:pPr>
              <w:ind w:left="1040"/>
              <w:spacing w:after="0"/>
              <w:rPr>
                <w:sz w:val="20"/>
                <w:szCs w:val="20"/>
                <w:color w:val="auto"/>
              </w:rPr>
            </w:pPr>
            <w:r>
              <w:rPr>
                <w:rFonts w:ascii="Times New Roman" w:cs="Times New Roman" w:eastAsia="Times New Roman" w:hAnsi="Times New Roman"/>
                <w:sz w:val="15"/>
                <w:szCs w:val="15"/>
                <w:color w:val="auto"/>
              </w:rPr>
              <w:t>___________________________________</w:t>
            </w:r>
          </w:p>
        </w:tc>
        <w:tc>
          <w:tcPr>
            <w:tcW w:w="50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By: ______________________________________</w:t>
            </w:r>
          </w:p>
        </w:tc>
      </w:tr>
      <w:tr>
        <w:trPr>
          <w:trHeight w:val="196"/>
        </w:trPr>
        <w:tc>
          <w:tcPr>
            <w:tcW w:w="3720" w:type="dxa"/>
            <w:vAlign w:val="bottom"/>
          </w:tcPr>
          <w:p>
            <w:pPr>
              <w:ind w:left="1040"/>
              <w:spacing w:after="0"/>
              <w:rPr>
                <w:sz w:val="20"/>
                <w:szCs w:val="20"/>
                <w:color w:val="auto"/>
              </w:rPr>
            </w:pPr>
            <w:r>
              <w:rPr>
                <w:rFonts w:ascii="Times New Roman" w:cs="Times New Roman" w:eastAsia="Times New Roman" w:hAnsi="Times New Roman"/>
                <w:sz w:val="15"/>
                <w:szCs w:val="15"/>
                <w:color w:val="auto"/>
              </w:rPr>
              <w:t>Jennifer Yowler</w:t>
            </w:r>
          </w:p>
        </w:tc>
        <w:tc>
          <w:tcPr>
            <w:tcW w:w="5060" w:type="dxa"/>
            <w:vAlign w:val="bottom"/>
          </w:tcPr>
          <w:p>
            <w:pPr>
              <w:jc w:val="right"/>
              <w:ind w:right="2482"/>
              <w:spacing w:after="0"/>
              <w:rPr>
                <w:sz w:val="20"/>
                <w:szCs w:val="20"/>
                <w:color w:val="auto"/>
              </w:rPr>
            </w:pPr>
            <w:r>
              <w:rPr>
                <w:rFonts w:ascii="Times New Roman" w:cs="Times New Roman" w:eastAsia="Times New Roman" w:hAnsi="Times New Roman"/>
                <w:sz w:val="15"/>
                <w:szCs w:val="15"/>
                <w:color w:val="auto"/>
              </w:rPr>
              <w:t>_________, _______________</w:t>
            </w:r>
          </w:p>
        </w:tc>
      </w:tr>
      <w:tr>
        <w:trPr>
          <w:trHeight w:val="515"/>
        </w:trPr>
        <w:tc>
          <w:tcPr>
            <w:tcW w:w="3720" w:type="dxa"/>
            <w:vAlign w:val="bottom"/>
          </w:tcPr>
          <w:p>
            <w:pPr>
              <w:ind w:left="1040"/>
              <w:spacing w:after="0"/>
              <w:rPr>
                <w:sz w:val="20"/>
                <w:szCs w:val="20"/>
                <w:color w:val="auto"/>
              </w:rPr>
            </w:pPr>
            <w:r>
              <w:rPr>
                <w:rFonts w:ascii="Times New Roman" w:cs="Times New Roman" w:eastAsia="Times New Roman" w:hAnsi="Times New Roman"/>
                <w:sz w:val="15"/>
                <w:szCs w:val="15"/>
                <w:color w:val="auto"/>
              </w:rPr>
              <w:t>Dated: _____________________________</w:t>
            </w:r>
          </w:p>
        </w:tc>
        <w:tc>
          <w:tcPr>
            <w:tcW w:w="50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Dated: ___________________________________</w:t>
            </w:r>
          </w:p>
        </w:tc>
      </w:tr>
      <w:tr>
        <w:trPr>
          <w:trHeight w:val="1201"/>
        </w:trPr>
        <w:tc>
          <w:tcPr>
            <w:tcW w:w="372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9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9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135" w:right="1440" w:bottom="1440" w:gutter="0" w:footer="0" w:header="0"/>
        </w:sectPr>
      </w:pPr>
    </w:p>
    <w:bookmarkStart w:id="164" w:name="page165"/>
    <w:bookmarkEnd w:id="164"/>
    <w:p>
      <w:pPr>
        <w:ind w:left="53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1483360</wp:posOffset>
            </wp:positionH>
            <wp:positionV relativeFrom="page">
              <wp:posOffset>743585</wp:posOffset>
            </wp:positionV>
            <wp:extent cx="1411605" cy="27305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96">
                      <a:clrChange>
                        <a:clrFrom>
                          <a:srgbClr val="FFFFFF"/>
                        </a:clrFrom>
                        <a:clrTo>
                          <a:srgbClr val="FFFFFF">
                            <a:alpha val="0"/>
                          </a:srgbClr>
                        </a:clrTo>
                      </a:clrChange>
                      <a:extLst>
                        <a:ext uri="{28A0092B-C50C-407E-A947-70E740481C1C}"/>
                      </a:extLst>
                    </a:blip>
                    <a:srcRect/>
                    <a:stretch>
                      <a:fillRect/>
                    </a:stretch>
                  </pic:blipFill>
                  <pic:spPr bwMode="auto">
                    <a:xfrm>
                      <a:off x="0" y="0"/>
                      <a:ext cx="1411605" cy="273050"/>
                    </a:xfrm>
                    <a:prstGeom prst="rect">
                      <a:avLst/>
                    </a:prstGeom>
                    <a:noFill/>
                  </pic:spPr>
                </pic:pic>
              </a:graphicData>
            </a:graphic>
          </wp:anchor>
        </w:drawing>
        <w:t>Exhibit 10.26</w:t>
      </w:r>
    </w:p>
    <w:p>
      <w:pPr>
        <w:spacing w:after="0" w:line="67" w:lineRule="exact"/>
        <w:rPr>
          <w:sz w:val="20"/>
          <w:szCs w:val="20"/>
          <w:color w:val="auto"/>
        </w:rPr>
      </w:pPr>
    </w:p>
    <w:p>
      <w:pPr>
        <w:ind w:left="900"/>
        <w:spacing w:after="0"/>
        <w:rPr>
          <w:sz w:val="20"/>
          <w:szCs w:val="20"/>
          <w:color w:val="auto"/>
        </w:rPr>
      </w:pPr>
      <w:r>
        <w:rPr>
          <w:rFonts w:ascii="Arial" w:cs="Arial" w:eastAsia="Arial" w:hAnsi="Arial"/>
          <w:sz w:val="11"/>
          <w:szCs w:val="11"/>
          <w:color w:val="3B3F41"/>
        </w:rPr>
        <w:t>805 N. Whittington Parkway</w:t>
      </w:r>
    </w:p>
    <w:p>
      <w:pPr>
        <w:spacing w:after="0" w:line="12" w:lineRule="exact"/>
        <w:rPr>
          <w:sz w:val="20"/>
          <w:szCs w:val="20"/>
          <w:color w:val="auto"/>
        </w:rPr>
      </w:pPr>
    </w:p>
    <w:p>
      <w:pPr>
        <w:ind w:left="900"/>
        <w:spacing w:after="0"/>
        <w:rPr>
          <w:sz w:val="20"/>
          <w:szCs w:val="20"/>
          <w:color w:val="auto"/>
        </w:rPr>
      </w:pPr>
      <w:r>
        <w:rPr>
          <w:rFonts w:ascii="Arial" w:cs="Arial" w:eastAsia="Arial" w:hAnsi="Arial"/>
          <w:sz w:val="11"/>
          <w:szCs w:val="11"/>
          <w:color w:val="3B3F41"/>
        </w:rPr>
        <w:t>Louisville, KY 40222</w:t>
      </w:r>
    </w:p>
    <w:p>
      <w:pPr>
        <w:spacing w:after="0" w:line="2" w:lineRule="exact"/>
        <w:rPr>
          <w:sz w:val="20"/>
          <w:szCs w:val="20"/>
          <w:color w:val="auto"/>
        </w:rPr>
      </w:pPr>
    </w:p>
    <w:p>
      <w:pPr>
        <w:ind w:left="900"/>
        <w:spacing w:after="0"/>
        <w:rPr>
          <w:sz w:val="20"/>
          <w:szCs w:val="20"/>
          <w:color w:val="auto"/>
        </w:rPr>
      </w:pPr>
      <w:r>
        <w:rPr>
          <w:rFonts w:ascii="Arial" w:cs="Arial" w:eastAsia="Arial" w:hAnsi="Arial"/>
          <w:sz w:val="11"/>
          <w:szCs w:val="11"/>
          <w:color w:val="3B3F41"/>
        </w:rPr>
        <w:t>502.394.2100 · BrightSpringHealth.com</w:t>
      </w:r>
    </w:p>
    <w:p>
      <w:pPr>
        <w:spacing w:after="0" w:line="9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u w:val="single" w:color="auto"/>
          <w:color w:val="auto"/>
        </w:rPr>
        <w:t>EMPLOYMENT AGREEMENT</w:t>
      </w:r>
    </w:p>
    <w:p>
      <w:pPr>
        <w:spacing w:after="0" w:line="202" w:lineRule="exact"/>
        <w:rPr>
          <w:sz w:val="20"/>
          <w:szCs w:val="20"/>
          <w:color w:val="auto"/>
        </w:rPr>
      </w:pPr>
    </w:p>
    <w:p>
      <w:pPr>
        <w:jc w:val="both"/>
        <w:ind w:left="900" w:right="1179" w:firstLine="515"/>
        <w:spacing w:after="0" w:line="223" w:lineRule="auto"/>
        <w:rPr>
          <w:sz w:val="20"/>
          <w:szCs w:val="20"/>
          <w:color w:val="auto"/>
        </w:rPr>
      </w:pPr>
      <w:r>
        <w:rPr>
          <w:rFonts w:ascii="Times New Roman" w:cs="Times New Roman" w:eastAsia="Times New Roman" w:hAnsi="Times New Roman"/>
          <w:sz w:val="17"/>
          <w:szCs w:val="17"/>
          <w:color w:val="auto"/>
        </w:rPr>
        <w:t>THIS EMPLOYMENT AGREEMENT (“Agreement”) is made effective as of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7"/>
          <w:szCs w:val="17"/>
          <w:color w:val="auto"/>
        </w:rPr>
        <w:t xml:space="preserve"> day of June, 2025, between PharMerica Corporation, a Delaware corporation (the “Company”), and Scott Greenwell (“Executive”).</w:t>
      </w:r>
    </w:p>
    <w:p>
      <w:pPr>
        <w:spacing w:after="0" w:line="57" w:lineRule="exact"/>
        <w:rPr>
          <w:sz w:val="20"/>
          <w:szCs w:val="20"/>
          <w:color w:val="auto"/>
        </w:rPr>
      </w:pPr>
    </w:p>
    <w:p>
      <w:pPr>
        <w:jc w:val="both"/>
        <w:ind w:left="900" w:right="1159" w:firstLine="515"/>
        <w:spacing w:after="0" w:line="271" w:lineRule="auto"/>
        <w:rPr>
          <w:sz w:val="20"/>
          <w:szCs w:val="20"/>
          <w:color w:val="auto"/>
        </w:rPr>
      </w:pPr>
      <w:r>
        <w:rPr>
          <w:rFonts w:ascii="Times New Roman" w:cs="Times New Roman" w:eastAsia="Times New Roman" w:hAnsi="Times New Roman"/>
          <w:sz w:val="17"/>
          <w:szCs w:val="17"/>
          <w:color w:val="auto"/>
        </w:rPr>
        <w:t>WHEREAS, Executive desires to be employed with the Company in the position of President and the Company is desirous of having Executive in such position; and</w:t>
      </w:r>
    </w:p>
    <w:p>
      <w:pPr>
        <w:spacing w:after="0" w:line="117" w:lineRule="exact"/>
        <w:rPr>
          <w:sz w:val="20"/>
          <w:szCs w:val="20"/>
          <w:color w:val="auto"/>
        </w:rPr>
      </w:pPr>
    </w:p>
    <w:p>
      <w:pPr>
        <w:jc w:val="both"/>
        <w:ind w:left="900" w:right="1159" w:firstLine="515"/>
        <w:spacing w:after="0" w:line="271" w:lineRule="auto"/>
        <w:rPr>
          <w:sz w:val="20"/>
          <w:szCs w:val="20"/>
          <w:color w:val="auto"/>
        </w:rPr>
      </w:pPr>
      <w:r>
        <w:rPr>
          <w:rFonts w:ascii="Times New Roman" w:cs="Times New Roman" w:eastAsia="Times New Roman" w:hAnsi="Times New Roman"/>
          <w:sz w:val="17"/>
          <w:szCs w:val="17"/>
          <w:color w:val="auto"/>
        </w:rPr>
        <w:t>WHEREAS, the Company and Executive desire to execute this Agreement and agree to be bound by the terms thereof.</w:t>
      </w:r>
    </w:p>
    <w:p>
      <w:pPr>
        <w:spacing w:after="0" w:line="117" w:lineRule="exact"/>
        <w:rPr>
          <w:sz w:val="20"/>
          <w:szCs w:val="20"/>
          <w:color w:val="auto"/>
        </w:rPr>
      </w:pPr>
    </w:p>
    <w:p>
      <w:pPr>
        <w:jc w:val="both"/>
        <w:ind w:left="900" w:right="1159" w:firstLine="515"/>
        <w:spacing w:after="0" w:line="271" w:lineRule="auto"/>
        <w:rPr>
          <w:sz w:val="20"/>
          <w:szCs w:val="20"/>
          <w:color w:val="auto"/>
        </w:rPr>
      </w:pPr>
      <w:r>
        <w:rPr>
          <w:rFonts w:ascii="Times New Roman" w:cs="Times New Roman" w:eastAsia="Times New Roman" w:hAnsi="Times New Roman"/>
          <w:sz w:val="17"/>
          <w:szCs w:val="17"/>
          <w:color w:val="auto"/>
        </w:rPr>
        <w:t>NOW, THEREFORE, in consideration of the promises and the mutual agreements set forth herein, the parties agree as follows:</w:t>
      </w:r>
    </w:p>
    <w:p>
      <w:pPr>
        <w:spacing w:after="0" w:line="117" w:lineRule="exact"/>
        <w:rPr>
          <w:sz w:val="20"/>
          <w:szCs w:val="20"/>
          <w:color w:val="auto"/>
        </w:rPr>
      </w:pPr>
    </w:p>
    <w:p>
      <w:pPr>
        <w:jc w:val="both"/>
        <w:ind w:left="900" w:right="1159" w:firstLine="511"/>
        <w:spacing w:after="0"/>
        <w:tabs>
          <w:tab w:leader="none" w:pos="1594"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Employment. As of the date hereof, Executive shall serve as President of the Company and Executive Vice President of BrightSpring Health Services, Inc., a Delaware corporation (“BHS”). Executive shall, subject to the supervision and control of the Chief Executive Officer of BHS (the “CEO”) or the CEO’s designee (the “Supervising Officer”) and perform such duties and exercise such powers over and with regard to the business of the Company, its affiliates and their operations as may be prescribed from time to time by the Supervising Officer. Executive’s duties and responsibilities, post of duty, title, and Supervising Officer may change from time to time by reason of changes in the needs of the Company. Executive shall devote Executive’s full business time, attention, energies and talents exclusively to the business of the Company and its affiliates and subsidiaries and to no other business, except with the Company’s written consent, which shall not be unreasonably withheld. Executive’s principal place of employment shall be at the Company’s headquarters in the Louisville, Kentucky metropolitan area, although Executive understands and agrees that Executive may be required to travel frequently for business reasons.</w:t>
      </w:r>
    </w:p>
    <w:p>
      <w:pPr>
        <w:spacing w:after="0" w:line="57" w:lineRule="exact"/>
        <w:rPr>
          <w:rFonts w:ascii="Times New Roman" w:cs="Times New Roman" w:eastAsia="Times New Roman" w:hAnsi="Times New Roman"/>
          <w:sz w:val="17"/>
          <w:szCs w:val="17"/>
          <w:color w:val="auto"/>
        </w:rPr>
      </w:pPr>
    </w:p>
    <w:p>
      <w:pPr>
        <w:jc w:val="both"/>
        <w:ind w:left="900" w:right="1159" w:firstLine="511"/>
        <w:spacing w:after="0" w:line="241" w:lineRule="auto"/>
        <w:tabs>
          <w:tab w:leader="none" w:pos="1594"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 This Agreement shall have an initial term commencing on the date first listed above (the “Commencement Date”) and ending twelve (12) months thereafter, subject to earlier termination only in accordance with the provisions of this Agreement (“Initial Term”). This Agreement will automatically renew for successive periods of twelve (12) months each (the “Additional Term(s)”) on the same terms and conditions unless Executive or the Company provides written notice of non-renewal no later than thirty (30) days prior to the end of the Initial Term or any then effective Additional Term (which non-renewal is not a termination without Cause under Section 7). The effective date of cessation from employment with the Company and all other Affiliated Companies, for any reason or no reason, shall be referred to herein as the “Date of Termination.” Sections 9 through 20 shall survive the expiration, non-renewal or termination of this Agreement.</w:t>
      </w:r>
    </w:p>
    <w:p>
      <w:pPr>
        <w:spacing w:after="0" w:line="55" w:lineRule="exact"/>
        <w:rPr>
          <w:rFonts w:ascii="Times New Roman" w:cs="Times New Roman" w:eastAsia="Times New Roman" w:hAnsi="Times New Roman"/>
          <w:sz w:val="17"/>
          <w:szCs w:val="17"/>
          <w:color w:val="auto"/>
        </w:rPr>
      </w:pPr>
    </w:p>
    <w:p>
      <w:pPr>
        <w:ind w:left="1920" w:hanging="509"/>
        <w:spacing w:after="0"/>
        <w:tabs>
          <w:tab w:leader="none" w:pos="19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 Salary; Signing Bonus; Annual Bonus Opportunity; Benefits.</w:t>
      </w:r>
    </w:p>
    <w:p>
      <w:pPr>
        <w:spacing w:after="0" w:line="83" w:lineRule="exact"/>
        <w:rPr>
          <w:rFonts w:ascii="Times New Roman" w:cs="Times New Roman" w:eastAsia="Times New Roman" w:hAnsi="Times New Roman"/>
          <w:sz w:val="17"/>
          <w:szCs w:val="17"/>
          <w:color w:val="auto"/>
        </w:rPr>
      </w:pPr>
    </w:p>
    <w:p>
      <w:pPr>
        <w:jc w:val="both"/>
        <w:ind w:left="1760" w:right="1159" w:firstLine="712"/>
        <w:spacing w:after="0" w:line="271" w:lineRule="auto"/>
        <w:tabs>
          <w:tab w:leader="none" w:pos="2961" w:val="left"/>
        </w:tabs>
        <w:numPr>
          <w:ilvl w:val="1"/>
          <w:numId w:val="6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Company shall pay to Executive an annual salary of $450,000 (the “Base Salary”), subject to applicable federal, state, and local tax withholding. Such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675005</wp:posOffset>
            </wp:positionV>
            <wp:extent cx="5603875" cy="3873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9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5" w:name="page166"/>
    <w:bookmarkEnd w:id="165"/>
    <w:p>
      <w:pPr>
        <w:spacing w:after="0" w:line="86" w:lineRule="exact"/>
        <w:rPr>
          <w:sz w:val="20"/>
          <w:szCs w:val="20"/>
          <w:color w:val="auto"/>
        </w:rPr>
      </w:pPr>
    </w:p>
    <w:p>
      <w:pPr>
        <w:jc w:val="both"/>
        <w:ind w:left="1420" w:right="1159"/>
        <w:spacing w:after="0" w:line="248" w:lineRule="auto"/>
        <w:rPr>
          <w:sz w:val="20"/>
          <w:szCs w:val="20"/>
          <w:color w:val="auto"/>
        </w:rPr>
      </w:pPr>
      <w:r>
        <w:rPr>
          <w:rFonts w:ascii="Times New Roman" w:cs="Times New Roman" w:eastAsia="Times New Roman" w:hAnsi="Times New Roman"/>
          <w:sz w:val="17"/>
          <w:szCs w:val="17"/>
          <w:color w:val="auto"/>
        </w:rPr>
        <w:t>Salary shall be paid to Executive in the same manner and on the same payroll schedule on which other Company employees receive payment. The Base Salary may be increased from time to time for changes in Executive’s responsibilities, for market adjustments, or for any other reason as determined by the Supervising Officer or the President.</w:t>
      </w:r>
    </w:p>
    <w:p>
      <w:pPr>
        <w:spacing w:after="0" w:line="51" w:lineRule="exact"/>
        <w:rPr>
          <w:sz w:val="20"/>
          <w:szCs w:val="20"/>
          <w:color w:val="auto"/>
        </w:rPr>
      </w:pPr>
    </w:p>
    <w:p>
      <w:pPr>
        <w:jc w:val="both"/>
        <w:ind w:left="1420" w:right="1159" w:firstLine="507"/>
        <w:spacing w:after="0"/>
        <w:tabs>
          <w:tab w:leader="none" w:pos="2292" w:val="left"/>
        </w:tabs>
        <w:numPr>
          <w:ilvl w:val="1"/>
          <w:numId w:val="6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Within thirty (30) days of the Commencement Date, Executive shall receive a bonus from the Company in the amount of $250,000 (the “Signing Bonus”). Executive shall be required to repay the Signing Bonus to the Company (less any taxes paid by Executive for which Executive is not able to be reimbursed) if prior to the one-year anniversary of the Commencement Date Executive’s employment is terminated by the Company for Cause or Executive resigns employment without Good Reason. To the extent permitted by applicable law, and without limiting the amount of the Signing Bonus Executive is required to repay, Executive hereby agrees to permit the Company to withhold all or any portion of the Signing Bonus required to be repaid from Executive’s final wage payment and from any other amounts owed to Executive by the Company or its affiliates (“Wage Agreement”). To the extent applicable law requires or permits the revocation of this Wage Agreement, then Executive may revoke this Wage Assignment at any time upon written notice to the Company.</w:t>
      </w:r>
    </w:p>
    <w:p>
      <w:pPr>
        <w:spacing w:after="0" w:line="253" w:lineRule="exact"/>
        <w:rPr>
          <w:rFonts w:ascii="Times New Roman" w:cs="Times New Roman" w:eastAsia="Times New Roman" w:hAnsi="Times New Roman"/>
          <w:sz w:val="17"/>
          <w:szCs w:val="17"/>
          <w:color w:val="010000"/>
        </w:rPr>
      </w:pPr>
    </w:p>
    <w:p>
      <w:pPr>
        <w:jc w:val="both"/>
        <w:ind w:left="1420" w:right="1159" w:firstLine="507"/>
        <w:spacing w:after="0" w:line="239" w:lineRule="auto"/>
        <w:tabs>
          <w:tab w:leader="none" w:pos="2292" w:val="left"/>
        </w:tabs>
        <w:numPr>
          <w:ilvl w:val="1"/>
          <w:numId w:val="6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In respect of each fiscal year, beginning with fiscal year 2025 (pro-rated for fiscal year 2025 based on the Commencement Date), Executive shall be eligible for an annual incentive bonus award determined by the Company (the “Annual Bonus”) with a target of 75% of Base Salary. The amount and payment of the award will be based upon the level of achievement of annual Company and individual performance objectives for such fiscal year, as determined by the Company in its sole discretion. The Annual Bonus shall otherwise be subject to the terms and conditions of the annual bonus plan adopted by the Company, if any, under which bonuses are generally payable to senior executives of the Company, as in effect from time to time. The Company reserves the right to amend, alter, or terminate the annual bonus plan, and thus the Annual Bonus, in its sole discretion. The Annual Bonus shall be paid to Executive at the same time as annual bonuses are generally payable to other senior executives of the Company. Subject to the conditions provided under Section 7 in connection with Executive’s termination of employment, Executive must be employed on the date the Annual Bonus is paid to be entitled to the Annual Bonus.</w:t>
      </w:r>
    </w:p>
    <w:p>
      <w:pPr>
        <w:spacing w:after="0" w:line="66" w:lineRule="exact"/>
        <w:rPr>
          <w:rFonts w:ascii="Times New Roman" w:cs="Times New Roman" w:eastAsia="Times New Roman" w:hAnsi="Times New Roman"/>
          <w:sz w:val="17"/>
          <w:szCs w:val="17"/>
          <w:color w:val="010000"/>
        </w:rPr>
      </w:pPr>
    </w:p>
    <w:p>
      <w:pPr>
        <w:jc w:val="both"/>
        <w:ind w:left="1420" w:right="1159" w:firstLine="507"/>
        <w:spacing w:after="0" w:line="242" w:lineRule="auto"/>
        <w:tabs>
          <w:tab w:leader="none" w:pos="2292" w:val="left"/>
        </w:tabs>
        <w:numPr>
          <w:ilvl w:val="1"/>
          <w:numId w:val="6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Executive shall be entitled to participate in health, insurance, retirement, and other benefits provided generally to similarly situated senior executives of the Company. Executive shall also be entitled to the same number of holidays, vacation, and sick days, as well as any other benefits, in each case as are generally allowed to similarly situated executives of the Company in accordance with the Company policy as in effect from time to time. Nothing contained herein shall be construed to limit the Company’s ability to amend, suspend, or terminate any employee benefit plan or policy at any time, and the right to do so is expressly reserved.</w:t>
      </w:r>
    </w:p>
    <w:p>
      <w:pPr>
        <w:spacing w:after="0" w:line="173" w:lineRule="exact"/>
        <w:rPr>
          <w:rFonts w:ascii="Times New Roman" w:cs="Times New Roman" w:eastAsia="Times New Roman" w:hAnsi="Times New Roman"/>
          <w:sz w:val="17"/>
          <w:szCs w:val="17"/>
          <w:color w:val="010000"/>
        </w:rPr>
      </w:pPr>
    </w:p>
    <w:p>
      <w:pPr>
        <w:jc w:val="both"/>
        <w:ind w:left="1420" w:right="1159" w:firstLine="507"/>
        <w:spacing w:after="0" w:line="245" w:lineRule="auto"/>
        <w:tabs>
          <w:tab w:leader="none" w:pos="2292" w:val="left"/>
        </w:tabs>
        <w:numPr>
          <w:ilvl w:val="1"/>
          <w:numId w:val="6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Executive is authorized to incur reasonable business expenses in carrying out Executive’s duties and responsibilities under this Agreement, and the Company shall promptly reimburse Executive for all such reasonable business expenses, subject to documentation and otherwise in accordance with the Company’s policy(ies), as in effect from time to time.</w:t>
      </w:r>
    </w:p>
    <w:p>
      <w:pPr>
        <w:spacing w:after="0" w:line="54" w:lineRule="exact"/>
        <w:rPr>
          <w:rFonts w:ascii="Times New Roman" w:cs="Times New Roman" w:eastAsia="Times New Roman" w:hAnsi="Times New Roman"/>
          <w:sz w:val="17"/>
          <w:szCs w:val="17"/>
          <w:color w:val="010000"/>
        </w:rPr>
      </w:pPr>
    </w:p>
    <w:p>
      <w:pPr>
        <w:ind w:left="1600" w:hanging="189"/>
        <w:spacing w:after="0"/>
        <w:tabs>
          <w:tab w:leader="none" w:pos="16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Non-Equity Incentive Plan, Stock Option Plan, Other Benefit Plans. Executive also</w:t>
      </w:r>
    </w:p>
    <w:p>
      <w:pPr>
        <w:spacing w:after="0" w:line="19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503555</wp:posOffset>
            </wp:positionV>
            <wp:extent cx="5603875" cy="387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9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6" w:name="page167"/>
    <w:bookmarkEnd w:id="166"/>
    <w:p>
      <w:pPr>
        <w:jc w:val="both"/>
        <w:ind w:left="900" w:right="1159"/>
        <w:spacing w:after="0" w:line="248" w:lineRule="auto"/>
        <w:rPr>
          <w:sz w:val="20"/>
          <w:szCs w:val="20"/>
          <w:color w:val="auto"/>
        </w:rPr>
      </w:pPr>
      <w:r>
        <w:rPr>
          <w:rFonts w:ascii="Times New Roman" w:cs="Times New Roman" w:eastAsia="Times New Roman" w:hAnsi="Times New Roman"/>
          <w:sz w:val="17"/>
          <w:szCs w:val="17"/>
          <w:color w:val="auto"/>
        </w:rPr>
        <w:t>shall be eligible for participation in any non-equity incentive plan and/or stock option plan with respect to BHS, while employed by the Company, the specific terms of which shall be enumerated in the Executive’s offer letter. Participation in such plans will be governed not by this Agreement but by separate plan documents.</w:t>
      </w:r>
    </w:p>
    <w:p>
      <w:pPr>
        <w:spacing w:after="0" w:line="51" w:lineRule="exact"/>
        <w:rPr>
          <w:sz w:val="20"/>
          <w:szCs w:val="20"/>
          <w:color w:val="auto"/>
        </w:rPr>
      </w:pPr>
    </w:p>
    <w:p>
      <w:pPr>
        <w:jc w:val="both"/>
        <w:ind w:left="900" w:right="1159" w:firstLine="511"/>
        <w:spacing w:after="0"/>
        <w:tabs>
          <w:tab w:leader="none" w:pos="1594"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Employment Status. The terms of Executive’s employment with the Company shall be governed by this Agreement. Notwithstanding anything herein to the contrary, the Company makes no express or implied commitment that Executive’s employment will have a minimum or fixed term, or that the Company may take adverse employment action only for “cause.” Executive’s employment is terminable at will at any time for any reason or no reason and shall terminate automatically upon Executive’s death. Either Executive or the Company may terminate the employment relationship at any time for any reason or no reason. However, Executive agrees to give the Company not less than 30 days prior written notice of Executive’s voluntary termination. Upon any cessation of Executive’s employment, except as may otherwise be requested by the Company in writing and agreed upon in writing by Executive, Executive shall be deemed to have resigned from any and all directorships, committee memberships, and any other positions Executive holds with the Company or any other Affiliated Company.</w:t>
      </w:r>
    </w:p>
    <w:p>
      <w:pPr>
        <w:spacing w:after="0" w:line="59" w:lineRule="exact"/>
        <w:rPr>
          <w:rFonts w:ascii="Times New Roman" w:cs="Times New Roman" w:eastAsia="Times New Roman" w:hAnsi="Times New Roman"/>
          <w:sz w:val="17"/>
          <w:szCs w:val="17"/>
          <w:color w:val="auto"/>
        </w:rPr>
      </w:pPr>
    </w:p>
    <w:p>
      <w:pPr>
        <w:jc w:val="both"/>
        <w:ind w:left="900" w:right="1159" w:firstLine="511"/>
        <w:spacing w:after="0" w:line="241" w:lineRule="auto"/>
        <w:tabs>
          <w:tab w:leader="none" w:pos="1594"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Disability. Executive’s employment shall terminate hereunder at the earlier of (a) immediately upon the Company’s determination (conveyed by a notice to Executive) that Executive is subject to a permanent disability, (b) Executive’s absence from Executive’s duties hereunder for 180 days, or (c) a condition that entitles Executive to receive long-term disability benefits under the Company’s long-term disability plan, if there is such a plan. “Permanent disability” for purposes of this Agreement shall mean the onset of a physical or mental disability which prevents Executive from performing the essential functions of Executive’s duties hereunder, with or without reasonable accommodation, which is expected to continue for 180 days or more, subject to any reasonable accommodation required by state and/or federal disability anti-discrimination laws, including, but not limited to, the Americans With Disabilities Act of 1990, as amended.</w:t>
      </w:r>
    </w:p>
    <w:p>
      <w:pPr>
        <w:spacing w:after="0" w:line="55" w:lineRule="exact"/>
        <w:rPr>
          <w:rFonts w:ascii="Times New Roman" w:cs="Times New Roman" w:eastAsia="Times New Roman" w:hAnsi="Times New Roman"/>
          <w:sz w:val="17"/>
          <w:szCs w:val="17"/>
          <w:color w:val="auto"/>
        </w:rPr>
      </w:pPr>
    </w:p>
    <w:p>
      <w:pPr>
        <w:ind w:left="1920" w:hanging="509"/>
        <w:spacing w:after="0"/>
        <w:tabs>
          <w:tab w:leader="none" w:pos="19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upon Termination Without Cause or Resignation with Good Reason.</w:t>
      </w:r>
    </w:p>
    <w:p>
      <w:pPr>
        <w:spacing w:after="0" w:line="83" w:lineRule="exact"/>
        <w:rPr>
          <w:rFonts w:ascii="Times New Roman" w:cs="Times New Roman" w:eastAsia="Times New Roman" w:hAnsi="Times New Roman"/>
          <w:sz w:val="17"/>
          <w:szCs w:val="17"/>
          <w:color w:val="auto"/>
        </w:rPr>
      </w:pPr>
    </w:p>
    <w:p>
      <w:pPr>
        <w:jc w:val="both"/>
        <w:ind w:left="1420" w:right="1159" w:firstLine="507"/>
        <w:spacing w:after="0" w:line="239" w:lineRule="auto"/>
        <w:tabs>
          <w:tab w:leader="none" w:pos="2292" w:val="left"/>
        </w:tabs>
        <w:numPr>
          <w:ilvl w:val="1"/>
          <w:numId w:val="7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As additional separation pay, notwithstanding anything herein to the contrary, if Executive’s employment is terminated without Cause by the Company or by the Executive for Good Reason, Executive shall receive (i) Executive’s then current Base Salary for twelve (12) months after the Date of Termination, payable in equal installments on the same payroll schedule on which other Company employees receive payment (the “Severance Benefits”); (ii) an amount equal to Executive’s COBRA premiums for the lesser of twelve (12) months following the date of Termination or until such time as Executive secures “alternative employment” (herein defined as services performed in exchange for compensation (iii) any unpaid Annual Bonus with respect to the calendar year completed prior to the Date of Termination, which Annual Bonus shall be determined by the Board as if Executive remained employed and shall be paid at substantially the same time the Company pays annual bonuses with respect to such year to other Company executives; (iv) Annual Bonus for the calendar year of the Date of Termination, prorated based upon the remaining days of the calendar year,, which Annual Bonus amount shall be determined by the Board as if Executive remained employed for the prorated period and shall be paid at substantially the same time the Company pays annual bonuses with respect to such year to other Company executives; (v) all outstanding equity awards that are scheduled to vest prior to or within twelve (12) months of the Date of</w:t>
      </w:r>
    </w:p>
    <w:p>
      <w:pPr>
        <w:spacing w:after="0" w:line="1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497205</wp:posOffset>
            </wp:positionV>
            <wp:extent cx="5603875" cy="3873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9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418" w:right="1440" w:bottom="1440" w:gutter="0" w:footer="0" w:header="0"/>
        </w:sectPr>
      </w:pPr>
    </w:p>
    <w:bookmarkStart w:id="167" w:name="page168"/>
    <w:bookmarkEnd w:id="167"/>
    <w:p>
      <w:pPr>
        <w:jc w:val="both"/>
        <w:ind w:left="1420" w:right="1159"/>
        <w:spacing w:after="0" w:line="244" w:lineRule="auto"/>
        <w:rPr>
          <w:sz w:val="20"/>
          <w:szCs w:val="20"/>
          <w:color w:val="auto"/>
        </w:rPr>
      </w:pPr>
      <w:r>
        <w:rPr>
          <w:rFonts w:ascii="Times New Roman" w:cs="Times New Roman" w:eastAsia="Times New Roman" w:hAnsi="Times New Roman"/>
          <w:sz w:val="17"/>
          <w:szCs w:val="17"/>
          <w:color w:val="auto"/>
        </w:rPr>
        <w:t>Termination occurred will vest immediately. Following such termination of Executive’s employment by the Company without Cause or by the Executive for Good Reason, except as set forth in this Section 7(a) and the Accrued Obligations, Executive shall have no further rights to any compensation or any other benefits under this Agreement or otherwise and Executive’s sole and exclusive remedy upon a termination of employment by the Company without Cause shall be receipt of the Severance Benefits.</w:t>
      </w:r>
    </w:p>
    <w:p>
      <w:pPr>
        <w:spacing w:after="0" w:line="53" w:lineRule="exact"/>
        <w:rPr>
          <w:sz w:val="20"/>
          <w:szCs w:val="20"/>
          <w:color w:val="auto"/>
        </w:rPr>
      </w:pPr>
    </w:p>
    <w:p>
      <w:pPr>
        <w:jc w:val="both"/>
        <w:ind w:left="1420" w:right="1159" w:firstLine="507"/>
        <w:spacing w:after="0" w:line="239" w:lineRule="auto"/>
        <w:tabs>
          <w:tab w:leader="none" w:pos="2292" w:val="left"/>
        </w:tabs>
        <w:numPr>
          <w:ilvl w:val="1"/>
          <w:numId w:val="7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Notwithstanding any provision herein to the contrary, the payment of the Severance Benefits shall be conditioned upon Executive’s execution, delivery to the Company, and non-revocation of a release drafted by, and in form and substance acceptable to, the Company (the “Release”) (and the expiration of any revocation period contained in such Release) within sixty (60) days following the Date of Termination. If Executive fails to execute the Release in such a timely manner so as to permit any revocation period to expire prior to the end of such sixty (60) day period, or timely revokes Executive’s acceptance of such Release following its execution, Executive shall not be entitled to any of the Severance Benefits. Further, to the extent that any of the Severance Benefits constitutes “nonqualified deferred compensation” for purposes of Section 409A of the Code, any payment of any amount or provision of any benefit otherwise scheduled to occur prior to the sixtieth (60</w:t>
      </w:r>
      <w:r>
        <w:rPr>
          <w:rFonts w:ascii="Times New Roman" w:cs="Times New Roman" w:eastAsia="Times New Roman" w:hAnsi="Times New Roman"/>
          <w:sz w:val="11"/>
          <w:szCs w:val="11"/>
          <w:color w:val="auto"/>
        </w:rPr>
        <w:t>th</w:t>
      </w:r>
      <w:r>
        <w:rPr>
          <w:rFonts w:ascii="Times New Roman" w:cs="Times New Roman" w:eastAsia="Times New Roman" w:hAnsi="Times New Roman"/>
          <w:sz w:val="17"/>
          <w:szCs w:val="17"/>
          <w:color w:val="auto"/>
        </w:rPr>
        <w:t>) day following the Date of Termination, but for the condition of executing the Release as set forth herein, shall not be made until the first regularly scheduled payroll date following such sixtieth (60</w:t>
      </w:r>
      <w:r>
        <w:rPr>
          <w:rFonts w:ascii="Times New Roman" w:cs="Times New Roman" w:eastAsia="Times New Roman" w:hAnsi="Times New Roman"/>
          <w:sz w:val="11"/>
          <w:szCs w:val="11"/>
          <w:color w:val="auto"/>
        </w:rPr>
        <w:t>th</w:t>
      </w:r>
      <w:r>
        <w:rPr>
          <w:rFonts w:ascii="Times New Roman" w:cs="Times New Roman" w:eastAsia="Times New Roman" w:hAnsi="Times New Roman"/>
          <w:sz w:val="17"/>
          <w:szCs w:val="17"/>
          <w:color w:val="auto"/>
        </w:rPr>
        <w:t>) day, after which any remaining Severance Benefits shall thereafter be provided to Executive according to the applicable schedule set forth herein.</w:t>
      </w:r>
    </w:p>
    <w:p>
      <w:pPr>
        <w:spacing w:after="0" w:line="65" w:lineRule="exact"/>
        <w:rPr>
          <w:rFonts w:ascii="Times New Roman" w:cs="Times New Roman" w:eastAsia="Times New Roman" w:hAnsi="Times New Roman"/>
          <w:sz w:val="17"/>
          <w:szCs w:val="17"/>
          <w:color w:val="010000"/>
        </w:rPr>
      </w:pPr>
    </w:p>
    <w:p>
      <w:pPr>
        <w:jc w:val="both"/>
        <w:ind w:left="900" w:right="1159" w:firstLine="511"/>
        <w:spacing w:after="0" w:line="242" w:lineRule="auto"/>
        <w:tabs>
          <w:tab w:leader="none" w:pos="159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Termination. No pay continuation or other payments under Section 7 will be payable to Executive if Executive voluntarily terminates Executive’s employment with the Company, if employment terminates due to death or disability, or if the Company terminates Executive’s employment for Cause or upon any non-renewal under Section 2. Upon any termination of Executive’s employment, Executive shall be entitled to no other compensation or benefits other than the following (the “Accrued Obligations”) (except if Section 7 is applicable and then only to the extent set forth in Section 7): (a) earned but unpaid Base Salary and accrued but unused vacation through the Date of Termination, payable within thirty (30) days of the Date</w:t>
      </w:r>
    </w:p>
    <w:p>
      <w:pPr>
        <w:spacing w:after="0" w:line="163" w:lineRule="exact"/>
        <w:rPr>
          <w:sz w:val="20"/>
          <w:szCs w:val="20"/>
          <w:color w:val="auto"/>
        </w:rPr>
      </w:pPr>
    </w:p>
    <w:p>
      <w:pPr>
        <w:jc w:val="both"/>
        <w:ind w:left="900" w:right="1159"/>
        <w:spacing w:after="0" w:line="245" w:lineRule="auto"/>
        <w:rPr>
          <w:sz w:val="20"/>
          <w:szCs w:val="20"/>
          <w:color w:val="auto"/>
        </w:rPr>
      </w:pPr>
      <w:r>
        <w:rPr>
          <w:rFonts w:ascii="Times New Roman" w:cs="Times New Roman" w:eastAsia="Times New Roman" w:hAnsi="Times New Roman"/>
          <w:sz w:val="17"/>
          <w:szCs w:val="17"/>
          <w:color w:val="auto"/>
        </w:rPr>
        <w:t>of Termination; (b) unreimbursed business expenses, payable within thirty (30) days of the Date of Termination; and (c) amounts or benefits due under any benefit or equity plan, program or arrangement, in accordance with the terms contained therein. Without limiting the foregoing, Executive acknowledges and agrees that Executive shall not be entitled to any unpaid bonus (as Executive must be employed on the date any bonus is paid to be eligible to receive any bonus).</w:t>
      </w:r>
    </w:p>
    <w:p>
      <w:pPr>
        <w:spacing w:after="0" w:line="55" w:lineRule="exact"/>
        <w:rPr>
          <w:sz w:val="20"/>
          <w:szCs w:val="20"/>
          <w:color w:val="auto"/>
        </w:rPr>
      </w:pPr>
    </w:p>
    <w:p>
      <w:pPr>
        <w:ind w:left="1920" w:hanging="509"/>
        <w:spacing w:after="0"/>
        <w:tabs>
          <w:tab w:leader="none" w:pos="19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Covenants.</w:t>
      </w:r>
    </w:p>
    <w:p>
      <w:pPr>
        <w:spacing w:after="0" w:line="83" w:lineRule="exact"/>
        <w:rPr>
          <w:rFonts w:ascii="Times New Roman" w:cs="Times New Roman" w:eastAsia="Times New Roman" w:hAnsi="Times New Roman"/>
          <w:sz w:val="17"/>
          <w:szCs w:val="17"/>
          <w:color w:val="auto"/>
        </w:rPr>
      </w:pPr>
    </w:p>
    <w:p>
      <w:pPr>
        <w:ind w:left="2440" w:hanging="513"/>
        <w:spacing w:after="0"/>
        <w:tabs>
          <w:tab w:leader="none" w:pos="2440" w:val="left"/>
        </w:tabs>
        <w:numPr>
          <w:ilvl w:val="1"/>
          <w:numId w:val="7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Acknowledgments</w:t>
      </w:r>
      <w:r>
        <w:rPr>
          <w:rFonts w:ascii="Times New Roman" w:cs="Times New Roman" w:eastAsia="Times New Roman" w:hAnsi="Times New Roman"/>
          <w:sz w:val="17"/>
          <w:szCs w:val="17"/>
          <w:color w:val="auto"/>
        </w:rPr>
        <w:t>. Executive acknowledges as follows:</w:t>
      </w:r>
    </w:p>
    <w:p>
      <w:pPr>
        <w:spacing w:after="0" w:line="83" w:lineRule="exact"/>
        <w:rPr>
          <w:rFonts w:ascii="Times New Roman" w:cs="Times New Roman" w:eastAsia="Times New Roman" w:hAnsi="Times New Roman"/>
          <w:sz w:val="17"/>
          <w:szCs w:val="17"/>
          <w:color w:val="010000"/>
        </w:rPr>
      </w:pPr>
    </w:p>
    <w:p>
      <w:pPr>
        <w:jc w:val="both"/>
        <w:ind w:left="2440" w:right="1159" w:firstLine="518"/>
        <w:spacing w:after="0" w:line="242" w:lineRule="auto"/>
        <w:tabs>
          <w:tab w:leader="none" w:pos="3330" w:val="left"/>
        </w:tabs>
        <w:numPr>
          <w:ilvl w:val="2"/>
          <w:numId w:val="7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Executive’s services hereunder are of a special, unique and extraordinary character and that Executive’s position with the Company places Executive in a position of confidence and trust with the operations of Company, its subsidiaries and affiliates, including, without limitation, BHS and its subsidiaries and affiliates (collectively, along with the Company, the “Affiliated Companies” and each individually an “Affiliated Company”) and allows</w:t>
      </w:r>
    </w:p>
    <w:p>
      <w:pPr>
        <w:spacing w:after="0" w:line="17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497205</wp:posOffset>
            </wp:positionV>
            <wp:extent cx="5603875" cy="3873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0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418" w:right="1440" w:bottom="1440" w:gutter="0" w:footer="0" w:header="0"/>
        </w:sectPr>
      </w:pPr>
    </w:p>
    <w:bookmarkStart w:id="168" w:name="page169"/>
    <w:bookmarkEnd w:id="168"/>
    <w:p>
      <w:pPr>
        <w:jc w:val="center"/>
        <w:ind w:right="239"/>
        <w:spacing w:after="0"/>
        <w:rPr>
          <w:sz w:val="20"/>
          <w:szCs w:val="20"/>
          <w:color w:val="auto"/>
        </w:rPr>
      </w:pPr>
      <w:r>
        <w:rPr>
          <w:rFonts w:ascii="Times New Roman" w:cs="Times New Roman" w:eastAsia="Times New Roman" w:hAnsi="Times New Roman"/>
          <w:sz w:val="17"/>
          <w:szCs w:val="17"/>
          <w:color w:val="auto"/>
        </w:rPr>
        <w:t>Executive access to and use of Confidential Information.</w:t>
      </w:r>
    </w:p>
    <w:p>
      <w:pPr>
        <w:spacing w:after="0" w:line="84" w:lineRule="exact"/>
        <w:rPr>
          <w:sz w:val="20"/>
          <w:szCs w:val="20"/>
          <w:color w:val="auto"/>
        </w:rPr>
      </w:pPr>
    </w:p>
    <w:p>
      <w:pPr>
        <w:ind w:left="2440" w:right="1179" w:firstLine="518"/>
        <w:spacing w:after="0" w:line="271" w:lineRule="auto"/>
        <w:tabs>
          <w:tab w:leader="none" w:pos="3329" w:val="left"/>
        </w:tabs>
        <w:numPr>
          <w:ilvl w:val="1"/>
          <w:numId w:val="7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Company has provided Executive with a unique opportunity as set forth herein.</w:t>
      </w:r>
    </w:p>
    <w:p>
      <w:pPr>
        <w:spacing w:after="0" w:line="31" w:lineRule="exact"/>
        <w:rPr>
          <w:rFonts w:ascii="Times New Roman" w:cs="Times New Roman" w:eastAsia="Times New Roman" w:hAnsi="Times New Roman"/>
          <w:sz w:val="17"/>
          <w:szCs w:val="17"/>
          <w:color w:val="010000"/>
        </w:rPr>
      </w:pPr>
    </w:p>
    <w:p>
      <w:pPr>
        <w:jc w:val="both"/>
        <w:ind w:left="2440" w:right="1159" w:firstLine="518"/>
        <w:spacing w:after="0" w:line="248" w:lineRule="auto"/>
        <w:tabs>
          <w:tab w:leader="none" w:pos="3329" w:val="left"/>
        </w:tabs>
        <w:numPr>
          <w:ilvl w:val="1"/>
          <w:numId w:val="7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nature and periods of the restrictions contained in this Agreement are fair, reasonable and necessary to protect and preserve for the Company and the other Affiliated Companies the benefits of Executive’s employment hereunder.</w:t>
      </w:r>
    </w:p>
    <w:p>
      <w:pPr>
        <w:spacing w:after="0" w:line="51" w:lineRule="exact"/>
        <w:rPr>
          <w:rFonts w:ascii="Times New Roman" w:cs="Times New Roman" w:eastAsia="Times New Roman" w:hAnsi="Times New Roman"/>
          <w:sz w:val="17"/>
          <w:szCs w:val="17"/>
          <w:color w:val="010000"/>
        </w:rPr>
      </w:pPr>
    </w:p>
    <w:p>
      <w:pPr>
        <w:ind w:left="2440" w:right="1159" w:firstLine="518"/>
        <w:spacing w:after="0" w:line="271" w:lineRule="auto"/>
        <w:tabs>
          <w:tab w:leader="none" w:pos="3329" w:val="left"/>
        </w:tabs>
        <w:numPr>
          <w:ilvl w:val="1"/>
          <w:numId w:val="7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Affiliated Companies would sustain great and irreparable loss and damage if Executive were to breach any of such covenants.</w:t>
      </w:r>
    </w:p>
    <w:p>
      <w:pPr>
        <w:spacing w:after="0" w:line="31" w:lineRule="exact"/>
        <w:rPr>
          <w:rFonts w:ascii="Times New Roman" w:cs="Times New Roman" w:eastAsia="Times New Roman" w:hAnsi="Times New Roman"/>
          <w:sz w:val="17"/>
          <w:szCs w:val="17"/>
          <w:color w:val="010000"/>
        </w:rPr>
      </w:pPr>
    </w:p>
    <w:p>
      <w:pPr>
        <w:jc w:val="both"/>
        <w:ind w:left="2440" w:right="1179" w:firstLine="518"/>
        <w:spacing w:after="0" w:line="254" w:lineRule="auto"/>
        <w:tabs>
          <w:tab w:leader="none" w:pos="3329" w:val="left"/>
        </w:tabs>
        <w:numPr>
          <w:ilvl w:val="1"/>
          <w:numId w:val="7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Affiliated Companies conduct and are aggressively pursuing the conduct of the Business of this Agreement actively in and throughout the entire Territory.</w:t>
      </w:r>
    </w:p>
    <w:p>
      <w:pPr>
        <w:spacing w:after="0" w:line="45" w:lineRule="exact"/>
        <w:rPr>
          <w:rFonts w:ascii="Times New Roman" w:cs="Times New Roman" w:eastAsia="Times New Roman" w:hAnsi="Times New Roman"/>
          <w:sz w:val="17"/>
          <w:szCs w:val="17"/>
          <w:color w:val="010000"/>
        </w:rPr>
      </w:pPr>
    </w:p>
    <w:p>
      <w:pPr>
        <w:jc w:val="both"/>
        <w:ind w:left="2440" w:right="1159" w:firstLine="518"/>
        <w:spacing w:after="0" w:line="245" w:lineRule="auto"/>
        <w:tabs>
          <w:tab w:leader="none" w:pos="3329" w:val="left"/>
        </w:tabs>
        <w:numPr>
          <w:ilvl w:val="1"/>
          <w:numId w:val="7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Territory is reasonably sized because the current Business of the Affiliated Companies is conducted throughout various geographic areas. The Affiliated Companies are aggressively pursuing expansion and new operations throughout such geographic area and the Affiliated Companies require the entire Territory for profitable operations.</w:t>
      </w:r>
    </w:p>
    <w:p>
      <w:pPr>
        <w:spacing w:after="0" w:line="54" w:lineRule="exact"/>
        <w:rPr>
          <w:rFonts w:ascii="Times New Roman" w:cs="Times New Roman" w:eastAsia="Times New Roman" w:hAnsi="Times New Roman"/>
          <w:sz w:val="17"/>
          <w:szCs w:val="17"/>
          <w:color w:val="010000"/>
        </w:rPr>
      </w:pPr>
    </w:p>
    <w:p>
      <w:pPr>
        <w:jc w:val="both"/>
        <w:ind w:left="2440" w:right="1159" w:firstLine="518"/>
        <w:spacing w:after="0" w:line="254" w:lineRule="auto"/>
        <w:tabs>
          <w:tab w:leader="none" w:pos="3329" w:val="left"/>
        </w:tabs>
        <w:numPr>
          <w:ilvl w:val="1"/>
          <w:numId w:val="7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Due to Executive’s position and duties, Executive will have a level of involvement in many, if not all, aspects of the Business in the Territory.</w:t>
      </w:r>
    </w:p>
    <w:p>
      <w:pPr>
        <w:spacing w:after="0" w:line="45" w:lineRule="exact"/>
        <w:rPr>
          <w:rFonts w:ascii="Times New Roman" w:cs="Times New Roman" w:eastAsia="Times New Roman" w:hAnsi="Times New Roman"/>
          <w:sz w:val="17"/>
          <w:szCs w:val="17"/>
          <w:color w:val="010000"/>
        </w:rPr>
      </w:pPr>
    </w:p>
    <w:p>
      <w:pPr>
        <w:jc w:val="both"/>
        <w:ind w:left="1420" w:right="1179" w:firstLine="507"/>
        <w:spacing w:after="0" w:line="254" w:lineRule="auto"/>
        <w:tabs>
          <w:tab w:leader="none" w:pos="2292" w:val="left"/>
        </w:tabs>
        <w:numPr>
          <w:ilvl w:val="0"/>
          <w:numId w:val="7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Non-Compete and Non-Solicitation Covenants</w:t>
      </w:r>
      <w:r>
        <w:rPr>
          <w:rFonts w:ascii="Times New Roman" w:cs="Times New Roman" w:eastAsia="Times New Roman" w:hAnsi="Times New Roman"/>
          <w:sz w:val="17"/>
          <w:szCs w:val="17"/>
          <w:color w:val="auto"/>
        </w:rPr>
        <w:t>. Having acknowledged the statements in Section 9(a), Executive covenants and agrees with the Company and the other Affiliated Companies that:</w:t>
      </w:r>
    </w:p>
    <w:p>
      <w:pPr>
        <w:spacing w:after="0" w:line="152" w:lineRule="exact"/>
        <w:rPr>
          <w:rFonts w:ascii="Times New Roman" w:cs="Times New Roman" w:eastAsia="Times New Roman" w:hAnsi="Times New Roman"/>
          <w:sz w:val="17"/>
          <w:szCs w:val="17"/>
          <w:color w:val="010000"/>
        </w:rPr>
      </w:pPr>
    </w:p>
    <w:p>
      <w:pPr>
        <w:jc w:val="both"/>
        <w:ind w:left="2440" w:right="1159" w:firstLine="518"/>
        <w:spacing w:after="0" w:line="239" w:lineRule="auto"/>
        <w:tabs>
          <w:tab w:leader="none" w:pos="3329" w:val="left"/>
        </w:tabs>
        <w:numPr>
          <w:ilvl w:val="1"/>
          <w:numId w:val="7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Non-Solicitation and No Hire of Employees or Others</w:t>
      </w:r>
      <w:r>
        <w:rPr>
          <w:rFonts w:ascii="Times New Roman" w:cs="Times New Roman" w:eastAsia="Times New Roman" w:hAnsi="Times New Roman"/>
          <w:sz w:val="17"/>
          <w:szCs w:val="17"/>
          <w:color w:val="auto"/>
        </w:rPr>
        <w:t>. From the Commencement Date until the Date of Termination and for eighteen (18) months thereafter, (A) Executive will not directly or indirectly encourage, solicit, or induce, or attempt to encourage, solicit or induce any employee, agent, contractor or representative of the Company and/or the other Affiliated Companies to terminate such Person’s employment or contractual relationship with the Company or any of the other Affiliated Companies (or devote less than full time efforts to its business), and (B) Executive will not directly or indirectly hire or attempt to hire: (1) for any competitive position with any competitor any Person who is an employee, agent, contractor or representative of the Company or any of the other Affiliated Companies at such time (or who has been an employee, agent, contractor or representative of the Company or any of the other Affiliated Companies at any time within the preceding year) or (2) for any position with any business any Person who is an employee, agent, contractor or representative of the Company or any of the other Affiliated Companies at such time (or who has been an employee, agent, contractor or representative of the Company or any of the other Affiliated Companies at any time within the preceding year or during the Executive’s last year of employment with the Company).</w:t>
      </w:r>
    </w:p>
    <w:p>
      <w:pPr>
        <w:spacing w:after="0" w:line="1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497205</wp:posOffset>
            </wp:positionV>
            <wp:extent cx="5603875" cy="3873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0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418" w:right="1440" w:bottom="1440" w:gutter="0" w:footer="0" w:header="0"/>
        </w:sectPr>
      </w:pPr>
    </w:p>
    <w:bookmarkStart w:id="169" w:name="page170"/>
    <w:bookmarkEnd w:id="169"/>
    <w:p>
      <w:pPr>
        <w:jc w:val="both"/>
        <w:ind w:left="2440" w:right="1179" w:firstLine="518"/>
        <w:spacing w:after="0" w:line="245" w:lineRule="auto"/>
        <w:tabs>
          <w:tab w:leader="none" w:pos="3329" w:val="left"/>
        </w:tabs>
        <w:numPr>
          <w:ilvl w:val="0"/>
          <w:numId w:val="7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Non-Solicitation of Clients/Patients/Customers</w:t>
      </w:r>
      <w:r>
        <w:rPr>
          <w:rFonts w:ascii="Times New Roman" w:cs="Times New Roman" w:eastAsia="Times New Roman" w:hAnsi="Times New Roman"/>
          <w:sz w:val="17"/>
          <w:szCs w:val="17"/>
          <w:color w:val="auto"/>
        </w:rPr>
        <w:t>. From the Commencement Date until the Date of Termination and for eighteen (18) months thereafter, Executive will not, in a competitive capacity, on behalf of any Person other than the Company or any of the other Affiliated Companies, directly or indirectly:</w:t>
      </w:r>
    </w:p>
    <w:p>
      <w:pPr>
        <w:spacing w:after="0" w:line="55" w:lineRule="exact"/>
        <w:rPr>
          <w:sz w:val="20"/>
          <w:szCs w:val="20"/>
          <w:color w:val="auto"/>
        </w:rPr>
      </w:pPr>
    </w:p>
    <w:p>
      <w:pPr>
        <w:jc w:val="both"/>
        <w:ind w:left="2960" w:right="1159" w:firstLine="515"/>
        <w:spacing w:after="0" w:line="254" w:lineRule="auto"/>
        <w:rPr>
          <w:sz w:val="20"/>
          <w:szCs w:val="20"/>
          <w:color w:val="auto"/>
        </w:rPr>
      </w:pPr>
      <w:r>
        <w:rPr>
          <w:rFonts w:ascii="Times New Roman" w:cs="Times New Roman" w:eastAsia="Times New Roman" w:hAnsi="Times New Roman"/>
          <w:sz w:val="17"/>
          <w:szCs w:val="17"/>
          <w:color w:val="010000"/>
        </w:rPr>
        <w:t>(A)</w:t>
      </w:r>
      <w:r>
        <w:rPr>
          <w:rFonts w:ascii="Times New Roman" w:cs="Times New Roman" w:eastAsia="Times New Roman" w:hAnsi="Times New Roman"/>
          <w:sz w:val="17"/>
          <w:szCs w:val="17"/>
          <w:color w:val="000000"/>
        </w:rPr>
        <w:t>solicit, divert (or attempt to solicit or divert) or accept</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competitive business from any client, patient or customer or referral source of the Company or any of the other Affiliated Companies;</w:t>
      </w:r>
    </w:p>
    <w:p>
      <w:pPr>
        <w:spacing w:after="0" w:line="45" w:lineRule="exact"/>
        <w:rPr>
          <w:sz w:val="20"/>
          <w:szCs w:val="20"/>
          <w:color w:val="auto"/>
        </w:rPr>
      </w:pPr>
    </w:p>
    <w:p>
      <w:pPr>
        <w:jc w:val="both"/>
        <w:ind w:left="2960" w:right="1159" w:firstLine="515"/>
        <w:spacing w:after="0" w:line="242" w:lineRule="auto"/>
        <w:rPr>
          <w:sz w:val="20"/>
          <w:szCs w:val="20"/>
          <w:color w:val="auto"/>
        </w:rPr>
      </w:pPr>
      <w:r>
        <w:rPr>
          <w:rFonts w:ascii="Times New Roman" w:cs="Times New Roman" w:eastAsia="Times New Roman" w:hAnsi="Times New Roman"/>
          <w:sz w:val="17"/>
          <w:szCs w:val="17"/>
          <w:color w:val="010000"/>
        </w:rPr>
        <w:t>(B)</w:t>
      </w:r>
      <w:r>
        <w:rPr>
          <w:rFonts w:ascii="Times New Roman" w:cs="Times New Roman" w:eastAsia="Times New Roman" w:hAnsi="Times New Roman"/>
          <w:sz w:val="17"/>
          <w:szCs w:val="17"/>
          <w:color w:val="000000"/>
        </w:rPr>
        <w:t>solicit, divert (or attempt to solicit or divert) or accept</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competitive business from any client, patient or customer or referral source of the Company or any of the other Affiliated Companies with whom Executive has had contact (either directly or indirectly) or over which Executive has had responsibility at any time in the one (1) year preceding Executive’s separation or about whom Executive has obtained Confidential Information;</w:t>
      </w:r>
    </w:p>
    <w:p>
      <w:pPr>
        <w:spacing w:after="0" w:line="59" w:lineRule="exact"/>
        <w:rPr>
          <w:sz w:val="20"/>
          <w:szCs w:val="20"/>
          <w:color w:val="auto"/>
        </w:rPr>
      </w:pPr>
    </w:p>
    <w:p>
      <w:pPr>
        <w:jc w:val="both"/>
        <w:ind w:left="2960" w:right="1159" w:firstLine="515"/>
        <w:spacing w:after="0" w:line="245" w:lineRule="auto"/>
        <w:rPr>
          <w:sz w:val="20"/>
          <w:szCs w:val="20"/>
          <w:color w:val="auto"/>
        </w:rPr>
      </w:pPr>
      <w:r>
        <w:rPr>
          <w:rFonts w:ascii="Times New Roman" w:cs="Times New Roman" w:eastAsia="Times New Roman" w:hAnsi="Times New Roman"/>
          <w:sz w:val="17"/>
          <w:szCs w:val="17"/>
          <w:color w:val="010000"/>
        </w:rPr>
        <w:t>(C)</w:t>
      </w:r>
      <w:r>
        <w:rPr>
          <w:rFonts w:ascii="Times New Roman" w:cs="Times New Roman" w:eastAsia="Times New Roman" w:hAnsi="Times New Roman"/>
          <w:sz w:val="17"/>
          <w:szCs w:val="17"/>
          <w:color w:val="000000"/>
        </w:rPr>
        <w:t>solicit, divert (or attempt to solicit or divert) or accept</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competitive business from any prospective client, patient or customer or prospective referral source of the Company or any of the other Affiliated Companies with respect to which the Company or any of the other Affiliated Companies has devoted or invested</w:t>
      </w:r>
    </w:p>
    <w:p>
      <w:pPr>
        <w:spacing w:after="0" w:line="162" w:lineRule="exact"/>
        <w:rPr>
          <w:sz w:val="20"/>
          <w:szCs w:val="20"/>
          <w:color w:val="auto"/>
        </w:rPr>
      </w:pPr>
    </w:p>
    <w:p>
      <w:pPr>
        <w:jc w:val="both"/>
        <w:ind w:left="2960" w:right="1159"/>
        <w:spacing w:after="0" w:line="271" w:lineRule="auto"/>
        <w:rPr>
          <w:sz w:val="20"/>
          <w:szCs w:val="20"/>
          <w:color w:val="auto"/>
        </w:rPr>
      </w:pPr>
      <w:r>
        <w:rPr>
          <w:rFonts w:ascii="Times New Roman" w:cs="Times New Roman" w:eastAsia="Times New Roman" w:hAnsi="Times New Roman"/>
          <w:sz w:val="17"/>
          <w:szCs w:val="17"/>
          <w:color w:val="auto"/>
        </w:rPr>
        <w:t>time, effort or expense in an effort to develop a business relationship or has identified in writing; or</w:t>
      </w:r>
    </w:p>
    <w:p>
      <w:pPr>
        <w:spacing w:after="0" w:line="31" w:lineRule="exact"/>
        <w:rPr>
          <w:sz w:val="20"/>
          <w:szCs w:val="20"/>
          <w:color w:val="auto"/>
        </w:rPr>
      </w:pPr>
    </w:p>
    <w:p>
      <w:pPr>
        <w:jc w:val="both"/>
        <w:ind w:left="2960" w:right="1159" w:firstLine="515"/>
        <w:spacing w:after="0" w:line="242" w:lineRule="auto"/>
        <w:rPr>
          <w:sz w:val="20"/>
          <w:szCs w:val="20"/>
          <w:color w:val="auto"/>
        </w:rPr>
      </w:pPr>
      <w:r>
        <w:rPr>
          <w:rFonts w:ascii="Times New Roman" w:cs="Times New Roman" w:eastAsia="Times New Roman" w:hAnsi="Times New Roman"/>
          <w:sz w:val="17"/>
          <w:szCs w:val="17"/>
          <w:color w:val="010000"/>
        </w:rPr>
        <w:t>(D)</w:t>
      </w:r>
      <w:r>
        <w:rPr>
          <w:rFonts w:ascii="Times New Roman" w:cs="Times New Roman" w:eastAsia="Times New Roman" w:hAnsi="Times New Roman"/>
          <w:sz w:val="17"/>
          <w:szCs w:val="17"/>
          <w:color w:val="000000"/>
        </w:rPr>
        <w:t>solicit, divert (or attempt to solicit or divert) or accept</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competitive business from any prospective client, patient or customer or prospective referral source of the Company or any of the other Affiliated Companies with whom Executive has had contact (either directly or indirectly) or over which Executive has had responsibility at any time in the one (1) year preceding Executive’s separation or about whom Executive has obtained Confidential Information.</w:t>
      </w:r>
    </w:p>
    <w:p>
      <w:pPr>
        <w:spacing w:after="0" w:line="70" w:lineRule="exact"/>
        <w:rPr>
          <w:sz w:val="20"/>
          <w:szCs w:val="20"/>
          <w:color w:val="auto"/>
        </w:rPr>
      </w:pPr>
    </w:p>
    <w:p>
      <w:pPr>
        <w:jc w:val="both"/>
        <w:ind w:left="2440" w:right="1159" w:firstLine="518"/>
        <w:spacing w:after="0"/>
        <w:tabs>
          <w:tab w:leader="none" w:pos="3329" w:val="left"/>
        </w:tabs>
        <w:numPr>
          <w:ilvl w:val="0"/>
          <w:numId w:val="7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Non-competition within the Territory</w:t>
      </w:r>
      <w:r>
        <w:rPr>
          <w:rFonts w:ascii="Times New Roman" w:cs="Times New Roman" w:eastAsia="Times New Roman" w:hAnsi="Times New Roman"/>
          <w:sz w:val="17"/>
          <w:szCs w:val="17"/>
          <w:color w:val="auto"/>
        </w:rPr>
        <w:t>. From the Commencement Date until the Date of Termination and for twelve (12) months thereafter, Executive will not directly or indirectly, in a competitive capacity within the Territory, own, manage, finance, operate, control or participate in ownership, management, finance, operation or control of, act as an agent, consultant, or be employed with, any Person that is engaged in the Business. For purposes of this Agreement, the term “competitive capacity” shall mean (A) performing tasks or duties similar to those Executive performed in Executive’s last year of employment at the Company or any other Affiliated Company for a competitor of the Company or any other Affiliated Company; (B) managing/supervising those who, for a competitor of the Company or any other Affiliated Company, perform tasks or duties similar to those which Executive performed in Executive’s last year of employment at the Company</w:t>
      </w:r>
    </w:p>
    <w:p>
      <w:pPr>
        <w:spacing w:after="0" w:line="1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497205</wp:posOffset>
            </wp:positionV>
            <wp:extent cx="5603875" cy="3873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0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418" w:right="1440" w:bottom="1440" w:gutter="0" w:footer="0" w:header="0"/>
        </w:sectPr>
      </w:pPr>
    </w:p>
    <w:bookmarkStart w:id="170" w:name="page171"/>
    <w:bookmarkEnd w:id="170"/>
    <w:p>
      <w:pPr>
        <w:jc w:val="both"/>
        <w:ind w:left="2440" w:right="1159"/>
        <w:spacing w:after="0" w:line="242" w:lineRule="auto"/>
        <w:rPr>
          <w:sz w:val="20"/>
          <w:szCs w:val="20"/>
          <w:color w:val="auto"/>
        </w:rPr>
      </w:pPr>
      <w:r>
        <w:rPr>
          <w:rFonts w:ascii="Times New Roman" w:cs="Times New Roman" w:eastAsia="Times New Roman" w:hAnsi="Times New Roman"/>
          <w:sz w:val="17"/>
          <w:szCs w:val="17"/>
          <w:color w:val="auto"/>
        </w:rPr>
        <w:t>or any other Affiliated Company; or (C) performing, on behalf of a competitor of the Company or any other Affiliated Company, tasks or duties in which Executive utilizes any Confidential Information that Executive learned in the course of Executive’s relationship with the Company or any other Affiliated Company. Executive further agrees that from the Commencement Date until the Date of Termination and for twenty-four (24) months thereafter, Executive will not undertake any planning for or organization of any business activity that would be competitive with the Business.</w:t>
      </w:r>
    </w:p>
    <w:p>
      <w:pPr>
        <w:spacing w:after="0" w:line="55" w:lineRule="exact"/>
        <w:rPr>
          <w:sz w:val="20"/>
          <w:szCs w:val="20"/>
          <w:color w:val="auto"/>
        </w:rPr>
      </w:pPr>
    </w:p>
    <w:p>
      <w:pPr>
        <w:jc w:val="both"/>
        <w:ind w:left="2440" w:right="1159" w:firstLine="518"/>
        <w:spacing w:after="0" w:line="242" w:lineRule="auto"/>
        <w:tabs>
          <w:tab w:leader="none" w:pos="3329" w:val="left"/>
        </w:tabs>
        <w:numPr>
          <w:ilvl w:val="1"/>
          <w:numId w:val="7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Tolling</w:t>
      </w:r>
      <w:r>
        <w:rPr>
          <w:rFonts w:ascii="Times New Roman" w:cs="Times New Roman" w:eastAsia="Times New Roman" w:hAnsi="Times New Roman"/>
          <w:sz w:val="17"/>
          <w:szCs w:val="17"/>
          <w:color w:val="auto"/>
        </w:rPr>
        <w:t>. If Executive violates the Non-compete and/or Non-Solicitation provisions of this Section 9 after the Date of Termination, Executive shall continue to be bound by the restrictions set forth herein until an aggregate period(s) of twelve (12) months (respective to Non-compete obligations) or eighteen (18) months (respective to Non-solicitation obligations) have expired following the Date of Termination during which Executive has complied with such provisions.</w:t>
      </w:r>
    </w:p>
    <w:p>
      <w:pPr>
        <w:spacing w:after="0" w:line="59" w:lineRule="exact"/>
        <w:rPr>
          <w:rFonts w:ascii="Times New Roman" w:cs="Times New Roman" w:eastAsia="Times New Roman" w:hAnsi="Times New Roman"/>
          <w:sz w:val="17"/>
          <w:szCs w:val="17"/>
          <w:color w:val="010000"/>
        </w:rPr>
      </w:pPr>
    </w:p>
    <w:p>
      <w:pPr>
        <w:jc w:val="both"/>
        <w:ind w:left="2440" w:right="1159" w:firstLine="518"/>
        <w:spacing w:after="0" w:line="244" w:lineRule="auto"/>
        <w:tabs>
          <w:tab w:leader="none" w:pos="3329" w:val="left"/>
        </w:tabs>
        <w:numPr>
          <w:ilvl w:val="1"/>
          <w:numId w:val="7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Manner of Communication</w:t>
      </w:r>
      <w:r>
        <w:rPr>
          <w:rFonts w:ascii="Times New Roman" w:cs="Times New Roman" w:eastAsia="Times New Roman" w:hAnsi="Times New Roman"/>
          <w:sz w:val="17"/>
          <w:szCs w:val="17"/>
          <w:color w:val="auto"/>
        </w:rPr>
        <w:t>. These provisions explicitly cover all forms of oral, written, or electronic communication, including but not limited to communications by email, regular mail, express mail, telephone, fax, instant message, and social media, including but not limited to Facebook, LinkedIn, Instagram, Twitter, and any other social medial platform whether or not in existence at the time of entering this this Agreement.</w:t>
      </w:r>
    </w:p>
    <w:p>
      <w:pPr>
        <w:spacing w:after="0" w:line="53" w:lineRule="exact"/>
        <w:rPr>
          <w:rFonts w:ascii="Times New Roman" w:cs="Times New Roman" w:eastAsia="Times New Roman" w:hAnsi="Times New Roman"/>
          <w:sz w:val="17"/>
          <w:szCs w:val="17"/>
          <w:color w:val="010000"/>
        </w:rPr>
      </w:pPr>
    </w:p>
    <w:p>
      <w:pPr>
        <w:jc w:val="both"/>
        <w:ind w:left="1420" w:right="1159" w:firstLine="507"/>
        <w:spacing w:after="0" w:line="239" w:lineRule="auto"/>
        <w:tabs>
          <w:tab w:leader="none" w:pos="2292" w:val="left"/>
        </w:tabs>
        <w:numPr>
          <w:ilvl w:val="0"/>
          <w:numId w:val="8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Confidentiality and Non-disparagement Covenants</w:t>
      </w:r>
      <w:r>
        <w:rPr>
          <w:rFonts w:ascii="Times New Roman" w:cs="Times New Roman" w:eastAsia="Times New Roman" w:hAnsi="Times New Roman"/>
          <w:sz w:val="17"/>
          <w:szCs w:val="17"/>
          <w:color w:val="auto"/>
        </w:rPr>
        <w:t>. Having acknowledged the statements in Section 9(a) above, Executive covenants and agrees that, commencing on the Commencement Date (i) at all times after the Commencement Date, including after the Date of Termination, Executive will not directly or indirectly disclose or use or otherwise exploit for Executive’s own benefit, or the benefit of any other Person, except as may be necessary in the performance of Executive’s duties hereunder, any Confidential Information, and (ii) at all times after the Commencement Date, including after the Date of Termination, Executive will not disparage or comment negatively about the Company’s or any of the other Affiliated Companies’ products or services, their respective existing and prospective patients, suppliers, investors, and other associated third parties, or make maliciously false statement about the officers, directors, managers, or employees of the Company or any of the other Affiliated Companies. Notwithstanding the foregoing, nothing in this Agreement is intended to interfere with, discourage or restrict statements or disclosures made in good faith to any governmental entity related to a suspected violation of any law, in connection with any filing or return filed with any governmental authority, in connection with any dispute between Executive and the Company or any of the Affiliated Companies, or as required under applicable law. This Section 9(c) shall not limit Executive’s obligations under any applicable trade secret act. This Section 9(c) does not, in any way, restrict or impede the Executive from exercising protected rights to the extent that such rights cannot be waived by agreement.</w:t>
      </w:r>
    </w:p>
    <w:p>
      <w:pPr>
        <w:spacing w:after="0" w:line="60" w:lineRule="exact"/>
        <w:rPr>
          <w:rFonts w:ascii="Times New Roman" w:cs="Times New Roman" w:eastAsia="Times New Roman" w:hAnsi="Times New Roman"/>
          <w:sz w:val="17"/>
          <w:szCs w:val="17"/>
          <w:color w:val="010000"/>
        </w:rPr>
      </w:pPr>
    </w:p>
    <w:p>
      <w:pPr>
        <w:jc w:val="both"/>
        <w:ind w:left="1420" w:right="1159" w:firstLine="507"/>
        <w:spacing w:after="0" w:line="245" w:lineRule="auto"/>
        <w:tabs>
          <w:tab w:leader="none" w:pos="2293" w:val="left"/>
        </w:tabs>
        <w:numPr>
          <w:ilvl w:val="0"/>
          <w:numId w:val="8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Defend Trade Secrets Act (DTSA) Notice</w:t>
      </w:r>
      <w:r>
        <w:rPr>
          <w:rFonts w:ascii="Times New Roman" w:cs="Times New Roman" w:eastAsia="Times New Roman" w:hAnsi="Times New Roman"/>
          <w:sz w:val="17"/>
          <w:szCs w:val="17"/>
          <w:color w:val="auto"/>
        </w:rPr>
        <w:t>. Pursuant to 18 USC § 1833(b), Executive cannot and will not be held criminally or civilly liable under any federal or state trade secret law for disclosure of a trade secret: (i) made in confidence to a government official, either directly or indirectly, or to an attorney, and solely for the purpose of reporting or</w:t>
      </w:r>
    </w:p>
    <w:p>
      <w:pPr>
        <w:spacing w:after="0" w:line="17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497205</wp:posOffset>
            </wp:positionV>
            <wp:extent cx="5603875" cy="3873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0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418" w:right="1440" w:bottom="1440" w:gutter="0" w:footer="0" w:header="0"/>
        </w:sectPr>
      </w:pPr>
    </w:p>
    <w:bookmarkStart w:id="171" w:name="page172"/>
    <w:bookmarkEnd w:id="171"/>
    <w:p>
      <w:pPr>
        <w:jc w:val="both"/>
        <w:ind w:left="1420" w:right="1159"/>
        <w:spacing w:after="0"/>
        <w:rPr>
          <w:sz w:val="20"/>
          <w:szCs w:val="20"/>
          <w:color w:val="auto"/>
        </w:rPr>
      </w:pPr>
      <w:r>
        <w:rPr>
          <w:rFonts w:ascii="Times New Roman" w:cs="Times New Roman" w:eastAsia="Times New Roman" w:hAnsi="Times New Roman"/>
          <w:sz w:val="17"/>
          <w:szCs w:val="17"/>
          <w:color w:val="auto"/>
        </w:rPr>
        <w:t>investigating a suspected violation of law; and/or (ii) in a complaint or other document filed in a lawsuit or other proceeding, if such filing is made under seal. Additionally, should Executive pursue legal action against the Company or any other Affiliated Company for retaliation based on the reporting of a suspected violation of law, Executive may disclose a trade secret to Executive’s attorney and use the trade secret information in the court proceeding, so long as any document containing the trade secret is filed under seal and the individual does not disclose the trade secret except pursuant to court order. None of the Company or any of the other Affiliated Companies will retaliate against Executive in any way for the disclosure made in accordance with the law; however, Executive agrees to immediately notify the Company of such requirement and provide the Company with an opportunity to seek an appropriate protective order.</w:t>
      </w:r>
    </w:p>
    <w:p>
      <w:pPr>
        <w:spacing w:after="0" w:line="169" w:lineRule="exact"/>
        <w:rPr>
          <w:sz w:val="20"/>
          <w:szCs w:val="20"/>
          <w:color w:val="auto"/>
        </w:rPr>
      </w:pPr>
    </w:p>
    <w:p>
      <w:pPr>
        <w:jc w:val="both"/>
        <w:ind w:left="1420" w:right="1159" w:firstLine="507"/>
        <w:spacing w:after="0" w:line="238" w:lineRule="auto"/>
        <w:tabs>
          <w:tab w:leader="none" w:pos="2292" w:val="left"/>
        </w:tabs>
        <w:numPr>
          <w:ilvl w:val="0"/>
          <w:numId w:val="8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Inventions</w:t>
      </w:r>
      <w:r>
        <w:rPr>
          <w:rFonts w:ascii="Times New Roman" w:cs="Times New Roman" w:eastAsia="Times New Roman" w:hAnsi="Times New Roman"/>
          <w:sz w:val="17"/>
          <w:szCs w:val="17"/>
          <w:color w:val="auto"/>
        </w:rPr>
        <w:t>. Having acknowledged the statements in Section 9(a), Executive hereby covenants and agrees that Executive will, without additional compensation, promptly make full written disclosure to the Company, and will hold in trust for the sole right and benefit of the Company all developments, original works of authorship, inventions, concepts, know-how, improvements, trade secrets, and similar proprietary rights, whether or not patentable or registrable under copyright or similar laws, which Executive may (or have previously) solely or jointly conceive or develop or reduce to practice, or cause to be conceived or developed or reduced to practice, whether or not during regular working hours, provided they either: (i) relate at the time of conception or reduction to practice to the business of the Company or any other Affiliated Company, or actual or demonstrably anticipated research or development of the Company or any other Affiliated Company; (ii) result from or relate to any work performed for the Company or any other Affiliated Company; or (iii) are developed through the use of equipment, supplies, or facilities of the Company or any other Affiliated Company, or any Confidential Information, or in consultation with personnel of the Company or any other Affiliated Company (collectively referred to as “Developments”). Executive further acknowledges that all Developments made by Executive (solely or jointly with others) are “works made for hire” (to the greatest extent permitted by applicable law) for which Executive is, in part, compensated by salary, unless regulated otherwise by law, but that, in the event any such Development is deemed not to be a work made for hire, Executive hereby assigns to the Company, or its designee, all Executive’s right, title, and interest throughout the world in and to any such Development. Executive hereby agrees to assist the Company, or its designee, at the Company’s expense, in every way to secure the rights of the Company or any other Affiliated Company in the Developments and any copyrights, patents, trademarks, service marks, database rights, domain names, mask work rights, moral rights, and other intellectual property rights relating thereto in any and all countries, including the disclosure to the Company of all pertinent information and data with respect thereto, the execution of all applications, specifications, oaths, assignments, recordations, and all other instruments that the Company shall deem necessary in order to apply for, obtain, maintain, and transfer such rights and in order to assign and convey to the Company or any other Affiliated Company the sole and exclusive right, title, and interest in and to such Developments, and any intellectual property and other proprietary rights relating thereto. Executive further agrees that Executive’s obligation to execute or cause to be executed, when it is in Executive’s power to do so, any such instrument or papers shall continue after the Date of Termination until the expiration of the last such intellectual property right to expire in any country of the world; provided,</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497205</wp:posOffset>
            </wp:positionV>
            <wp:extent cx="5603875" cy="3873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0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419" w:right="1440" w:bottom="1440" w:gutter="0" w:footer="0" w:header="0"/>
        </w:sectPr>
      </w:pPr>
    </w:p>
    <w:bookmarkStart w:id="172" w:name="page173"/>
    <w:bookmarkEnd w:id="172"/>
    <w:p>
      <w:pPr>
        <w:spacing w:after="0" w:line="86" w:lineRule="exact"/>
        <w:rPr>
          <w:sz w:val="20"/>
          <w:szCs w:val="20"/>
          <w:color w:val="auto"/>
        </w:rPr>
      </w:pPr>
    </w:p>
    <w:p>
      <w:pPr>
        <w:jc w:val="both"/>
        <w:ind w:left="1420" w:right="1159"/>
        <w:spacing w:after="0" w:line="239" w:lineRule="auto"/>
        <w:rPr>
          <w:sz w:val="20"/>
          <w:szCs w:val="20"/>
          <w:color w:val="auto"/>
        </w:rPr>
      </w:pPr>
      <w:r>
        <w:rPr>
          <w:rFonts w:ascii="Times New Roman" w:cs="Times New Roman" w:eastAsia="Times New Roman" w:hAnsi="Times New Roman"/>
          <w:sz w:val="17"/>
          <w:szCs w:val="17"/>
          <w:color w:val="auto"/>
        </w:rPr>
        <w:t>however, the Company shall reimburse Executive for Executive’s reasonable expenses incurred in connection with carrying out the foregoing obligation after the Date of Termination. If the Company is unable because of Executive’s mental or physical incapacity or unavailability for any other reason to secure Executive’s signature to apply for or to pursue any application for any United States or foreign patents or copyright registrations covering Developments or original works of authorship assigned to the Company as above, then Executive hereby irrevocably designates and appoints the Company and its duly authorized officers and agents as Executive’s agent and attorney in fact to act for and in Executive’s behalf and stead to execute and file any such applications or records and to do all other lawfully permitted acts to further the application for, prosecution, issuance, maintenance, and transfer of letters patent or registrations thereon with the same legal force and effect as if originally executed by Executive. Executive hereby waives and irrevocably quitclaims to the Company any and all claims, of any nature whatsoever, that Executive now or hereafter has for past, present, or future infringement of any and all proprietary rights assigned to the Company.</w:t>
      </w:r>
    </w:p>
    <w:p>
      <w:pPr>
        <w:spacing w:after="0" w:line="65" w:lineRule="exact"/>
        <w:rPr>
          <w:sz w:val="20"/>
          <w:szCs w:val="20"/>
          <w:color w:val="auto"/>
        </w:rPr>
      </w:pPr>
    </w:p>
    <w:p>
      <w:pPr>
        <w:jc w:val="both"/>
        <w:ind w:left="1420" w:right="1159" w:firstLine="507"/>
        <w:spacing w:after="0"/>
        <w:tabs>
          <w:tab w:leader="none" w:pos="2292" w:val="left"/>
        </w:tabs>
        <w:numPr>
          <w:ilvl w:val="0"/>
          <w:numId w:val="8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Executive Certificates and Return of Company Property</w:t>
      </w:r>
      <w:r>
        <w:rPr>
          <w:rFonts w:ascii="Times New Roman" w:cs="Times New Roman" w:eastAsia="Times New Roman" w:hAnsi="Times New Roman"/>
          <w:sz w:val="17"/>
          <w:szCs w:val="17"/>
          <w:color w:val="auto"/>
        </w:rPr>
        <w:t>. Not less frequently than annually and upon the cessation of Executive’s employment hereunder for any reason or no reason, Executive shall promptly comply with Executive’s obligation to deliver a certificate (ResCare Annual Employment Re-Certification Eligibility Form), which certificate may be completed online in accordance with Company policy. Upon termination of Executive’s employment hereunder for any reason whatsoever, or upon Company’s request at any time, Executive shall promptly return to the Company any property of the Company or any of the other Affiliated Companies then in Executive’s possession or control, including without limitation, any Confidential Information or any electronic devices owned by the Company or any of the other Affiliated Companies in Executive’s possession or control or otherwise purchased by the Company or any of the other Affiliated Companies on Executive’s behalf without deletion or modification of any business related or personal data, software, or programs then existing on such devices.</w:t>
      </w:r>
    </w:p>
    <w:p>
      <w:pPr>
        <w:spacing w:after="0" w:line="57" w:lineRule="exact"/>
        <w:rPr>
          <w:rFonts w:ascii="Times New Roman" w:cs="Times New Roman" w:eastAsia="Times New Roman" w:hAnsi="Times New Roman"/>
          <w:sz w:val="17"/>
          <w:szCs w:val="17"/>
          <w:color w:val="010000"/>
        </w:rPr>
      </w:pPr>
    </w:p>
    <w:p>
      <w:pPr>
        <w:jc w:val="both"/>
        <w:ind w:left="1420" w:right="1159" w:firstLine="507"/>
        <w:spacing w:after="0" w:line="239" w:lineRule="auto"/>
        <w:tabs>
          <w:tab w:leader="none" w:pos="2292" w:val="left"/>
        </w:tabs>
        <w:numPr>
          <w:ilvl w:val="0"/>
          <w:numId w:val="8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Injunctive Relief and Invalidity of any Provision</w:t>
      </w:r>
      <w:r>
        <w:rPr>
          <w:rFonts w:ascii="Times New Roman" w:cs="Times New Roman" w:eastAsia="Times New Roman" w:hAnsi="Times New Roman"/>
          <w:sz w:val="17"/>
          <w:szCs w:val="17"/>
          <w:color w:val="auto"/>
        </w:rPr>
        <w:t>. Executive acknowledges that Executive’s breach of the provisions of Section 9 of this Agreement will result in irreparable injury to the Company and the other Affiliated Companies and that the remedy at law of such parties for such a breach will be inadequate. Accordingly, Executive agrees and consents that the Company and each of the other Affiliated Companies in addition to all other remedies available to them at law and in equity, shall be entitled to both preliminary and permanent injunctions in a court of competent jurisdiction to prevent and/or halt a breach or threatened breach by Executive of this Agreement, without the necessity of posting bond or other security or establishing actual damages. Executive further acknowledges and understands that the Company is entitled to recover its costs, expenses and attorneys’ fees incurred in obtaining enforcement of the restrictive covenants in Section 9 of this Agreement or relief from Executive’s breach of such covenants or in any litigation involving the restrictive covenants of Section 9 in this Agreement in which the Company prevails in any respect. If any provision of this Agreement is invalid in part or in whole, it shall be deemed to have been amended, whether as to time, area covered, or otherwise, as and to the extent required for its validity under applicable law and, as so amended, shall be enforceable. The parties further agree to execute all documents necessary to evidence such amendment. A court with jurisdiction over the matters contained in this Agreement shall have the authority to revise the language hereof to</w:t>
      </w:r>
    </w:p>
    <w:p>
      <w:pPr>
        <w:spacing w:after="0" w:line="1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497205</wp:posOffset>
            </wp:positionV>
            <wp:extent cx="5603875" cy="3873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0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3" w:name="page174"/>
    <w:bookmarkEnd w:id="173"/>
    <w:p>
      <w:pPr>
        <w:ind w:left="1420" w:right="1179"/>
        <w:spacing w:after="0" w:line="271" w:lineRule="auto"/>
        <w:rPr>
          <w:sz w:val="20"/>
          <w:szCs w:val="20"/>
          <w:color w:val="auto"/>
        </w:rPr>
      </w:pPr>
      <w:r>
        <w:rPr>
          <w:rFonts w:ascii="Times New Roman" w:cs="Times New Roman" w:eastAsia="Times New Roman" w:hAnsi="Times New Roman"/>
          <w:sz w:val="17"/>
          <w:szCs w:val="17"/>
          <w:color w:val="auto"/>
        </w:rPr>
        <w:t>the extent necessary to make any such section or covenant of this Agreement enforceable to the fullest extent permitted by law.</w:t>
      </w:r>
    </w:p>
    <w:p>
      <w:pPr>
        <w:spacing w:after="0" w:line="138" w:lineRule="exact"/>
        <w:rPr>
          <w:sz w:val="20"/>
          <w:szCs w:val="20"/>
          <w:color w:val="auto"/>
        </w:rPr>
      </w:pPr>
    </w:p>
    <w:p>
      <w:pPr>
        <w:jc w:val="both"/>
        <w:ind w:left="1420" w:right="1159" w:firstLine="507"/>
        <w:spacing w:after="0" w:line="248" w:lineRule="auto"/>
        <w:tabs>
          <w:tab w:leader="none" w:pos="2292" w:val="left"/>
        </w:tabs>
        <w:numPr>
          <w:ilvl w:val="0"/>
          <w:numId w:val="8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Disclosure of Existence of Agreement</w:t>
      </w:r>
      <w:r>
        <w:rPr>
          <w:rFonts w:ascii="Times New Roman" w:cs="Times New Roman" w:eastAsia="Times New Roman" w:hAnsi="Times New Roman"/>
          <w:sz w:val="17"/>
          <w:szCs w:val="17"/>
          <w:color w:val="auto"/>
        </w:rPr>
        <w:t>. To preserve the Company’s rights under this Agreement, the Company may advise any third party of the existence of this Agreement and its terms, and Executive specifically releases and agrees to indemnify and hold the Company harmless from any liability for doing so.</w:t>
      </w:r>
    </w:p>
    <w:p>
      <w:pPr>
        <w:spacing w:after="0" w:line="51" w:lineRule="exact"/>
        <w:rPr>
          <w:sz w:val="20"/>
          <w:szCs w:val="20"/>
          <w:color w:val="auto"/>
        </w:rPr>
      </w:pPr>
    </w:p>
    <w:p>
      <w:pPr>
        <w:jc w:val="both"/>
        <w:ind w:left="900" w:right="1159" w:firstLine="516"/>
        <w:spacing w:after="0"/>
        <w:rPr>
          <w:sz w:val="20"/>
          <w:szCs w:val="20"/>
          <w:color w:val="auto"/>
        </w:rPr>
      </w:pPr>
      <w:r>
        <w:rPr>
          <w:rFonts w:ascii="Times New Roman" w:cs="Times New Roman" w:eastAsia="Times New Roman" w:hAnsi="Times New Roman"/>
          <w:sz w:val="17"/>
          <w:szCs w:val="17"/>
          <w:color w:val="auto"/>
        </w:rPr>
        <w:t>10.Mutual Agreement to Arbitrate. Executive and the Company understand and agree that any existing or future dispute or claim arising out of or related to this Agreement, Executive’s employment, or the termination of such employment, will be resolved by final and binding arbitration and that no other forum for dispute resolution will be available to either party, except as to those claims identified below. The decision of the arbitrator shall be final and binding on both parties and it shall be enforceable by any court having proper jurisdiction. The arbitration proceedings shall be conducted pursuant to the Federal Arbitration Act, and in accordance with the National Rules for the Resolution of Employment Disputes of the American Arbitration Association (“AAA”). Except as mutually agreed by the parties, the arbitration shall be conducted in Louisville, Kentucky. The arbitrator will have all the powers a judge would have in dealing with any question or dispute that may arise before, during and after the arbitration. Claims not covered by this agreement to arbitrate are:</w:t>
      </w:r>
    </w:p>
    <w:p>
      <w:pPr>
        <w:spacing w:after="0" w:line="60" w:lineRule="exact"/>
        <w:rPr>
          <w:sz w:val="20"/>
          <w:szCs w:val="20"/>
          <w:color w:val="auto"/>
        </w:rPr>
      </w:pPr>
    </w:p>
    <w:p>
      <w:pPr>
        <w:jc w:val="both"/>
        <w:ind w:left="1420" w:right="1159" w:firstLine="507"/>
        <w:spacing w:after="0" w:line="249" w:lineRule="auto"/>
        <w:tabs>
          <w:tab w:leader="none" w:pos="2292" w:val="left"/>
        </w:tabs>
        <w:numPr>
          <w:ilvl w:val="0"/>
          <w:numId w:val="8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Claims under Title VII of the Civil Rights Act of 1964 or any tort related to or arising out of sexual assault or harassment, including assault and battery, intentional infliction of emotional distress, false imprisonment, or negligent hiring, supervision, or retention,</w:t>
      </w:r>
    </w:p>
    <w:p>
      <w:pPr>
        <w:spacing w:after="0" w:line="250" w:lineRule="exact"/>
        <w:rPr>
          <w:rFonts w:ascii="Times New Roman" w:cs="Times New Roman" w:eastAsia="Times New Roman" w:hAnsi="Times New Roman"/>
          <w:sz w:val="17"/>
          <w:szCs w:val="17"/>
          <w:color w:val="010000"/>
        </w:rPr>
      </w:pPr>
    </w:p>
    <w:p>
      <w:pPr>
        <w:ind w:left="1420" w:right="1799" w:firstLine="507"/>
        <w:spacing w:after="0" w:line="271" w:lineRule="auto"/>
        <w:tabs>
          <w:tab w:leader="none" w:pos="2451" w:val="left"/>
        </w:tabs>
        <w:numPr>
          <w:ilvl w:val="0"/>
          <w:numId w:val="8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Claims for benefits under the workers’ compensation, unemployment insurance and state disability insurance laws, and</w:t>
      </w:r>
    </w:p>
    <w:p>
      <w:pPr>
        <w:spacing w:after="0" w:line="31" w:lineRule="exact"/>
        <w:rPr>
          <w:rFonts w:ascii="Times New Roman" w:cs="Times New Roman" w:eastAsia="Times New Roman" w:hAnsi="Times New Roman"/>
          <w:sz w:val="17"/>
          <w:szCs w:val="17"/>
          <w:color w:val="010000"/>
        </w:rPr>
      </w:pPr>
    </w:p>
    <w:p>
      <w:pPr>
        <w:ind w:left="1420" w:right="1439" w:firstLine="507"/>
        <w:spacing w:after="0" w:line="271" w:lineRule="auto"/>
        <w:tabs>
          <w:tab w:leader="none" w:pos="2451" w:val="left"/>
        </w:tabs>
        <w:numPr>
          <w:ilvl w:val="0"/>
          <w:numId w:val="8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Claims for injunctive relief and any other equitable relief arising out of the Company’s efforts to enforce Section 9 of this Agreement.</w:t>
      </w:r>
    </w:p>
    <w:p>
      <w:pPr>
        <w:spacing w:after="0" w:line="31" w:lineRule="exact"/>
        <w:rPr>
          <w:sz w:val="20"/>
          <w:szCs w:val="20"/>
          <w:color w:val="auto"/>
        </w:rPr>
      </w:pPr>
    </w:p>
    <w:p>
      <w:pPr>
        <w:jc w:val="both"/>
        <w:ind w:left="1420" w:right="1159"/>
        <w:spacing w:after="0" w:line="242" w:lineRule="auto"/>
        <w:rPr>
          <w:sz w:val="20"/>
          <w:szCs w:val="20"/>
          <w:color w:val="auto"/>
        </w:rPr>
      </w:pPr>
      <w:r>
        <w:rPr>
          <w:rFonts w:ascii="Times New Roman" w:cs="Times New Roman" w:eastAsia="Times New Roman" w:hAnsi="Times New Roman"/>
          <w:sz w:val="17"/>
          <w:szCs w:val="17"/>
          <w:color w:val="auto"/>
        </w:rPr>
        <w:t>The Company agrees to bear the costs of the arbitrator’s fee, and all other costs related to the arbitration, assuming such costs are not expenses that Executive would be required to bear if bringing or defending the action in a court of law. Executive and the Company shall each bear the fees and costs of their own attorneys, experts or other representatives incurred in connection with the arbitration, and the arbitrator will not have authority to award fees and costs unless a statute at issue in the dispute or other appropriate law authorizes the award of attorneys’ fees to the prevailing party, in which case the arbitrator shall have the authority to make an award of attorneys’ fees as permitted by the applicable statute or law.</w:t>
      </w:r>
    </w:p>
    <w:p>
      <w:pPr>
        <w:spacing w:after="0" w:line="141" w:lineRule="exact"/>
        <w:rPr>
          <w:sz w:val="20"/>
          <w:szCs w:val="20"/>
          <w:color w:val="auto"/>
        </w:rPr>
      </w:pPr>
    </w:p>
    <w:p>
      <w:pPr>
        <w:ind w:left="1920" w:hanging="509"/>
        <w:spacing w:after="0"/>
        <w:tabs>
          <w:tab w:leader="none" w:pos="192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Definitions. For purposes of this Agreement:</w:t>
      </w:r>
    </w:p>
    <w:p>
      <w:pPr>
        <w:spacing w:after="0" w:line="94" w:lineRule="exact"/>
        <w:rPr>
          <w:rFonts w:ascii="Times New Roman" w:cs="Times New Roman" w:eastAsia="Times New Roman" w:hAnsi="Times New Roman"/>
          <w:sz w:val="17"/>
          <w:szCs w:val="17"/>
          <w:color w:val="auto"/>
        </w:rPr>
      </w:pPr>
    </w:p>
    <w:p>
      <w:pPr>
        <w:ind w:left="2440" w:hanging="513"/>
        <w:spacing w:after="0"/>
        <w:tabs>
          <w:tab w:leader="none" w:pos="2440" w:val="left"/>
        </w:tabs>
        <w:numPr>
          <w:ilvl w:val="1"/>
          <w:numId w:val="8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“AAA” shall have the meaning set forth in Section 10.</w:t>
      </w:r>
    </w:p>
    <w:p>
      <w:pPr>
        <w:spacing w:after="0" w:line="83" w:lineRule="exact"/>
        <w:rPr>
          <w:rFonts w:ascii="Times New Roman" w:cs="Times New Roman" w:eastAsia="Times New Roman" w:hAnsi="Times New Roman"/>
          <w:sz w:val="17"/>
          <w:szCs w:val="17"/>
          <w:color w:val="010000"/>
        </w:rPr>
      </w:pPr>
    </w:p>
    <w:p>
      <w:pPr>
        <w:ind w:left="2440" w:hanging="513"/>
        <w:spacing w:after="0"/>
        <w:tabs>
          <w:tab w:leader="none" w:pos="2440" w:val="left"/>
        </w:tabs>
        <w:numPr>
          <w:ilvl w:val="1"/>
          <w:numId w:val="8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“Accrued Obligations” shall have the meaning set forth in Section 8.</w:t>
      </w:r>
    </w:p>
    <w:p>
      <w:pPr>
        <w:spacing w:after="0" w:line="83" w:lineRule="exact"/>
        <w:rPr>
          <w:rFonts w:ascii="Times New Roman" w:cs="Times New Roman" w:eastAsia="Times New Roman" w:hAnsi="Times New Roman"/>
          <w:sz w:val="17"/>
          <w:szCs w:val="17"/>
          <w:color w:val="010000"/>
        </w:rPr>
      </w:pPr>
    </w:p>
    <w:p>
      <w:pPr>
        <w:ind w:left="2440" w:hanging="513"/>
        <w:spacing w:after="0"/>
        <w:tabs>
          <w:tab w:leader="none" w:pos="2440" w:val="left"/>
        </w:tabs>
        <w:numPr>
          <w:ilvl w:val="1"/>
          <w:numId w:val="8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“Additional Term(s)” shall have the meaning set forth in Section 2.</w:t>
      </w:r>
    </w:p>
    <w:p>
      <w:pPr>
        <w:spacing w:after="0" w:line="83" w:lineRule="exact"/>
        <w:rPr>
          <w:rFonts w:ascii="Times New Roman" w:cs="Times New Roman" w:eastAsia="Times New Roman" w:hAnsi="Times New Roman"/>
          <w:sz w:val="17"/>
          <w:szCs w:val="17"/>
          <w:color w:val="010000"/>
        </w:rPr>
      </w:pPr>
    </w:p>
    <w:p>
      <w:pPr>
        <w:ind w:left="2440" w:hanging="513"/>
        <w:spacing w:after="0"/>
        <w:tabs>
          <w:tab w:leader="none" w:pos="2440" w:val="left"/>
        </w:tabs>
        <w:numPr>
          <w:ilvl w:val="1"/>
          <w:numId w:val="8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“Affiliated Company(ies)” shall have the meaning set forth in Section</w:t>
      </w:r>
    </w:p>
    <w:p>
      <w:pPr>
        <w:spacing w:after="0" w:line="15" w:lineRule="exact"/>
        <w:rPr>
          <w:rFonts w:ascii="Times New Roman" w:cs="Times New Roman" w:eastAsia="Times New Roman" w:hAnsi="Times New Roman"/>
          <w:sz w:val="17"/>
          <w:szCs w:val="17"/>
          <w:color w:val="010000"/>
        </w:rPr>
      </w:pPr>
    </w:p>
    <w:p>
      <w:pPr>
        <w:ind w:left="1420"/>
        <w:spacing w:after="0"/>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9(a)(i).</w:t>
      </w:r>
    </w:p>
    <w:p>
      <w:pPr>
        <w:spacing w:after="0" w:line="173" w:lineRule="exact"/>
        <w:rPr>
          <w:rFonts w:ascii="Times New Roman" w:cs="Times New Roman" w:eastAsia="Times New Roman" w:hAnsi="Times New Roman"/>
          <w:sz w:val="17"/>
          <w:szCs w:val="17"/>
          <w:color w:val="010000"/>
        </w:rPr>
      </w:pPr>
    </w:p>
    <w:p>
      <w:pPr>
        <w:ind w:left="2440" w:hanging="513"/>
        <w:spacing w:after="0"/>
        <w:tabs>
          <w:tab w:leader="none" w:pos="2440" w:val="left"/>
        </w:tabs>
        <w:numPr>
          <w:ilvl w:val="1"/>
          <w:numId w:val="8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“Agreement” shall have the meaning set forth in the preamble.</w:t>
      </w:r>
    </w:p>
    <w:p>
      <w:pPr>
        <w:spacing w:after="0" w:line="19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503555</wp:posOffset>
            </wp:positionV>
            <wp:extent cx="5603875" cy="3873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0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418" w:right="1440" w:bottom="1440" w:gutter="0" w:footer="0" w:header="0"/>
        </w:sectPr>
      </w:pPr>
    </w:p>
    <w:bookmarkStart w:id="174" w:name="page175"/>
    <w:bookmarkEnd w:id="174"/>
    <w:p>
      <w:pPr>
        <w:ind w:left="2440" w:hanging="513"/>
        <w:spacing w:after="0"/>
        <w:tabs>
          <w:tab w:leader="none" w:pos="2440" w:val="left"/>
        </w:tabs>
        <w:numPr>
          <w:ilvl w:val="0"/>
          <w:numId w:val="8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“Annual Bonus” shall have the meaning set forth in Section 3(b).</w:t>
      </w:r>
    </w:p>
    <w:p>
      <w:pPr>
        <w:spacing w:after="0" w:line="83" w:lineRule="exact"/>
        <w:rPr>
          <w:rFonts w:ascii="Times New Roman" w:cs="Times New Roman" w:eastAsia="Times New Roman" w:hAnsi="Times New Roman"/>
          <w:sz w:val="17"/>
          <w:szCs w:val="17"/>
          <w:color w:val="010000"/>
        </w:rPr>
      </w:pPr>
    </w:p>
    <w:p>
      <w:pPr>
        <w:ind w:left="2440" w:hanging="513"/>
        <w:spacing w:after="0"/>
        <w:tabs>
          <w:tab w:leader="none" w:pos="2440" w:val="left"/>
        </w:tabs>
        <w:numPr>
          <w:ilvl w:val="0"/>
          <w:numId w:val="8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“Base Salary” shall have the meaning set forth in Section 3(a).</w:t>
      </w:r>
    </w:p>
    <w:p>
      <w:pPr>
        <w:spacing w:after="0" w:line="83" w:lineRule="exact"/>
        <w:rPr>
          <w:rFonts w:ascii="Times New Roman" w:cs="Times New Roman" w:eastAsia="Times New Roman" w:hAnsi="Times New Roman"/>
          <w:sz w:val="17"/>
          <w:szCs w:val="17"/>
          <w:color w:val="010000"/>
        </w:rPr>
      </w:pPr>
    </w:p>
    <w:p>
      <w:pPr>
        <w:jc w:val="both"/>
        <w:ind w:left="1420" w:right="1159" w:firstLine="507"/>
        <w:spacing w:after="0" w:line="239" w:lineRule="auto"/>
        <w:tabs>
          <w:tab w:leader="none" w:pos="2292" w:val="left"/>
        </w:tabs>
        <w:numPr>
          <w:ilvl w:val="0"/>
          <w:numId w:val="8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“Business” shall mean (i) the provision of pharmacy services to skilled nursing homes, senior living communities and assisted living facilities, hospice patients, oncology patients, group homes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related to intellectual or developmental disability clients and/or residents), drug treatment and mental health centers and other institutional settings; (ii) the provision of pharmacy services to individuals directly in the home, for self-administration, hospice, infusion in the home, or otherwise, or directly in the physician or clinic setting; (iii) the provision of services in the specialty pharmacy market; (iv) home care, home health, hospice or any kind of clinical or non-clinical periodic services to the elderly; (v) the provision of in-home, in-clinic (e.g., outpatient) or in facility rehabilitation and therapy; (vi) the provision of services to persons with intellectual and/or developmental disabilities, including, but not limited to, autism spectrum disorders, persons who have been dually diagnosed, services to persons with brain injuries or neuro rehabilitation therapy needs, and pharmacy-related services or products with respect to individuals who are receiving support or services from any of the Affiliated Companies or other similar providers; (vii) community or home based primary care services, including care management and care coordination services, either including physicians, and/or nurse practitioners, and/or physician assistants and associated extender care providers; (viii) the provision of skilled nursing and/or other periodic services for youth and children; (ix) the provision of management and/or consulting services to third parties related to the above; and/or (x) the provision of services related to any business activity that is materially competitive with the then current or demonstrably planned business activities of the Company or any other Affiliated Company.</w:t>
      </w:r>
    </w:p>
    <w:p>
      <w:pPr>
        <w:spacing w:after="0" w:line="57" w:lineRule="exact"/>
        <w:rPr>
          <w:rFonts w:ascii="Times New Roman" w:cs="Times New Roman" w:eastAsia="Times New Roman" w:hAnsi="Times New Roman"/>
          <w:sz w:val="17"/>
          <w:szCs w:val="17"/>
          <w:color w:val="010000"/>
        </w:rPr>
      </w:pPr>
    </w:p>
    <w:p>
      <w:pPr>
        <w:jc w:val="both"/>
        <w:ind w:left="1420" w:right="1159" w:firstLine="507"/>
        <w:spacing w:after="0" w:line="239" w:lineRule="auto"/>
        <w:tabs>
          <w:tab w:leader="none" w:pos="2292" w:val="left"/>
        </w:tabs>
        <w:numPr>
          <w:ilvl w:val="0"/>
          <w:numId w:val="8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“Cause” shall mean any of the following: (i) misuse or embezzlement or misappropriation by Executive of the funds or property of the Company or any of the other Affiliated Companies; (ii) failure to disclose material financial or other material operational information relating to the Company or any of the other Affiliated Companies; (iii) Executive's breach of fiduciary duty resulting in personal profit; (iv) willful or repeated misconduct in, or gross negligence with respect to, performance of Executive's duties to the Company or any other Affiliated Company; (v) Executive’s failure to devote adequate time or diligence to or to effectively carry out or implement the performance of Executive’s duties; (vi) the material breach or violation by Executive of any provision of this Agreement or any written employment policy of the Company or any of the other Affiliated Companies that is applicable to Executive and has been previously made available to Executive, if such breach remains uncured after notice to Executive and failure of Executive to cure such breach or violation (if curable) within 10 business days; (vii) Executive's conviction of, or plea of nolo contendere to, any law, rule or regulation (other than minor traffic violations or similar offenses); or (viii) failure to maintain licenses, certifications or other authorizations reasonably required by the Company for Executive to perform services for the Company or any other Affiliated Company, in all cases as determined in the reasonable discretion of the Chief Executive Officer.</w:t>
      </w:r>
    </w:p>
    <w:p>
      <w:pPr>
        <w:spacing w:after="0" w:line="61" w:lineRule="exact"/>
        <w:rPr>
          <w:rFonts w:ascii="Times New Roman" w:cs="Times New Roman" w:eastAsia="Times New Roman" w:hAnsi="Times New Roman"/>
          <w:sz w:val="17"/>
          <w:szCs w:val="17"/>
          <w:color w:val="010000"/>
        </w:rPr>
      </w:pPr>
    </w:p>
    <w:p>
      <w:pPr>
        <w:ind w:left="2440" w:hanging="513"/>
        <w:spacing w:after="0"/>
        <w:tabs>
          <w:tab w:leader="none" w:pos="2440" w:val="left"/>
        </w:tabs>
        <w:numPr>
          <w:ilvl w:val="0"/>
          <w:numId w:val="8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“CEO” shall have the meaning set forth in Section 1.</w:t>
      </w:r>
    </w:p>
    <w:p>
      <w:pPr>
        <w:spacing w:after="0" w:line="83" w:lineRule="exact"/>
        <w:rPr>
          <w:rFonts w:ascii="Times New Roman" w:cs="Times New Roman" w:eastAsia="Times New Roman" w:hAnsi="Times New Roman"/>
          <w:sz w:val="17"/>
          <w:szCs w:val="17"/>
          <w:color w:val="010000"/>
        </w:rPr>
      </w:pPr>
    </w:p>
    <w:p>
      <w:pPr>
        <w:ind w:left="2440" w:hanging="513"/>
        <w:spacing w:after="0"/>
        <w:tabs>
          <w:tab w:leader="none" w:pos="2440" w:val="left"/>
        </w:tabs>
        <w:numPr>
          <w:ilvl w:val="0"/>
          <w:numId w:val="8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“Code” shall mean the Internal Revenue Code of 1986, as amended.</w:t>
      </w:r>
    </w:p>
    <w:p>
      <w:pPr>
        <w:spacing w:after="0" w:line="83" w:lineRule="exact"/>
        <w:rPr>
          <w:rFonts w:ascii="Times New Roman" w:cs="Times New Roman" w:eastAsia="Times New Roman" w:hAnsi="Times New Roman"/>
          <w:sz w:val="17"/>
          <w:szCs w:val="17"/>
          <w:color w:val="010000"/>
        </w:rPr>
      </w:pPr>
    </w:p>
    <w:p>
      <w:pPr>
        <w:ind w:left="2440" w:hanging="513"/>
        <w:spacing w:after="0"/>
        <w:tabs>
          <w:tab w:leader="none" w:pos="2440" w:val="left"/>
        </w:tabs>
        <w:numPr>
          <w:ilvl w:val="0"/>
          <w:numId w:val="8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“Company” shall have the meaning set forth in the preamble.</w:t>
      </w:r>
    </w:p>
    <w:p>
      <w:pPr>
        <w:spacing w:after="0" w:line="20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497205</wp:posOffset>
            </wp:positionV>
            <wp:extent cx="5603875" cy="3873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0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419" w:right="1440" w:bottom="1440" w:gutter="0" w:footer="0" w:header="0"/>
        </w:sectPr>
      </w:pPr>
    </w:p>
    <w:bookmarkStart w:id="175" w:name="page176"/>
    <w:bookmarkEnd w:id="175"/>
    <w:p>
      <w:pPr>
        <w:ind w:left="2440" w:hanging="513"/>
        <w:spacing w:after="0"/>
        <w:tabs>
          <w:tab w:leader="none" w:pos="2440" w:val="left"/>
        </w:tabs>
        <w:numPr>
          <w:ilvl w:val="0"/>
          <w:numId w:val="8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“Commencement Date” shall have the meaning set forth in Section 2.</w:t>
      </w:r>
    </w:p>
    <w:p>
      <w:pPr>
        <w:spacing w:after="0" w:line="83" w:lineRule="exact"/>
        <w:rPr>
          <w:rFonts w:ascii="Times New Roman" w:cs="Times New Roman" w:eastAsia="Times New Roman" w:hAnsi="Times New Roman"/>
          <w:sz w:val="17"/>
          <w:szCs w:val="17"/>
          <w:color w:val="010000"/>
        </w:rPr>
      </w:pPr>
    </w:p>
    <w:p>
      <w:pPr>
        <w:jc w:val="both"/>
        <w:ind w:left="1420" w:right="1179" w:firstLine="507"/>
        <w:spacing w:after="0" w:line="245" w:lineRule="auto"/>
        <w:tabs>
          <w:tab w:leader="none" w:pos="2292" w:val="left"/>
        </w:tabs>
        <w:numPr>
          <w:ilvl w:val="0"/>
          <w:numId w:val="8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“Confidential Information” shall mean any business information relating to the Company or any of the other Affiliated Companies or to the Business (whether or not constituting a trade secret), which has been or is treated by the Company or any of the other Affiliated Companies as proprietary and confidential and which is not generally known to the public.</w:t>
      </w:r>
    </w:p>
    <w:p>
      <w:pPr>
        <w:spacing w:after="0" w:line="54" w:lineRule="exact"/>
        <w:rPr>
          <w:rFonts w:ascii="Times New Roman" w:cs="Times New Roman" w:eastAsia="Times New Roman" w:hAnsi="Times New Roman"/>
          <w:sz w:val="17"/>
          <w:szCs w:val="17"/>
          <w:color w:val="010000"/>
        </w:rPr>
      </w:pPr>
    </w:p>
    <w:p>
      <w:pPr>
        <w:ind w:left="2440" w:hanging="513"/>
        <w:spacing w:after="0"/>
        <w:tabs>
          <w:tab w:leader="none" w:pos="2440" w:val="left"/>
        </w:tabs>
        <w:numPr>
          <w:ilvl w:val="0"/>
          <w:numId w:val="8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“Date of Termination” shall have the meaning set forth in Section 2.</w:t>
      </w:r>
    </w:p>
    <w:p>
      <w:pPr>
        <w:spacing w:after="0" w:line="83" w:lineRule="exact"/>
        <w:rPr>
          <w:rFonts w:ascii="Times New Roman" w:cs="Times New Roman" w:eastAsia="Times New Roman" w:hAnsi="Times New Roman"/>
          <w:sz w:val="17"/>
          <w:szCs w:val="17"/>
          <w:color w:val="010000"/>
        </w:rPr>
      </w:pPr>
    </w:p>
    <w:p>
      <w:pPr>
        <w:ind w:left="2440" w:hanging="513"/>
        <w:spacing w:after="0"/>
        <w:tabs>
          <w:tab w:leader="none" w:pos="2440" w:val="left"/>
        </w:tabs>
        <w:numPr>
          <w:ilvl w:val="0"/>
          <w:numId w:val="8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“Developments” shall have the meaning set forth in Section 9(e).</w:t>
      </w:r>
    </w:p>
    <w:p>
      <w:pPr>
        <w:spacing w:after="0" w:line="83" w:lineRule="exact"/>
        <w:rPr>
          <w:rFonts w:ascii="Times New Roman" w:cs="Times New Roman" w:eastAsia="Times New Roman" w:hAnsi="Times New Roman"/>
          <w:sz w:val="17"/>
          <w:szCs w:val="17"/>
          <w:color w:val="010000"/>
        </w:rPr>
      </w:pPr>
    </w:p>
    <w:p>
      <w:pPr>
        <w:ind w:left="2440" w:hanging="513"/>
        <w:spacing w:after="0"/>
        <w:tabs>
          <w:tab w:leader="none" w:pos="2440" w:val="left"/>
        </w:tabs>
        <w:numPr>
          <w:ilvl w:val="0"/>
          <w:numId w:val="8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“Executive” shall have the meaning set forth in the preamble.</w:t>
      </w:r>
    </w:p>
    <w:p>
      <w:pPr>
        <w:spacing w:after="0" w:line="83" w:lineRule="exact"/>
        <w:rPr>
          <w:rFonts w:ascii="Times New Roman" w:cs="Times New Roman" w:eastAsia="Times New Roman" w:hAnsi="Times New Roman"/>
          <w:sz w:val="17"/>
          <w:szCs w:val="17"/>
          <w:color w:val="010000"/>
        </w:rPr>
      </w:pPr>
    </w:p>
    <w:p>
      <w:pPr>
        <w:ind w:left="2440" w:hanging="513"/>
        <w:spacing w:after="0"/>
        <w:tabs>
          <w:tab w:leader="none" w:pos="2440" w:val="left"/>
        </w:tabs>
        <w:numPr>
          <w:ilvl w:val="0"/>
          <w:numId w:val="8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“Excise Tax” shall have the meaning set forth in Section 18.</w:t>
      </w:r>
    </w:p>
    <w:p>
      <w:pPr>
        <w:spacing w:after="0" w:line="83" w:lineRule="exact"/>
        <w:rPr>
          <w:rFonts w:ascii="Times New Roman" w:cs="Times New Roman" w:eastAsia="Times New Roman" w:hAnsi="Times New Roman"/>
          <w:sz w:val="17"/>
          <w:szCs w:val="17"/>
          <w:color w:val="010000"/>
        </w:rPr>
      </w:pPr>
    </w:p>
    <w:p>
      <w:pPr>
        <w:ind w:left="2440" w:hanging="513"/>
        <w:spacing w:after="0"/>
        <w:tabs>
          <w:tab w:leader="none" w:pos="2440" w:val="left"/>
        </w:tabs>
        <w:numPr>
          <w:ilvl w:val="0"/>
          <w:numId w:val="8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“Good Reason” shall mean any of the following without the Executive’s</w:t>
      </w:r>
    </w:p>
    <w:p>
      <w:pPr>
        <w:spacing w:after="0" w:line="15" w:lineRule="exact"/>
        <w:rPr>
          <w:rFonts w:ascii="Times New Roman" w:cs="Times New Roman" w:eastAsia="Times New Roman" w:hAnsi="Times New Roman"/>
          <w:sz w:val="17"/>
          <w:szCs w:val="17"/>
          <w:color w:val="010000"/>
        </w:rPr>
      </w:pPr>
    </w:p>
    <w:p>
      <w:pPr>
        <w:ind w:left="1420"/>
        <w:spacing w:after="0"/>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consent:</w:t>
      </w:r>
    </w:p>
    <w:p>
      <w:pPr>
        <w:spacing w:after="0" w:line="65" w:lineRule="exact"/>
        <w:rPr>
          <w:rFonts w:ascii="Times New Roman" w:cs="Times New Roman" w:eastAsia="Times New Roman" w:hAnsi="Times New Roman"/>
          <w:sz w:val="17"/>
          <w:szCs w:val="17"/>
          <w:color w:val="010000"/>
        </w:rPr>
      </w:pPr>
    </w:p>
    <w:p>
      <w:pPr>
        <w:jc w:val="both"/>
        <w:ind w:left="2440" w:right="1159" w:firstLine="518"/>
        <w:spacing w:after="0" w:line="259" w:lineRule="auto"/>
        <w:tabs>
          <w:tab w:leader="none" w:pos="3330" w:val="left"/>
        </w:tabs>
        <w:numPr>
          <w:ilvl w:val="1"/>
          <w:numId w:val="8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 material reduction in the Executive’s Base Salary or, provided that such reduction is not applied equally to other similarly-situated executives;</w:t>
      </w:r>
    </w:p>
    <w:p>
      <w:pPr>
        <w:spacing w:after="0" w:line="243" w:lineRule="exact"/>
        <w:rPr>
          <w:rFonts w:ascii="Times New Roman" w:cs="Times New Roman" w:eastAsia="Times New Roman" w:hAnsi="Times New Roman"/>
          <w:sz w:val="17"/>
          <w:szCs w:val="17"/>
          <w:color w:val="010000"/>
        </w:rPr>
      </w:pPr>
    </w:p>
    <w:p>
      <w:pPr>
        <w:jc w:val="both"/>
        <w:ind w:left="2440" w:right="1159" w:firstLine="518"/>
        <w:spacing w:after="0" w:line="248" w:lineRule="auto"/>
        <w:tabs>
          <w:tab w:leader="none" w:pos="3329" w:val="left"/>
        </w:tabs>
        <w:numPr>
          <w:ilvl w:val="1"/>
          <w:numId w:val="8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 requirement by the Company to permanently or indefinitely relocate the Executive's principal place of employment to a location that is greater than fifty (50) miles from the Executive’s then-current principal place of employment; or</w:t>
      </w:r>
    </w:p>
    <w:p>
      <w:pPr>
        <w:spacing w:after="0" w:line="51" w:lineRule="exact"/>
        <w:rPr>
          <w:rFonts w:ascii="Times New Roman" w:cs="Times New Roman" w:eastAsia="Times New Roman" w:hAnsi="Times New Roman"/>
          <w:sz w:val="17"/>
          <w:szCs w:val="17"/>
          <w:color w:val="010000"/>
        </w:rPr>
      </w:pPr>
    </w:p>
    <w:p>
      <w:pPr>
        <w:jc w:val="both"/>
        <w:ind w:left="2440" w:right="1159" w:firstLine="518"/>
        <w:spacing w:after="0" w:line="248" w:lineRule="auto"/>
        <w:tabs>
          <w:tab w:leader="none" w:pos="3329" w:val="left"/>
        </w:tabs>
        <w:numPr>
          <w:ilvl w:val="1"/>
          <w:numId w:val="8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 material diminution in the Executive’s title or reporting structure, or an adverse and material change in the Executive’s duties and responsibilities, or the assignment to the Executive of duties or responsibilities which are materially inconsistent with the Executive’s title;</w:t>
      </w:r>
    </w:p>
    <w:p>
      <w:pPr>
        <w:spacing w:after="0" w:line="51" w:lineRule="exact"/>
        <w:rPr>
          <w:rFonts w:ascii="Times New Roman" w:cs="Times New Roman" w:eastAsia="Times New Roman" w:hAnsi="Times New Roman"/>
          <w:sz w:val="17"/>
          <w:szCs w:val="17"/>
          <w:color w:val="010000"/>
        </w:rPr>
      </w:pPr>
    </w:p>
    <w:p>
      <w:pPr>
        <w:ind w:left="2440" w:hanging="513"/>
        <w:spacing w:after="0"/>
        <w:tabs>
          <w:tab w:leader="none" w:pos="2440" w:val="left"/>
        </w:tabs>
        <w:numPr>
          <w:ilvl w:val="0"/>
          <w:numId w:val="8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“Initial Term” shall have the meaning set forth in Section 2.</w:t>
      </w:r>
    </w:p>
    <w:p>
      <w:pPr>
        <w:spacing w:after="0" w:line="83" w:lineRule="exact"/>
        <w:rPr>
          <w:rFonts w:ascii="Times New Roman" w:cs="Times New Roman" w:eastAsia="Times New Roman" w:hAnsi="Times New Roman"/>
          <w:sz w:val="17"/>
          <w:szCs w:val="17"/>
          <w:color w:val="010000"/>
        </w:rPr>
      </w:pPr>
    </w:p>
    <w:p>
      <w:pPr>
        <w:ind w:left="2440" w:hanging="513"/>
        <w:spacing w:after="0"/>
        <w:tabs>
          <w:tab w:leader="none" w:pos="2440" w:val="left"/>
        </w:tabs>
        <w:numPr>
          <w:ilvl w:val="0"/>
          <w:numId w:val="8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“Parachute Payments” shall have the meaning set forth in Section 18.</w:t>
      </w:r>
    </w:p>
    <w:p>
      <w:pPr>
        <w:spacing w:after="0" w:line="83" w:lineRule="exact"/>
        <w:rPr>
          <w:rFonts w:ascii="Times New Roman" w:cs="Times New Roman" w:eastAsia="Times New Roman" w:hAnsi="Times New Roman"/>
          <w:sz w:val="17"/>
          <w:szCs w:val="17"/>
          <w:color w:val="010000"/>
        </w:rPr>
      </w:pPr>
    </w:p>
    <w:p>
      <w:pPr>
        <w:jc w:val="both"/>
        <w:ind w:left="1420" w:right="1159" w:firstLine="507"/>
        <w:spacing w:after="0" w:line="254" w:lineRule="auto"/>
        <w:tabs>
          <w:tab w:leader="none" w:pos="2292" w:val="left"/>
        </w:tabs>
        <w:numPr>
          <w:ilvl w:val="0"/>
          <w:numId w:val="8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“Person” shall mean an individual, a client, a patient, a customer, a partnership, an association, a corporation, a trust, an unincorporated organization, or any other business entity or enterprise.</w:t>
      </w:r>
    </w:p>
    <w:p>
      <w:pPr>
        <w:spacing w:after="0" w:line="45" w:lineRule="exact"/>
        <w:rPr>
          <w:rFonts w:ascii="Times New Roman" w:cs="Times New Roman" w:eastAsia="Times New Roman" w:hAnsi="Times New Roman"/>
          <w:sz w:val="17"/>
          <w:szCs w:val="17"/>
          <w:color w:val="010000"/>
        </w:rPr>
      </w:pPr>
    </w:p>
    <w:p>
      <w:pPr>
        <w:ind w:left="2440" w:hanging="513"/>
        <w:spacing w:after="0"/>
        <w:tabs>
          <w:tab w:leader="none" w:pos="2440" w:val="left"/>
        </w:tabs>
        <w:numPr>
          <w:ilvl w:val="0"/>
          <w:numId w:val="8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“Release” shall have the meaning set forth in Section 7(b).</w:t>
      </w:r>
    </w:p>
    <w:p>
      <w:pPr>
        <w:spacing w:after="0" w:line="83" w:lineRule="exact"/>
        <w:rPr>
          <w:rFonts w:ascii="Times New Roman" w:cs="Times New Roman" w:eastAsia="Times New Roman" w:hAnsi="Times New Roman"/>
          <w:sz w:val="17"/>
          <w:szCs w:val="17"/>
          <w:color w:val="010000"/>
        </w:rPr>
      </w:pPr>
    </w:p>
    <w:p>
      <w:pPr>
        <w:ind w:left="2440" w:hanging="513"/>
        <w:spacing w:after="0"/>
        <w:tabs>
          <w:tab w:leader="none" w:pos="2440" w:val="left"/>
        </w:tabs>
        <w:numPr>
          <w:ilvl w:val="0"/>
          <w:numId w:val="8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“Severance Benefits” shall have the meaning set forth in Section (7)(a).</w:t>
      </w:r>
    </w:p>
    <w:p>
      <w:pPr>
        <w:spacing w:after="0" w:line="191" w:lineRule="exact"/>
        <w:rPr>
          <w:rFonts w:ascii="Times New Roman" w:cs="Times New Roman" w:eastAsia="Times New Roman" w:hAnsi="Times New Roman"/>
          <w:sz w:val="17"/>
          <w:szCs w:val="17"/>
          <w:color w:val="010000"/>
        </w:rPr>
      </w:pPr>
    </w:p>
    <w:p>
      <w:pPr>
        <w:ind w:left="2440" w:hanging="513"/>
        <w:spacing w:after="0"/>
        <w:tabs>
          <w:tab w:leader="none" w:pos="2440" w:val="left"/>
        </w:tabs>
        <w:numPr>
          <w:ilvl w:val="0"/>
          <w:numId w:val="8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“Supervising Officer” shall have the meaning set forth in Section 1.</w:t>
      </w:r>
    </w:p>
    <w:p>
      <w:pPr>
        <w:spacing w:after="0" w:line="83" w:lineRule="exact"/>
        <w:rPr>
          <w:rFonts w:ascii="Times New Roman" w:cs="Times New Roman" w:eastAsia="Times New Roman" w:hAnsi="Times New Roman"/>
          <w:sz w:val="17"/>
          <w:szCs w:val="17"/>
          <w:color w:val="010000"/>
        </w:rPr>
      </w:pPr>
    </w:p>
    <w:p>
      <w:pPr>
        <w:jc w:val="both"/>
        <w:ind w:left="1420" w:right="1159" w:firstLine="507"/>
        <w:spacing w:after="0" w:line="241" w:lineRule="auto"/>
        <w:tabs>
          <w:tab w:leader="none" w:pos="2292" w:val="left"/>
        </w:tabs>
        <w:numPr>
          <w:ilvl w:val="0"/>
          <w:numId w:val="8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“Territory” shall mean (i) the counties in which are located the operations for which Executive works or has worked or is responsible or has been responsible and all counties contiguous to such counties, and (ii) the counties in which are located the planned operations for which Executive may be responsible and all counties contiguous to such counties, and (iii) the states and commonwealths in which are located the operations for which Executive works or has worked or is responsible or has been responsible and all states and commonwealths contiguous to such states and commonwealths, and (iv) the states and commonwealths in which are located the planned operations for which Executive may be responsible and all states and</w:t>
      </w:r>
    </w:p>
    <w:p>
      <w:pPr>
        <w:spacing w:after="0" w:line="17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497205</wp:posOffset>
            </wp:positionV>
            <wp:extent cx="5603875" cy="3873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0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418" w:right="1440" w:bottom="1440" w:gutter="0" w:footer="0" w:header="0"/>
        </w:sectPr>
      </w:pPr>
    </w:p>
    <w:bookmarkStart w:id="176" w:name="page177"/>
    <w:bookmarkEnd w:id="176"/>
    <w:p>
      <w:pPr>
        <w:ind w:left="1420" w:right="1159"/>
        <w:spacing w:after="0" w:line="271" w:lineRule="auto"/>
        <w:rPr>
          <w:sz w:val="20"/>
          <w:szCs w:val="20"/>
          <w:color w:val="auto"/>
        </w:rPr>
      </w:pPr>
      <w:r>
        <w:rPr>
          <w:rFonts w:ascii="Times New Roman" w:cs="Times New Roman" w:eastAsia="Times New Roman" w:hAnsi="Times New Roman"/>
          <w:sz w:val="17"/>
          <w:szCs w:val="17"/>
          <w:color w:val="auto"/>
        </w:rPr>
        <w:t>commonwealths contiguous to such states and commonwealths, and (v) the United States of America.</w:t>
      </w:r>
    </w:p>
    <w:p>
      <w:pPr>
        <w:spacing w:after="0" w:line="31" w:lineRule="exact"/>
        <w:rPr>
          <w:sz w:val="20"/>
          <w:szCs w:val="20"/>
          <w:color w:val="auto"/>
        </w:rPr>
      </w:pPr>
    </w:p>
    <w:p>
      <w:pPr>
        <w:jc w:val="both"/>
        <w:ind w:left="900" w:right="1179" w:firstLine="516"/>
        <w:spacing w:after="0" w:line="248" w:lineRule="auto"/>
        <w:rPr>
          <w:sz w:val="20"/>
          <w:szCs w:val="20"/>
          <w:color w:val="auto"/>
        </w:rPr>
      </w:pPr>
      <w:r>
        <w:rPr>
          <w:rFonts w:ascii="Times New Roman" w:cs="Times New Roman" w:eastAsia="Times New Roman" w:hAnsi="Times New Roman"/>
          <w:sz w:val="17"/>
          <w:szCs w:val="17"/>
          <w:color w:val="auto"/>
        </w:rPr>
        <w:t>12.Applicable Law. This Agreement shall be governed by the laws of the Commonwealth of Kentucky, the location of the Company’s principal office, without giving effect to any choice of law rules that would cause the laws of any jurisdiction other than the Commonwealth of Kentucky to be applied.</w:t>
      </w:r>
    </w:p>
    <w:p>
      <w:pPr>
        <w:spacing w:after="0" w:line="51" w:lineRule="exact"/>
        <w:rPr>
          <w:sz w:val="20"/>
          <w:szCs w:val="20"/>
          <w:color w:val="auto"/>
        </w:rPr>
      </w:pPr>
    </w:p>
    <w:p>
      <w:pPr>
        <w:jc w:val="both"/>
        <w:ind w:left="900" w:right="1179" w:firstLine="516"/>
        <w:spacing w:after="0" w:line="248" w:lineRule="auto"/>
        <w:rPr>
          <w:sz w:val="20"/>
          <w:szCs w:val="20"/>
          <w:color w:val="auto"/>
        </w:rPr>
      </w:pPr>
      <w:r>
        <w:rPr>
          <w:rFonts w:ascii="Times New Roman" w:cs="Times New Roman" w:eastAsia="Times New Roman" w:hAnsi="Times New Roman"/>
          <w:sz w:val="17"/>
          <w:szCs w:val="17"/>
          <w:color w:val="auto"/>
        </w:rPr>
        <w:t>13.Modification; Waiver. This Agreement may be modified only in writing, expressly referencing this Agreement and Executive by name and signed by Executive and a Company representative (other than Executive). Any waiver of any breach of this Agreement must be in writing and no waiver of any breach shall be deemed a waiver of any subsequent breach.</w:t>
      </w:r>
    </w:p>
    <w:p>
      <w:pPr>
        <w:spacing w:after="0" w:line="51" w:lineRule="exact"/>
        <w:rPr>
          <w:sz w:val="20"/>
          <w:szCs w:val="20"/>
          <w:color w:val="auto"/>
        </w:rPr>
      </w:pPr>
    </w:p>
    <w:p>
      <w:pPr>
        <w:jc w:val="both"/>
        <w:ind w:left="900" w:right="1159" w:firstLine="516"/>
        <w:spacing w:after="0" w:line="241" w:lineRule="auto"/>
        <w:rPr>
          <w:sz w:val="20"/>
          <w:szCs w:val="20"/>
          <w:color w:val="auto"/>
        </w:rPr>
      </w:pPr>
      <w:r>
        <w:rPr>
          <w:rFonts w:ascii="Times New Roman" w:cs="Times New Roman" w:eastAsia="Times New Roman" w:hAnsi="Times New Roman"/>
          <w:sz w:val="17"/>
          <w:szCs w:val="17"/>
          <w:color w:val="auto"/>
        </w:rPr>
        <w:t>14.Entire Agreement. This Agreement contains the entire agreement with respect to the subject matter hereof and supersedes all prior and contemporaneous agreements, representations, and understandings of the parties, including but not limited to any prior employment agreement. Notwithstanding the foregoing, the restrictive covenants set forth herein are in addition to, and not in substitution or in lieu of, any similar covenants that may be applicable to Executive pursuant to any non-compete, employment, consulting, stock option or any other contract or agreement entered into by Executive prior to, contemporaneously with or after the entry into this Agreement each of which shall remain in full force and effect, run parallel with this Agreement and continue in addition to those contained in this Agreement.</w:t>
      </w:r>
    </w:p>
    <w:p>
      <w:pPr>
        <w:spacing w:after="0" w:line="59" w:lineRule="exact"/>
        <w:rPr>
          <w:sz w:val="20"/>
          <w:szCs w:val="20"/>
          <w:color w:val="auto"/>
        </w:rPr>
      </w:pPr>
    </w:p>
    <w:p>
      <w:pPr>
        <w:jc w:val="both"/>
        <w:ind w:left="900" w:right="1159" w:firstLine="516"/>
        <w:spacing w:after="0" w:line="241" w:lineRule="auto"/>
        <w:rPr>
          <w:sz w:val="20"/>
          <w:szCs w:val="20"/>
          <w:color w:val="auto"/>
        </w:rPr>
      </w:pPr>
      <w:r>
        <w:rPr>
          <w:rFonts w:ascii="Times New Roman" w:cs="Times New Roman" w:eastAsia="Times New Roman" w:hAnsi="Times New Roman"/>
          <w:sz w:val="17"/>
          <w:szCs w:val="17"/>
          <w:color w:val="auto"/>
        </w:rPr>
        <w:t>15.No Prior Agreement. Executive hereby represents and warrants to the Company that the execution of this Agreement by Executive and Executive’s employment hereunder and performance of duties hereunder will not conflict with or violate or breach any agreement to which Executive is bound or subject. Executive agrees to indemnify and hold harmless the Company and each other Affiliated Company for all claims, actions, damages, losses, liabilities and costs and expenses (including reasonable attorneys’ fees) incurred or suffered by the Company or any other Affiliated Company as a result of an actual or alleged breach of the preceding sentence. In connection with Executive’s employment, Executive agrees not to use any confidential or proprietary information Executive may have obtained in connection with any prior employment.</w:t>
      </w:r>
    </w:p>
    <w:p>
      <w:pPr>
        <w:spacing w:after="0" w:line="59" w:lineRule="exact"/>
        <w:rPr>
          <w:sz w:val="20"/>
          <w:szCs w:val="20"/>
          <w:color w:val="auto"/>
        </w:rPr>
      </w:pPr>
    </w:p>
    <w:p>
      <w:pPr>
        <w:jc w:val="both"/>
        <w:ind w:left="900" w:right="1159" w:firstLine="516"/>
        <w:spacing w:after="0" w:line="242" w:lineRule="auto"/>
        <w:rPr>
          <w:sz w:val="20"/>
          <w:szCs w:val="20"/>
          <w:color w:val="auto"/>
        </w:rPr>
      </w:pPr>
      <w:r>
        <w:rPr>
          <w:rFonts w:ascii="Times New Roman" w:cs="Times New Roman" w:eastAsia="Times New Roman" w:hAnsi="Times New Roman"/>
          <w:sz w:val="17"/>
          <w:szCs w:val="17"/>
          <w:color w:val="auto"/>
        </w:rPr>
        <w:t>16.Notices. All notices, requests, demands and other communications required or permitted to be given or made under this Agreement shall be in writing and shall be deemed to have been given on the date of delivery personally or upon deposit in the United States mail postage prepaid by registered or certified mail, return receipt requested, to the appropriate party or parties at the addresses shown (or at such other address as shall hereafter be designated by any party to the other parties by notice given in accordance with this Section 16). Notices addressed to the Company shall be sent to the attention of the General Counsel.</w:t>
      </w:r>
    </w:p>
    <w:p>
      <w:pPr>
        <w:spacing w:after="0" w:line="59" w:lineRule="exact"/>
        <w:rPr>
          <w:sz w:val="20"/>
          <w:szCs w:val="20"/>
          <w:color w:val="auto"/>
        </w:rPr>
      </w:pPr>
    </w:p>
    <w:p>
      <w:pPr>
        <w:ind w:left="1920" w:hanging="509"/>
        <w:spacing w:after="0"/>
        <w:tabs>
          <w:tab w:leader="none" w:pos="19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409A of the Code.</w:t>
      </w:r>
    </w:p>
    <w:p>
      <w:pPr>
        <w:spacing w:after="0" w:line="83" w:lineRule="exact"/>
        <w:rPr>
          <w:rFonts w:ascii="Times New Roman" w:cs="Times New Roman" w:eastAsia="Times New Roman" w:hAnsi="Times New Roman"/>
          <w:sz w:val="17"/>
          <w:szCs w:val="17"/>
          <w:color w:val="auto"/>
        </w:rPr>
      </w:pPr>
    </w:p>
    <w:p>
      <w:pPr>
        <w:jc w:val="both"/>
        <w:ind w:left="1420" w:right="1159" w:firstLine="507"/>
        <w:spacing w:after="0" w:line="242" w:lineRule="auto"/>
        <w:tabs>
          <w:tab w:leader="none" w:pos="2292" w:val="left"/>
        </w:tabs>
        <w:numPr>
          <w:ilvl w:val="1"/>
          <w:numId w:val="8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All payments under this Agreement are intended to be exempt from, or comply with, the requirements of Section 409A of the Code, to the extent applicable, and this Agreement shall be interpreted to avoid any penalty sanctions under Section 409A of the Code. Accordingly, all provisions herein, or incorporated by reference, shall be construed and interpreted to comply with Section 409A of the Code (if applicable) and, if necessary, any such provision shall be deemed amended to comply with Section 409A of the Code and regulations</w:t>
      </w:r>
    </w:p>
    <w:p>
      <w:pPr>
        <w:spacing w:after="0" w:line="17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497205</wp:posOffset>
            </wp:positionV>
            <wp:extent cx="5603875" cy="3873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0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418" w:right="1440" w:bottom="1440" w:gutter="0" w:footer="0" w:header="0"/>
        </w:sectPr>
      </w:pPr>
    </w:p>
    <w:bookmarkStart w:id="177" w:name="page178"/>
    <w:bookmarkEnd w:id="177"/>
    <w:p>
      <w:pPr>
        <w:jc w:val="both"/>
        <w:ind w:left="1420" w:right="1179"/>
        <w:spacing w:after="0" w:line="245" w:lineRule="auto"/>
        <w:rPr>
          <w:sz w:val="20"/>
          <w:szCs w:val="20"/>
          <w:color w:val="auto"/>
        </w:rPr>
      </w:pPr>
      <w:r>
        <w:rPr>
          <w:rFonts w:ascii="Times New Roman" w:cs="Times New Roman" w:eastAsia="Times New Roman" w:hAnsi="Times New Roman"/>
          <w:sz w:val="17"/>
          <w:szCs w:val="17"/>
          <w:color w:val="auto"/>
        </w:rPr>
        <w:t>thereunder. All payments to be made upon a termination of employment under this Agreement that are deferred compensation for purposes of Section 409A of the Code may only be made upon a “separation from service” under Section 409A of the Code. For purposes of Section 409A of the Code, each payment made under this Agreement shall be treated as a separate payment.</w:t>
      </w:r>
    </w:p>
    <w:p>
      <w:pPr>
        <w:spacing w:after="0" w:line="55" w:lineRule="exact"/>
        <w:rPr>
          <w:sz w:val="20"/>
          <w:szCs w:val="20"/>
          <w:color w:val="auto"/>
        </w:rPr>
      </w:pPr>
    </w:p>
    <w:p>
      <w:pPr>
        <w:jc w:val="both"/>
        <w:ind w:left="1420" w:right="1159" w:firstLine="507"/>
        <w:spacing w:after="0" w:line="241" w:lineRule="auto"/>
        <w:tabs>
          <w:tab w:leader="none" w:pos="2292" w:val="left"/>
        </w:tabs>
        <w:numPr>
          <w:ilvl w:val="1"/>
          <w:numId w:val="8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Six Month Delay Rule</w:t>
      </w:r>
      <w:r>
        <w:rPr>
          <w:rFonts w:ascii="Times New Roman" w:cs="Times New Roman" w:eastAsia="Times New Roman" w:hAnsi="Times New Roman"/>
          <w:sz w:val="17"/>
          <w:szCs w:val="17"/>
          <w:color w:val="auto"/>
        </w:rPr>
        <w:t>. To the maximum extent permitted under Section 409A of the Code, the benefits payable under this Agreement are intended to comply with the “short-term deferral exception” under Treas. Reg. §1.409A-1(b)(4), and any remaining amount is intended to comply with the “separation pay exception” under Treas. Reg. §1.409A-1(b)(9)(iii); provided, however, if any amount payable to Executive during the six</w:t>
      </w:r>
    </w:p>
    <w:p>
      <w:pPr>
        <w:spacing w:after="0" w:line="3" w:lineRule="exact"/>
        <w:rPr>
          <w:rFonts w:ascii="Times New Roman" w:cs="Times New Roman" w:eastAsia="Times New Roman" w:hAnsi="Times New Roman"/>
          <w:sz w:val="17"/>
          <w:szCs w:val="17"/>
          <w:color w:val="010000"/>
        </w:rPr>
      </w:pPr>
    </w:p>
    <w:p>
      <w:pPr>
        <w:jc w:val="both"/>
        <w:ind w:left="1420" w:right="1159" w:hanging="9"/>
        <w:spacing w:after="0"/>
        <w:tabs>
          <w:tab w:leader="none" w:pos="1701"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 period following Executive’s separation from service does not qualify within either of the foregoing exceptions and constitutes deferred compensation subject to the requirements of Section 409A of the Code, then such amount(s) shall hereinafter be referred to as the “Excess Amount.” If at the time of Executive’s separation from service, the Company’s (or any entity required to be aggregated with the Company under Section 409A of the Code) stock is publicly-traded on an established securities market or otherwise and Executive is a “specified employee” (as defined in Section 409A of the Code), then the Company shall postpone the commencement of the payment of the portion of the Excess Amount that is payable within the six (6) month period following Executive’s separation from service with the Company for six (6) months following Executive’s separation from service with the Company. The delayed Excess Amount shall be paid in a lump sum to Executive on the first day following the date that is six (6) months following Executive’s separation from service with the Company. If Executive dies during such six (6) month period and prior to the payment of the portion of the Excess Amount that is required to be delayed on account of Section 409A of the Code, such Excess Amount shall be paid to the personal representative of Executive’s estate on the day after Executive’s death. Any remaining payments not so delayed shall continue to be paid pursuant to the payment schedule set forth herein.</w:t>
      </w:r>
    </w:p>
    <w:p>
      <w:pPr>
        <w:spacing w:after="0" w:line="224" w:lineRule="exact"/>
        <w:rPr>
          <w:rFonts w:ascii="Times New Roman" w:cs="Times New Roman" w:eastAsia="Times New Roman" w:hAnsi="Times New Roman"/>
          <w:sz w:val="17"/>
          <w:szCs w:val="17"/>
          <w:color w:val="auto"/>
        </w:rPr>
      </w:pPr>
    </w:p>
    <w:p>
      <w:pPr>
        <w:jc w:val="both"/>
        <w:ind w:left="1420" w:right="1159" w:firstLine="507"/>
        <w:spacing w:after="0" w:line="242" w:lineRule="auto"/>
        <w:tabs>
          <w:tab w:leader="none" w:pos="2292" w:val="left"/>
        </w:tabs>
        <w:numPr>
          <w:ilvl w:val="1"/>
          <w:numId w:val="9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Special Rule for Reimbursements</w:t>
      </w:r>
      <w:r>
        <w:rPr>
          <w:rFonts w:ascii="Times New Roman" w:cs="Times New Roman" w:eastAsia="Times New Roman" w:hAnsi="Times New Roman"/>
          <w:sz w:val="17"/>
          <w:szCs w:val="17"/>
          <w:color w:val="auto"/>
        </w:rPr>
        <w:t>. Any reimbursements provided under this Agreement shall be made or provided in accordance with the requirements of Section 409A of the Code, including, where applicable, the requirement that (i) the amount of expenses eligible for reimbursement during a calendar year may not affect the expenses eligible for reimbursement in any other calendar year, (ii) the reimbursement of an eligible expense will be made on or before the last day of the taxable year following the year in which the expense is incurred, and (iii) the right to reimbursement is not subject to liquidation or exchange for another benefit.</w:t>
      </w:r>
    </w:p>
    <w:p>
      <w:pPr>
        <w:spacing w:after="0" w:line="55" w:lineRule="exact"/>
        <w:rPr>
          <w:rFonts w:ascii="Times New Roman" w:cs="Times New Roman" w:eastAsia="Times New Roman" w:hAnsi="Times New Roman"/>
          <w:sz w:val="17"/>
          <w:szCs w:val="17"/>
          <w:color w:val="010000"/>
        </w:rPr>
      </w:pPr>
    </w:p>
    <w:p>
      <w:pPr>
        <w:jc w:val="both"/>
        <w:ind w:left="1420" w:right="1159" w:firstLine="507"/>
        <w:spacing w:after="0" w:line="242" w:lineRule="auto"/>
        <w:tabs>
          <w:tab w:leader="none" w:pos="2292" w:val="left"/>
        </w:tabs>
        <w:numPr>
          <w:ilvl w:val="1"/>
          <w:numId w:val="9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No Guaranty of Compliance with Section 409A</w:t>
      </w:r>
      <w:r>
        <w:rPr>
          <w:rFonts w:ascii="Times New Roman" w:cs="Times New Roman" w:eastAsia="Times New Roman" w:hAnsi="Times New Roman"/>
          <w:sz w:val="17"/>
          <w:szCs w:val="17"/>
          <w:color w:val="auto"/>
        </w:rPr>
        <w:t>. While the payments and benefits provided hereunder are intended to be structured in a manner to avoid the implication of any penalty taxes under Section 409A of the Code, in no event whatsoever shall the Company or any other Affiliated Company be liable for any additional tax, interest, or penalties that may be imposed on Executive as a result of Section 409A of the Code or any damages for failing to comply with Section 409A of the Code (other than for withholding obligations or other obligations applicable to employers, if any, under Section 409A of the Code).</w:t>
      </w:r>
    </w:p>
    <w:p>
      <w:pPr>
        <w:spacing w:after="0" w:line="253" w:lineRule="exact"/>
        <w:rPr>
          <w:sz w:val="20"/>
          <w:szCs w:val="20"/>
          <w:color w:val="auto"/>
        </w:rPr>
      </w:pPr>
    </w:p>
    <w:p>
      <w:pPr>
        <w:jc w:val="both"/>
        <w:ind w:left="900" w:right="1159" w:firstLine="516"/>
        <w:spacing w:after="0" w:line="259" w:lineRule="auto"/>
        <w:rPr>
          <w:sz w:val="20"/>
          <w:szCs w:val="20"/>
          <w:color w:val="auto"/>
        </w:rPr>
      </w:pPr>
      <w:r>
        <w:rPr>
          <w:rFonts w:ascii="Times New Roman" w:cs="Times New Roman" w:eastAsia="Times New Roman" w:hAnsi="Times New Roman"/>
          <w:sz w:val="17"/>
          <w:szCs w:val="17"/>
          <w:color w:val="auto"/>
        </w:rPr>
        <w:t>18.280G. If any payment, benefit or distribution of any type to or for the benefit of Executive, whether paid or payable, provided or to be provided, or distributed or distributable pursuant</w:t>
      </w:r>
    </w:p>
    <w:p>
      <w:pPr>
        <w:spacing w:after="0" w:line="36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497205</wp:posOffset>
            </wp:positionV>
            <wp:extent cx="5603875" cy="3873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1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419" w:right="1440" w:bottom="1440" w:gutter="0" w:footer="0" w:header="0"/>
        </w:sectPr>
      </w:pPr>
    </w:p>
    <w:bookmarkStart w:id="178" w:name="page179"/>
    <w:bookmarkEnd w:id="178"/>
    <w:p>
      <w:pPr>
        <w:jc w:val="both"/>
        <w:ind w:left="900" w:right="1159"/>
        <w:spacing w:after="0" w:line="238" w:lineRule="auto"/>
        <w:rPr>
          <w:sz w:val="20"/>
          <w:szCs w:val="20"/>
          <w:color w:val="auto"/>
        </w:rPr>
      </w:pPr>
      <w:r>
        <w:rPr>
          <w:rFonts w:ascii="Times New Roman" w:cs="Times New Roman" w:eastAsia="Times New Roman" w:hAnsi="Times New Roman"/>
          <w:sz w:val="17"/>
          <w:szCs w:val="17"/>
          <w:color w:val="auto"/>
        </w:rPr>
        <w:t>to the terms of this Agreement or otherwise by the Company or any of its affiliates (collectively, the “Parachute Payments”) would subject Executive to the excise tax imposed under Section 4999 of the Code (the “Excise Tax”), the Parachute Payments shall be reduced so that the maximum amount of the Parachute Payments (after reduction) shall be One Dollar ($1.00) less than the amount which would cause the Parachute Payments to be subject to the Excise Tax; provided that the Parachute Payments shall only be reduced to the extent the after-tax value of amounts received by Executive after application of the above reduction would exceed the after-tax value of the amounts received without application of such reduction. For this purpose, the after-tax value of an amount shall be determined taking into account all federal, state, and local income, employment and excise taxes applicable to such amount. In accordance with the Section 280G regulations, any reasonable compensation for services after the date of the change in ownership or control (which shall include refraining from performing services under a noncompete and/or nonsolicit agreement or similar agreement) and any such reasonable compensation shall be excluded from the determination of Parachute Payments. Unless Executive shall have given prior written notice to the Company to effectuate a reduction in the Parachute Payments, if such a reduction is required, any such notice consistent with the requirements of Section 409A of the Code to avoid the imputation of any tax, penalty or interest thereunder, the Company shall reduce or eliminate the Parachute Payments by first reducing or eliminating any cash severance benefits (with the Parachute Payments to be made furthest in the future being reduced first), then by reducing or eliminating any accelerated vesting of stock options or similar awards, then by reducing or eliminating any accelerated vesting of restricted stock or similar awards, then by reducing or eliminating any other remaining Parachute Payments; provided, that no such reduction or elimination shall apply to any non-qualified deferred compensation amounts (within the meaning of Section 409A of the Code) to the extent such reduction or elimination would accelerate or defer the timing of such payment in a manner that does not comply with Section 409A of the Code.</w:t>
      </w:r>
    </w:p>
    <w:p>
      <w:pPr>
        <w:spacing w:after="0" w:line="72" w:lineRule="exact"/>
        <w:rPr>
          <w:sz w:val="20"/>
          <w:szCs w:val="20"/>
          <w:color w:val="auto"/>
        </w:rPr>
      </w:pPr>
    </w:p>
    <w:p>
      <w:pPr>
        <w:jc w:val="both"/>
        <w:ind w:left="900" w:right="1159" w:firstLine="516"/>
        <w:spacing w:after="0" w:line="244" w:lineRule="auto"/>
        <w:rPr>
          <w:sz w:val="20"/>
          <w:szCs w:val="20"/>
          <w:color w:val="auto"/>
        </w:rPr>
      </w:pPr>
      <w:r>
        <w:rPr>
          <w:rFonts w:ascii="Times New Roman" w:cs="Times New Roman" w:eastAsia="Times New Roman" w:hAnsi="Times New Roman"/>
          <w:sz w:val="17"/>
          <w:szCs w:val="17"/>
          <w:color w:val="auto"/>
        </w:rPr>
        <w:t>19.Counterparts and Electronic Signatures. This Agreement may be executed in multiple counterparts or counterpart signature pages, each of which shall constitute an original agreement, but all of which shall constitute only one agreement. The exchange of copies of this Agreement or signature pages by facsimile or other electronic transmission shall constitute effective execution and delivery of this Agreement as to the parties and shall be binding and with the same force and effect as the original Agreement for all purposes.</w:t>
      </w:r>
    </w:p>
    <w:p>
      <w:pPr>
        <w:spacing w:after="0" w:line="53" w:lineRule="exact"/>
        <w:rPr>
          <w:sz w:val="20"/>
          <w:szCs w:val="20"/>
          <w:color w:val="auto"/>
        </w:rPr>
      </w:pPr>
    </w:p>
    <w:p>
      <w:pPr>
        <w:jc w:val="both"/>
        <w:ind w:left="900" w:right="1159" w:firstLine="516"/>
        <w:spacing w:after="0" w:line="245" w:lineRule="auto"/>
        <w:rPr>
          <w:sz w:val="20"/>
          <w:szCs w:val="20"/>
          <w:color w:val="auto"/>
        </w:rPr>
      </w:pPr>
      <w:r>
        <w:rPr>
          <w:rFonts w:ascii="Times New Roman" w:cs="Times New Roman" w:eastAsia="Times New Roman" w:hAnsi="Times New Roman"/>
          <w:sz w:val="17"/>
          <w:szCs w:val="17"/>
          <w:color w:val="auto"/>
        </w:rPr>
        <w:t>20.Assignment. The Company may assign this Agreement to any Affiliated Company, or to any successor or assign (whether direct or indirect, by purchase, merger, consolidation, or otherwise). This Agreement shall inure to the benefit of the Company and permitted successors and assigns. Executive may not assign this Agreement or any part hereof. Any purported assignment by Executive shall be null and void from the initial date of purported assignment.</w:t>
      </w:r>
    </w:p>
    <w:p>
      <w:pPr>
        <w:spacing w:after="0" w:line="55" w:lineRule="exact"/>
        <w:rPr>
          <w:sz w:val="20"/>
          <w:szCs w:val="20"/>
          <w:color w:val="auto"/>
        </w:rPr>
      </w:pPr>
    </w:p>
    <w:p>
      <w:pPr>
        <w:jc w:val="both"/>
        <w:ind w:left="900" w:right="1159" w:firstLine="516"/>
        <w:spacing w:after="0" w:line="271" w:lineRule="auto"/>
        <w:rPr>
          <w:sz w:val="20"/>
          <w:szCs w:val="20"/>
          <w:color w:val="auto"/>
        </w:rPr>
      </w:pPr>
      <w:r>
        <w:rPr>
          <w:rFonts w:ascii="Times New Roman" w:cs="Times New Roman" w:eastAsia="Times New Roman" w:hAnsi="Times New Roman"/>
          <w:sz w:val="17"/>
          <w:szCs w:val="17"/>
          <w:color w:val="auto"/>
        </w:rPr>
        <w:t>21.Executive’s Attorney’s Fees. The Company shall pay Executive’s reasonable attorney’s fees incurred in connection with this Agreement, not to exceed $5,000.</w:t>
      </w:r>
    </w:p>
    <w:p>
      <w:pPr>
        <w:spacing w:after="0" w:line="200" w:lineRule="exact"/>
        <w:rPr>
          <w:sz w:val="20"/>
          <w:szCs w:val="20"/>
          <w:color w:val="auto"/>
        </w:rPr>
      </w:pPr>
    </w:p>
    <w:p>
      <w:pPr>
        <w:spacing w:after="0" w:line="3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[Signature Page Immediately Follows]</w:t>
      </w:r>
    </w:p>
    <w:p>
      <w:pPr>
        <w:spacing w:after="0" w:line="20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497205</wp:posOffset>
            </wp:positionV>
            <wp:extent cx="5603875" cy="3873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1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418" w:right="1440" w:bottom="1440" w:gutter="0" w:footer="0" w:header="0"/>
        </w:sectPr>
      </w:pPr>
    </w:p>
    <w:bookmarkStart w:id="179" w:name="page180"/>
    <w:bookmarkEnd w:id="179"/>
    <w:p>
      <w:pPr>
        <w:ind w:left="900" w:right="1239" w:firstLine="515"/>
        <w:spacing w:after="0" w:line="271" w:lineRule="auto"/>
        <w:rPr>
          <w:sz w:val="20"/>
          <w:szCs w:val="20"/>
          <w:color w:val="auto"/>
        </w:rPr>
      </w:pPr>
      <w:r>
        <w:rPr>
          <w:rFonts w:ascii="Times New Roman" w:cs="Times New Roman" w:eastAsia="Times New Roman" w:hAnsi="Times New Roman"/>
          <w:sz w:val="17"/>
          <w:szCs w:val="17"/>
          <w:color w:val="auto"/>
        </w:rPr>
        <w:t>IN WITNESS WHEREOF, the parties hereto have executed this Employment Agreement on the date first set forth above.</w:t>
      </w:r>
    </w:p>
    <w:p>
      <w:pPr>
        <w:spacing w:after="0" w:line="33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u w:val="single" w:color="auto"/>
          <w:color w:val="auto"/>
        </w:rPr>
        <w:t>/s/ Scott A. Greenwell</w:t>
      </w:r>
    </w:p>
    <w:p>
      <w:pPr>
        <w:spacing w:after="0" w:line="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900"/>
        <w:spacing w:after="0"/>
        <w:tabs>
          <w:tab w:leader="none" w:pos="3280" w:val="left"/>
        </w:tabs>
        <w:rPr>
          <w:sz w:val="20"/>
          <w:szCs w:val="20"/>
          <w:color w:val="auto"/>
        </w:rPr>
      </w:pPr>
      <w:r>
        <w:rPr>
          <w:rFonts w:ascii="Times New Roman" w:cs="Times New Roman" w:eastAsia="Times New Roman" w:hAnsi="Times New Roman"/>
          <w:sz w:val="17"/>
          <w:szCs w:val="17"/>
          <w:color w:val="auto"/>
        </w:rPr>
        <w:t xml:space="preserve">Printed Name: </w:t>
      </w:r>
      <w:r>
        <w:rPr>
          <w:rFonts w:ascii="Times New Roman" w:cs="Times New Roman" w:eastAsia="Times New Roman" w:hAnsi="Times New Roman"/>
          <w:sz w:val="15"/>
          <w:szCs w:val="15"/>
          <w:u w:val="single" w:color="auto"/>
          <w:color w:val="auto"/>
        </w:rPr>
        <w:t>Scott A. Greenwell</w:t>
      </w:r>
      <w:r>
        <w:rPr>
          <w:sz w:val="20"/>
          <w:szCs w:val="20"/>
          <w:color w:val="auto"/>
        </w:rPr>
        <w:tab/>
      </w:r>
      <w:r>
        <w:rPr>
          <w:rFonts w:ascii="Times New Roman" w:cs="Times New Roman" w:eastAsia="Times New Roman" w:hAnsi="Times New Roman"/>
          <w:sz w:val="15"/>
          <w:szCs w:val="15"/>
          <w:u w:val="single" w:color="auto"/>
          <w:color w:val="auto"/>
        </w:rPr>
        <w:t>6/16/2025</w:t>
      </w:r>
    </w:p>
    <w:p>
      <w:pPr>
        <w:spacing w:after="0" w:line="3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u w:val="single" w:color="auto"/>
          <w:color w:val="auto"/>
        </w:rPr>
        <w:t>Address for Notice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318770</wp:posOffset>
            </wp:positionV>
            <wp:extent cx="1061085" cy="698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12">
                      <a:extLst>
                        <a:ext uri="{28A0092B-C50C-407E-A947-70E740481C1C}"/>
                      </a:extLst>
                    </a:blip>
                    <a:srcRect/>
                    <a:stretch>
                      <a:fillRect/>
                    </a:stretch>
                  </pic:blipFill>
                  <pic:spPr bwMode="auto">
                    <a:xfrm>
                      <a:off x="0" y="0"/>
                      <a:ext cx="1061085" cy="6985"/>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536575</wp:posOffset>
            </wp:positionV>
            <wp:extent cx="1061085" cy="698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13">
                      <a:extLst>
                        <a:ext uri="{28A0092B-C50C-407E-A947-70E740481C1C}"/>
                      </a:extLst>
                    </a:blip>
                    <a:srcRect/>
                    <a:stretch>
                      <a:fillRect/>
                    </a:stretch>
                  </pic:blipFill>
                  <pic:spPr bwMode="auto">
                    <a:xfrm>
                      <a:off x="0" y="0"/>
                      <a:ext cx="106108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BrightSpring Health Services &amp; PharMerica Corporation</w:t>
      </w:r>
    </w:p>
    <w:p>
      <w:pPr>
        <w:spacing w:after="0" w:line="3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Lisa A. Nalley</w:t>
      </w:r>
    </w:p>
    <w:p>
      <w:pPr>
        <w:spacing w:after="0" w:line="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 xml:space="preserve">Printed: </w:t>
      </w:r>
      <w:r>
        <w:rPr>
          <w:rFonts w:ascii="Times New Roman" w:cs="Times New Roman" w:eastAsia="Times New Roman" w:hAnsi="Times New Roman"/>
          <w:sz w:val="17"/>
          <w:szCs w:val="17"/>
          <w:u w:val="single" w:color="auto"/>
          <w:color w:val="auto"/>
        </w:rPr>
        <w:t>Lisa A. Nalley</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 xml:space="preserve">Its: </w:t>
      </w:r>
      <w:r>
        <w:rPr>
          <w:rFonts w:ascii="Times New Roman" w:cs="Times New Roman" w:eastAsia="Times New Roman" w:hAnsi="Times New Roman"/>
          <w:sz w:val="17"/>
          <w:szCs w:val="17"/>
          <w:u w:val="single" w:color="auto"/>
          <w:color w:val="auto"/>
        </w:rPr>
        <w:t>Chief of Staff &amp; SVP Human Resources</w:t>
      </w:r>
    </w:p>
    <w:p>
      <w:pPr>
        <w:spacing w:after="0" w:line="200" w:lineRule="exact"/>
        <w:rPr>
          <w:sz w:val="20"/>
          <w:szCs w:val="20"/>
          <w:color w:val="auto"/>
        </w:rPr>
      </w:pPr>
    </w:p>
    <w:p>
      <w:pPr>
        <w:spacing w:after="0" w:line="3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u w:val="single" w:color="auto"/>
          <w:color w:val="auto"/>
        </w:rPr>
        <w:t>Address for Notice</w:t>
      </w:r>
      <w:r>
        <w:rPr>
          <w:rFonts w:ascii="Times New Roman" w:cs="Times New Roman" w:eastAsia="Times New Roman" w:hAnsi="Times New Roman"/>
          <w:sz w:val="17"/>
          <w:szCs w:val="17"/>
          <w:color w:val="auto"/>
        </w:rPr>
        <w:t>:</w:t>
      </w:r>
    </w:p>
    <w:p>
      <w:pPr>
        <w:spacing w:after="0" w:line="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BrightSpring Health Services, Inc.</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805 N. Whittington Parkway – Suite 400 Louisville,</w:t>
      </w:r>
    </w:p>
    <w:p>
      <w:pPr>
        <w:ind w:left="900"/>
        <w:spacing w:after="0" w:line="237" w:lineRule="auto"/>
        <w:rPr>
          <w:sz w:val="20"/>
          <w:szCs w:val="20"/>
          <w:color w:val="auto"/>
        </w:rPr>
      </w:pPr>
      <w:r>
        <w:rPr>
          <w:rFonts w:ascii="Times New Roman" w:cs="Times New Roman" w:eastAsia="Times New Roman" w:hAnsi="Times New Roman"/>
          <w:sz w:val="17"/>
          <w:szCs w:val="17"/>
          <w:color w:val="auto"/>
        </w:rPr>
        <w:t>KY 40222</w:t>
      </w:r>
    </w:p>
    <w:p>
      <w:pPr>
        <w:ind w:left="900"/>
        <w:spacing w:after="0"/>
        <w:rPr>
          <w:sz w:val="20"/>
          <w:szCs w:val="20"/>
          <w:color w:val="auto"/>
        </w:rPr>
      </w:pPr>
      <w:r>
        <w:rPr>
          <w:rFonts w:ascii="Times New Roman" w:cs="Times New Roman" w:eastAsia="Times New Roman" w:hAnsi="Times New Roman"/>
          <w:sz w:val="17"/>
          <w:szCs w:val="17"/>
          <w:color w:val="auto"/>
        </w:rPr>
        <w:t>Attn: General Counsel</w:t>
      </w:r>
    </w:p>
    <w:p>
      <w:pPr>
        <w:spacing w:after="0" w:line="18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497205</wp:posOffset>
            </wp:positionV>
            <wp:extent cx="5603875" cy="3873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1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343" w:right="1440" w:bottom="1440" w:gutter="0" w:footer="0" w:header="0"/>
        </w:sectPr>
      </w:pPr>
    </w:p>
    <w:bookmarkStart w:id="180" w:name="page181"/>
    <w:bookmarkEnd w:id="180"/>
    <w:tbl>
      <w:tblPr>
        <w:tblLayout w:type="fixed"/>
        <w:tblInd w:w="120" w:type="dxa"/>
        <w:tblCellMar>
          <w:top w:w="0" w:type="dxa"/>
          <w:left w:w="0" w:type="dxa"/>
          <w:bottom w:w="0" w:type="dxa"/>
          <w:right w:w="0" w:type="dxa"/>
        </w:tblCellMar>
      </w:tblPr>
      <w:tr>
        <w:trPr>
          <w:trHeight w:val="208"/>
        </w:trPr>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100" w:type="dxa"/>
            <w:vAlign w:val="bottom"/>
            <w:gridSpan w:val="2"/>
          </w:tcPr>
          <w:p>
            <w:pPr>
              <w:ind w:left="1240"/>
              <w:spacing w:after="0"/>
              <w:rPr>
                <w:sz w:val="20"/>
                <w:szCs w:val="20"/>
                <w:color w:val="auto"/>
              </w:rPr>
            </w:pPr>
            <w:r>
              <w:rPr>
                <w:rFonts w:ascii="Times New Roman" w:cs="Times New Roman" w:eastAsia="Times New Roman" w:hAnsi="Times New Roman"/>
                <w:sz w:val="16"/>
                <w:szCs w:val="16"/>
                <w:b w:val="1"/>
                <w:bCs w:val="1"/>
                <w:color w:val="auto"/>
              </w:rPr>
              <w:t>Exhibit 21.1</w:t>
            </w:r>
          </w:p>
        </w:tc>
        <w:tc>
          <w:tcPr>
            <w:tcW w:w="0" w:type="dxa"/>
            <w:vAlign w:val="bottom"/>
          </w:tcPr>
          <w:p>
            <w:pPr>
              <w:spacing w:after="0"/>
              <w:rPr>
                <w:sz w:val="1"/>
                <w:szCs w:val="1"/>
                <w:color w:val="auto"/>
              </w:rPr>
            </w:pPr>
          </w:p>
        </w:tc>
      </w:tr>
      <w:tr>
        <w:trPr>
          <w:trHeight w:val="499"/>
        </w:trPr>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8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rPr>
              <w:t>LIST OF SUBSIDIARIES</w:t>
            </w:r>
          </w:p>
        </w:tc>
        <w:tc>
          <w:tcPr>
            <w:tcW w:w="2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880" w:type="dxa"/>
            <w:vAlign w:val="bottom"/>
            <w:tcBorders>
              <w:bottom w:val="single" w:sz="8" w:color="auto"/>
            </w:tcBorders>
          </w:tcPr>
          <w:p>
            <w:pPr>
              <w:spacing w:after="0" w:line="156" w:lineRule="exact"/>
              <w:rPr>
                <w:sz w:val="20"/>
                <w:szCs w:val="20"/>
                <w:color w:val="auto"/>
              </w:rPr>
            </w:pPr>
            <w:r>
              <w:rPr>
                <w:rFonts w:ascii="Times New Roman" w:cs="Times New Roman" w:eastAsia="Times New Roman" w:hAnsi="Times New Roman"/>
                <w:sz w:val="14"/>
                <w:szCs w:val="14"/>
                <w:b w:val="1"/>
                <w:bCs w:val="1"/>
                <w:color w:val="auto"/>
                <w:w w:val="99"/>
              </w:rPr>
              <w:t>SUBSIDIARY</w:t>
            </w:r>
          </w:p>
        </w:tc>
        <w:tc>
          <w:tcPr>
            <w:tcW w:w="3680" w:type="dxa"/>
            <w:vAlign w:val="bottom"/>
          </w:tcPr>
          <w:p>
            <w:pPr>
              <w:spacing w:after="0"/>
              <w:rPr>
                <w:sz w:val="13"/>
                <w:szCs w:val="13"/>
                <w:color w:val="auto"/>
              </w:rPr>
            </w:pPr>
          </w:p>
        </w:tc>
        <w:tc>
          <w:tcPr>
            <w:tcW w:w="3100" w:type="dxa"/>
            <w:vAlign w:val="bottom"/>
            <w:gridSpan w:val="2"/>
          </w:tcPr>
          <w:p>
            <w:pPr>
              <w:ind w:left="520"/>
              <w:spacing w:after="0" w:line="156" w:lineRule="exact"/>
              <w:rPr>
                <w:sz w:val="20"/>
                <w:szCs w:val="20"/>
                <w:color w:val="auto"/>
              </w:rPr>
            </w:pPr>
            <w:r>
              <w:rPr>
                <w:rFonts w:ascii="Times New Roman" w:cs="Times New Roman" w:eastAsia="Times New Roman" w:hAnsi="Times New Roman"/>
                <w:sz w:val="14"/>
                <w:szCs w:val="14"/>
                <w:b w:val="1"/>
                <w:bCs w:val="1"/>
                <w:color w:val="auto"/>
              </w:rPr>
              <w:t>or Incorporation</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20" w:lineRule="exact"/>
              <w:rPr>
                <w:sz w:val="1"/>
                <w:szCs w:val="1"/>
                <w:color w:val="auto"/>
              </w:rPr>
            </w:pPr>
          </w:p>
        </w:tc>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Abode Healthcare, Inc.</w:t>
            </w:r>
          </w:p>
        </w:tc>
        <w:tc>
          <w:tcPr>
            <w:tcW w:w="2060" w:type="dxa"/>
            <w:vAlign w:val="bottom"/>
            <w:tcBorders>
              <w:bottom w:val="single" w:sz="8" w:color="auto"/>
            </w:tcBorders>
          </w:tcPr>
          <w:p>
            <w:pPr>
              <w:spacing w:after="0" w:line="20" w:lineRule="exact"/>
              <w:rPr>
                <w:sz w:val="1"/>
                <w:szCs w:val="1"/>
                <w:color w:val="auto"/>
              </w:rPr>
            </w:pPr>
          </w:p>
        </w:tc>
        <w:tc>
          <w:tcPr>
            <w:tcW w:w="10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120" w:type="dxa"/>
            <w:vAlign w:val="bottom"/>
            <w:vMerge w:val="continue"/>
          </w:tcPr>
          <w:p>
            <w:pPr>
              <w:spacing w:after="0"/>
              <w:rPr>
                <w:sz w:val="12"/>
                <w:szCs w:val="12"/>
                <w:color w:val="auto"/>
              </w:rPr>
            </w:pPr>
          </w:p>
        </w:tc>
        <w:tc>
          <w:tcPr>
            <w:tcW w:w="4560" w:type="dxa"/>
            <w:vAlign w:val="bottom"/>
            <w:gridSpan w:val="2"/>
            <w:vMerge w:val="continue"/>
          </w:tcPr>
          <w:p>
            <w:pPr>
              <w:spacing w:after="0"/>
              <w:rPr>
                <w:sz w:val="12"/>
                <w:szCs w:val="12"/>
                <w:color w:val="auto"/>
              </w:rPr>
            </w:pPr>
          </w:p>
        </w:tc>
        <w:tc>
          <w:tcPr>
            <w:tcW w:w="2060" w:type="dxa"/>
            <w:vAlign w:val="bottom"/>
          </w:tcPr>
          <w:p>
            <w:pPr>
              <w:ind w:left="80"/>
              <w:spacing w:after="0" w:line="140" w:lineRule="exact"/>
              <w:rPr>
                <w:sz w:val="20"/>
                <w:szCs w:val="20"/>
                <w:color w:val="auto"/>
              </w:rPr>
            </w:pPr>
            <w:r>
              <w:rPr>
                <w:rFonts w:ascii="Times New Roman" w:cs="Times New Roman" w:eastAsia="Times New Roman" w:hAnsi="Times New Roman"/>
                <w:sz w:val="14"/>
                <w:szCs w:val="14"/>
                <w:color w:val="auto"/>
              </w:rPr>
              <w:t>Delaware</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120" w:type="dxa"/>
            <w:vAlign w:val="bottom"/>
          </w:tcPr>
          <w:p>
            <w:pPr>
              <w:spacing w:after="0"/>
              <w:rPr>
                <w:sz w:val="14"/>
                <w:szCs w:val="14"/>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BrightSpring Health Holdings Corp.</w:t>
            </w: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72"/>
        </w:trPr>
        <w:tc>
          <w:tcPr>
            <w:tcW w:w="1120" w:type="dxa"/>
            <w:vAlign w:val="bottom"/>
          </w:tcPr>
          <w:p>
            <w:pPr>
              <w:spacing w:after="0"/>
              <w:rPr>
                <w:sz w:val="14"/>
                <w:szCs w:val="14"/>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OncoMed Specialty LLC</w:t>
            </w: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72"/>
        </w:trPr>
        <w:tc>
          <w:tcPr>
            <w:tcW w:w="1120" w:type="dxa"/>
            <w:vAlign w:val="bottom"/>
          </w:tcPr>
          <w:p>
            <w:pPr>
              <w:spacing w:after="0"/>
              <w:rPr>
                <w:sz w:val="14"/>
                <w:szCs w:val="14"/>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Pharmacy Corporation of America</w:t>
            </w: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California</w:t>
            </w:r>
          </w:p>
        </w:tc>
        <w:tc>
          <w:tcPr>
            <w:tcW w:w="0" w:type="dxa"/>
            <w:vAlign w:val="bottom"/>
          </w:tcPr>
          <w:p>
            <w:pPr>
              <w:spacing w:after="0"/>
              <w:rPr>
                <w:sz w:val="1"/>
                <w:szCs w:val="1"/>
                <w:color w:val="auto"/>
              </w:rPr>
            </w:pPr>
          </w:p>
        </w:tc>
      </w:tr>
      <w:tr>
        <w:trPr>
          <w:trHeight w:val="172"/>
        </w:trPr>
        <w:tc>
          <w:tcPr>
            <w:tcW w:w="1120" w:type="dxa"/>
            <w:vAlign w:val="bottom"/>
          </w:tcPr>
          <w:p>
            <w:pPr>
              <w:spacing w:after="0"/>
              <w:rPr>
                <w:sz w:val="14"/>
                <w:szCs w:val="14"/>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PharMerica Corporation</w:t>
            </w: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72"/>
        </w:trPr>
        <w:tc>
          <w:tcPr>
            <w:tcW w:w="1120" w:type="dxa"/>
            <w:vAlign w:val="bottom"/>
          </w:tcPr>
          <w:p>
            <w:pPr>
              <w:spacing w:after="0"/>
              <w:rPr>
                <w:sz w:val="14"/>
                <w:szCs w:val="14"/>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PharMerica Drug Systems LLC</w:t>
            </w: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72"/>
        </w:trPr>
        <w:tc>
          <w:tcPr>
            <w:tcW w:w="1120" w:type="dxa"/>
            <w:vAlign w:val="bottom"/>
          </w:tcPr>
          <w:p>
            <w:pPr>
              <w:spacing w:after="0"/>
              <w:rPr>
                <w:sz w:val="14"/>
                <w:szCs w:val="14"/>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PharMerica Institutional Pharmacy Services LLC</w:t>
            </w: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6"/>
        </w:trPr>
        <w:tc>
          <w:tcPr>
            <w:tcW w:w="1120" w:type="dxa"/>
            <w:vAlign w:val="bottom"/>
          </w:tcPr>
          <w:p>
            <w:pPr>
              <w:spacing w:after="0"/>
              <w:rPr>
                <w:sz w:val="16"/>
                <w:szCs w:val="16"/>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Res-Care, Inc.</w:t>
            </w: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Kentucky</w:t>
            </w:r>
          </w:p>
        </w:tc>
        <w:tc>
          <w:tcPr>
            <w:tcW w:w="0" w:type="dxa"/>
            <w:vAlign w:val="bottom"/>
          </w:tcPr>
          <w:p>
            <w:pPr>
              <w:spacing w:after="0"/>
              <w:rPr>
                <w:sz w:val="1"/>
                <w:szCs w:val="1"/>
                <w:color w:val="auto"/>
              </w:rPr>
            </w:pPr>
          </w:p>
        </w:tc>
      </w:tr>
      <w:tr>
        <w:trPr>
          <w:trHeight w:val="1399"/>
        </w:trPr>
        <w:tc>
          <w:tcPr>
            <w:tcW w:w="1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634" w:right="1440" w:bottom="1440" w:gutter="0" w:footer="0" w:header="0"/>
        </w:sectPr>
      </w:pPr>
    </w:p>
    <w:bookmarkStart w:id="181" w:name="page182"/>
    <w:bookmarkEnd w:id="181"/>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26" w:lineRule="exact"/>
        <w:rPr>
          <w:sz w:val="20"/>
          <w:szCs w:val="20"/>
          <w:color w:val="auto"/>
        </w:rPr>
      </w:pPr>
    </w:p>
    <w:p>
      <w:pPr>
        <w:ind w:left="640" w:right="799"/>
        <w:spacing w:after="0" w:line="261" w:lineRule="auto"/>
        <w:rPr>
          <w:sz w:val="20"/>
          <w:szCs w:val="20"/>
          <w:color w:val="auto"/>
        </w:rPr>
      </w:pPr>
      <w:r>
        <w:rPr>
          <w:rFonts w:ascii="Arial" w:cs="Arial" w:eastAsia="Arial" w:hAnsi="Arial"/>
          <w:sz w:val="14"/>
          <w:szCs w:val="14"/>
          <w:color w:val="auto"/>
        </w:rPr>
        <w:t>We consent to the incorporation by reference in the registration statements on Form S-3 (No. 333-287916) and on Form S-8 (No. 333-276703) of our reports dated February 27, 2026, with respect to the consolidated financial statements of BrightSpring Health Services, Inc. and the effectiveness of internal control over financial reporting.</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 KPMG LLP</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4"/>
          <w:szCs w:val="14"/>
          <w:color w:val="auto"/>
        </w:rPr>
        <w:t>Louisville, Kentucky</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February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458470</wp:posOffset>
            </wp:positionV>
            <wp:extent cx="5603875" cy="3873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1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82" w:name="page183"/>
    <w:bookmarkEnd w:id="182"/>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BRIGHTSPRING HEALTH SERVICES, INC.</w:t>
      </w:r>
    </w:p>
    <w:p>
      <w:pPr>
        <w:spacing w:after="0" w:line="11" w:lineRule="exact"/>
        <w:rPr>
          <w:sz w:val="20"/>
          <w:szCs w:val="20"/>
          <w:color w:val="auto"/>
        </w:rPr>
      </w:pPr>
    </w:p>
    <w:p>
      <w:pPr>
        <w:jc w:val="center"/>
        <w:ind w:left="120" w:right="139"/>
        <w:spacing w:after="0" w:line="264" w:lineRule="auto"/>
        <w:rPr>
          <w:sz w:val="20"/>
          <w:szCs w:val="20"/>
          <w:color w:val="auto"/>
        </w:rPr>
      </w:pPr>
      <w:r>
        <w:rPr>
          <w:rFonts w:ascii="Times New Roman" w:cs="Times New Roman" w:eastAsia="Times New Roman" w:hAnsi="Times New Roman"/>
          <w:sz w:val="14"/>
          <w:szCs w:val="14"/>
          <w:color w:val="auto"/>
        </w:rPr>
        <w:t>CERTIFICATION OF CHIEF EXECUTIVE OFFICER PURSUANT TO RULE 13a-14(a) AND RULE 15d-14(a) OF THE SECURITIES EXCHANGE ACT OF 1934 AS ADOPTED PURSUANT TO SECTION 302 OF THE SARBANES-OXLEY ACT OF 2002</w:t>
      </w:r>
    </w:p>
    <w:p>
      <w:pPr>
        <w:spacing w:after="0" w:line="3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Jon Rousseau, certify that:</w:t>
      </w:r>
    </w:p>
    <w:p>
      <w:pPr>
        <w:spacing w:after="0" w:line="129" w:lineRule="exact"/>
        <w:rPr>
          <w:sz w:val="20"/>
          <w:szCs w:val="20"/>
          <w:color w:val="auto"/>
        </w:rPr>
      </w:pPr>
    </w:p>
    <w:p>
      <w:pPr>
        <w:ind w:left="1160" w:right="699" w:hanging="264"/>
        <w:spacing w:after="0" w:line="292" w:lineRule="auto"/>
        <w:tabs>
          <w:tab w:leader="none" w:pos="11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for the period ended December 31, 2025 of BrightSpring Health Services, Inc.;</w:t>
      </w:r>
    </w:p>
    <w:p>
      <w:pPr>
        <w:spacing w:after="0" w:line="70" w:lineRule="exact"/>
        <w:rPr>
          <w:rFonts w:ascii="Times New Roman" w:cs="Times New Roman" w:eastAsia="Times New Roman" w:hAnsi="Times New Roman"/>
          <w:sz w:val="14"/>
          <w:szCs w:val="14"/>
          <w:color w:val="auto"/>
        </w:rPr>
      </w:pPr>
    </w:p>
    <w:p>
      <w:pPr>
        <w:ind w:left="1160" w:right="659" w:hanging="264"/>
        <w:spacing w:after="0" w:line="274" w:lineRule="auto"/>
        <w:tabs>
          <w:tab w:leader="none" w:pos="11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14"/>
          <w:szCs w:val="14"/>
          <w:color w:val="auto"/>
        </w:rPr>
      </w:pPr>
    </w:p>
    <w:p>
      <w:pPr>
        <w:ind w:left="1160" w:right="719" w:hanging="264"/>
        <w:spacing w:after="0" w:line="274" w:lineRule="auto"/>
        <w:tabs>
          <w:tab w:leader="none" w:pos="11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Times New Roman" w:cs="Times New Roman" w:eastAsia="Times New Roman" w:hAnsi="Times New Roman"/>
          <w:sz w:val="14"/>
          <w:szCs w:val="14"/>
          <w:color w:val="auto"/>
        </w:rPr>
      </w:pPr>
    </w:p>
    <w:p>
      <w:pPr>
        <w:ind w:left="1160" w:right="999" w:hanging="264"/>
        <w:spacing w:after="0" w:line="274" w:lineRule="auto"/>
        <w:tabs>
          <w:tab w:leader="none" w:pos="11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4"/>
          <w:szCs w:val="14"/>
          <w:color w:val="auto"/>
        </w:rPr>
      </w:pPr>
    </w:p>
    <w:p>
      <w:pPr>
        <w:ind w:left="1660" w:right="699" w:hanging="249"/>
        <w:spacing w:after="0" w:line="268" w:lineRule="auto"/>
        <w:tabs>
          <w:tab w:leader="none" w:pos="1660"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4"/>
          <w:szCs w:val="14"/>
          <w:color w:val="auto"/>
        </w:rPr>
      </w:pPr>
    </w:p>
    <w:p>
      <w:pPr>
        <w:ind w:left="1660" w:right="679" w:hanging="249"/>
        <w:spacing w:after="0" w:line="271" w:lineRule="auto"/>
        <w:tabs>
          <w:tab w:leader="none" w:pos="1660"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0" w:lineRule="exact"/>
        <w:rPr>
          <w:rFonts w:ascii="Times New Roman" w:cs="Times New Roman" w:eastAsia="Times New Roman" w:hAnsi="Times New Roman"/>
          <w:sz w:val="14"/>
          <w:szCs w:val="14"/>
          <w:color w:val="auto"/>
        </w:rPr>
      </w:pPr>
    </w:p>
    <w:p>
      <w:pPr>
        <w:ind w:left="1660" w:right="699" w:hanging="249"/>
        <w:spacing w:after="0" w:line="274" w:lineRule="auto"/>
        <w:tabs>
          <w:tab w:leader="none" w:pos="1660"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Times New Roman" w:cs="Times New Roman" w:eastAsia="Times New Roman" w:hAnsi="Times New Roman"/>
          <w:sz w:val="14"/>
          <w:szCs w:val="14"/>
          <w:color w:val="auto"/>
        </w:rPr>
      </w:pPr>
    </w:p>
    <w:p>
      <w:pPr>
        <w:ind w:left="1660" w:right="799" w:hanging="249"/>
        <w:spacing w:after="0" w:line="268" w:lineRule="auto"/>
        <w:tabs>
          <w:tab w:leader="none" w:pos="1660"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Times New Roman" w:cs="Times New Roman" w:eastAsia="Times New Roman" w:hAnsi="Times New Roman"/>
          <w:sz w:val="14"/>
          <w:szCs w:val="14"/>
          <w:color w:val="auto"/>
        </w:rPr>
      </w:pPr>
    </w:p>
    <w:p>
      <w:pPr>
        <w:ind w:left="1160" w:right="939" w:hanging="264"/>
        <w:spacing w:after="0" w:line="274" w:lineRule="auto"/>
        <w:tabs>
          <w:tab w:leader="none" w:pos="11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Times New Roman" w:cs="Times New Roman" w:eastAsia="Times New Roman" w:hAnsi="Times New Roman"/>
          <w:sz w:val="14"/>
          <w:szCs w:val="14"/>
          <w:color w:val="auto"/>
        </w:rPr>
      </w:pPr>
    </w:p>
    <w:p>
      <w:pPr>
        <w:ind w:left="1660" w:right="839" w:hanging="249"/>
        <w:spacing w:after="0" w:line="274" w:lineRule="auto"/>
        <w:tabs>
          <w:tab w:leader="none" w:pos="1660"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Times New Roman" w:cs="Times New Roman" w:eastAsia="Times New Roman" w:hAnsi="Times New Roman"/>
          <w:sz w:val="14"/>
          <w:szCs w:val="14"/>
          <w:color w:val="auto"/>
        </w:rPr>
      </w:pPr>
    </w:p>
    <w:p>
      <w:pPr>
        <w:ind w:left="1660" w:right="699" w:hanging="249"/>
        <w:spacing w:after="0" w:line="292" w:lineRule="auto"/>
        <w:tabs>
          <w:tab w:leader="none" w:pos="1660"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520" w:type="dxa"/>
            <w:vAlign w:val="bottom"/>
          </w:tcPr>
          <w:p>
            <w:pPr>
              <w:spacing w:after="0"/>
              <w:rPr>
                <w:sz w:val="16"/>
                <w:szCs w:val="16"/>
                <w:color w:val="auto"/>
              </w:rPr>
            </w:pPr>
          </w:p>
        </w:tc>
        <w:tc>
          <w:tcPr>
            <w:tcW w:w="1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February 27, 2026</w:t>
            </w:r>
          </w:p>
        </w:tc>
        <w:tc>
          <w:tcPr>
            <w:tcW w:w="1560" w:type="dxa"/>
            <w:vAlign w:val="bottom"/>
          </w:tcPr>
          <w:p>
            <w:pPr>
              <w:spacing w:after="0"/>
              <w:rPr>
                <w:sz w:val="16"/>
                <w:szCs w:val="16"/>
                <w:color w:val="auto"/>
              </w:rPr>
            </w:pPr>
          </w:p>
        </w:tc>
        <w:tc>
          <w:tcPr>
            <w:tcW w:w="506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color w:val="auto"/>
              </w:rPr>
              <w:t>/s/ Jon Rousseau</w:t>
            </w:r>
          </w:p>
        </w:tc>
      </w:tr>
      <w:tr>
        <w:trPr>
          <w:trHeight w:val="170"/>
        </w:trPr>
        <w:tc>
          <w:tcPr>
            <w:tcW w:w="520" w:type="dxa"/>
            <w:vAlign w:val="bottom"/>
          </w:tcPr>
          <w:p>
            <w:pPr>
              <w:spacing w:after="0"/>
              <w:rPr>
                <w:sz w:val="14"/>
                <w:szCs w:val="14"/>
                <w:color w:val="auto"/>
              </w:rPr>
            </w:pPr>
          </w:p>
        </w:tc>
        <w:tc>
          <w:tcPr>
            <w:tcW w:w="1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Date</w:t>
            </w:r>
          </w:p>
        </w:tc>
        <w:tc>
          <w:tcPr>
            <w:tcW w:w="1560" w:type="dxa"/>
            <w:vAlign w:val="bottom"/>
          </w:tcPr>
          <w:p>
            <w:pPr>
              <w:spacing w:after="0"/>
              <w:rPr>
                <w:sz w:val="14"/>
                <w:szCs w:val="14"/>
                <w:color w:val="auto"/>
              </w:rPr>
            </w:pPr>
          </w:p>
        </w:tc>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Jon Rousseau</w:t>
            </w:r>
          </w:p>
        </w:tc>
        <w:tc>
          <w:tcPr>
            <w:tcW w:w="840" w:type="dxa"/>
            <w:vAlign w:val="bottom"/>
          </w:tcPr>
          <w:p>
            <w:pPr>
              <w:spacing w:after="0"/>
              <w:rPr>
                <w:sz w:val="14"/>
                <w:szCs w:val="14"/>
                <w:color w:val="auto"/>
              </w:rPr>
            </w:pPr>
          </w:p>
        </w:tc>
      </w:tr>
      <w:tr>
        <w:trPr>
          <w:trHeight w:val="183"/>
        </w:trPr>
        <w:tc>
          <w:tcPr>
            <w:tcW w:w="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r>
      <w:tr>
        <w:trPr>
          <w:trHeight w:val="186"/>
        </w:trPr>
        <w:tc>
          <w:tcPr>
            <w:tcW w:w="5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0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776"/>
        </w:trPr>
        <w:tc>
          <w:tcPr>
            <w:tcW w:w="5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639" w:right="1440" w:bottom="1440" w:gutter="0" w:footer="0" w:header="0"/>
        </w:sectPr>
      </w:pPr>
    </w:p>
    <w:bookmarkStart w:id="183" w:name="page184"/>
    <w:bookmarkEnd w:id="183"/>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BRIGHTSPRING HEALTH SERVICES, INC.</w:t>
      </w:r>
    </w:p>
    <w:p>
      <w:pPr>
        <w:spacing w:after="0" w:line="11" w:lineRule="exact"/>
        <w:rPr>
          <w:sz w:val="20"/>
          <w:szCs w:val="20"/>
          <w:color w:val="auto"/>
        </w:rPr>
      </w:pPr>
    </w:p>
    <w:p>
      <w:pPr>
        <w:jc w:val="center"/>
        <w:ind w:left="120" w:right="139"/>
        <w:spacing w:after="0" w:line="264" w:lineRule="auto"/>
        <w:rPr>
          <w:sz w:val="20"/>
          <w:szCs w:val="20"/>
          <w:color w:val="auto"/>
        </w:rPr>
      </w:pPr>
      <w:r>
        <w:rPr>
          <w:rFonts w:ascii="Times New Roman" w:cs="Times New Roman" w:eastAsia="Times New Roman" w:hAnsi="Times New Roman"/>
          <w:sz w:val="14"/>
          <w:szCs w:val="14"/>
          <w:color w:val="auto"/>
        </w:rPr>
        <w:t>CERTIFICATION OF CHIEF FINANCIAL OFFICER PURSUANT TO RULE 13a-14(a) AND RULE 15d-14(a) OF THE SECURITIES EXCHANGE ACT OF 1934 AS ADOPTED PURSUANT TO SECTION 302 OF THE SARBANES-OXLEY ACT OF 2002</w:t>
      </w:r>
    </w:p>
    <w:p>
      <w:pPr>
        <w:spacing w:after="0" w:line="3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Jennifer Phipps, certify that:</w:t>
      </w:r>
    </w:p>
    <w:p>
      <w:pPr>
        <w:spacing w:after="0" w:line="129" w:lineRule="exact"/>
        <w:rPr>
          <w:sz w:val="20"/>
          <w:szCs w:val="20"/>
          <w:color w:val="auto"/>
        </w:rPr>
      </w:pPr>
    </w:p>
    <w:p>
      <w:pPr>
        <w:ind w:left="1160" w:right="699" w:hanging="264"/>
        <w:spacing w:after="0" w:line="292" w:lineRule="auto"/>
        <w:tabs>
          <w:tab w:leader="none" w:pos="11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for the period ended December 31, 2025 of BrightSpring Health Services, Inc.;</w:t>
      </w:r>
    </w:p>
    <w:p>
      <w:pPr>
        <w:spacing w:after="0" w:line="70" w:lineRule="exact"/>
        <w:rPr>
          <w:rFonts w:ascii="Times New Roman" w:cs="Times New Roman" w:eastAsia="Times New Roman" w:hAnsi="Times New Roman"/>
          <w:sz w:val="14"/>
          <w:szCs w:val="14"/>
          <w:color w:val="auto"/>
        </w:rPr>
      </w:pPr>
    </w:p>
    <w:p>
      <w:pPr>
        <w:ind w:left="1160" w:right="659" w:hanging="264"/>
        <w:spacing w:after="0" w:line="274" w:lineRule="auto"/>
        <w:tabs>
          <w:tab w:leader="none" w:pos="11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14"/>
          <w:szCs w:val="14"/>
          <w:color w:val="auto"/>
        </w:rPr>
      </w:pPr>
    </w:p>
    <w:p>
      <w:pPr>
        <w:ind w:left="1160" w:right="719" w:hanging="264"/>
        <w:spacing w:after="0" w:line="274" w:lineRule="auto"/>
        <w:tabs>
          <w:tab w:leader="none" w:pos="11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Times New Roman" w:cs="Times New Roman" w:eastAsia="Times New Roman" w:hAnsi="Times New Roman"/>
          <w:sz w:val="14"/>
          <w:szCs w:val="14"/>
          <w:color w:val="auto"/>
        </w:rPr>
      </w:pPr>
    </w:p>
    <w:p>
      <w:pPr>
        <w:ind w:left="1160" w:right="999" w:hanging="264"/>
        <w:spacing w:after="0" w:line="274" w:lineRule="auto"/>
        <w:tabs>
          <w:tab w:leader="none" w:pos="11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4"/>
          <w:szCs w:val="14"/>
          <w:color w:val="auto"/>
        </w:rPr>
      </w:pPr>
    </w:p>
    <w:p>
      <w:pPr>
        <w:ind w:left="1660" w:right="699" w:hanging="249"/>
        <w:spacing w:after="0" w:line="268" w:lineRule="auto"/>
        <w:tabs>
          <w:tab w:leader="none" w:pos="166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4"/>
          <w:szCs w:val="14"/>
          <w:color w:val="auto"/>
        </w:rPr>
      </w:pPr>
    </w:p>
    <w:p>
      <w:pPr>
        <w:ind w:left="1660" w:right="679" w:hanging="249"/>
        <w:spacing w:after="0" w:line="271" w:lineRule="auto"/>
        <w:tabs>
          <w:tab w:leader="none" w:pos="166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0" w:lineRule="exact"/>
        <w:rPr>
          <w:rFonts w:ascii="Times New Roman" w:cs="Times New Roman" w:eastAsia="Times New Roman" w:hAnsi="Times New Roman"/>
          <w:sz w:val="14"/>
          <w:szCs w:val="14"/>
          <w:color w:val="auto"/>
        </w:rPr>
      </w:pPr>
    </w:p>
    <w:p>
      <w:pPr>
        <w:ind w:left="1660" w:right="699" w:hanging="249"/>
        <w:spacing w:after="0" w:line="274" w:lineRule="auto"/>
        <w:tabs>
          <w:tab w:leader="none" w:pos="166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Times New Roman" w:cs="Times New Roman" w:eastAsia="Times New Roman" w:hAnsi="Times New Roman"/>
          <w:sz w:val="14"/>
          <w:szCs w:val="14"/>
          <w:color w:val="auto"/>
        </w:rPr>
      </w:pPr>
    </w:p>
    <w:p>
      <w:pPr>
        <w:ind w:left="1660" w:right="799" w:hanging="249"/>
        <w:spacing w:after="0" w:line="268" w:lineRule="auto"/>
        <w:tabs>
          <w:tab w:leader="none" w:pos="166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Times New Roman" w:cs="Times New Roman" w:eastAsia="Times New Roman" w:hAnsi="Times New Roman"/>
          <w:sz w:val="14"/>
          <w:szCs w:val="14"/>
          <w:color w:val="auto"/>
        </w:rPr>
      </w:pPr>
    </w:p>
    <w:p>
      <w:pPr>
        <w:ind w:left="1160" w:right="939" w:hanging="264"/>
        <w:spacing w:after="0" w:line="274" w:lineRule="auto"/>
        <w:tabs>
          <w:tab w:leader="none" w:pos="11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Times New Roman" w:cs="Times New Roman" w:eastAsia="Times New Roman" w:hAnsi="Times New Roman"/>
          <w:sz w:val="14"/>
          <w:szCs w:val="14"/>
          <w:color w:val="auto"/>
        </w:rPr>
      </w:pPr>
    </w:p>
    <w:p>
      <w:pPr>
        <w:ind w:left="1660" w:right="839" w:hanging="249"/>
        <w:spacing w:after="0" w:line="274" w:lineRule="auto"/>
        <w:tabs>
          <w:tab w:leader="none" w:pos="166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Times New Roman" w:cs="Times New Roman" w:eastAsia="Times New Roman" w:hAnsi="Times New Roman"/>
          <w:sz w:val="14"/>
          <w:szCs w:val="14"/>
          <w:color w:val="auto"/>
        </w:rPr>
      </w:pPr>
    </w:p>
    <w:p>
      <w:pPr>
        <w:ind w:left="1660" w:right="699" w:hanging="249"/>
        <w:spacing w:after="0" w:line="292" w:lineRule="auto"/>
        <w:tabs>
          <w:tab w:leader="none" w:pos="166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520" w:type="dxa"/>
            <w:vAlign w:val="bottom"/>
          </w:tcPr>
          <w:p>
            <w:pPr>
              <w:spacing w:after="0"/>
              <w:rPr>
                <w:sz w:val="16"/>
                <w:szCs w:val="16"/>
                <w:color w:val="auto"/>
              </w:rPr>
            </w:pPr>
          </w:p>
        </w:tc>
        <w:tc>
          <w:tcPr>
            <w:tcW w:w="1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February 27, 2026</w:t>
            </w:r>
          </w:p>
        </w:tc>
        <w:tc>
          <w:tcPr>
            <w:tcW w:w="1560" w:type="dxa"/>
            <w:vAlign w:val="bottom"/>
          </w:tcPr>
          <w:p>
            <w:pPr>
              <w:spacing w:after="0"/>
              <w:rPr>
                <w:sz w:val="16"/>
                <w:szCs w:val="16"/>
                <w:color w:val="auto"/>
              </w:rPr>
            </w:pPr>
          </w:p>
        </w:tc>
        <w:tc>
          <w:tcPr>
            <w:tcW w:w="50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color w:val="auto"/>
              </w:rPr>
              <w:t>/s/ Jennifer Phipps</w:t>
            </w:r>
          </w:p>
        </w:tc>
      </w:tr>
      <w:tr>
        <w:trPr>
          <w:trHeight w:val="170"/>
        </w:trPr>
        <w:tc>
          <w:tcPr>
            <w:tcW w:w="520" w:type="dxa"/>
            <w:vAlign w:val="bottom"/>
          </w:tcPr>
          <w:p>
            <w:pPr>
              <w:spacing w:after="0"/>
              <w:rPr>
                <w:sz w:val="14"/>
                <w:szCs w:val="14"/>
                <w:color w:val="auto"/>
              </w:rPr>
            </w:pPr>
          </w:p>
        </w:tc>
        <w:tc>
          <w:tcPr>
            <w:tcW w:w="1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Date</w:t>
            </w:r>
          </w:p>
        </w:tc>
        <w:tc>
          <w:tcPr>
            <w:tcW w:w="1560" w:type="dxa"/>
            <w:vAlign w:val="bottom"/>
          </w:tcPr>
          <w:p>
            <w:pPr>
              <w:spacing w:after="0"/>
              <w:rPr>
                <w:sz w:val="14"/>
                <w:szCs w:val="14"/>
                <w:color w:val="auto"/>
              </w:rPr>
            </w:pPr>
          </w:p>
        </w:tc>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Jennifer Phipps</w:t>
            </w:r>
          </w:p>
        </w:tc>
        <w:tc>
          <w:tcPr>
            <w:tcW w:w="840" w:type="dxa"/>
            <w:vAlign w:val="bottom"/>
          </w:tcPr>
          <w:p>
            <w:pPr>
              <w:spacing w:after="0"/>
              <w:rPr>
                <w:sz w:val="14"/>
                <w:szCs w:val="14"/>
                <w:color w:val="auto"/>
              </w:rPr>
            </w:pPr>
          </w:p>
        </w:tc>
      </w:tr>
      <w:tr>
        <w:trPr>
          <w:trHeight w:val="183"/>
        </w:trPr>
        <w:tc>
          <w:tcPr>
            <w:tcW w:w="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86"/>
        </w:trPr>
        <w:tc>
          <w:tcPr>
            <w:tcW w:w="5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0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color w:val="auto"/>
              </w:rPr>
              <w:t>(Principal Financial Officer)</w:t>
            </w:r>
          </w:p>
        </w:tc>
      </w:tr>
      <w:tr>
        <w:trPr>
          <w:trHeight w:val="776"/>
        </w:trPr>
        <w:tc>
          <w:tcPr>
            <w:tcW w:w="5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84" w:name="page185"/>
    <w:bookmarkEnd w:id="184"/>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BRIGHTSPRING HEALTH SERVICES, INC.</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CERTIFICATION OF CHIEF EXECUTIVE OFFICER PURSUANT TO 18 U.S.C. SECTION 1350 AS ADOPTED PURSUANT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TO SECTION 906 OF THE SARBANES-OXLEY ACT OF 2002</w:t>
      </w:r>
    </w:p>
    <w:p>
      <w:pPr>
        <w:spacing w:after="0" w:line="394" w:lineRule="exact"/>
        <w:rPr>
          <w:sz w:val="20"/>
          <w:szCs w:val="20"/>
          <w:color w:val="auto"/>
        </w:rPr>
      </w:pPr>
    </w:p>
    <w:p>
      <w:pPr>
        <w:ind w:left="640" w:right="759"/>
        <w:spacing w:after="0" w:line="268" w:lineRule="auto"/>
        <w:rPr>
          <w:sz w:val="20"/>
          <w:szCs w:val="20"/>
          <w:color w:val="auto"/>
        </w:rPr>
      </w:pPr>
      <w:r>
        <w:rPr>
          <w:rFonts w:ascii="Times New Roman" w:cs="Times New Roman" w:eastAsia="Times New Roman" w:hAnsi="Times New Roman"/>
          <w:sz w:val="14"/>
          <w:szCs w:val="14"/>
          <w:color w:val="auto"/>
        </w:rPr>
        <w:t>In connection with the Annual Report of BrightSpring Health Services, Inc. (the Company) on Form 10-K for the period ended December 31, 2025, as filed with the Securities and Exchange Commission on the date of the signatures below (the Report), Jon Rousseau, Chairman, President, and Chief Executive Officer of the Company, do hereby certify, pursuant to 18 U.S.C. Section 1350, as adopted pursuant to Section 906 of the Sarbanes-Oxley Act of 2002, that, to the best of their respective knowledge:</w:t>
      </w:r>
    </w:p>
    <w:p>
      <w:pPr>
        <w:spacing w:after="0" w:line="86" w:lineRule="exact"/>
        <w:rPr>
          <w:sz w:val="20"/>
          <w:szCs w:val="20"/>
          <w:color w:val="auto"/>
        </w:rPr>
      </w:pPr>
    </w:p>
    <w:p>
      <w:pPr>
        <w:ind w:left="1160" w:right="819" w:hanging="264"/>
        <w:spacing w:after="0" w:line="292" w:lineRule="auto"/>
        <w:tabs>
          <w:tab w:leader="none" w:pos="11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Section 15(d) of the Securities Exchange Act of 1934; and</w:t>
      </w:r>
    </w:p>
    <w:p>
      <w:pPr>
        <w:spacing w:after="0" w:line="70" w:lineRule="exact"/>
        <w:rPr>
          <w:rFonts w:ascii="Times New Roman" w:cs="Times New Roman" w:eastAsia="Times New Roman" w:hAnsi="Times New Roman"/>
          <w:sz w:val="14"/>
          <w:szCs w:val="14"/>
          <w:color w:val="auto"/>
        </w:rPr>
      </w:pPr>
    </w:p>
    <w:p>
      <w:pPr>
        <w:ind w:left="1160" w:right="1179" w:hanging="264"/>
        <w:spacing w:after="0" w:line="298" w:lineRule="auto"/>
        <w:tabs>
          <w:tab w:leader="none" w:pos="11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r>
        <w:rPr>
          <w:rFonts w:ascii="Arial" w:cs="Arial" w:eastAsia="Arial" w:hAnsi="Arial"/>
          <w:sz w:val="15"/>
          <w:szCs w:val="15"/>
          <w:color w:val="auto"/>
        </w:rPr>
        <w:t>.</w:t>
      </w:r>
    </w:p>
    <w:p>
      <w:pPr>
        <w:spacing w:after="0" w:line="337"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1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February 27, 2026</w:t>
            </w:r>
          </w:p>
        </w:tc>
        <w:tc>
          <w:tcPr>
            <w:tcW w:w="1560" w:type="dxa"/>
            <w:vAlign w:val="bottom"/>
          </w:tcPr>
          <w:p>
            <w:pPr>
              <w:spacing w:after="0"/>
              <w:rPr>
                <w:sz w:val="16"/>
                <w:szCs w:val="16"/>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Jon Rousseau</w:t>
            </w:r>
          </w:p>
        </w:tc>
      </w:tr>
      <w:tr>
        <w:trPr>
          <w:trHeight w:val="170"/>
        </w:trPr>
        <w:tc>
          <w:tcPr>
            <w:tcW w:w="1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Date</w:t>
            </w:r>
          </w:p>
        </w:tc>
        <w:tc>
          <w:tcPr>
            <w:tcW w:w="1560" w:type="dxa"/>
            <w:vAlign w:val="bottom"/>
          </w:tcPr>
          <w:p>
            <w:pPr>
              <w:spacing w:after="0"/>
              <w:rPr>
                <w:sz w:val="14"/>
                <w:szCs w:val="14"/>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Jon Rousseau</w:t>
            </w:r>
          </w:p>
        </w:tc>
      </w:tr>
      <w:tr>
        <w:trPr>
          <w:trHeight w:val="183"/>
        </w:trPr>
        <w:tc>
          <w:tcPr>
            <w:tcW w:w="1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r>
      <w:tr>
        <w:trPr>
          <w:trHeight w:val="186"/>
        </w:trPr>
        <w:tc>
          <w:tcPr>
            <w:tcW w:w="16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pacing w:after="0" w:line="276" w:lineRule="exact"/>
        <w:rPr>
          <w:sz w:val="20"/>
          <w:szCs w:val="20"/>
          <w:color w:val="auto"/>
        </w:rPr>
      </w:pPr>
    </w:p>
    <w:p>
      <w:pPr>
        <w:jc w:val="both"/>
        <w:ind w:left="640" w:right="699"/>
        <w:spacing w:after="0" w:line="268" w:lineRule="auto"/>
        <w:rPr>
          <w:sz w:val="20"/>
          <w:szCs w:val="20"/>
          <w:color w:val="auto"/>
        </w:rPr>
      </w:pPr>
      <w:r>
        <w:rPr>
          <w:rFonts w:ascii="Times New Roman" w:cs="Times New Roman" w:eastAsia="Times New Roman" w:hAnsi="Times New Roman"/>
          <w:sz w:val="14"/>
          <w:szCs w:val="14"/>
          <w:color w:val="auto"/>
        </w:rPr>
        <w:t>This certification accompanies the Report to which it relates, is not deemed filed with the Securities and Exchange Commission and is not to be incorporated by reference into any filing of BrightSpring Health Services,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426720</wp:posOffset>
            </wp:positionV>
            <wp:extent cx="5603875" cy="3873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2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85" w:name="page186"/>
    <w:bookmarkEnd w:id="185"/>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BRIGHTSPRING HEALTH SERVICES, INC.</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CERTIFICATION OF CHIEF FINANCIAL OFFICER PURSUANT TO 18 U.S.C. SECTION 1350 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394" w:lineRule="exact"/>
        <w:rPr>
          <w:sz w:val="20"/>
          <w:szCs w:val="20"/>
          <w:color w:val="auto"/>
        </w:rPr>
      </w:pPr>
    </w:p>
    <w:p>
      <w:pPr>
        <w:ind w:left="640" w:right="719"/>
        <w:spacing w:after="0" w:line="268" w:lineRule="auto"/>
        <w:rPr>
          <w:sz w:val="20"/>
          <w:szCs w:val="20"/>
          <w:color w:val="auto"/>
        </w:rPr>
      </w:pPr>
      <w:r>
        <w:rPr>
          <w:rFonts w:ascii="Times New Roman" w:cs="Times New Roman" w:eastAsia="Times New Roman" w:hAnsi="Times New Roman"/>
          <w:sz w:val="14"/>
          <w:szCs w:val="14"/>
          <w:color w:val="auto"/>
        </w:rPr>
        <w:t>In connection with the Annual Report of BrightSpring Health Services, Inc. (the Company) on Form 10-K for the period ended December 31, 2025, as filed with the Securities and Exchange Commission on the date of the signatures below (the Report), Jennifer Phipps, Executive Vice President and Chief Financial Officer of the Company, do hereby certify, pursuant to 18 U.S.C. Section 1350, as adopted pursuant to Section 906 of the Sarbanes-Oxley Act of 2002, that, to the best of their respective knowledge:</w:t>
      </w:r>
    </w:p>
    <w:p>
      <w:pPr>
        <w:spacing w:after="0" w:line="86" w:lineRule="exact"/>
        <w:rPr>
          <w:sz w:val="20"/>
          <w:szCs w:val="20"/>
          <w:color w:val="auto"/>
        </w:rPr>
      </w:pPr>
    </w:p>
    <w:p>
      <w:pPr>
        <w:ind w:left="1160" w:right="819" w:hanging="264"/>
        <w:spacing w:after="0" w:line="292" w:lineRule="auto"/>
        <w:tabs>
          <w:tab w:leader="none" w:pos="116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Section 15(d) of the Securities Exchange Act of 1934; and</w:t>
      </w:r>
    </w:p>
    <w:p>
      <w:pPr>
        <w:spacing w:after="0" w:line="70" w:lineRule="exact"/>
        <w:rPr>
          <w:rFonts w:ascii="Times New Roman" w:cs="Times New Roman" w:eastAsia="Times New Roman" w:hAnsi="Times New Roman"/>
          <w:sz w:val="14"/>
          <w:szCs w:val="14"/>
          <w:color w:val="auto"/>
        </w:rPr>
      </w:pPr>
    </w:p>
    <w:p>
      <w:pPr>
        <w:ind w:left="1160" w:right="1179" w:hanging="264"/>
        <w:spacing w:after="0" w:line="298" w:lineRule="auto"/>
        <w:tabs>
          <w:tab w:leader="none" w:pos="116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r>
        <w:rPr>
          <w:rFonts w:ascii="Arial" w:cs="Arial" w:eastAsia="Arial" w:hAnsi="Arial"/>
          <w:sz w:val="15"/>
          <w:szCs w:val="15"/>
          <w:color w:val="auto"/>
        </w:rPr>
        <w:t>.</w:t>
      </w:r>
    </w:p>
    <w:p>
      <w:pPr>
        <w:spacing w:after="0" w:line="337"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1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February 27, 2026</w:t>
            </w:r>
          </w:p>
        </w:tc>
        <w:tc>
          <w:tcPr>
            <w:tcW w:w="1560" w:type="dxa"/>
            <w:vAlign w:val="bottom"/>
          </w:tcPr>
          <w:p>
            <w:pPr>
              <w:spacing w:after="0"/>
              <w:rPr>
                <w:sz w:val="16"/>
                <w:szCs w:val="16"/>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Jennifer Phipps</w:t>
            </w:r>
          </w:p>
        </w:tc>
      </w:tr>
      <w:tr>
        <w:trPr>
          <w:trHeight w:val="170"/>
        </w:trPr>
        <w:tc>
          <w:tcPr>
            <w:tcW w:w="1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Date</w:t>
            </w:r>
          </w:p>
        </w:tc>
        <w:tc>
          <w:tcPr>
            <w:tcW w:w="1560" w:type="dxa"/>
            <w:vAlign w:val="bottom"/>
          </w:tcPr>
          <w:p>
            <w:pPr>
              <w:spacing w:after="0"/>
              <w:rPr>
                <w:sz w:val="14"/>
                <w:szCs w:val="14"/>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Jennifer Phipps</w:t>
            </w:r>
          </w:p>
        </w:tc>
      </w:tr>
      <w:tr>
        <w:trPr>
          <w:trHeight w:val="183"/>
        </w:trPr>
        <w:tc>
          <w:tcPr>
            <w:tcW w:w="1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86"/>
        </w:trPr>
        <w:tc>
          <w:tcPr>
            <w:tcW w:w="16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pacing w:after="0" w:line="276" w:lineRule="exact"/>
        <w:rPr>
          <w:sz w:val="20"/>
          <w:szCs w:val="20"/>
          <w:color w:val="auto"/>
        </w:rPr>
      </w:pPr>
    </w:p>
    <w:p>
      <w:pPr>
        <w:jc w:val="both"/>
        <w:ind w:left="640" w:right="699"/>
        <w:spacing w:after="0" w:line="268" w:lineRule="auto"/>
        <w:rPr>
          <w:sz w:val="20"/>
          <w:szCs w:val="20"/>
          <w:color w:val="auto"/>
        </w:rPr>
      </w:pPr>
      <w:r>
        <w:rPr>
          <w:rFonts w:ascii="Times New Roman" w:cs="Times New Roman" w:eastAsia="Times New Roman" w:hAnsi="Times New Roman"/>
          <w:sz w:val="14"/>
          <w:szCs w:val="14"/>
          <w:color w:val="auto"/>
        </w:rPr>
        <w:t>This certification accompanies the Report to which it relates, is not deemed filed with the Securities and Exchange Commission and is not to be incorporated by reference into any filing of BrightSpring Health Services,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426720</wp:posOffset>
            </wp:positionV>
            <wp:extent cx="5603875" cy="3873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2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9" w:right="1440" w:bottom="1440" w:gutter="0" w:footer="0" w:header="0"/>
        </w:sectPr>
      </w:pPr>
    </w:p>
    <w:bookmarkStart w:id="186" w:name="page187"/>
    <w:bookmarkEnd w:id="1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1)"/>
      <w:numFmt w:val="decimal"/>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1)"/>
      <w:numFmt w:val="decimal"/>
    </w:lvl>
    <w:lvl w:ilvl="1">
      <w:lvlJc w:val="left"/>
      <w:lvlText w:val="•"/>
      <w:numFmt w:val="bullet"/>
      <w:start w:val="1"/>
    </w:lvl>
  </w:abstractNum>
  <w:abstractNum w:abstractNumId="26">
    <w:nsid w:val="D34B6A8"/>
    <w:multiLevelType w:val="hybridMultilevel"/>
    <w:lvl w:ilvl="0">
      <w:lvlJc w:val="left"/>
      <w:lvlText w:val="(%1)"/>
      <w:numFmt w:val="decimal"/>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1)"/>
      <w:numFmt w:val="decimal"/>
    </w:lvl>
    <w:lvl w:ilvl="1">
      <w:lvlJc w:val="left"/>
      <w:lvlText w:val="•"/>
      <w:numFmt w:val="bullet"/>
      <w:start w:val="1"/>
    </w:lvl>
  </w:abstractNum>
  <w:abstractNum w:abstractNumId="29">
    <w:nsid w:val="61574095"/>
    <w:multiLevelType w:val="hybridMultilevel"/>
    <w:lvl w:ilvl="0">
      <w:lvlJc w:val="left"/>
      <w:lvlText w:val="(%1)"/>
      <w:numFmt w:val="decimal"/>
      <w:start w:val="1"/>
    </w:lvl>
  </w:abstractNum>
  <w:abstractNum w:abstractNumId="30">
    <w:nsid w:val="7E0C57B1"/>
    <w:multiLevelType w:val="hybridMultilevel"/>
    <w:lvl w:ilvl="0">
      <w:lvlJc w:val="left"/>
      <w:lvlText w:val="(%1)"/>
      <w:numFmt w:val="decimal"/>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1)"/>
      <w:numFmt w:val="decimal"/>
      <w:start w:val="1"/>
    </w:lvl>
  </w:abstractNum>
  <w:abstractNum w:abstractNumId="35">
    <w:nsid w:val="2F305DEF"/>
    <w:multiLevelType w:val="hybridMultilevel"/>
    <w:lvl w:ilvl="0">
      <w:lvlJc w:val="left"/>
      <w:lvlText w:val="(%1)"/>
      <w:numFmt w:val="decimal"/>
      <w:start w:val="1"/>
    </w:lvl>
  </w:abstractNum>
  <w:abstractNum w:abstractNumId="36">
    <w:nsid w:val="25A70BF7"/>
    <w:multiLevelType w:val="hybridMultilevel"/>
    <w:lvl w:ilvl="0">
      <w:lvlJc w:val="left"/>
      <w:lvlText w:val="(%1)"/>
      <w:numFmt w:val="lowerLetter"/>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1)"/>
      <w:numFmt w:val="lowerLetter"/>
      <w:start w:val="1"/>
    </w:lvl>
  </w:abstractNum>
  <w:abstractNum w:abstractNumId="41">
    <w:nsid w:val="5DB70AE5"/>
    <w:multiLevelType w:val="hybridMultilevel"/>
    <w:lvl w:ilvl="0">
      <w:lvlJc w:val="left"/>
      <w:lvlText w:val="(%1)"/>
      <w:numFmt w:val="decimal"/>
      <w:start w:val="1"/>
    </w:lvl>
  </w:abstractNum>
  <w:abstractNum w:abstractNumId="42">
    <w:nsid w:val="100F8FCA"/>
    <w:multiLevelType w:val="hybridMultilevel"/>
    <w:lvl w:ilvl="0">
      <w:lvlJc w:val="left"/>
      <w:lvlText w:val="(%1)"/>
      <w:numFmt w:val="decimal"/>
      <w:start w:val="1"/>
    </w:lvl>
  </w:abstractNum>
  <w:abstractNum w:abstractNumId="43">
    <w:nsid w:val="6590700B"/>
    <w:multiLevelType w:val="hybridMultilevel"/>
    <w:lvl w:ilvl="0">
      <w:lvlJc w:val="left"/>
      <w:lvlText w:val="(%1)"/>
      <w:numFmt w:val="decimal"/>
      <w:start w:val="1"/>
    </w:lvl>
  </w:abstractNum>
  <w:abstractNum w:abstractNumId="44">
    <w:nsid w:val="15014ACB"/>
    <w:multiLevelType w:val="hybridMultilevel"/>
    <w:lvl w:ilvl="0">
      <w:lvlJc w:val="left"/>
      <w:lvlText w:val="%1."/>
      <w:numFmt w:val="upperLetter"/>
      <w:start w:val="1"/>
    </w:lvl>
  </w:abstractNum>
  <w:abstractNum w:abstractNumId="45">
    <w:nsid w:val="5F5E7FD0"/>
    <w:multiLevelType w:val="hybridMultilevel"/>
    <w:lvl w:ilvl="0">
      <w:lvlJc w:val="left"/>
      <w:lvlText w:val="(%1)"/>
      <w:numFmt w:val="decimal"/>
      <w:start w:val="1"/>
    </w:lvl>
  </w:abstractNum>
  <w:abstractNum w:abstractNumId="46">
    <w:nsid w:val="98A3148"/>
    <w:multiLevelType w:val="hybridMultilevel"/>
    <w:lvl w:ilvl="0">
      <w:lvlJc w:val="left"/>
      <w:lvlText w:val="•"/>
      <w:numFmt w:val="bullet"/>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1."/>
      <w:numFmt w:val="decimal"/>
      <w:start w:val="1"/>
    </w:lvl>
  </w:abstractNum>
  <w:abstractNum w:abstractNumId="50">
    <w:nsid w:val="168E121F"/>
    <w:multiLevelType w:val="hybridMultilevel"/>
    <w:lvl w:ilvl="0">
      <w:lvlJc w:val="left"/>
      <w:lvlText w:val="(%1)"/>
      <w:numFmt w:val="lowerRoman"/>
      <w:start w:val="1"/>
    </w:lvl>
  </w:abstractNum>
  <w:abstractNum w:abstractNumId="51">
    <w:nsid w:val="1EBA5D23"/>
    <w:multiLevelType w:val="hybridMultilevel"/>
    <w:lvl w:ilvl="0">
      <w:lvlJc w:val="left"/>
      <w:lvlText w:val="(%1)"/>
      <w:numFmt w:val="lowerRoman"/>
      <w:start w:val="2"/>
    </w:lvl>
  </w:abstractNum>
  <w:abstractNum w:abstractNumId="52">
    <w:nsid w:val="661E3F1E"/>
    <w:multiLevelType w:val="hybridMultilevel"/>
    <w:lvl w:ilvl="0">
      <w:lvlJc w:val="left"/>
      <w:lvlText w:val="%1"/>
      <w:numFmt w:val="decimal"/>
      <w:start w:val="1"/>
    </w:lvl>
    <w:lvl w:ilvl="1">
      <w:lvlJc w:val="left"/>
      <w:lvlText w:val="(%2)"/>
      <w:numFmt w:val="lowerRoman"/>
      <w:start w:val="3"/>
    </w:lvl>
  </w:abstractNum>
  <w:abstractNum w:abstractNumId="53">
    <w:nsid w:val="5DC79EA8"/>
    <w:multiLevelType w:val="hybridMultilevel"/>
    <w:lvl w:ilvl="0">
      <w:lvlJc w:val="left"/>
      <w:lvlText w:val="%1."/>
      <w:numFmt w:val="decimal"/>
      <w:start w:val="2"/>
    </w:lvl>
    <w:lvl w:ilvl="1">
      <w:lvlJc w:val="left"/>
      <w:lvlText w:val="%2"/>
      <w:numFmt w:val="lowerRoman"/>
      <w:start w:val="1"/>
    </w:lvl>
  </w:abstractNum>
  <w:abstractNum w:abstractNumId="54">
    <w:nsid w:val="540A471C"/>
    <w:multiLevelType w:val="hybridMultilevel"/>
    <w:lvl w:ilvl="0">
      <w:lvlJc w:val="left"/>
      <w:lvlText w:val="(%1)"/>
      <w:numFmt w:val="upperLetter"/>
      <w:start w:val="1"/>
    </w:lvl>
  </w:abstractNum>
  <w:abstractNum w:abstractNumId="55">
    <w:nsid w:val="7BD3EE7B"/>
    <w:multiLevelType w:val="hybridMultilevel"/>
    <w:lvl w:ilvl="0">
      <w:lvlJc w:val="left"/>
      <w:lvlText w:val="%1)"/>
      <w:numFmt w:val="decimal"/>
      <w:start w:val="1"/>
    </w:lvl>
  </w:abstractNum>
  <w:abstractNum w:abstractNumId="56">
    <w:nsid w:val="51D9C564"/>
    <w:multiLevelType w:val="hybridMultilevel"/>
    <w:lvl w:ilvl="0">
      <w:lvlJc w:val="left"/>
      <w:lvlText w:val="•"/>
      <w:numFmt w:val="bullet"/>
      <w:start w:val="1"/>
    </w:lvl>
  </w:abstractNum>
  <w:abstractNum w:abstractNumId="57">
    <w:nsid w:val="613EFDC5"/>
    <w:multiLevelType w:val="hybridMultilevel"/>
    <w:lvl w:ilvl="0">
      <w:lvlJc w:val="left"/>
      <w:lvlText w:val="•"/>
      <w:numFmt w:val="bullet"/>
      <w:start w:val="1"/>
    </w:lvl>
  </w:abstractNum>
  <w:abstractNum w:abstractNumId="58">
    <w:nsid w:val="BF72B14"/>
    <w:multiLevelType w:val="hybridMultilevel"/>
    <w:lvl w:ilvl="0">
      <w:lvlJc w:val="left"/>
      <w:lvlText w:val="%1"/>
      <w:numFmt w:val="lowerLetter"/>
      <w:start w:val="1"/>
    </w:lvl>
    <w:lvl w:ilvl="1">
      <w:lvlJc w:val="left"/>
      <w:lvlText w:val="%2."/>
      <w:numFmt w:val="decimal"/>
      <w:start w:val="1"/>
    </w:lvl>
  </w:abstractNum>
  <w:abstractNum w:abstractNumId="59">
    <w:nsid w:val="11447B73"/>
    <w:multiLevelType w:val="hybridMultilevel"/>
    <w:lvl w:ilvl="0">
      <w:lvlJc w:val="left"/>
      <w:lvlText w:val="(%1)"/>
      <w:numFmt w:val="lowerLetter"/>
      <w:start w:val="4"/>
    </w:lvl>
    <w:lvl w:ilvl="1">
      <w:lvlJc w:val="left"/>
      <w:lvlText w:val="%2."/>
      <w:numFmt w:val="decimal"/>
      <w:start w:val="2"/>
    </w:lvl>
  </w:abstractNum>
  <w:abstractNum w:abstractNumId="60">
    <w:nsid w:val="42963E5A"/>
    <w:multiLevelType w:val="hybridMultilevel"/>
    <w:lvl w:ilvl="0">
      <w:lvlJc w:val="left"/>
      <w:lvlText w:val="%1."/>
      <w:numFmt w:val="decimal"/>
      <w:start w:val="3"/>
    </w:lvl>
  </w:abstractNum>
  <w:abstractNum w:abstractNumId="61">
    <w:nsid w:val="A0382C5"/>
    <w:multiLevelType w:val="hybridMultilevel"/>
    <w:lvl w:ilvl="0">
      <w:lvlJc w:val="left"/>
      <w:lvlText w:val="(%1)"/>
      <w:numFmt w:val="decimal"/>
      <w:start w:val="7"/>
    </w:lvl>
  </w:abstractNum>
  <w:abstractNum w:abstractNumId="62">
    <w:nsid w:val="8F2B15E"/>
    <w:multiLevelType w:val="hybridMultilevel"/>
    <w:lvl w:ilvl="0">
      <w:lvlJc w:val="left"/>
      <w:lvlText w:val="%1."/>
      <w:numFmt w:val="decimal"/>
      <w:start w:val="5"/>
    </w:lvl>
  </w:abstractNum>
  <w:abstractNum w:abstractNumId="63">
    <w:nsid w:val="1A32234B"/>
    <w:multiLevelType w:val="hybridMultilevel"/>
    <w:lvl w:ilvl="0">
      <w:lvlJc w:val="left"/>
      <w:lvlText w:val="%1."/>
      <w:numFmt w:val="decimal"/>
      <w:start w:val="6"/>
    </w:lvl>
  </w:abstractNum>
  <w:abstractNum w:abstractNumId="64">
    <w:nsid w:val="3B0FD379"/>
    <w:multiLevelType w:val="hybridMultilevel"/>
    <w:lvl w:ilvl="0">
      <w:lvlJc w:val="left"/>
      <w:lvlText w:val="%1."/>
      <w:numFmt w:val="decimal"/>
      <w:start w:val="8"/>
    </w:lvl>
  </w:abstractNum>
  <w:abstractNum w:abstractNumId="65">
    <w:nsid w:val="68EB2F63"/>
    <w:multiLevelType w:val="hybridMultilevel"/>
    <w:lvl w:ilvl="0">
      <w:lvlJc w:val="left"/>
      <w:lvlText w:val="(%1)"/>
      <w:numFmt w:val="lowerLetter"/>
      <w:start w:val="1"/>
    </w:lvl>
  </w:abstractNum>
  <w:abstractNum w:abstractNumId="66">
    <w:nsid w:val="4962813B"/>
    <w:multiLevelType w:val="hybridMultilevel"/>
    <w:lvl w:ilvl="0">
      <w:lvlJc w:val="left"/>
      <w:lvlText w:val="&amp;"/>
      <w:numFmt w:val="bullet"/>
      <w:start w:val="1"/>
    </w:lvl>
  </w:abstractNum>
  <w:abstractNum w:abstractNumId="67">
    <w:nsid w:val="60B6DF70"/>
    <w:multiLevelType w:val="hybridMultilevel"/>
    <w:lvl w:ilvl="0">
      <w:lvlJc w:val="left"/>
      <w:lvlText w:val="%1."/>
      <w:numFmt w:val="decimal"/>
      <w:start w:val="1"/>
    </w:lvl>
    <w:lvl w:ilvl="1">
      <w:lvlJc w:val="left"/>
      <w:lvlText w:val="(%2)"/>
      <w:numFmt w:val="lowerLetter"/>
      <w:start w:val="1"/>
    </w:lvl>
  </w:abstractNum>
  <w:abstractNum w:abstractNumId="68">
    <w:nsid w:val="6A5EE64"/>
    <w:multiLevelType w:val="hybridMultilevel"/>
    <w:lvl w:ilvl="0">
      <w:lvlJc w:val="left"/>
      <w:lvlText w:val="%1"/>
      <w:numFmt w:val="decimal"/>
      <w:start w:val="1"/>
    </w:lvl>
    <w:lvl w:ilvl="1">
      <w:lvlJc w:val="left"/>
      <w:lvlText w:val="(%2)"/>
      <w:numFmt w:val="lowerLetter"/>
      <w:start w:val="2"/>
    </w:lvl>
  </w:abstractNum>
  <w:abstractNum w:abstractNumId="69">
    <w:nsid w:val="14330624"/>
    <w:multiLevelType w:val="hybridMultilevel"/>
    <w:lvl w:ilvl="0">
      <w:lvlJc w:val="left"/>
      <w:lvlText w:val="%1."/>
      <w:numFmt w:val="decimal"/>
      <w:start w:val="4"/>
    </w:lvl>
    <w:lvl w:ilvl="1">
      <w:lvlJc w:val="left"/>
      <w:lvlText w:val="%2"/>
      <w:numFmt w:val="lowerLetter"/>
      <w:start w:val="1"/>
    </w:lvl>
  </w:abstractNum>
  <w:abstractNum w:abstractNumId="70">
    <w:nsid w:val="7FFFCA11"/>
    <w:multiLevelType w:val="hybridMultilevel"/>
    <w:lvl w:ilvl="0">
      <w:lvlJc w:val="left"/>
      <w:lvlText w:val="%1."/>
      <w:numFmt w:val="decimal"/>
      <w:start w:val="5"/>
    </w:lvl>
    <w:lvl w:ilvl="1">
      <w:lvlJc w:val="left"/>
      <w:lvlText w:val="(%2)"/>
      <w:numFmt w:val="lowerLetter"/>
      <w:start w:val="1"/>
    </w:lvl>
  </w:abstractNum>
  <w:abstractNum w:abstractNumId="71">
    <w:nsid w:val="1A27709E"/>
    <w:multiLevelType w:val="hybridMultilevel"/>
    <w:lvl w:ilvl="0">
      <w:lvlJc w:val="left"/>
      <w:lvlText w:val="%1"/>
      <w:numFmt w:val="decimal"/>
      <w:start w:val="1"/>
    </w:lvl>
    <w:lvl w:ilvl="1">
      <w:lvlJc w:val="left"/>
      <w:lvlText w:val="(%2)"/>
      <w:numFmt w:val="lowerLetter"/>
      <w:start w:val="2"/>
    </w:lvl>
  </w:abstractNum>
  <w:abstractNum w:abstractNumId="72">
    <w:nsid w:val="71EA1109"/>
    <w:multiLevelType w:val="hybridMultilevel"/>
    <w:lvl w:ilvl="0">
      <w:lvlJc w:val="left"/>
      <w:lvlText w:val="%1."/>
      <w:numFmt w:val="decimal"/>
      <w:start w:val="8"/>
    </w:lvl>
    <w:lvl w:ilvl="1">
      <w:lvlJc w:val="left"/>
      <w:lvlText w:val="%2"/>
      <w:numFmt w:val="lowerLetter"/>
      <w:start w:val="1"/>
    </w:lvl>
  </w:abstractNum>
  <w:abstractNum w:abstractNumId="73">
    <w:nsid w:val="100F59DC"/>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74">
    <w:nsid w:val="7FB7E0AA"/>
    <w:multiLevelType w:val="hybridMultilevel"/>
    <w:lvl w:ilvl="0">
      <w:lvlJc w:val="left"/>
      <w:lvlText w:val="%1"/>
      <w:numFmt w:val="lowerLetter"/>
      <w:start w:val="1"/>
    </w:lvl>
    <w:lvl w:ilvl="1">
      <w:lvlJc w:val="left"/>
      <w:lvlText w:val="(%2)"/>
      <w:numFmt w:val="lowerRoman"/>
      <w:start w:val="2"/>
    </w:lvl>
  </w:abstractNum>
  <w:abstractNum w:abstractNumId="75">
    <w:nsid w:val="6EB5BD4"/>
    <w:multiLevelType w:val="hybridMultilevel"/>
    <w:lvl w:ilvl="0">
      <w:lvlJc w:val="left"/>
      <w:lvlText w:val="(%1)"/>
      <w:numFmt w:val="lowerLetter"/>
      <w:start w:val="2"/>
    </w:lvl>
    <w:lvl w:ilvl="1">
      <w:lvlJc w:val="left"/>
      <w:lvlText w:val="(%2)"/>
      <w:numFmt w:val="lowerRoman"/>
      <w:start w:val="1"/>
    </w:lvl>
  </w:abstractNum>
  <w:abstractNum w:abstractNumId="76">
    <w:nsid w:val="6F6DD9AC"/>
    <w:multiLevelType w:val="hybridMultilevel"/>
    <w:lvl w:ilvl="0">
      <w:lvlJc w:val="left"/>
      <w:lvlText w:val="(%1)"/>
      <w:numFmt w:val="lowerRoman"/>
      <w:start w:val="2"/>
    </w:lvl>
  </w:abstractNum>
  <w:abstractNum w:abstractNumId="77">
    <w:nsid w:val="94211F2"/>
    <w:multiLevelType w:val="hybridMultilevel"/>
    <w:lvl w:ilvl="0">
      <w:lvlJc w:val="left"/>
      <w:lvlText w:val="(%1)"/>
      <w:numFmt w:val="lowerRoman"/>
      <w:start w:val="3"/>
    </w:lvl>
  </w:abstractNum>
  <w:abstractNum w:abstractNumId="78">
    <w:nsid w:val="885E1B"/>
    <w:multiLevelType w:val="hybridMultilevel"/>
    <w:lvl w:ilvl="0">
      <w:lvlJc w:val="left"/>
      <w:lvlText w:val="%1"/>
      <w:numFmt w:val="lowerLetter"/>
      <w:start w:val="1"/>
    </w:lvl>
    <w:lvl w:ilvl="1">
      <w:lvlJc w:val="left"/>
      <w:lvlText w:val="(%2)"/>
      <w:numFmt w:val="lowerRoman"/>
      <w:start w:val="4"/>
    </w:lvl>
  </w:abstractNum>
  <w:abstractNum w:abstractNumId="79">
    <w:nsid w:val="76272110"/>
    <w:multiLevelType w:val="hybridMultilevel"/>
    <w:lvl w:ilvl="0">
      <w:lvlJc w:val="left"/>
      <w:lvlText w:val="(%1)"/>
      <w:numFmt w:val="lowerLetter"/>
      <w:start w:val="3"/>
    </w:lvl>
    <w:lvl w:ilvl="1">
      <w:lvlJc w:val="left"/>
      <w:lvlText w:val="%2"/>
      <w:numFmt w:val="lowerRoman"/>
      <w:start w:val="1"/>
    </w:lvl>
  </w:abstractNum>
  <w:abstractNum w:abstractNumId="80">
    <w:nsid w:val="4C04A8AF"/>
    <w:multiLevelType w:val="hybridMultilevel"/>
    <w:lvl w:ilvl="0">
      <w:lvlJc w:val="left"/>
      <w:lvlText w:val="(%1)"/>
      <w:numFmt w:val="lowerLetter"/>
      <w:start w:val="5"/>
    </w:lvl>
  </w:abstractNum>
  <w:abstractNum w:abstractNumId="81">
    <w:nsid w:val="1716703B"/>
    <w:multiLevelType w:val="hybridMultilevel"/>
    <w:lvl w:ilvl="0">
      <w:lvlJc w:val="left"/>
      <w:lvlText w:val="(%1)"/>
      <w:numFmt w:val="lowerLetter"/>
      <w:start w:val="6"/>
    </w:lvl>
  </w:abstractNum>
  <w:abstractNum w:abstractNumId="82">
    <w:nsid w:val="14E17E33"/>
    <w:multiLevelType w:val="hybridMultilevel"/>
    <w:lvl w:ilvl="0">
      <w:lvlJc w:val="left"/>
      <w:lvlText w:val="(%1)"/>
      <w:numFmt w:val="lowerLetter"/>
      <w:start w:val="8"/>
    </w:lvl>
  </w:abstractNum>
  <w:abstractNum w:abstractNumId="83">
    <w:nsid w:val="3222E7CD"/>
    <w:multiLevelType w:val="hybridMultilevel"/>
    <w:lvl w:ilvl="0">
      <w:lvlJc w:val="left"/>
      <w:lvlText w:val="(%1)"/>
      <w:numFmt w:val="lowerLetter"/>
      <w:start w:val="1"/>
    </w:lvl>
  </w:abstractNum>
  <w:abstractNum w:abstractNumId="84">
    <w:nsid w:val="74DE0EE3"/>
    <w:multiLevelType w:val="hybridMultilevel"/>
    <w:lvl w:ilvl="0">
      <w:lvlJc w:val="left"/>
      <w:lvlText w:val="%1."/>
      <w:numFmt w:val="decimal"/>
      <w:start w:val="11"/>
    </w:lvl>
    <w:lvl w:ilvl="1">
      <w:lvlJc w:val="left"/>
      <w:lvlText w:val="(%2)"/>
      <w:numFmt w:val="lowerLetter"/>
      <w:start w:val="1"/>
    </w:lvl>
  </w:abstractNum>
  <w:abstractNum w:abstractNumId="85">
    <w:nsid w:val="68EBC550"/>
    <w:multiLevelType w:val="hybridMultilevel"/>
    <w:lvl w:ilvl="0">
      <w:lvlJc w:val="left"/>
      <w:lvlText w:val="(%1)"/>
      <w:numFmt w:val="lowerLetter"/>
      <w:start w:val="6"/>
    </w:lvl>
  </w:abstractNum>
  <w:abstractNum w:abstractNumId="86">
    <w:nsid w:val="2DF6D648"/>
    <w:multiLevelType w:val="hybridMultilevel"/>
    <w:lvl w:ilvl="0">
      <w:lvlJc w:val="left"/>
      <w:lvlText w:val="(%1)"/>
      <w:numFmt w:val="lowerLetter"/>
      <w:start w:val="13"/>
    </w:lvl>
    <w:lvl w:ilvl="1">
      <w:lvlJc w:val="left"/>
      <w:lvlText w:val="(%2)"/>
      <w:numFmt w:val="lowerRoman"/>
      <w:start w:val="1"/>
    </w:lvl>
  </w:abstractNum>
  <w:abstractNum w:abstractNumId="87">
    <w:nsid w:val="46B7D447"/>
    <w:multiLevelType w:val="hybridMultilevel"/>
    <w:lvl w:ilvl="0">
      <w:lvlJc w:val="left"/>
      <w:lvlText w:val="%1."/>
      <w:numFmt w:val="decimal"/>
      <w:start w:val="17"/>
    </w:lvl>
    <w:lvl w:ilvl="1">
      <w:lvlJc w:val="left"/>
      <w:lvlText w:val="(%2)"/>
      <w:numFmt w:val="lowerLetter"/>
      <w:start w:val="1"/>
    </w:lvl>
  </w:abstractNum>
  <w:abstractNum w:abstractNumId="88">
    <w:nsid w:val="4A2AC315"/>
    <w:multiLevelType w:val="hybridMultilevel"/>
    <w:lvl w:ilvl="0">
      <w:lvlJc w:val="left"/>
      <w:lvlText w:val="%1"/>
      <w:numFmt w:val="decimal"/>
      <w:start w:val="1"/>
    </w:lvl>
    <w:lvl w:ilvl="1">
      <w:lvlJc w:val="left"/>
      <w:lvlText w:val="(%2)"/>
      <w:numFmt w:val="lowerLetter"/>
      <w:start w:val="2"/>
    </w:lvl>
  </w:abstractNum>
  <w:abstractNum w:abstractNumId="89">
    <w:nsid w:val="39EE015C"/>
    <w:multiLevelType w:val="hybridMultilevel"/>
    <w:lvl w:ilvl="0">
      <w:lvlJc w:val="left"/>
      <w:lvlText w:val="(%1)"/>
      <w:numFmt w:val="decimal"/>
      <w:start w:val="6"/>
    </w:lvl>
    <w:lvl w:ilvl="1">
      <w:lvlJc w:val="left"/>
      <w:lvlText w:val="(%2)"/>
      <w:numFmt w:val="lowerLetter"/>
      <w:start w:val="3"/>
    </w:lvl>
  </w:abstractNum>
  <w:abstractNum w:abstractNumId="90">
    <w:nsid w:val="57FC4FBB"/>
    <w:multiLevelType w:val="hybridMultilevel"/>
    <w:lvl w:ilvl="0">
      <w:lvlJc w:val="left"/>
      <w:lvlText w:val="%1."/>
      <w:numFmt w:val="decimal"/>
      <w:start w:val="1"/>
    </w:lvl>
    <w:lvl w:ilvl="1">
      <w:lvlJc w:val="left"/>
      <w:lvlText w:val="%2."/>
      <w:numFmt w:val="lowerLetter"/>
      <w:start w:val="1"/>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decimal"/>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7" Type="http://schemas.openxmlformats.org/officeDocument/2006/relationships/image" Target="media/image504.png"/><Relationship Id="rId518" Type="http://schemas.openxmlformats.org/officeDocument/2006/relationships/image" Target="media/image505.png"/><Relationship Id="rId528" Type="http://schemas.openxmlformats.org/officeDocument/2006/relationships/image" Target="media/image506.png"/><Relationship Id="rId536" Type="http://schemas.openxmlformats.org/officeDocument/2006/relationships/image" Target="media/image507.png"/><Relationship Id="rId556" Type="http://schemas.openxmlformats.org/officeDocument/2006/relationships/image" Target="media/image508.png"/><Relationship Id="rId560" Type="http://schemas.openxmlformats.org/officeDocument/2006/relationships/image" Target="media/image509.png"/><Relationship Id="rId561" Type="http://schemas.openxmlformats.org/officeDocument/2006/relationships/image" Target="media/image510.png"/><Relationship Id="rId562" Type="http://schemas.openxmlformats.org/officeDocument/2006/relationships/image" Target="media/image511.png"/><Relationship Id="rId563" Type="http://schemas.openxmlformats.org/officeDocument/2006/relationships/image" Target="media/image512.png"/><Relationship Id="rId564" Type="http://schemas.openxmlformats.org/officeDocument/2006/relationships/image" Target="media/image513.png"/><Relationship Id="rId565" Type="http://schemas.openxmlformats.org/officeDocument/2006/relationships/image" Target="media/image514.png"/><Relationship Id="rId566" Type="http://schemas.openxmlformats.org/officeDocument/2006/relationships/image" Target="media/image515.png"/><Relationship Id="rId567" Type="http://schemas.openxmlformats.org/officeDocument/2006/relationships/image" Target="media/image516.png"/><Relationship Id="rId568" Type="http://schemas.openxmlformats.org/officeDocument/2006/relationships/image" Target="media/image517.png"/><Relationship Id="rId569" Type="http://schemas.openxmlformats.org/officeDocument/2006/relationships/image" Target="media/image518.png"/><Relationship Id="rId570" Type="http://schemas.openxmlformats.org/officeDocument/2006/relationships/image" Target="media/image519.png"/><Relationship Id="rId571" Type="http://schemas.openxmlformats.org/officeDocument/2006/relationships/image" Target="media/image520.png"/><Relationship Id="rId572" Type="http://schemas.openxmlformats.org/officeDocument/2006/relationships/image" Target="media/image521.png"/><Relationship Id="rId573" Type="http://schemas.openxmlformats.org/officeDocument/2006/relationships/image" Target="media/image522.png"/><Relationship Id="rId574" Type="http://schemas.openxmlformats.org/officeDocument/2006/relationships/image" Target="media/image523.png"/><Relationship Id="rId575" Type="http://schemas.openxmlformats.org/officeDocument/2006/relationships/image" Target="media/image524.png"/><Relationship Id="rId576" Type="http://schemas.openxmlformats.org/officeDocument/2006/relationships/image" Target="media/image525.png"/><Relationship Id="rId577" Type="http://schemas.openxmlformats.org/officeDocument/2006/relationships/image" Target="media/image526.png"/><Relationship Id="rId578" Type="http://schemas.openxmlformats.org/officeDocument/2006/relationships/image" Target="media/image527.png"/><Relationship Id="rId579" Type="http://schemas.openxmlformats.org/officeDocument/2006/relationships/image" Target="media/image528.png"/><Relationship Id="rId580" Type="http://schemas.openxmlformats.org/officeDocument/2006/relationships/image" Target="media/image529.png"/><Relationship Id="rId581" Type="http://schemas.openxmlformats.org/officeDocument/2006/relationships/image" Target="media/image530.png"/><Relationship Id="rId582" Type="http://schemas.openxmlformats.org/officeDocument/2006/relationships/image" Target="media/image531.png"/><Relationship Id="rId583" Type="http://schemas.openxmlformats.org/officeDocument/2006/relationships/image" Target="media/image532.png"/><Relationship Id="rId584" Type="http://schemas.openxmlformats.org/officeDocument/2006/relationships/image" Target="media/image533.png"/><Relationship Id="rId585" Type="http://schemas.openxmlformats.org/officeDocument/2006/relationships/image" Target="media/image534.png"/><Relationship Id="rId586" Type="http://schemas.openxmlformats.org/officeDocument/2006/relationships/image" Target="media/image535.png"/><Relationship Id="rId587" Type="http://schemas.openxmlformats.org/officeDocument/2006/relationships/image" Target="media/image536.png"/><Relationship Id="rId588" Type="http://schemas.openxmlformats.org/officeDocument/2006/relationships/image" Target="media/image537.png"/><Relationship Id="rId589" Type="http://schemas.openxmlformats.org/officeDocument/2006/relationships/image" Target="media/image538.png"/><Relationship Id="rId590" Type="http://schemas.openxmlformats.org/officeDocument/2006/relationships/image" Target="media/image539.png"/><Relationship Id="rId591" Type="http://schemas.openxmlformats.org/officeDocument/2006/relationships/image" Target="media/image540.png"/><Relationship Id="rId592" Type="http://schemas.openxmlformats.org/officeDocument/2006/relationships/image" Target="media/image541.png"/><Relationship Id="rId593" Type="http://schemas.openxmlformats.org/officeDocument/2006/relationships/image" Target="media/image542.png"/><Relationship Id="rId594" Type="http://schemas.openxmlformats.org/officeDocument/2006/relationships/image" Target="media/image543.png"/><Relationship Id="rId595" Type="http://schemas.openxmlformats.org/officeDocument/2006/relationships/image" Target="media/image544.png"/><Relationship Id="rId596" Type="http://schemas.openxmlformats.org/officeDocument/2006/relationships/image" Target="media/image545.jpeg"/><Relationship Id="rId597" Type="http://schemas.openxmlformats.org/officeDocument/2006/relationships/image" Target="media/image546.png"/><Relationship Id="rId598" Type="http://schemas.openxmlformats.org/officeDocument/2006/relationships/image" Target="media/image547.png"/><Relationship Id="rId599" Type="http://schemas.openxmlformats.org/officeDocument/2006/relationships/image" Target="media/image548.png"/><Relationship Id="rId600" Type="http://schemas.openxmlformats.org/officeDocument/2006/relationships/image" Target="media/image549.png"/><Relationship Id="rId601" Type="http://schemas.openxmlformats.org/officeDocument/2006/relationships/image" Target="media/image550.png"/><Relationship Id="rId602" Type="http://schemas.openxmlformats.org/officeDocument/2006/relationships/image" Target="media/image551.png"/><Relationship Id="rId603" Type="http://schemas.openxmlformats.org/officeDocument/2006/relationships/image" Target="media/image552.png"/><Relationship Id="rId604" Type="http://schemas.openxmlformats.org/officeDocument/2006/relationships/image" Target="media/image553.png"/><Relationship Id="rId605" Type="http://schemas.openxmlformats.org/officeDocument/2006/relationships/image" Target="media/image554.png"/><Relationship Id="rId606" Type="http://schemas.openxmlformats.org/officeDocument/2006/relationships/image" Target="media/image555.png"/><Relationship Id="rId607" Type="http://schemas.openxmlformats.org/officeDocument/2006/relationships/image" Target="media/image556.png"/><Relationship Id="rId608" Type="http://schemas.openxmlformats.org/officeDocument/2006/relationships/image" Target="media/image557.png"/><Relationship Id="rId609" Type="http://schemas.openxmlformats.org/officeDocument/2006/relationships/image" Target="media/image558.png"/><Relationship Id="rId610" Type="http://schemas.openxmlformats.org/officeDocument/2006/relationships/image" Target="media/image559.png"/><Relationship Id="rId611" Type="http://schemas.openxmlformats.org/officeDocument/2006/relationships/image" Target="media/image560.png"/><Relationship Id="rId612" Type="http://schemas.openxmlformats.org/officeDocument/2006/relationships/image" Target="media/image561.png"/><Relationship Id="rId613" Type="http://schemas.openxmlformats.org/officeDocument/2006/relationships/image" Target="media/image562.png"/><Relationship Id="rId614" Type="http://schemas.openxmlformats.org/officeDocument/2006/relationships/image" Target="media/image563.png"/><Relationship Id="rId615" Type="http://schemas.openxmlformats.org/officeDocument/2006/relationships/image" Target="media/image564.png"/><Relationship Id="rId616" Type="http://schemas.openxmlformats.org/officeDocument/2006/relationships/image" Target="media/image565.png"/><Relationship Id="rId617" Type="http://schemas.openxmlformats.org/officeDocument/2006/relationships/image" Target="media/image566.png"/><Relationship Id="rId618" Type="http://schemas.openxmlformats.org/officeDocument/2006/relationships/image" Target="media/image567.png"/><Relationship Id="rId619" Type="http://schemas.openxmlformats.org/officeDocument/2006/relationships/image" Target="media/image568.png"/><Relationship Id="rId620" Type="http://schemas.openxmlformats.org/officeDocument/2006/relationships/image" Target="media/image569.png"/><Relationship Id="rId621" Type="http://schemas.openxmlformats.org/officeDocument/2006/relationships/image" Target="media/image570.png"/><Relationship Id="rId622" Type="http://schemas.openxmlformats.org/officeDocument/2006/relationships/image" Target="media/image571.png"/><Relationship Id="rId623" Type="http://schemas.openxmlformats.org/officeDocument/2006/relationships/image" Target="media/image572.png"/><Relationship Id="rId511" Type="http://schemas.openxmlformats.org/officeDocument/2006/relationships/hyperlink" Target="https://www.sec.gov/Archives/edgar/data/1865782/000095017025006965/btsg-ex2_1.htm" TargetMode="External"/><Relationship Id="rId512" Type="http://schemas.openxmlformats.org/officeDocument/2006/relationships/hyperlink" Target="https://www.sec.gov/Archives/edgar/data/1865782/000119312524019479/d925158dex31.htm" TargetMode="External"/><Relationship Id="rId513" Type="http://schemas.openxmlformats.org/officeDocument/2006/relationships/hyperlink" Target="https://www.sec.gov/Archives/edgar/data/1865782/000119312524019479/d925158dex32.htm" TargetMode="External"/><Relationship Id="rId514" Type="http://schemas.openxmlformats.org/officeDocument/2006/relationships/hyperlink" Target="https://www.sec.gov/Archives/edgar/data/1865782/000119312524019479/d925158dex41.htm" TargetMode="External"/><Relationship Id="rId515" Type="http://schemas.openxmlformats.org/officeDocument/2006/relationships/hyperlink" Target="https://www.sec.gov/Archives/edgar/data/1865782/000119312524019479/d925158dex44.htm" TargetMode="External"/><Relationship Id="rId516" Type="http://schemas.openxmlformats.org/officeDocument/2006/relationships/hyperlink" Target="https://www.sec.gov/Archives/edgar/data/1865782/000119312524019479/d925158dex45.htm" TargetMode="External"/><Relationship Id="rId519" Type="http://schemas.openxmlformats.org/officeDocument/2006/relationships/hyperlink" Target="https://www.sec.gov/Archives/edgar/data/1865782/000119312524005605/d251968dex41.htm" TargetMode="External"/><Relationship Id="rId520" Type="http://schemas.openxmlformats.org/officeDocument/2006/relationships/hyperlink" Target="https://www.sec.gov/Archives/edgar/data/1865782/000119312524005605/d251968dex101.htm" TargetMode="External"/><Relationship Id="rId521" Type="http://schemas.openxmlformats.org/officeDocument/2006/relationships/hyperlink" Target="https://www.sec.gov/Archives/edgar/data/1865782/000119312524005605/d251968dex1016.htm" TargetMode="External"/><Relationship Id="rId522" Type="http://schemas.openxmlformats.org/officeDocument/2006/relationships/hyperlink" Target="https://www.sec.gov/Archives/edgar/data/1865782/000119312524005605/d251968dex102.htm" TargetMode="External"/><Relationship Id="rId523" Type="http://schemas.openxmlformats.org/officeDocument/2006/relationships/hyperlink" Target="https://www.sec.gov/Archives/edgar/data/1865782/000119312524005605/d251968dex103.htm" TargetMode="External"/><Relationship Id="rId524" Type="http://schemas.openxmlformats.org/officeDocument/2006/relationships/hyperlink" Target="https://www.sec.gov/Archives/edgar/data/1865782/000119312524005605/d251968dex104.htm" TargetMode="External"/><Relationship Id="rId525" Type="http://schemas.openxmlformats.org/officeDocument/2006/relationships/hyperlink" Target="https://www.sec.gov/Archives/edgar/data/1865782/000119312524005605/d251968dex105.htm" TargetMode="External"/><Relationship Id="rId526" Type="http://schemas.openxmlformats.org/officeDocument/2006/relationships/hyperlink" Target="https://www.sec.gov/Archives/edgar/data/1865782/000119312524005605/d251968dex106.htm" TargetMode="External"/><Relationship Id="rId527" Type="http://schemas.openxmlformats.org/officeDocument/2006/relationships/hyperlink" Target="https://www.sec.gov/Archives/edgar/data/1865782/000119312524005605/d251968dex107.htm" TargetMode="External"/><Relationship Id="rId529" Type="http://schemas.openxmlformats.org/officeDocument/2006/relationships/hyperlink" Target="https://www.sec.gov/Archives/edgar/data/1865782/000119312524005605/d251968dex108.htm" TargetMode="External"/><Relationship Id="rId530" Type="http://schemas.openxmlformats.org/officeDocument/2006/relationships/hyperlink" Target="https://www.sec.gov/Archives/edgar/data/1865782/000119312524005605/d251968dex109.htm" TargetMode="External"/><Relationship Id="rId531" Type="http://schemas.openxmlformats.org/officeDocument/2006/relationships/hyperlink" Target="https://www.sec.gov/Archives/edgar/data/1865782/000119312524005605/d251968dex1010.htm" TargetMode="External"/><Relationship Id="rId532" Type="http://schemas.openxmlformats.org/officeDocument/2006/relationships/hyperlink" Target="https://www.sec.gov/Archives/edgar/data/1865782/000095017024051607/btsg-ex10_1.htm" TargetMode="External"/><Relationship Id="rId533" Type="http://schemas.openxmlformats.org/officeDocument/2006/relationships/hyperlink" Target="https://www.sec.gov/Archives/edgar/data/1865782/000095017024119820/btsg-ex10_1.htm" TargetMode="External"/><Relationship Id="rId534" Type="http://schemas.openxmlformats.org/officeDocument/2006/relationships/hyperlink" Target="https://www.sec.gov/Archives/edgar/data/1865782/000095017024135375/btsg-ex10_1.htm" TargetMode="External"/><Relationship Id="rId535" Type="http://schemas.openxmlformats.org/officeDocument/2006/relationships/hyperlink" Target="https://www.sec.gov/Archives/edgar/data/1865782/000119312524005605/d251968dex1017.htm" TargetMode="External"/><Relationship Id="rId537" Type="http://schemas.openxmlformats.org/officeDocument/2006/relationships/hyperlink" Target="https://www.sec.gov/Archives/edgar/data/1865782/000119312524005605/d251968dex1022.htm" TargetMode="External"/><Relationship Id="rId538" Type="http://schemas.openxmlformats.org/officeDocument/2006/relationships/hyperlink" Target="https://www.sec.gov/Archives/edgar/data/1865782/000119312524005605/d251968dex1023.htm" TargetMode="External"/><Relationship Id="rId539" Type="http://schemas.openxmlformats.org/officeDocument/2006/relationships/hyperlink" Target="https://www.sec.gov/Archives/edgar/data/1865782/000095017025054320/btsg-ex10_1.htm" TargetMode="External"/><Relationship Id="rId540" Type="http://schemas.openxmlformats.org/officeDocument/2006/relationships/hyperlink" Target="https://www.sec.gov/Archives/edgar/data/1865782/000119312524005605/d251968dex1024.htm" TargetMode="External"/><Relationship Id="rId541" Type="http://schemas.openxmlformats.org/officeDocument/2006/relationships/hyperlink" Target="https://www.sec.gov/ix?doc=/Archives/edgar/data/0001865782/000095017024114404/btsg-20241011.htm" TargetMode="External"/><Relationship Id="rId542" Type="http://schemas.openxmlformats.org/officeDocument/2006/relationships/hyperlink" Target="https://www.sec.gov/Archives/edgar/data/1865782/000119312524005605/d251968dex1026.htm" TargetMode="External"/><Relationship Id="rId543" Type="http://schemas.openxmlformats.org/officeDocument/2006/relationships/hyperlink" Target="https://www.sec.gov/Archives/edgar/data/1865782/000095017025034196/btsg-ex10_26.htm" TargetMode="External"/><Relationship Id="rId544" Type="http://schemas.openxmlformats.org/officeDocument/2006/relationships/hyperlink" Target="https://www.sec.gov/Archives/edgar/data/1865782/000095017025088587/btsg-ex10_1.htm" TargetMode="External"/><Relationship Id="rId545" Type="http://schemas.openxmlformats.org/officeDocument/2006/relationships/hyperlink" Target="https://www.sec.gov/Archives/edgar/data/1865782/000119312522010052/d244865dex1013.htm" TargetMode="External"/><Relationship Id="rId546" Type="http://schemas.openxmlformats.org/officeDocument/2006/relationships/hyperlink" Target="https://www.sec.gov/Archives/edgar/data/1865782/000119312524005605/d251968dex1027.htm" TargetMode="External"/><Relationship Id="rId547" Type="http://schemas.openxmlformats.org/officeDocument/2006/relationships/hyperlink" Target="https://www.sec.gov/Archives/edgar/data/1865782/000119312524005605/d251968dex1029.htm" TargetMode="External"/><Relationship Id="rId548" Type="http://schemas.openxmlformats.org/officeDocument/2006/relationships/hyperlink" Target="https://www.sec.gov/Archives/edgar/data/1865782/000119312524005605/d251968dex1030.htm" TargetMode="External"/><Relationship Id="rId549" Type="http://schemas.openxmlformats.org/officeDocument/2006/relationships/hyperlink" Target="https://www.sec.gov/Archives/edgar/data/1865782/000119312524019479/d925158dex101.htm" TargetMode="External"/><Relationship Id="rId550" Type="http://schemas.openxmlformats.org/officeDocument/2006/relationships/hyperlink" Target="https://www.sec.gov/Archives/edgar/data/1865782/000119312524008939/d251968dex1022.htm" TargetMode="External"/><Relationship Id="rId551" Type="http://schemas.openxmlformats.org/officeDocument/2006/relationships/hyperlink" Target="https://www.sec.gov/Archives/edgar/data/1865782/000119312524015164/d251968dex1023.htm" TargetMode="External"/><Relationship Id="rId552" Type="http://schemas.openxmlformats.org/officeDocument/2006/relationships/hyperlink" Target="https://www.sec.gov/Archives/edgar/data/1865782/000119312524008939/d251968dex1024.htm" TargetMode="External"/><Relationship Id="rId553" Type="http://schemas.openxmlformats.org/officeDocument/2006/relationships/hyperlink" Target="https://www.sec.gov/Archives/edgar/data/1865782/000119312524015164/d251968dex1025.htm" TargetMode="External"/><Relationship Id="rId554" Type="http://schemas.openxmlformats.org/officeDocument/2006/relationships/hyperlink" Target="https://www.sec.gov/Archives/edgar/data/1865782/000119312524008939/d251968dex1026.htm" TargetMode="External"/><Relationship Id="rId555" Type="http://schemas.openxmlformats.org/officeDocument/2006/relationships/hyperlink" Target="https://www.sec.gov/Archives/edgar/data/1865782/000119312524005605/d251968dex1031.htm" TargetMode="External"/><Relationship Id="rId557" Type="http://schemas.openxmlformats.org/officeDocument/2006/relationships/hyperlink" Target="https://www.sec.gov/Archives/edgar/data/1865782/000095017024067369/btsg-ex10_1.htm" TargetMode="External"/><Relationship Id="rId558" Type="http://schemas.openxmlformats.org/officeDocument/2006/relationships/hyperlink" Target="https://www.sec.gov/Archives/edgar/data/1865782/000095017025034196/btsg-ex19_1.htm" TargetMode="External"/><Relationship Id="rId559" Type="http://schemas.openxmlformats.org/officeDocument/2006/relationships/hyperlink" Target="https://www.sec.gov/Archives/edgar/data/1865782/000095017024027316/btsg-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2026-02-27T13:52:47Z</dcterms:created>
  <dcterms:modified xsi:type="dcterms:W3CDTF">2026-02-27T13:52:47Z</dcterms:modified>
</cp:coreProperties>
</file>