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1319530</wp:posOffset>
            </wp:positionH>
            <wp:positionV relativeFrom="page">
              <wp:posOffset>641350</wp:posOffset>
            </wp:positionV>
            <wp:extent cx="49098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09820" cy="6985"/>
                    </a:xfrm>
                    <a:prstGeom prst="rect">
                      <a:avLst/>
                    </a:prstGeom>
                    <a:noFill/>
                  </pic:spPr>
                </pic:pic>
              </a:graphicData>
            </a:graphic>
          </wp:anchor>
        </w:drawing>
        <w:drawing>
          <wp:anchor simplePos="0" relativeHeight="251657728" behindDoc="1" locked="0" layoutInCell="0" allowOverlap="1">
            <wp:simplePos x="0" y="0"/>
            <wp:positionH relativeFrom="page">
              <wp:posOffset>1319530</wp:posOffset>
            </wp:positionH>
            <wp:positionV relativeFrom="page">
              <wp:posOffset>654685</wp:posOffset>
            </wp:positionV>
            <wp:extent cx="49098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09820" cy="6985"/>
                    </a:xfrm>
                    <a:prstGeom prst="rect">
                      <a:avLst/>
                    </a:prstGeom>
                    <a:noFill/>
                  </pic:spPr>
                </pic:pic>
              </a:graphicData>
            </a:graphic>
          </wp:anchor>
        </w:drawing>
        <w:t>UNITED STATES</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61595</wp:posOffset>
            </wp:positionV>
            <wp:extent cx="9817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80010</wp:posOffset>
            </wp:positionV>
            <wp:extent cx="9817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72"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7" w:lineRule="exact"/>
        <w:rPr>
          <w:sz w:val="24"/>
          <w:szCs w:val="24"/>
          <w:color w:val="auto"/>
        </w:rPr>
      </w:pPr>
    </w:p>
    <w:p>
      <w:pPr>
        <w:jc w:val="center"/>
        <w:ind w:left="3120" w:right="759" w:hanging="2472"/>
        <w:spacing w:after="0" w:line="374" w:lineRule="auto"/>
        <w:tabs>
          <w:tab w:leader="none" w:pos="959"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 For the quarterly period ended June 30,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7" w:lineRule="exact"/>
        <w:rPr>
          <w:sz w:val="24"/>
          <w:szCs w:val="24"/>
          <w:color w:val="auto"/>
        </w:rPr>
      </w:pPr>
    </w:p>
    <w:p>
      <w:pPr>
        <w:ind w:left="960" w:hanging="312"/>
        <w:spacing w:after="0"/>
        <w:tabs>
          <w:tab w:leader="none" w:pos="96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75" w:lineRule="exact"/>
        <w:rPr>
          <w:sz w:val="24"/>
          <w:szCs w:val="24"/>
          <w:color w:val="auto"/>
        </w:rPr>
      </w:pPr>
    </w:p>
    <w:p>
      <w:pPr>
        <w:ind w:left="2960"/>
        <w:spacing w:after="0"/>
        <w:tabs>
          <w:tab w:leader="none" w:pos="590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001-41938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78740</wp:posOffset>
            </wp:positionV>
            <wp:extent cx="9817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BrightSpring Health Services, Inc.</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67310</wp:posOffset>
            </wp:positionV>
            <wp:extent cx="98171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77" w:lineRule="exact"/>
        <w:rPr>
          <w:sz w:val="24"/>
          <w:szCs w:val="24"/>
          <w:color w:val="auto"/>
        </w:rPr>
      </w:pPr>
    </w:p>
    <w:tbl>
      <w:tblPr>
        <w:tblLayout w:type="fixed"/>
        <w:tblInd w:w="2280" w:type="dxa"/>
        <w:tblCellMar>
          <w:top w:w="0" w:type="dxa"/>
          <w:left w:w="0" w:type="dxa"/>
          <w:bottom w:w="0" w:type="dxa"/>
          <w:right w:w="0" w:type="dxa"/>
        </w:tblCellMar>
      </w:tblPr>
      <w:tr>
        <w:trPr>
          <w:trHeight w:val="185"/>
        </w:trPr>
        <w:tc>
          <w:tcPr>
            <w:tcW w:w="2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82-2956404</w:t>
            </w:r>
          </w:p>
        </w:tc>
      </w:tr>
    </w:tbl>
    <w:p>
      <w:pPr>
        <w:spacing w:after="0" w:line="1" w:lineRule="exact"/>
        <w:rPr>
          <w:sz w:val="24"/>
          <w:szCs w:val="24"/>
          <w:color w:val="auto"/>
        </w:rPr>
      </w:pPr>
    </w:p>
    <w:p>
      <w:pPr>
        <w:sectPr>
          <w:pgSz w:w="11900" w:h="16838" w:orient="portrait"/>
          <w:cols w:equalWidth="0" w:num="1">
            <w:col w:w="9019"/>
          </w:cols>
          <w:pgMar w:left="1440" w:top="1132" w:right="1440" w:bottom="1440" w:gutter="0" w:footer="0" w:header="0"/>
        </w:sectPr>
      </w:pPr>
    </w:p>
    <w:p>
      <w:pPr>
        <w:ind w:left="1940"/>
        <w:spacing w:after="0" w:line="224" w:lineRule="auto"/>
        <w:rPr>
          <w:sz w:val="20"/>
          <w:szCs w:val="20"/>
          <w:color w:val="auto"/>
        </w:rPr>
      </w:pPr>
      <w:r>
        <w:rPr>
          <w:rFonts w:ascii="Times New Roman" w:cs="Times New Roman" w:eastAsia="Times New Roman" w:hAnsi="Times New Roman"/>
          <w:sz w:val="10"/>
          <w:szCs w:val="10"/>
          <w:b w:val="1"/>
          <w:bCs w:val="1"/>
          <w:color w:val="auto"/>
        </w:rPr>
        <w:t>(State or other jurisdiction of</w:t>
      </w:r>
    </w:p>
    <w:p>
      <w:pPr>
        <w:ind w:left="1920"/>
        <w:spacing w:after="0"/>
        <w:rPr>
          <w:sz w:val="20"/>
          <w:szCs w:val="20"/>
          <w:color w:val="auto"/>
        </w:rPr>
      </w:pPr>
      <w:r>
        <w:rPr>
          <w:rFonts w:ascii="Times New Roman" w:cs="Times New Roman" w:eastAsia="Times New Roman" w:hAnsi="Times New Roman"/>
          <w:sz w:val="10"/>
          <w:szCs w:val="10"/>
          <w:b w:val="1"/>
          <w:bCs w:val="1"/>
          <w:color w:val="auto"/>
        </w:rPr>
        <w:t>incorporation or organization)</w:t>
      </w:r>
    </w:p>
    <w:p>
      <w:pPr>
        <w:spacing w:after="0" w:line="4"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4"/>
          <w:szCs w:val="14"/>
          <w:b w:val="1"/>
          <w:bCs w:val="1"/>
          <w:color w:val="auto"/>
        </w:rPr>
        <w:t>805 N. Whittington Parkway</w:t>
      </w:r>
    </w:p>
    <w:p>
      <w:pPr>
        <w:spacing w:after="0" w:line="12"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4"/>
          <w:szCs w:val="14"/>
          <w:b w:val="1"/>
          <w:bCs w:val="1"/>
          <w:color w:val="auto"/>
        </w:rPr>
        <w:t>Louisville, Kentucky</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84"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40222</w:t>
      </w:r>
    </w:p>
    <w:p>
      <w:pPr>
        <w:spacing w:after="0" w:line="24" w:lineRule="exact"/>
        <w:rPr>
          <w:sz w:val="24"/>
          <w:szCs w:val="24"/>
          <w:color w:val="auto"/>
        </w:rPr>
      </w:pPr>
    </w:p>
    <w:p>
      <w:pPr>
        <w:sectPr>
          <w:pgSz w:w="11900" w:h="16838" w:orient="portrait"/>
          <w:cols w:equalWidth="0" w:num="2">
            <w:col w:w="5320" w:space="720"/>
            <w:col w:w="2979"/>
          </w:cols>
          <w:pgMar w:left="1440" w:top="1132" w:right="1440" w:bottom="1440" w:gutter="0" w:footer="0" w:header="0"/>
          <w:type w:val="continuous"/>
        </w:sectPr>
      </w:pPr>
    </w:p>
    <w:p>
      <w:pPr>
        <w:ind w:left="1740"/>
        <w:spacing w:after="0"/>
        <w:tabs>
          <w:tab w:leader="none" w:pos="6180" w:val="left"/>
        </w:tabs>
        <w:rPr>
          <w:sz w:val="20"/>
          <w:szCs w:val="20"/>
          <w:color w:val="auto"/>
        </w:rPr>
      </w:pPr>
      <w:r>
        <w:rPr>
          <w:rFonts w:ascii="Times New Roman" w:cs="Times New Roman" w:eastAsia="Times New Roman" w:hAnsi="Times New Roman"/>
          <w:sz w:val="10"/>
          <w:szCs w:val="10"/>
          <w:b w:val="1"/>
          <w:bCs w:val="1"/>
          <w:color w:val="auto"/>
        </w:rPr>
        <w:t>(Address of principal executive offices)</w:t>
      </w:r>
      <w:r>
        <w:rPr>
          <w:sz w:val="20"/>
          <w:szCs w:val="20"/>
          <w:color w:val="auto"/>
        </w:rPr>
        <w:tab/>
      </w:r>
      <w:r>
        <w:rPr>
          <w:rFonts w:ascii="Times New Roman" w:cs="Times New Roman" w:eastAsia="Times New Roman" w:hAnsi="Times New Roman"/>
          <w:sz w:val="9"/>
          <w:szCs w:val="9"/>
          <w:b w:val="1"/>
          <w:bCs w:val="1"/>
          <w:color w:val="auto"/>
        </w:rPr>
        <w:t>(Zip Code)</w:t>
      </w:r>
    </w:p>
    <w:p>
      <w:pPr>
        <w:spacing w:after="0" w:line="33"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(502) 394-2100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78740</wp:posOffset>
            </wp:positionV>
            <wp:extent cx="98171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47"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59" w:lineRule="exact"/>
        <w:rPr>
          <w:sz w:val="24"/>
          <w:szCs w:val="24"/>
          <w:color w:val="auto"/>
        </w:rPr>
      </w:pPr>
    </w:p>
    <w:tbl>
      <w:tblPr>
        <w:tblLayout w:type="fixed"/>
        <w:tblInd w:w="640" w:type="dxa"/>
        <w:tblCellMar>
          <w:top w:w="0" w:type="dxa"/>
          <w:left w:w="0" w:type="dxa"/>
          <w:bottom w:w="0" w:type="dxa"/>
          <w:right w:w="0" w:type="dxa"/>
        </w:tblCellMar>
      </w:tblPr>
      <w:tr>
        <w:trPr>
          <w:trHeight w:val="126"/>
        </w:trPr>
        <w:tc>
          <w:tcPr>
            <w:tcW w:w="29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80" w:type="dxa"/>
            <w:vAlign w:val="bottom"/>
          </w:tcPr>
          <w:p>
            <w:pPr>
              <w:spacing w:after="0"/>
              <w:rPr>
                <w:sz w:val="11"/>
                <w:szCs w:val="1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80" w:type="dxa"/>
            <w:vAlign w:val="bottom"/>
          </w:tcPr>
          <w:p>
            <w:pPr>
              <w:spacing w:after="0"/>
              <w:rPr>
                <w:sz w:val="11"/>
                <w:szCs w:val="11"/>
                <w:color w:val="auto"/>
              </w:rPr>
            </w:pPr>
          </w:p>
        </w:tc>
        <w:tc>
          <w:tcPr>
            <w:tcW w:w="34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137"/>
        </w:trPr>
        <w:tc>
          <w:tcPr>
            <w:tcW w:w="294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80" w:type="dxa"/>
            <w:vAlign w:val="bottom"/>
          </w:tcPr>
          <w:p>
            <w:pPr>
              <w:spacing w:after="0"/>
              <w:rPr>
                <w:sz w:val="11"/>
                <w:szCs w:val="11"/>
                <w:color w:val="auto"/>
              </w:rPr>
            </w:pPr>
          </w:p>
        </w:tc>
        <w:tc>
          <w:tcPr>
            <w:tcW w:w="34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9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auto"/>
                <w:w w:val="99"/>
              </w:rPr>
              <w:t>Common Stock, par value $0.01 per share</w:t>
            </w:r>
          </w:p>
        </w:tc>
        <w:tc>
          <w:tcPr>
            <w:tcW w:w="80" w:type="dxa"/>
            <w:vAlign w:val="bottom"/>
          </w:tcPr>
          <w:p>
            <w:pPr>
              <w:spacing w:after="0"/>
              <w:rPr>
                <w:sz w:val="12"/>
                <w:szCs w:val="12"/>
                <w:color w:val="auto"/>
              </w:rPr>
            </w:pPr>
          </w:p>
        </w:tc>
        <w:tc>
          <w:tcPr>
            <w:tcW w:w="11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auto"/>
                <w:w w:val="96"/>
              </w:rPr>
              <w:t>BTSG</w:t>
            </w:r>
          </w:p>
        </w:tc>
        <w:tc>
          <w:tcPr>
            <w:tcW w:w="80" w:type="dxa"/>
            <w:vAlign w:val="bottom"/>
          </w:tcPr>
          <w:p>
            <w:pPr>
              <w:spacing w:after="0"/>
              <w:rPr>
                <w:sz w:val="12"/>
                <w:szCs w:val="12"/>
                <w:color w:val="auto"/>
              </w:rPr>
            </w:pPr>
          </w:p>
        </w:tc>
        <w:tc>
          <w:tcPr>
            <w:tcW w:w="34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auto"/>
                <w:w w:val="98"/>
              </w:rPr>
              <w:t>The Nasdaq Stock Market LLC</w:t>
            </w:r>
          </w:p>
        </w:tc>
        <w:tc>
          <w:tcPr>
            <w:tcW w:w="0" w:type="dxa"/>
            <w:vAlign w:val="bottom"/>
          </w:tcPr>
          <w:p>
            <w:pPr>
              <w:spacing w:after="0"/>
              <w:rPr>
                <w:sz w:val="1"/>
                <w:szCs w:val="1"/>
                <w:color w:val="auto"/>
              </w:rPr>
            </w:pPr>
          </w:p>
        </w:tc>
      </w:tr>
      <w:tr>
        <w:trPr>
          <w:trHeight w:val="167"/>
        </w:trPr>
        <w:tc>
          <w:tcPr>
            <w:tcW w:w="2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6.75% Tangible Equity Units</w:t>
            </w:r>
          </w:p>
        </w:tc>
        <w:tc>
          <w:tcPr>
            <w:tcW w:w="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BTSGU</w:t>
            </w:r>
          </w:p>
        </w:tc>
        <w:tc>
          <w:tcPr>
            <w:tcW w:w="80" w:type="dxa"/>
            <w:vAlign w:val="bottom"/>
          </w:tcPr>
          <w:p>
            <w:pPr>
              <w:spacing w:after="0"/>
              <w:rPr>
                <w:sz w:val="14"/>
                <w:szCs w:val="14"/>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The Nasdaq Stock Market LLC</w:t>
            </w:r>
          </w:p>
        </w:tc>
        <w:tc>
          <w:tcPr>
            <w:tcW w:w="0" w:type="dxa"/>
            <w:vAlign w:val="bottom"/>
          </w:tcPr>
          <w:p>
            <w:pPr>
              <w:spacing w:after="0"/>
              <w:rPr>
                <w:sz w:val="1"/>
                <w:szCs w:val="1"/>
                <w:color w:val="auto"/>
              </w:rPr>
            </w:pPr>
          </w:p>
        </w:tc>
      </w:tr>
    </w:tbl>
    <w:p>
      <w:pPr>
        <w:spacing w:after="0" w:line="48" w:lineRule="exact"/>
        <w:rPr>
          <w:sz w:val="24"/>
          <w:szCs w:val="24"/>
          <w:color w:val="auto"/>
        </w:rPr>
      </w:pPr>
    </w:p>
    <w:p>
      <w:pPr>
        <w:ind w:left="640" w:right="699"/>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left="640" w:right="739"/>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left="640" w:right="779"/>
        <w:spacing w:after="0" w:line="27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640" w:type="dxa"/>
        <w:tblCellMar>
          <w:top w:w="0" w:type="dxa"/>
          <w:left w:w="0" w:type="dxa"/>
          <w:bottom w:w="0" w:type="dxa"/>
          <w:right w:w="0" w:type="dxa"/>
        </w:tblCellMar>
      </w:tblPr>
      <w:tr>
        <w:trPr>
          <w:trHeight w:val="161"/>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320" w:type="dxa"/>
            <w:vAlign w:val="bottom"/>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Accelerated filer</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61"/>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320" w:type="dxa"/>
            <w:vAlign w:val="bottom"/>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2320" w:type="dxa"/>
            <w:vAlign w:val="bottom"/>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39" w:lineRule="exact"/>
        <w:rPr>
          <w:sz w:val="24"/>
          <w:szCs w:val="24"/>
          <w:color w:val="auto"/>
        </w:rPr>
      </w:pPr>
    </w:p>
    <w:p>
      <w:pPr>
        <w:jc w:val="both"/>
        <w:ind w:left="640" w:right="699"/>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left="640" w:right="1519"/>
        <w:spacing w:after="0" w:line="19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The number of shares of Registrant’s Common Stock outstanding as of July 29, 2025 was 177,148,693.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58420</wp:posOffset>
            </wp:positionH>
            <wp:positionV relativeFrom="paragraph">
              <wp:posOffset>748030</wp:posOffset>
            </wp:positionV>
            <wp:extent cx="56038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85090</wp:posOffset>
            </wp:positionV>
            <wp:extent cx="490982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09820" cy="698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99060</wp:posOffset>
            </wp:positionV>
            <wp:extent cx="490982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09820" cy="6985"/>
                    </a:xfrm>
                    <a:prstGeom prst="rect">
                      <a:avLst/>
                    </a:prstGeom>
                    <a:noFill/>
                  </pic:spPr>
                </pic:pic>
              </a:graphicData>
            </a:graphic>
          </wp:anchor>
        </w:drawing>
      </w:r>
    </w:p>
    <w:p>
      <w:pPr>
        <w:sectPr>
          <w:pgSz w:w="11900" w:h="16838" w:orient="portrait"/>
          <w:cols w:equalWidth="0" w:num="1">
            <w:col w:w="9019"/>
          </w:cols>
          <w:pgMar w:left="1440" w:top="1132" w:right="1440"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80" w:lineRule="exact"/>
        <w:rPr>
          <w:sz w:val="20"/>
          <w:szCs w:val="20"/>
          <w:color w:val="auto"/>
        </w:rPr>
      </w:pPr>
    </w:p>
    <w:tbl>
      <w:tblPr>
        <w:tblLayout w:type="fixed"/>
        <w:tblInd w:w="650" w:type="dxa"/>
        <w:tblCellMar>
          <w:top w:w="0" w:type="dxa"/>
          <w:left w:w="0" w:type="dxa"/>
          <w:bottom w:w="0" w:type="dxa"/>
          <w:right w:w="0" w:type="dxa"/>
        </w:tblCellMar>
      </w:tblPr>
      <w:tr>
        <w:trPr>
          <w:trHeight w:val="137"/>
        </w:trPr>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302"/>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64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FINANCIAL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64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Financial Statements (Unaudited)</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Balance Sheets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Operations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Comprehensive Income (Loss)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Shareholders' Equity</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80" w:type="dxa"/>
            <w:vAlign w:val="bottom"/>
            <w:tcBorders>
              <w:left w:val="single" w:sz="8" w:color="0000FF"/>
            </w:tcBorders>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Cash Flows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Notes to Condensed Consolidated Financial Statements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34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2.</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0" w:type="dxa"/>
            <w:vAlign w:val="bottom"/>
            <w:tcBorders>
              <w:left w:val="single" w:sz="8" w:color="0000FF"/>
            </w:tcBorders>
            <w:gridSpan w:val="5"/>
            <w:shd w:val="clear" w:color="auto" w:fill="0000FF"/>
          </w:tcPr>
          <w:p>
            <w:pPr>
              <w:spacing w:after="0" w:line="20" w:lineRule="exact"/>
              <w:rPr>
                <w:sz w:val="1"/>
                <w:szCs w:val="1"/>
                <w:color w:val="auto"/>
              </w:rPr>
            </w:pPr>
          </w:p>
        </w:tc>
        <w:tc>
          <w:tcPr>
            <w:tcW w:w="1680" w:type="dxa"/>
            <w:vAlign w:val="bottom"/>
            <w:tcBorders>
              <w:left w:val="single" w:sz="8" w:color="0000FF"/>
            </w:tcBorders>
            <w:gridSpan w:val="2"/>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3.</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0" w:type="dxa"/>
            <w:vAlign w:val="bottom"/>
            <w:tcBorders>
              <w:left w:val="single" w:sz="8" w:color="0000FF"/>
            </w:tcBorders>
            <w:gridSpan w:val="5"/>
            <w:shd w:val="clear" w:color="auto" w:fill="0000FF"/>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4.</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Controls and Procedures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0"/>
        </w:trPr>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780" w:type="dxa"/>
            <w:vAlign w:val="bottom"/>
            <w:gridSpan w:val="2"/>
            <w:vMerge w:val="continue"/>
          </w:tcPr>
          <w:p>
            <w:pPr>
              <w:spacing w:after="0"/>
              <w:rPr>
                <w:sz w:val="24"/>
                <w:szCs w:val="24"/>
                <w:color w:val="auto"/>
              </w:rPr>
            </w:pPr>
          </w:p>
        </w:tc>
        <w:tc>
          <w:tcPr>
            <w:tcW w:w="64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64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gridSpan w:val="4"/>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1A.</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Risk Factors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2.</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1600" w:type="dxa"/>
            <w:vAlign w:val="bottom"/>
            <w:tcBorders>
              <w:left w:val="single" w:sz="8" w:color="0000FF"/>
            </w:tcBorders>
            <w:gridSpan w:val="5"/>
            <w:shd w:val="clear" w:color="auto" w:fill="0000FF"/>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3.</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Defaults Upon Senior Securities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456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4.</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Mine Safety Disclosures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5020" w:type="dxa"/>
            <w:vAlign w:val="bottom"/>
            <w:gridSpan w:val="11"/>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5.</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Other Information</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380" w:type="dxa"/>
            <w:vAlign w:val="bottom"/>
            <w:gridSpan w:val="1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6.</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Exhibits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0000FF"/>
              </w:rPr>
              <w:t>Signatures</w:t>
            </w:r>
          </w:p>
        </w:tc>
        <w:tc>
          <w:tcPr>
            <w:tcW w:w="48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2" w:name="page3"/>
    <w:bookmarkEnd w:id="2"/>
    <w:p>
      <w:pPr>
        <w:ind w:left="640" w:right="879"/>
        <w:spacing w:after="0" w:line="292" w:lineRule="auto"/>
        <w:rPr>
          <w:sz w:val="20"/>
          <w:szCs w:val="20"/>
          <w:color w:val="auto"/>
        </w:rPr>
      </w:pPr>
      <w:r>
        <w:rPr>
          <w:rFonts w:ascii="Times New Roman" w:cs="Times New Roman" w:eastAsia="Times New Roman" w:hAnsi="Times New Roman"/>
          <w:sz w:val="14"/>
          <w:szCs w:val="14"/>
          <w:color w:val="auto"/>
        </w:rPr>
        <w:t>Unless the context requires otherwise, references in this Quarterly Report on Form 10-Q (this “Form 10-Q”) to “BrightSpring,” the “Company,” “we,” “us,” and “our” refer to BrightSpring Health Services, Inc. and its consolidated subsidiaries.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85" w:lineRule="exact"/>
        <w:rPr>
          <w:sz w:val="20"/>
          <w:szCs w:val="20"/>
          <w:color w:val="auto"/>
        </w:rPr>
      </w:pPr>
    </w:p>
    <w:p>
      <w:pPr>
        <w:ind w:left="640" w:right="659" w:firstLine="516"/>
        <w:spacing w:after="0" w:line="268" w:lineRule="auto"/>
        <w:rPr>
          <w:sz w:val="20"/>
          <w:szCs w:val="20"/>
          <w:color w:val="auto"/>
        </w:rPr>
      </w:pPr>
      <w:r>
        <w:rPr>
          <w:rFonts w:ascii="Times New Roman" w:cs="Times New Roman" w:eastAsia="Times New Roman" w:hAnsi="Times New Roman"/>
          <w:sz w:val="14"/>
          <w:szCs w:val="14"/>
          <w:color w:val="auto"/>
        </w:rPr>
        <w:t>This Quarterly Report on Form 10-Q includes forward-looking statements that reflect our current views with respect to, among other things, our operations, and financial performance. We have used the words “anticipate,” “assume,” “believe,” “continue,” “could,” “estimate,” “expect,” “intend,” “may,” “plan,” “potential,” “predict,” “project,” “future,” “will,” “seek,” “foreseeable,” the negative version of these words, or similar terms and phrases to identify forward-looking statements.</w:t>
      </w:r>
    </w:p>
    <w:p>
      <w:pPr>
        <w:spacing w:after="0" w:line="54" w:lineRule="exact"/>
        <w:rPr>
          <w:sz w:val="20"/>
          <w:szCs w:val="20"/>
          <w:color w:val="auto"/>
        </w:rPr>
      </w:pPr>
    </w:p>
    <w:p>
      <w:pPr>
        <w:ind w:left="640" w:right="679" w:firstLine="516"/>
        <w:spacing w:after="0" w:line="268" w:lineRule="auto"/>
        <w:rPr>
          <w:sz w:val="20"/>
          <w:szCs w:val="20"/>
          <w:color w:val="auto"/>
        </w:rPr>
      </w:pPr>
      <w:r>
        <w:rPr>
          <w:rFonts w:ascii="Times New Roman" w:cs="Times New Roman" w:eastAsia="Times New Roman" w:hAnsi="Times New Roman"/>
          <w:sz w:val="14"/>
          <w:szCs w:val="14"/>
          <w:color w:val="auto"/>
        </w:rPr>
        <w:t>Forward-looking statements are neither historical facts nor assurances of future performance. Instead, they are based only on our current beliefs, expectations and assumptions regarding the future of our industries, business strategy, goals and expectations concerning our market position, future operations, margins, profitability, capital expenditures, liquidity and capital resources and other financial and operating information. We believe that these factors include but are not limited to the following:</w:t>
      </w:r>
    </w:p>
    <w:p>
      <w:pPr>
        <w:spacing w:after="0" w:line="54" w:lineRule="exact"/>
        <w:rPr>
          <w:sz w:val="20"/>
          <w:szCs w:val="20"/>
          <w:color w:val="auto"/>
        </w:rPr>
      </w:pPr>
    </w:p>
    <w:p>
      <w:pPr>
        <w:ind w:left="1420" w:hanging="267"/>
        <w:spacing w:after="0"/>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operation in a highly competitive industry;</w:t>
      </w:r>
    </w:p>
    <w:p>
      <w:pPr>
        <w:spacing w:after="0" w:line="96"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maintain relationships with existing patient referral sources or establish new referral sources;</w:t>
      </w:r>
    </w:p>
    <w:p>
      <w:pPr>
        <w:spacing w:after="0" w:line="96"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Medicare and Medicaid rates or methods governing Medicare and Medicaid payments for our services;</w:t>
      </w:r>
    </w:p>
    <w:p>
      <w:pPr>
        <w:spacing w:after="0" w:line="96"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containment initiatives of third-party payors, including post-payment audits;</w:t>
      </w:r>
    </w:p>
    <w:p>
      <w:pPr>
        <w:spacing w:after="0" w:line="96" w:lineRule="exact"/>
        <w:rPr>
          <w:rFonts w:ascii="Times New Roman" w:cs="Times New Roman" w:eastAsia="Times New Roman" w:hAnsi="Times New Roman"/>
          <w:sz w:val="14"/>
          <w:szCs w:val="14"/>
          <w:color w:val="auto"/>
        </w:rPr>
      </w:pPr>
    </w:p>
    <w:p>
      <w:pPr>
        <w:ind w:left="1420" w:right="679" w:hanging="267"/>
        <w:spacing w:after="0" w:line="292" w:lineRule="auto"/>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alternative payment models and the transition of Medicaid and Medicare beneficiaries to managed care organizations may limit our market share and could adversely affect our revenues;</w:t>
      </w:r>
    </w:p>
    <w:p>
      <w:pPr>
        <w:spacing w:after="0" w:line="37" w:lineRule="exact"/>
        <w:rPr>
          <w:rFonts w:ascii="Times New Roman" w:cs="Times New Roman" w:eastAsia="Times New Roman" w:hAnsi="Times New Roman"/>
          <w:sz w:val="14"/>
          <w:szCs w:val="14"/>
          <w:color w:val="auto"/>
        </w:rPr>
      </w:pPr>
    </w:p>
    <w:p>
      <w:pPr>
        <w:ind w:left="1420" w:right="839" w:hanging="267"/>
        <w:spacing w:after="0" w:line="292" w:lineRule="auto"/>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case mix of patients, as well as payor mix and payment methodologies, and decisions and operations of third-party organizations;</w:t>
      </w:r>
    </w:p>
    <w:p>
      <w:pPr>
        <w:spacing w:after="0" w:line="37" w:lineRule="exact"/>
        <w:rPr>
          <w:rFonts w:ascii="Times New Roman" w:cs="Times New Roman" w:eastAsia="Times New Roman" w:hAnsi="Times New Roman"/>
          <w:sz w:val="14"/>
          <w:szCs w:val="14"/>
          <w:color w:val="auto"/>
        </w:rPr>
      </w:pPr>
    </w:p>
    <w:p>
      <w:pPr>
        <w:ind w:left="1420" w:right="1139" w:hanging="267"/>
        <w:spacing w:after="0" w:line="292" w:lineRule="auto"/>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federal and state spending, budget decisions, and continuous governmental operations which may fluctuate under different political conditions;</w:t>
      </w:r>
    </w:p>
    <w:p>
      <w:pPr>
        <w:spacing w:after="0" w:line="37" w:lineRule="exact"/>
        <w:rPr>
          <w:rFonts w:ascii="Times New Roman" w:cs="Times New Roman" w:eastAsia="Times New Roman" w:hAnsi="Times New Roman"/>
          <w:sz w:val="14"/>
          <w:szCs w:val="14"/>
          <w:color w:val="auto"/>
        </w:rPr>
      </w:pPr>
    </w:p>
    <w:p>
      <w:pPr>
        <w:ind w:left="1420" w:right="879" w:hanging="267"/>
        <w:spacing w:after="0" w:line="292" w:lineRule="auto"/>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drug utilization and/or pricing, PBM contracts, and Medicare Part D/Medicaid reimbursement, which may negatively impact our profitability;</w:t>
      </w:r>
    </w:p>
    <w:p>
      <w:pPr>
        <w:spacing w:after="0" w:line="37"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relationships with pharmaceutical suppliers, including changes in drug availability or pricing;</w:t>
      </w:r>
    </w:p>
    <w:p>
      <w:pPr>
        <w:spacing w:after="0" w:line="96" w:lineRule="exact"/>
        <w:rPr>
          <w:rFonts w:ascii="Times New Roman" w:cs="Times New Roman" w:eastAsia="Times New Roman" w:hAnsi="Times New Roman"/>
          <w:sz w:val="14"/>
          <w:szCs w:val="14"/>
          <w:color w:val="auto"/>
        </w:rPr>
      </w:pPr>
    </w:p>
    <w:p>
      <w:pPr>
        <w:ind w:left="1420" w:right="1259" w:hanging="267"/>
        <w:spacing w:after="0" w:line="292" w:lineRule="auto"/>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reliance on the continual recruitment and retention of nurses, pharmacists, therapists, caregivers, direct support professionals, and other qualified personnel, including senior management;</w:t>
      </w:r>
    </w:p>
    <w:p>
      <w:pPr>
        <w:spacing w:after="0" w:line="37" w:lineRule="exact"/>
        <w:rPr>
          <w:rFonts w:ascii="Times New Roman" w:cs="Times New Roman" w:eastAsia="Times New Roman" w:hAnsi="Times New Roman"/>
          <w:sz w:val="14"/>
          <w:szCs w:val="14"/>
          <w:color w:val="auto"/>
        </w:rPr>
      </w:pPr>
    </w:p>
    <w:p>
      <w:pPr>
        <w:ind w:left="1420" w:right="1039" w:hanging="267"/>
        <w:spacing w:after="0" w:line="292" w:lineRule="auto"/>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or changes to federal, state, and local laws and regulations that govern our employment practices, including minimum wage, living wage, and paid time-off requirements;</w:t>
      </w:r>
    </w:p>
    <w:p>
      <w:pPr>
        <w:spacing w:after="0" w:line="37"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 of our results of operations on a quarterly basis;</w:t>
      </w:r>
    </w:p>
    <w:p>
      <w:pPr>
        <w:spacing w:after="0" w:line="96"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harm caused by labor relation matters;</w:t>
      </w:r>
    </w:p>
    <w:p>
      <w:pPr>
        <w:spacing w:after="0" w:line="96" w:lineRule="exact"/>
        <w:rPr>
          <w:rFonts w:ascii="Times New Roman" w:cs="Times New Roman" w:eastAsia="Times New Roman" w:hAnsi="Times New Roman"/>
          <w:sz w:val="14"/>
          <w:szCs w:val="14"/>
          <w:color w:val="auto"/>
        </w:rPr>
      </w:pPr>
    </w:p>
    <w:p>
      <w:pPr>
        <w:ind w:left="1420" w:right="779" w:hanging="267"/>
        <w:spacing w:after="0" w:line="292" w:lineRule="auto"/>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in our ability to control reimbursement rates received for our services if we are unable to maintain or reduce our costs to provide such services;</w:t>
      </w:r>
    </w:p>
    <w:p>
      <w:pPr>
        <w:spacing w:after="0" w:line="37"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collection or non-collection of our accounts receivable, particularly during the business integration process;</w:t>
      </w:r>
    </w:p>
    <w:p>
      <w:pPr>
        <w:spacing w:after="0" w:line="96" w:lineRule="exact"/>
        <w:rPr>
          <w:rFonts w:ascii="Times New Roman" w:cs="Times New Roman" w:eastAsia="Times New Roman" w:hAnsi="Times New Roman"/>
          <w:sz w:val="14"/>
          <w:szCs w:val="14"/>
          <w:color w:val="auto"/>
        </w:rPr>
      </w:pPr>
    </w:p>
    <w:p>
      <w:pPr>
        <w:ind w:left="1420" w:right="659" w:hanging="267"/>
        <w:spacing w:after="0" w:line="292" w:lineRule="auto"/>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manage our growth effectively, which may inhibit our ability to execute our business plan, maintain high levels of service and satisfaction or adequately address competitive challenges;</w:t>
      </w:r>
    </w:p>
    <w:p>
      <w:pPr>
        <w:spacing w:after="0" w:line="37" w:lineRule="exact"/>
        <w:rPr>
          <w:rFonts w:ascii="Times New Roman" w:cs="Times New Roman" w:eastAsia="Times New Roman" w:hAnsi="Times New Roman"/>
          <w:sz w:val="14"/>
          <w:szCs w:val="14"/>
          <w:color w:val="auto"/>
        </w:rPr>
      </w:pPr>
    </w:p>
    <w:p>
      <w:pPr>
        <w:ind w:left="1420" w:right="999" w:hanging="267"/>
        <w:spacing w:after="0" w:line="292" w:lineRule="auto"/>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successfully complete and manage acquisitions, joint ventures, and other strategic initiatives, including the pending sale of our Community Living business;</w:t>
      </w:r>
    </w:p>
    <w:p>
      <w:pPr>
        <w:spacing w:after="0" w:line="37"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provide consistently high quality of care;</w:t>
      </w:r>
    </w:p>
    <w:p>
      <w:pPr>
        <w:spacing w:after="0" w:line="96" w:lineRule="exact"/>
        <w:rPr>
          <w:rFonts w:ascii="Times New Roman" w:cs="Times New Roman" w:eastAsia="Times New Roman" w:hAnsi="Times New Roman"/>
          <w:sz w:val="14"/>
          <w:szCs w:val="14"/>
          <w:color w:val="auto"/>
        </w:rPr>
      </w:pPr>
    </w:p>
    <w:p>
      <w:pPr>
        <w:ind w:left="1420" w:right="719" w:hanging="267"/>
        <w:spacing w:after="0" w:line="292" w:lineRule="auto"/>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maintenance of our corporate reputation or the emergence of adverse publicity, including negative information on social media or changes in public perception of our services;</w:t>
      </w:r>
    </w:p>
    <w:p>
      <w:pPr>
        <w:spacing w:after="0" w:line="37" w:lineRule="exact"/>
        <w:rPr>
          <w:rFonts w:ascii="Times New Roman" w:cs="Times New Roman" w:eastAsia="Times New Roman" w:hAnsi="Times New Roman"/>
          <w:sz w:val="14"/>
          <w:szCs w:val="14"/>
          <w:color w:val="auto"/>
        </w:rPr>
      </w:pPr>
    </w:p>
    <w:p>
      <w:pPr>
        <w:ind w:left="1420" w:right="899" w:hanging="267"/>
        <w:spacing w:after="0" w:line="274" w:lineRule="auto"/>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 continuance, expansion and renewal with our existing customers, including renewals at lower fee levels, customers declining to purchase additional services from us, or reduction in the services received from us pursuant to those contracts;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3" w:name="page4"/>
    <w:bookmarkEnd w:id="3"/>
    <w:p>
      <w:pPr>
        <w:ind w:left="1420" w:right="759" w:hanging="267"/>
        <w:spacing w:after="0" w:line="292" w:lineRule="auto"/>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investment in, implementation of improvements to and proper maintenance of the uninterrupted operation and data integrity of our information technology and other business systems;</w:t>
      </w:r>
    </w:p>
    <w:p>
      <w:pPr>
        <w:spacing w:after="0" w:line="37" w:lineRule="exact"/>
        <w:rPr>
          <w:rFonts w:ascii="Times New Roman" w:cs="Times New Roman" w:eastAsia="Times New Roman" w:hAnsi="Times New Roman"/>
          <w:sz w:val="14"/>
          <w:szCs w:val="14"/>
          <w:color w:val="auto"/>
        </w:rPr>
      </w:pPr>
    </w:p>
    <w:p>
      <w:pPr>
        <w:jc w:val="both"/>
        <w:ind w:left="1420" w:right="699" w:hanging="267"/>
        <w:spacing w:after="0" w:line="268" w:lineRule="auto"/>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breaches, loss of data, and other disruptions, which could compromise sensitive business or patient information; cause a loss of confidential patient data, employee data or personal information; or prevent access to critical information and thereby expose us to liability, litigation, and federal and state governmental inquiries and damage our reputation and brand;</w:t>
      </w:r>
    </w:p>
    <w:p>
      <w:pPr>
        <w:spacing w:after="0" w:line="54"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credit card payments and other payment methods;</w:t>
      </w:r>
    </w:p>
    <w:p>
      <w:pPr>
        <w:spacing w:after="0" w:line="96"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substantial malpractice or other similar claims;</w:t>
      </w:r>
    </w:p>
    <w:p>
      <w:pPr>
        <w:spacing w:after="0" w:line="96" w:lineRule="exact"/>
        <w:rPr>
          <w:rFonts w:ascii="Times New Roman" w:cs="Times New Roman" w:eastAsia="Times New Roman" w:hAnsi="Times New Roman"/>
          <w:sz w:val="14"/>
          <w:szCs w:val="14"/>
          <w:color w:val="auto"/>
        </w:rPr>
      </w:pPr>
    </w:p>
    <w:p>
      <w:pPr>
        <w:ind w:left="1420" w:right="719" w:hanging="267"/>
        <w:spacing w:after="0" w:line="292" w:lineRule="auto"/>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various risks related to governmental inquiries, regulatory actions, and whistleblower and other lawsuits, which may not be entirely covered by insurance;</w:t>
      </w:r>
    </w:p>
    <w:p>
      <w:pPr>
        <w:spacing w:after="0" w:line="37" w:lineRule="exact"/>
        <w:rPr>
          <w:rFonts w:ascii="Times New Roman" w:cs="Times New Roman" w:eastAsia="Times New Roman" w:hAnsi="Times New Roman"/>
          <w:sz w:val="14"/>
          <w:szCs w:val="14"/>
          <w:color w:val="auto"/>
        </w:rPr>
      </w:pPr>
    </w:p>
    <w:p>
      <w:pPr>
        <w:ind w:left="1420" w:right="759" w:hanging="267"/>
        <w:spacing w:after="0" w:line="292" w:lineRule="auto"/>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current insurance program, which may expose us to unexpected costs, particularly if we incur losses not covered by our insurance or if claims or losses differ from our estimates;</w:t>
      </w:r>
    </w:p>
    <w:p>
      <w:pPr>
        <w:spacing w:after="0" w:line="37" w:lineRule="exact"/>
        <w:rPr>
          <w:rFonts w:ascii="Times New Roman" w:cs="Times New Roman" w:eastAsia="Times New Roman" w:hAnsi="Times New Roman"/>
          <w:sz w:val="14"/>
          <w:szCs w:val="14"/>
          <w:color w:val="auto"/>
        </w:rPr>
      </w:pPr>
    </w:p>
    <w:p>
      <w:pPr>
        <w:ind w:left="1420" w:right="759" w:hanging="267"/>
        <w:spacing w:after="0" w:line="292" w:lineRule="auto"/>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factors outside of our control, including those listed, which have required and could in the future require us to record an asset impairment of goodwill;</w:t>
      </w:r>
    </w:p>
    <w:p>
      <w:pPr>
        <w:spacing w:after="0" w:line="37"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pandemic, epidemic, or outbreak of an infectious disease;</w:t>
      </w:r>
    </w:p>
    <w:p>
      <w:pPr>
        <w:spacing w:after="0" w:line="96" w:lineRule="exact"/>
        <w:rPr>
          <w:rFonts w:ascii="Times New Roman" w:cs="Times New Roman" w:eastAsia="Times New Roman" w:hAnsi="Times New Roman"/>
          <w:sz w:val="14"/>
          <w:szCs w:val="14"/>
          <w:color w:val="auto"/>
        </w:rPr>
      </w:pPr>
    </w:p>
    <w:p>
      <w:pPr>
        <w:ind w:left="1420" w:right="799" w:hanging="267"/>
        <w:spacing w:after="0" w:line="292" w:lineRule="auto"/>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inclement weather, natural disasters, acts of terrorism, riots, civil insurrection or social unrest, looting, protests, strikes, or street demonstrations;</w:t>
      </w:r>
    </w:p>
    <w:p>
      <w:pPr>
        <w:spacing w:after="0" w:line="37"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adequately protect our intellectual property rights;</w:t>
      </w:r>
    </w:p>
    <w:p>
      <w:pPr>
        <w:spacing w:after="0" w:line="96"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our compliance with our regulatory framework;</w:t>
      </w:r>
    </w:p>
    <w:p>
      <w:pPr>
        <w:spacing w:after="0" w:line="96"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interests of KKR Stockholder (as defined below) may conflict with our stockholders’ interests in the future;</w:t>
      </w:r>
    </w:p>
    <w:p>
      <w:pPr>
        <w:spacing w:after="0" w:line="96"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substantial indebtedness; and</w:t>
      </w:r>
    </w:p>
    <w:p>
      <w:pPr>
        <w:spacing w:after="0" w:line="96" w:lineRule="exact"/>
        <w:rPr>
          <w:rFonts w:ascii="Times New Roman" w:cs="Times New Roman" w:eastAsia="Times New Roman" w:hAnsi="Times New Roman"/>
          <w:sz w:val="14"/>
          <w:szCs w:val="14"/>
          <w:color w:val="auto"/>
        </w:rPr>
      </w:pPr>
    </w:p>
    <w:p>
      <w:pPr>
        <w:ind w:left="1420" w:right="739" w:hanging="267"/>
        <w:spacing w:after="0" w:line="274" w:lineRule="auto"/>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changes in tax or trade policies, tariffs, or trade relations between the United States and other countries, such as the imposition of unilateral tariffs on imported products, including impacts on imported drug products, which could result in supply chain disruptions and significant increases in costs.</w:t>
      </w:r>
    </w:p>
    <w:p>
      <w:pPr>
        <w:spacing w:after="0" w:line="50" w:lineRule="exact"/>
        <w:rPr>
          <w:sz w:val="20"/>
          <w:szCs w:val="20"/>
          <w:color w:val="auto"/>
        </w:rPr>
      </w:pPr>
    </w:p>
    <w:p>
      <w:pPr>
        <w:ind w:left="640" w:right="659" w:firstLine="551"/>
        <w:spacing w:after="0" w:line="259" w:lineRule="auto"/>
        <w:rPr>
          <w:sz w:val="20"/>
          <w:szCs w:val="20"/>
          <w:color w:val="auto"/>
        </w:rPr>
      </w:pPr>
      <w:r>
        <w:rPr>
          <w:rFonts w:ascii="Times New Roman" w:cs="Times New Roman" w:eastAsia="Times New Roman" w:hAnsi="Times New Roman"/>
          <w:sz w:val="14"/>
          <w:szCs w:val="14"/>
          <w:color w:val="auto"/>
        </w:rPr>
        <w:t>Because forward-looking statements relate to the future, they are subject to inherent uncertainties, risks and changes in circumstances that are difficult to predict and many of which are outside of our control. If any of these risks materialize, or if any of our assumptions underlying forward-looking statements prove incorrect, actual results and developments may differ materially from those made in or suggested by the forward-looking statements contained in this Form 10-Q. Important factors that could cause our actual results and financial condition to differ materially from those indicated in the forward-looking statements include, among others, those set forth in Item 1A, “Risk Factors,” of Part I of our Annual Report on Form 10-K for the year ended December 31, 2024 (our “Form 10-K”) filed with the U.S. Securities and Exchange Commission (the “SEC”). Although we have attempted to identify important risk factors, there may be other risk factors not presently known to us or that we presently believe are not material that could cause actual results and developments to differ materially from those made in or suggested by the forward-looking statements contained in this Form 10-Q. We caution you against relying on any forward-looking statements, which should also be read in conjunction with the other cautionary statements that are included elsewhere in this Form 10-Q. Any forward-looking statement made by us in this Form 10-Q speaks only as of the date hereof. We undertake no obligation to publicly update or to revise any forward-looking statement, whether as a result of new information, future developments or otherwise, except as may be required by law.</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BrightSpring Health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64"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June 30, 2025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52"/>
        </w:trPr>
        <w:tc>
          <w:tcPr>
            <w:tcW w:w="20" w:type="dxa"/>
            <w:vAlign w:val="bottom"/>
          </w:tcPr>
          <w:p>
            <w:pPr>
              <w:spacing w:after="0"/>
              <w:rPr>
                <w:sz w:val="13"/>
                <w:szCs w:val="13"/>
                <w:color w:val="auto"/>
              </w:rPr>
            </w:pPr>
          </w:p>
        </w:tc>
        <w:tc>
          <w:tcPr>
            <w:tcW w:w="5300" w:type="dxa"/>
            <w:vAlign w:val="bottom"/>
            <w:shd w:val="clear" w:color="auto" w:fill="CFF0FC"/>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70,070</w:t>
            </w:r>
          </w:p>
        </w:tc>
        <w:tc>
          <w:tcPr>
            <w:tcW w:w="120" w:type="dxa"/>
            <w:vAlign w:val="bottom"/>
            <w:shd w:val="clear" w:color="auto" w:fill="CFF0FC"/>
          </w:tcPr>
          <w:p>
            <w:pPr>
              <w:spacing w:after="0"/>
              <w:rPr>
                <w:sz w:val="14"/>
                <w:szCs w:val="14"/>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60,954</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receivable, net of allowance for credit losses</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972,721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902,782</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Inventories</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625,465</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636,561</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129,248</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161,310</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Current assets held for sale</w:t>
            </w:r>
          </w:p>
        </w:tc>
        <w:tc>
          <w:tcPr>
            <w:tcW w:w="1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850,455</w:t>
            </w:r>
          </w:p>
        </w:tc>
        <w:tc>
          <w:tcPr>
            <w:tcW w:w="1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131,447</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5300" w:type="dxa"/>
            <w:vAlign w:val="bottom"/>
          </w:tcPr>
          <w:p>
            <w:pPr>
              <w:ind w:left="400"/>
              <w:spacing w:after="0" w:line="152"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2,647,959</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1,893,054</w:t>
            </w:r>
          </w:p>
        </w:tc>
        <w:tc>
          <w:tcPr>
            <w:tcW w:w="8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53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4"/>
                <w:szCs w:val="14"/>
                <w:color w:val="auto"/>
              </w:rPr>
              <w:t>Property and equipment, net of accumulated depreciation of $372,236 and $339,892 at</w:t>
            </w: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177,582</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180,570</w:t>
            </w:r>
          </w:p>
        </w:tc>
        <w:tc>
          <w:tcPr>
            <w:tcW w:w="80" w:type="dxa"/>
            <w:vAlign w:val="bottom"/>
            <w:shd w:val="clear" w:color="auto" w:fill="CFF0FC"/>
          </w:tcPr>
          <w:p>
            <w:pPr>
              <w:spacing w:after="0"/>
              <w:rPr>
                <w:sz w:val="11"/>
                <w:szCs w:val="11"/>
                <w:color w:val="auto"/>
              </w:rPr>
            </w:pPr>
          </w:p>
        </w:tc>
      </w:tr>
      <w:tr>
        <w:trPr>
          <w:trHeight w:val="178"/>
        </w:trPr>
        <w:tc>
          <w:tcPr>
            <w:tcW w:w="20" w:type="dxa"/>
            <w:vAlign w:val="bottom"/>
          </w:tcPr>
          <w:p>
            <w:pPr>
              <w:spacing w:after="0"/>
              <w:rPr>
                <w:sz w:val="15"/>
                <w:szCs w:val="15"/>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June 30, 2025 and December 31, 2024, respectively</w:t>
            </w: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2,370,134</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2,363,884</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Intangible assets, net of accumulated amortization</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544,337</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595,224</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 net</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164,095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161,032</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Deferred income taxes, net</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3,328</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5,288</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36,162</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39,128</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Non-current assets held for sale</w:t>
            </w:r>
          </w:p>
        </w:tc>
        <w:tc>
          <w:tcPr>
            <w:tcW w:w="1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687,960</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5300" w:type="dxa"/>
            <w:vAlign w:val="bottom"/>
          </w:tcPr>
          <w:p>
            <w:pPr>
              <w:ind w:left="400"/>
              <w:spacing w:after="0" w:line="15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5,943,597</w:t>
            </w:r>
          </w:p>
        </w:tc>
        <w:tc>
          <w:tcPr>
            <w:tcW w:w="120" w:type="dxa"/>
            <w:vAlign w:val="bottom"/>
          </w:tcPr>
          <w:p>
            <w:pPr>
              <w:spacing w:after="0"/>
              <w:rPr>
                <w:sz w:val="13"/>
                <w:szCs w:val="13"/>
                <w:color w:val="auto"/>
              </w:rPr>
            </w:pPr>
          </w:p>
        </w:tc>
        <w:tc>
          <w:tcPr>
            <w:tcW w:w="12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5,926,140</w:t>
            </w: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530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Liabilities, Redeemable Noncontrolling Interest, and Equity</w:t>
            </w: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Trade accounts payable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965,302</w:t>
            </w:r>
          </w:p>
        </w:tc>
        <w:tc>
          <w:tcPr>
            <w:tcW w:w="120" w:type="dxa"/>
            <w:vAlign w:val="bottom"/>
            <w:shd w:val="clear" w:color="auto" w:fill="CFF0FC"/>
          </w:tcPr>
          <w:p>
            <w:pPr>
              <w:spacing w:after="0"/>
              <w:rPr>
                <w:sz w:val="14"/>
                <w:szCs w:val="14"/>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923,926</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expenses</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252,828</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295,746</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Current portion of obligations under operating leases</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38,489</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38,910</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portion of obligations under financing leases</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3,463</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50,836</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48,725</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liabilities held for sale</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194,035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117,563</w:t>
            </w:r>
          </w:p>
        </w:tc>
        <w:tc>
          <w:tcPr>
            <w:tcW w:w="80" w:type="dxa"/>
            <w:vAlign w:val="bottom"/>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5300" w:type="dxa"/>
            <w:vAlign w:val="bottom"/>
            <w:tcBorders>
              <w:bottom w:val="single" w:sz="8" w:color="CFF0FC"/>
            </w:tcBorders>
            <w:shd w:val="clear" w:color="auto" w:fill="CFF0FC"/>
          </w:tcPr>
          <w:p>
            <w:pPr>
              <w:ind w:left="400"/>
              <w:spacing w:after="0" w:line="152"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4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1,505,365</w:t>
            </w:r>
          </w:p>
        </w:tc>
        <w:tc>
          <w:tcPr>
            <w:tcW w:w="12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1,428,333</w:t>
            </w:r>
          </w:p>
        </w:tc>
        <w:tc>
          <w:tcPr>
            <w:tcW w:w="80" w:type="dxa"/>
            <w:vAlign w:val="bottom"/>
            <w:tcBorders>
              <w:bottom w:val="single" w:sz="8" w:color="CFF0FC"/>
            </w:tcBorders>
            <w:shd w:val="clear" w:color="auto" w:fill="CFF0FC"/>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530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Obligations under operating leases, net of current portion</w:t>
            </w:r>
          </w:p>
        </w:tc>
        <w:tc>
          <w:tcPr>
            <w:tcW w:w="140" w:type="dxa"/>
            <w:vAlign w:val="bottom"/>
          </w:tcPr>
          <w:p>
            <w:pPr>
              <w:spacing w:after="0"/>
              <w:rPr>
                <w:sz w:val="13"/>
                <w:szCs w:val="13"/>
                <w:color w:val="auto"/>
              </w:rPr>
            </w:pPr>
          </w:p>
        </w:tc>
        <w:tc>
          <w:tcPr>
            <w:tcW w:w="9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132,547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129,467</w:t>
            </w:r>
          </w:p>
        </w:tc>
        <w:tc>
          <w:tcPr>
            <w:tcW w:w="80" w:type="dxa"/>
            <w:vAlign w:val="bottom"/>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Obligations under financing leases, net of current portion</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8,238</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6,530</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Long-term debt, net of current portion</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2,477,917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2,561,858</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Long-term liabilities</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74,107</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71,190</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Non-current liabilities held for sale</w:t>
            </w:r>
          </w:p>
        </w:tc>
        <w:tc>
          <w:tcPr>
            <w:tcW w:w="14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77,177</w:t>
            </w:r>
          </w:p>
        </w:tc>
        <w:tc>
          <w:tcPr>
            <w:tcW w:w="80" w:type="dxa"/>
            <w:vAlign w:val="bottom"/>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5300" w:type="dxa"/>
            <w:vAlign w:val="bottom"/>
            <w:tcBorders>
              <w:bottom w:val="single" w:sz="8" w:color="CFF0FC"/>
            </w:tcBorders>
            <w:shd w:val="clear" w:color="auto" w:fill="CFF0FC"/>
          </w:tcPr>
          <w:p>
            <w:pPr>
              <w:ind w:left="400"/>
              <w:spacing w:after="0" w:line="15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4,198,174</w:t>
            </w:r>
          </w:p>
        </w:tc>
        <w:tc>
          <w:tcPr>
            <w:tcW w:w="12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4,274,555</w:t>
            </w:r>
          </w:p>
        </w:tc>
        <w:tc>
          <w:tcPr>
            <w:tcW w:w="80" w:type="dxa"/>
            <w:vAlign w:val="bottom"/>
            <w:tcBorders>
              <w:bottom w:val="single" w:sz="8" w:color="CFF0FC"/>
            </w:tcBorders>
            <w:shd w:val="clear" w:color="auto" w:fill="CFF0FC"/>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530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Redeemable noncontrolling interest</w:t>
            </w:r>
          </w:p>
        </w:tc>
        <w:tc>
          <w:tcPr>
            <w:tcW w:w="140" w:type="dxa"/>
            <w:vAlign w:val="bottom"/>
          </w:tcPr>
          <w:p>
            <w:pPr>
              <w:spacing w:after="0"/>
              <w:rPr>
                <w:sz w:val="13"/>
                <w:szCs w:val="13"/>
                <w:color w:val="auto"/>
              </w:rPr>
            </w:pPr>
          </w:p>
        </w:tc>
        <w:tc>
          <w:tcPr>
            <w:tcW w:w="9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2,816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3,730</w:t>
            </w:r>
          </w:p>
        </w:tc>
        <w:tc>
          <w:tcPr>
            <w:tcW w:w="80" w:type="dxa"/>
            <w:vAlign w:val="bottom"/>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44"/>
        </w:trPr>
        <w:tc>
          <w:tcPr>
            <w:tcW w:w="20" w:type="dxa"/>
            <w:vAlign w:val="bottom"/>
          </w:tcPr>
          <w:p>
            <w:pPr>
              <w:spacing w:after="0"/>
              <w:rPr>
                <w:sz w:val="12"/>
                <w:szCs w:val="12"/>
                <w:color w:val="auto"/>
              </w:rPr>
            </w:pPr>
          </w:p>
        </w:tc>
        <w:tc>
          <w:tcPr>
            <w:tcW w:w="5300" w:type="dxa"/>
            <w:vAlign w:val="bottom"/>
          </w:tcPr>
          <w:p>
            <w:pPr>
              <w:ind w:left="120"/>
              <w:spacing w:after="0" w:line="144" w:lineRule="exact"/>
              <w:rPr>
                <w:sz w:val="20"/>
                <w:szCs w:val="20"/>
                <w:color w:val="auto"/>
              </w:rPr>
            </w:pPr>
            <w:r>
              <w:rPr>
                <w:rFonts w:ascii="Times New Roman" w:cs="Times New Roman" w:eastAsia="Times New Roman" w:hAnsi="Times New Roman"/>
                <w:sz w:val="14"/>
                <w:szCs w:val="14"/>
                <w:color w:val="auto"/>
              </w:rPr>
              <w:t>Common stock, $0.01 par value, 1,500,000,000 shares authorized, 177,055,327 and</w:t>
            </w:r>
          </w:p>
        </w:tc>
        <w:tc>
          <w:tcPr>
            <w:tcW w:w="14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1,771</w:t>
            </w:r>
          </w:p>
        </w:tc>
        <w:tc>
          <w:tcPr>
            <w:tcW w:w="120" w:type="dxa"/>
            <w:vAlign w:val="bottom"/>
          </w:tcPr>
          <w:p>
            <w:pPr>
              <w:spacing w:after="0"/>
              <w:rPr>
                <w:sz w:val="12"/>
                <w:szCs w:val="12"/>
                <w:color w:val="auto"/>
              </w:rPr>
            </w:pPr>
          </w:p>
        </w:tc>
        <w:tc>
          <w:tcPr>
            <w:tcW w:w="12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1,742</w:t>
            </w:r>
          </w:p>
        </w:tc>
        <w:tc>
          <w:tcPr>
            <w:tcW w:w="8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5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174,245,990 shares issued and outstanding at June 30, 2025 and December 31, 2024,</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5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respectively</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6"/>
        </w:trPr>
        <w:tc>
          <w:tcPr>
            <w:tcW w:w="20" w:type="dxa"/>
            <w:vAlign w:val="bottom"/>
          </w:tcPr>
          <w:p>
            <w:pPr>
              <w:spacing w:after="0"/>
              <w:rPr>
                <w:sz w:val="12"/>
                <w:szCs w:val="12"/>
                <w:color w:val="auto"/>
              </w:rPr>
            </w:pPr>
          </w:p>
        </w:tc>
        <w:tc>
          <w:tcPr>
            <w:tcW w:w="5300" w:type="dxa"/>
            <w:vAlign w:val="bottom"/>
            <w:shd w:val="clear" w:color="auto" w:fill="CFF0FC"/>
          </w:tcPr>
          <w:p>
            <w:pPr>
              <w:ind w:left="120"/>
              <w:spacing w:after="0" w:line="146" w:lineRule="exact"/>
              <w:rPr>
                <w:sz w:val="20"/>
                <w:szCs w:val="20"/>
                <w:color w:val="auto"/>
              </w:rPr>
            </w:pPr>
            <w:r>
              <w:rPr>
                <w:rFonts w:ascii="Times New Roman" w:cs="Times New Roman" w:eastAsia="Times New Roman" w:hAnsi="Times New Roman"/>
                <w:sz w:val="14"/>
                <w:szCs w:val="14"/>
                <w:color w:val="auto"/>
              </w:rPr>
              <w:t>Preferred stock, $0.01 par value, 250,000,000 authorized, no shares issued and</w:t>
            </w: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line="146"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00"/>
              <w:spacing w:after="0" w:line="146" w:lineRule="exact"/>
              <w:rPr>
                <w:sz w:val="20"/>
                <w:szCs w:val="20"/>
                <w:color w:val="auto"/>
              </w:rPr>
            </w:pPr>
            <w:r>
              <w:rPr>
                <w:rFonts w:ascii="Times New Roman" w:cs="Times New Roman" w:eastAsia="Times New Roman" w:hAnsi="Times New Roman"/>
                <w:sz w:val="14"/>
                <w:szCs w:val="14"/>
                <w:color w:val="auto"/>
              </w:rPr>
              <w:t>—</w:t>
            </w:r>
          </w:p>
        </w:tc>
      </w:tr>
      <w:tr>
        <w:trPr>
          <w:trHeight w:val="178"/>
        </w:trPr>
        <w:tc>
          <w:tcPr>
            <w:tcW w:w="20" w:type="dxa"/>
            <w:vAlign w:val="bottom"/>
          </w:tcPr>
          <w:p>
            <w:pPr>
              <w:spacing w:after="0"/>
              <w:rPr>
                <w:sz w:val="15"/>
                <w:szCs w:val="15"/>
                <w:color w:val="auto"/>
              </w:rPr>
            </w:pPr>
          </w:p>
        </w:tc>
        <w:tc>
          <w:tcPr>
            <w:tcW w:w="53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outstanding at June 30, 2025 and December 31, 2024</w:t>
            </w: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1,909,854</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1,866,850</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Accumulated deficit</w:t>
            </w:r>
          </w:p>
        </w:tc>
        <w:tc>
          <w:tcPr>
            <w:tcW w:w="1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(164,405)</w:t>
            </w: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(222,155)</w:t>
            </w:r>
          </w:p>
        </w:tc>
      </w:tr>
      <w:tr>
        <w:trPr>
          <w:trHeight w:val="161"/>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(loss) income</w:t>
            </w:r>
          </w:p>
        </w:tc>
        <w:tc>
          <w:tcPr>
            <w:tcW w:w="14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(4,330)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w:t>
            </w:r>
          </w:p>
        </w:tc>
        <w:tc>
          <w:tcPr>
            <w:tcW w:w="80" w:type="dxa"/>
            <w:vAlign w:val="bottom"/>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5300" w:type="dxa"/>
            <w:vAlign w:val="bottom"/>
            <w:tcBorders>
              <w:bottom w:val="single" w:sz="8" w:color="CFF0FC"/>
            </w:tcBorders>
            <w:shd w:val="clear" w:color="auto" w:fill="CFF0FC"/>
          </w:tcPr>
          <w:p>
            <w:pPr>
              <w:ind w:left="260"/>
              <w:spacing w:after="0" w:line="152" w:lineRule="exact"/>
              <w:rPr>
                <w:sz w:val="20"/>
                <w:szCs w:val="20"/>
                <w:color w:val="auto"/>
              </w:rPr>
            </w:pPr>
            <w:r>
              <w:rPr>
                <w:rFonts w:ascii="Times New Roman" w:cs="Times New Roman" w:eastAsia="Times New Roman" w:hAnsi="Times New Roman"/>
                <w:sz w:val="14"/>
                <w:szCs w:val="14"/>
                <w:color w:val="auto"/>
              </w:rPr>
              <w:t>Total shareholders' equity</w:t>
            </w: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1,742,890</w:t>
            </w:r>
          </w:p>
        </w:tc>
        <w:tc>
          <w:tcPr>
            <w:tcW w:w="12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1,647,855</w:t>
            </w:r>
          </w:p>
        </w:tc>
        <w:tc>
          <w:tcPr>
            <w:tcW w:w="80" w:type="dxa"/>
            <w:vAlign w:val="bottom"/>
            <w:tcBorders>
              <w:bottom w:val="single" w:sz="8" w:color="CFF0FC"/>
            </w:tcBorders>
            <w:shd w:val="clear" w:color="auto" w:fill="CFF0FC"/>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5300" w:type="dxa"/>
            <w:vAlign w:val="bottom"/>
          </w:tcPr>
          <w:p>
            <w:pPr>
              <w:ind w:left="120"/>
              <w:spacing w:after="0" w:line="152" w:lineRule="exact"/>
              <w:rPr>
                <w:sz w:val="20"/>
                <w:szCs w:val="20"/>
                <w:color w:val="auto"/>
              </w:rPr>
            </w:pPr>
            <w:r>
              <w:rPr>
                <w:rFonts w:ascii="Times New Roman" w:cs="Times New Roman" w:eastAsia="Times New Roman" w:hAnsi="Times New Roman"/>
                <w:sz w:val="14"/>
                <w:szCs w:val="14"/>
                <w:color w:val="auto"/>
              </w:rPr>
              <w:t>Noncontrolling interest</w:t>
            </w:r>
          </w:p>
        </w:tc>
        <w:tc>
          <w:tcPr>
            <w:tcW w:w="140" w:type="dxa"/>
            <w:vAlign w:val="bottom"/>
          </w:tcPr>
          <w:p>
            <w:pPr>
              <w:spacing w:after="0"/>
              <w:rPr>
                <w:sz w:val="13"/>
                <w:szCs w:val="13"/>
                <w:color w:val="auto"/>
              </w:rPr>
            </w:pPr>
          </w:p>
        </w:tc>
        <w:tc>
          <w:tcPr>
            <w:tcW w:w="1060" w:type="dxa"/>
            <w:vAlign w:val="bottom"/>
            <w:gridSpan w:val="2"/>
          </w:tcPr>
          <w:p>
            <w:pPr>
              <w:jc w:val="right"/>
              <w:ind w:right="80"/>
              <w:spacing w:after="0" w:line="152" w:lineRule="exact"/>
              <w:rPr>
                <w:sz w:val="20"/>
                <w:szCs w:val="20"/>
                <w:color w:val="auto"/>
              </w:rPr>
            </w:pPr>
            <w:r>
              <w:rPr>
                <w:rFonts w:ascii="Times New Roman" w:cs="Times New Roman" w:eastAsia="Times New Roman" w:hAnsi="Times New Roman"/>
                <w:sz w:val="14"/>
                <w:szCs w:val="14"/>
                <w:color w:val="auto"/>
              </w:rPr>
              <w:t>(283)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2"/>
          </w:tcPr>
          <w:p>
            <w:pPr>
              <w:jc w:val="right"/>
              <w:ind w:right="100"/>
              <w:spacing w:after="0" w:line="152" w:lineRule="exact"/>
              <w:rPr>
                <w:sz w:val="20"/>
                <w:szCs w:val="20"/>
                <w:color w:val="auto"/>
              </w:rPr>
            </w:pPr>
            <w:r>
              <w:rPr>
                <w:rFonts w:ascii="Times New Roman" w:cs="Times New Roman" w:eastAsia="Times New Roman" w:hAnsi="Times New Roman"/>
                <w:sz w:val="14"/>
                <w:szCs w:val="14"/>
                <w:color w:val="auto"/>
              </w:rPr>
              <w:t>—</w:t>
            </w:r>
          </w:p>
        </w:tc>
      </w:tr>
      <w:tr>
        <w:trPr>
          <w:trHeight w:val="152"/>
        </w:trPr>
        <w:tc>
          <w:tcPr>
            <w:tcW w:w="20" w:type="dxa"/>
            <w:vAlign w:val="bottom"/>
          </w:tcPr>
          <w:p>
            <w:pPr>
              <w:spacing w:after="0"/>
              <w:rPr>
                <w:sz w:val="13"/>
                <w:szCs w:val="13"/>
                <w:color w:val="auto"/>
              </w:rPr>
            </w:pPr>
          </w:p>
        </w:tc>
        <w:tc>
          <w:tcPr>
            <w:tcW w:w="5300" w:type="dxa"/>
            <w:vAlign w:val="bottom"/>
            <w:tcBorders>
              <w:bottom w:val="single" w:sz="8" w:color="CFF0FC"/>
            </w:tcBorders>
            <w:shd w:val="clear" w:color="auto" w:fill="CFF0FC"/>
          </w:tcPr>
          <w:p>
            <w:pPr>
              <w:ind w:left="400"/>
              <w:spacing w:after="0" w:line="152" w:lineRule="exact"/>
              <w:rPr>
                <w:sz w:val="20"/>
                <w:szCs w:val="20"/>
                <w:color w:val="auto"/>
              </w:rPr>
            </w:pPr>
            <w:r>
              <w:rPr>
                <w:rFonts w:ascii="Times New Roman" w:cs="Times New Roman" w:eastAsia="Times New Roman" w:hAnsi="Times New Roman"/>
                <w:sz w:val="14"/>
                <w:szCs w:val="14"/>
                <w:b w:val="1"/>
                <w:bCs w:val="1"/>
                <w:color w:val="auto"/>
              </w:rPr>
              <w:t>Total equity</w:t>
            </w: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1,742,607</w:t>
            </w:r>
          </w:p>
        </w:tc>
        <w:tc>
          <w:tcPr>
            <w:tcW w:w="12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1,647,855</w:t>
            </w:r>
          </w:p>
        </w:tc>
        <w:tc>
          <w:tcPr>
            <w:tcW w:w="80" w:type="dxa"/>
            <w:vAlign w:val="bottom"/>
            <w:tcBorders>
              <w:bottom w:val="single" w:sz="8" w:color="CFF0FC"/>
            </w:tcBorders>
            <w:shd w:val="clear" w:color="auto" w:fill="CFF0FC"/>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5300" w:type="dxa"/>
            <w:vAlign w:val="bottom"/>
          </w:tcPr>
          <w:p>
            <w:pPr>
              <w:ind w:left="560"/>
              <w:spacing w:after="0" w:line="152" w:lineRule="exact"/>
              <w:rPr>
                <w:sz w:val="20"/>
                <w:szCs w:val="20"/>
                <w:color w:val="auto"/>
              </w:rPr>
            </w:pPr>
            <w:r>
              <w:rPr>
                <w:rFonts w:ascii="Times New Roman" w:cs="Times New Roman" w:eastAsia="Times New Roman" w:hAnsi="Times New Roman"/>
                <w:sz w:val="14"/>
                <w:szCs w:val="14"/>
                <w:b w:val="1"/>
                <w:bCs w:val="1"/>
                <w:color w:val="auto"/>
              </w:rPr>
              <w:t>Total liabilities, redeemable noncontrolling interest, and equity</w:t>
            </w:r>
          </w:p>
        </w:tc>
        <w:tc>
          <w:tcPr>
            <w:tcW w:w="1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5,943,597</w:t>
            </w:r>
          </w:p>
        </w:tc>
        <w:tc>
          <w:tcPr>
            <w:tcW w:w="120" w:type="dxa"/>
            <w:vAlign w:val="bottom"/>
          </w:tcPr>
          <w:p>
            <w:pPr>
              <w:spacing w:after="0"/>
              <w:rPr>
                <w:sz w:val="13"/>
                <w:szCs w:val="13"/>
                <w:color w:val="auto"/>
              </w:rPr>
            </w:pPr>
          </w:p>
        </w:tc>
        <w:tc>
          <w:tcPr>
            <w:tcW w:w="12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5,926,140</w:t>
            </w: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-4104640</wp:posOffset>
            </wp:positionV>
            <wp:extent cx="4762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-4104640</wp:posOffset>
            </wp:positionV>
            <wp:extent cx="4762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-3170555</wp:posOffset>
            </wp:positionV>
            <wp:extent cx="4762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-3170555</wp:posOffset>
            </wp:positionV>
            <wp:extent cx="4762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-2113280</wp:posOffset>
            </wp:positionV>
            <wp:extent cx="4762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-2113280</wp:posOffset>
            </wp:positionV>
            <wp:extent cx="4762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-1485900</wp:posOffset>
            </wp:positionV>
            <wp:extent cx="4762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-1485900</wp:posOffset>
            </wp:positionV>
            <wp:extent cx="4762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-347345</wp:posOffset>
            </wp:positionV>
            <wp:extent cx="4762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-347345</wp:posOffset>
            </wp:positionV>
            <wp:extent cx="4762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-128905</wp:posOffset>
            </wp:positionV>
            <wp:extent cx="4762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-128905</wp:posOffset>
            </wp:positionV>
            <wp:extent cx="4762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BrightSpring Health Services,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5"/>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140" w:type="dxa"/>
            <w:vAlign w:val="bottom"/>
          </w:tcPr>
          <w:p>
            <w:pPr>
              <w:spacing w:after="0"/>
              <w:rPr>
                <w:sz w:val="11"/>
                <w:szCs w:val="11"/>
                <w:color w:val="auto"/>
              </w:rPr>
            </w:pPr>
          </w:p>
        </w:tc>
        <w:tc>
          <w:tcPr>
            <w:tcW w:w="1660" w:type="dxa"/>
            <w:vAlign w:val="bottom"/>
            <w:gridSpan w:val="5"/>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For the Six Months Ended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1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09"/>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1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09"/>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Products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2,790,101</w:t>
            </w:r>
          </w:p>
        </w:tc>
        <w:tc>
          <w:tcPr>
            <w:tcW w:w="160" w:type="dxa"/>
            <w:vAlign w:val="bottom"/>
          </w:tcPr>
          <w:p>
            <w:pPr>
              <w:spacing w:after="0"/>
              <w:rPr>
                <w:sz w:val="14"/>
                <w:szCs w:val="14"/>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2,114,491</w:t>
            </w:r>
          </w:p>
        </w:tc>
        <w:tc>
          <w:tcPr>
            <w:tcW w:w="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5,322,272</w:t>
            </w:r>
          </w:p>
        </w:tc>
        <w:tc>
          <w:tcPr>
            <w:tcW w:w="16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4,091,526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Services</w:t>
            </w:r>
          </w:p>
        </w:tc>
        <w:tc>
          <w:tcPr>
            <w:tcW w:w="1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357,597</w:t>
            </w:r>
          </w:p>
        </w:tc>
        <w:tc>
          <w:tcPr>
            <w:tcW w:w="160" w:type="dxa"/>
            <w:vAlign w:val="bottom"/>
            <w:tcBorders>
              <w:bottom w:val="single" w:sz="8" w:color="CFF0FC"/>
              <w:right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323,763</w:t>
            </w:r>
          </w:p>
        </w:tc>
        <w:tc>
          <w:tcPr>
            <w:tcW w:w="160" w:type="dxa"/>
            <w:vAlign w:val="bottom"/>
            <w:tcBorders>
              <w:bottom w:val="single" w:sz="8" w:color="CFF0FC"/>
              <w:right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703,555</w:t>
            </w:r>
          </w:p>
        </w:tc>
        <w:tc>
          <w:tcPr>
            <w:tcW w:w="1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632,494</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3,147,698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2,438,254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6,025,827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4,724,020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goods</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2,556,402</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1,931,760</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4,884,617</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3,738,860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216,444</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194,318</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427,989</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380,493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374,852</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312,176</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713,221</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604,667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326,295</w:t>
            </w:r>
          </w:p>
        </w:tc>
        <w:tc>
          <w:tcPr>
            <w:tcW w:w="1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273,523</w:t>
            </w:r>
          </w:p>
        </w:tc>
        <w:tc>
          <w:tcPr>
            <w:tcW w:w="1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613,925</w:t>
            </w:r>
          </w:p>
        </w:tc>
        <w:tc>
          <w:tcPr>
            <w:tcW w:w="1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581,349</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48,557</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38,653</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99,296</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23,318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0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1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38,778</w:t>
            </w:r>
          </w:p>
        </w:tc>
        <w:tc>
          <w:tcPr>
            <w:tcW w:w="160" w:type="dxa"/>
            <w:vAlign w:val="bottom"/>
            <w:tcBorders>
              <w:bottom w:val="single" w:sz="8" w:color="CFF0FC"/>
              <w:right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43,282</w:t>
            </w:r>
          </w:p>
        </w:tc>
        <w:tc>
          <w:tcPr>
            <w:tcW w:w="160" w:type="dxa"/>
            <w:vAlign w:val="bottom"/>
            <w:tcBorders>
              <w:bottom w:val="single" w:sz="8" w:color="CFF0FC"/>
              <w:right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80,541</w:t>
            </w:r>
          </w:p>
        </w:tc>
        <w:tc>
          <w:tcPr>
            <w:tcW w:w="1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97,752</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Income (loss) from continuing operations before income taxes</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(4,629)</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(87,160)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1,238</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(13,115)</w:t>
            </w: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(39,619)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Income (loss) from continuing operations, net of income taxes</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17,757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(47,541)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from discontinued operations, net of income taxes</w:t>
            </w:r>
          </w:p>
        </w:tc>
        <w:tc>
          <w:tcPr>
            <w:tcW w:w="1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19,001</w:t>
            </w:r>
          </w:p>
        </w:tc>
        <w:tc>
          <w:tcPr>
            <w:tcW w:w="160" w:type="dxa"/>
            <w:vAlign w:val="bottom"/>
            <w:tcBorders>
              <w:bottom w:val="single" w:sz="8" w:color="CFF0FC"/>
              <w:right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10,955</w:t>
            </w:r>
          </w:p>
        </w:tc>
        <w:tc>
          <w:tcPr>
            <w:tcW w:w="160" w:type="dxa"/>
            <w:vAlign w:val="bottom"/>
            <w:tcBorders>
              <w:bottom w:val="single" w:sz="8" w:color="CFF0FC"/>
              <w:right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38,795</w:t>
            </w:r>
          </w:p>
        </w:tc>
        <w:tc>
          <w:tcPr>
            <w:tcW w:w="1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20,597</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27,542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19,441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56,552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(26,944)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60" w:type="dxa"/>
            <w:vAlign w:val="bottom"/>
            <w:shd w:val="clear" w:color="auto" w:fill="CFF0FC"/>
          </w:tcPr>
          <w:p>
            <w:pPr>
              <w:spacing w:after="0" w:line="157" w:lineRule="exact"/>
              <w:rPr>
                <w:sz w:val="20"/>
                <w:szCs w:val="20"/>
                <w:color w:val="auto"/>
              </w:rPr>
            </w:pPr>
            <w:r>
              <w:rPr>
                <w:rFonts w:ascii="Times New Roman" w:cs="Times New Roman" w:eastAsia="Times New Roman" w:hAnsi="Times New Roman"/>
                <w:sz w:val="14"/>
                <w:szCs w:val="14"/>
                <w:color w:val="auto"/>
              </w:rPr>
              <w:t>Net loss attributable to noncontrolling interests included in</w:t>
            </w: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continuing operations</w:t>
            </w:r>
          </w:p>
        </w:tc>
        <w:tc>
          <w:tcPr>
            <w:tcW w:w="100" w:type="dxa"/>
            <w:vAlign w:val="bottom"/>
            <w:shd w:val="clear" w:color="auto" w:fill="CFF0FC"/>
          </w:tcPr>
          <w:p>
            <w:pPr>
              <w:spacing w:after="0"/>
              <w:rPr>
                <w:sz w:val="16"/>
                <w:szCs w:val="16"/>
                <w:color w:val="auto"/>
              </w:rPr>
            </w:pPr>
          </w:p>
        </w:tc>
        <w:tc>
          <w:tcPr>
            <w:tcW w:w="8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(666)</w:t>
            </w:r>
          </w:p>
        </w:tc>
        <w:tc>
          <w:tcPr>
            <w:tcW w:w="140" w:type="dxa"/>
            <w:vAlign w:val="bottom"/>
            <w:shd w:val="clear" w:color="auto" w:fill="CFF0FC"/>
          </w:tcPr>
          <w:p>
            <w:pPr>
              <w:spacing w:after="0"/>
              <w:rPr>
                <w:sz w:val="16"/>
                <w:szCs w:val="16"/>
                <w:color w:val="auto"/>
              </w:rPr>
            </w:pPr>
          </w:p>
        </w:tc>
        <w:tc>
          <w:tcPr>
            <w:tcW w:w="7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(478)</w:t>
            </w:r>
          </w:p>
        </w:tc>
        <w:tc>
          <w:tcPr>
            <w:tcW w:w="1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(1,198)</w:t>
            </w:r>
          </w:p>
        </w:tc>
        <w:tc>
          <w:tcPr>
            <w:tcW w:w="16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vMerge w:val="restart"/>
          </w:tcPr>
          <w:p>
            <w:pPr>
              <w:spacing w:after="0" w:line="157" w:lineRule="exact"/>
              <w:rPr>
                <w:sz w:val="20"/>
                <w:szCs w:val="20"/>
                <w:color w:val="auto"/>
              </w:rPr>
            </w:pPr>
            <w:r>
              <w:rPr>
                <w:rFonts w:ascii="Times New Roman" w:cs="Times New Roman" w:eastAsia="Times New Roman" w:hAnsi="Times New Roman"/>
                <w:sz w:val="14"/>
                <w:szCs w:val="14"/>
                <w:color w:val="auto"/>
              </w:rPr>
              <w:t>Net income (loss) attributable to BrightSpring Health Services, Inc.</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4060" w:type="dxa"/>
            <w:vAlign w:val="bottom"/>
            <w:vMerge w:val="continue"/>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28,208</w:t>
            </w:r>
          </w:p>
        </w:tc>
        <w:tc>
          <w:tcPr>
            <w:tcW w:w="160" w:type="dxa"/>
            <w:vAlign w:val="bottom"/>
          </w:tcPr>
          <w:p>
            <w:pPr>
              <w:spacing w:after="0"/>
              <w:rPr>
                <w:sz w:val="11"/>
                <w:szCs w:val="11"/>
                <w:color w:val="auto"/>
              </w:rPr>
            </w:pPr>
          </w:p>
        </w:tc>
        <w:tc>
          <w:tcPr>
            <w:tcW w:w="140" w:type="dxa"/>
            <w:vAlign w:val="bottom"/>
            <w:vMerge w:val="restart"/>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19,919</w:t>
            </w:r>
          </w:p>
        </w:tc>
        <w:tc>
          <w:tcPr>
            <w:tcW w:w="16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57,750</w:t>
            </w:r>
          </w:p>
        </w:tc>
        <w:tc>
          <w:tcPr>
            <w:tcW w:w="160" w:type="dxa"/>
            <w:vAlign w:val="bottom"/>
          </w:tcPr>
          <w:p>
            <w:pPr>
              <w:spacing w:after="0"/>
              <w:rPr>
                <w:sz w:val="11"/>
                <w:szCs w:val="11"/>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(25,831)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060" w:type="dxa"/>
            <w:vAlign w:val="bottom"/>
          </w:tcPr>
          <w:p>
            <w:pPr>
              <w:ind w:left="80"/>
              <w:spacing w:after="0" w:line="155" w:lineRule="exact"/>
              <w:rPr>
                <w:sz w:val="20"/>
                <w:szCs w:val="20"/>
                <w:color w:val="auto"/>
              </w:rPr>
            </w:pPr>
            <w:r>
              <w:rPr>
                <w:rFonts w:ascii="Times New Roman" w:cs="Times New Roman" w:eastAsia="Times New Roman" w:hAnsi="Times New Roman"/>
                <w:sz w:val="14"/>
                <w:szCs w:val="14"/>
                <w:color w:val="auto"/>
              </w:rPr>
              <w:t>and subsidiaries</w:t>
            </w:r>
          </w:p>
        </w:tc>
        <w:tc>
          <w:tcPr>
            <w:tcW w:w="10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4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 per common share (Note 10):</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60" w:type="dxa"/>
            <w:vAlign w:val="bottom"/>
            <w:shd w:val="clear" w:color="auto" w:fill="CFF0FC"/>
          </w:tcPr>
          <w:p>
            <w:pPr>
              <w:ind w:left="120"/>
              <w:spacing w:after="0" w:line="157" w:lineRule="exact"/>
              <w:rPr>
                <w:sz w:val="20"/>
                <w:szCs w:val="20"/>
                <w:color w:val="auto"/>
              </w:rPr>
            </w:pPr>
            <w:r>
              <w:rPr>
                <w:rFonts w:ascii="Times New Roman" w:cs="Times New Roman" w:eastAsia="Times New Roman" w:hAnsi="Times New Roman"/>
                <w:sz w:val="14"/>
                <w:szCs w:val="14"/>
                <w:color w:val="auto"/>
              </w:rPr>
              <w:t>Basic income (loss) per share attributable to common</w:t>
            </w: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shareholders:</w:t>
            </w: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60" w:type="dxa"/>
            <w:vAlign w:val="bottom"/>
          </w:tcPr>
          <w:p>
            <w:pPr>
              <w:spacing w:after="0"/>
              <w:rPr>
                <w:sz w:val="14"/>
                <w:szCs w:val="14"/>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16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(0.25)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Discontinued operations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0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60" w:type="dxa"/>
            <w:vAlign w:val="bottom"/>
          </w:tcPr>
          <w:p>
            <w:pPr>
              <w:spacing w:after="0"/>
              <w:rPr>
                <w:sz w:val="14"/>
                <w:szCs w:val="14"/>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16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(0.14)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60" w:type="dxa"/>
            <w:vAlign w:val="bottom"/>
            <w:shd w:val="clear" w:color="auto" w:fill="CFF0FC"/>
          </w:tcPr>
          <w:p>
            <w:pPr>
              <w:ind w:left="120"/>
              <w:spacing w:after="0" w:line="157" w:lineRule="exact"/>
              <w:rPr>
                <w:sz w:val="20"/>
                <w:szCs w:val="20"/>
                <w:color w:val="auto"/>
              </w:rPr>
            </w:pPr>
            <w:r>
              <w:rPr>
                <w:rFonts w:ascii="Times New Roman" w:cs="Times New Roman" w:eastAsia="Times New Roman" w:hAnsi="Times New Roman"/>
                <w:sz w:val="14"/>
                <w:szCs w:val="14"/>
                <w:color w:val="auto"/>
              </w:rPr>
              <w:t>Diluted income (loss) per share attributable to common</w:t>
            </w: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shareholders:</w:t>
            </w: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60" w:type="dxa"/>
            <w:vAlign w:val="bottom"/>
          </w:tcPr>
          <w:p>
            <w:pPr>
              <w:spacing w:after="0"/>
              <w:rPr>
                <w:sz w:val="14"/>
                <w:szCs w:val="14"/>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16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(0.25)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Discontinued operations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0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160" w:type="dxa"/>
            <w:vAlign w:val="bottom"/>
          </w:tcPr>
          <w:p>
            <w:pPr>
              <w:spacing w:after="0"/>
              <w:rPr>
                <w:sz w:val="14"/>
                <w:szCs w:val="14"/>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16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(0.14)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201,807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197,515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200,516</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186,523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216,336</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208,987</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214,963</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186,523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3487420</wp:posOffset>
            </wp:positionH>
            <wp:positionV relativeFrom="paragraph">
              <wp:posOffset>-3545205</wp:posOffset>
            </wp:positionV>
            <wp:extent cx="4762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-3545205</wp:posOffset>
            </wp:positionV>
            <wp:extent cx="4762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4674235</wp:posOffset>
            </wp:positionH>
            <wp:positionV relativeFrom="paragraph">
              <wp:posOffset>-3545205</wp:posOffset>
            </wp:positionV>
            <wp:extent cx="4762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-3545205</wp:posOffset>
            </wp:positionV>
            <wp:extent cx="4762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3487420</wp:posOffset>
            </wp:positionH>
            <wp:positionV relativeFrom="paragraph">
              <wp:posOffset>-2986405</wp:posOffset>
            </wp:positionV>
            <wp:extent cx="4762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-2986405</wp:posOffset>
            </wp:positionV>
            <wp:extent cx="4762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4674235</wp:posOffset>
            </wp:positionH>
            <wp:positionV relativeFrom="paragraph">
              <wp:posOffset>-2986405</wp:posOffset>
            </wp:positionV>
            <wp:extent cx="4762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-2986405</wp:posOffset>
            </wp:positionV>
            <wp:extent cx="4762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3487420</wp:posOffset>
            </wp:positionH>
            <wp:positionV relativeFrom="paragraph">
              <wp:posOffset>-2652395</wp:posOffset>
            </wp:positionV>
            <wp:extent cx="4762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-2652395</wp:posOffset>
            </wp:positionV>
            <wp:extent cx="4762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4674235</wp:posOffset>
            </wp:positionH>
            <wp:positionV relativeFrom="paragraph">
              <wp:posOffset>-2652395</wp:posOffset>
            </wp:positionV>
            <wp:extent cx="4762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-2652395</wp:posOffset>
            </wp:positionV>
            <wp:extent cx="4762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3487420</wp:posOffset>
            </wp:positionH>
            <wp:positionV relativeFrom="paragraph">
              <wp:posOffset>-2426970</wp:posOffset>
            </wp:positionV>
            <wp:extent cx="4762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-2426970</wp:posOffset>
            </wp:positionV>
            <wp:extent cx="4762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4674235</wp:posOffset>
            </wp:positionH>
            <wp:positionV relativeFrom="paragraph">
              <wp:posOffset>-2426970</wp:posOffset>
            </wp:positionV>
            <wp:extent cx="4762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-2426970</wp:posOffset>
            </wp:positionV>
            <wp:extent cx="4762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3487420</wp:posOffset>
            </wp:positionH>
            <wp:positionV relativeFrom="paragraph">
              <wp:posOffset>-2202180</wp:posOffset>
            </wp:positionV>
            <wp:extent cx="4762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-2202180</wp:posOffset>
            </wp:positionV>
            <wp:extent cx="4762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4674235</wp:posOffset>
            </wp:positionH>
            <wp:positionV relativeFrom="paragraph">
              <wp:posOffset>-2202180</wp:posOffset>
            </wp:positionV>
            <wp:extent cx="4762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-2202180</wp:posOffset>
            </wp:positionV>
            <wp:extent cx="4762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3487420</wp:posOffset>
            </wp:positionH>
            <wp:positionV relativeFrom="paragraph">
              <wp:posOffset>-995045</wp:posOffset>
            </wp:positionV>
            <wp:extent cx="4762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-995045</wp:posOffset>
            </wp:positionV>
            <wp:extent cx="4762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4674235</wp:posOffset>
            </wp:positionH>
            <wp:positionV relativeFrom="paragraph">
              <wp:posOffset>-995045</wp:posOffset>
            </wp:positionV>
            <wp:extent cx="4762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-995045</wp:posOffset>
            </wp:positionV>
            <wp:extent cx="4762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3487420</wp:posOffset>
            </wp:positionH>
            <wp:positionV relativeFrom="paragraph">
              <wp:posOffset>-442595</wp:posOffset>
            </wp:positionV>
            <wp:extent cx="4762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-442595</wp:posOffset>
            </wp:positionV>
            <wp:extent cx="4762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4674235</wp:posOffset>
            </wp:positionH>
            <wp:positionV relativeFrom="paragraph">
              <wp:posOffset>-442595</wp:posOffset>
            </wp:positionV>
            <wp:extent cx="4762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-442595</wp:posOffset>
            </wp:positionV>
            <wp:extent cx="4762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BrightSpring Health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 (Loss)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5"/>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140" w:type="dxa"/>
            <w:vAlign w:val="bottom"/>
          </w:tcPr>
          <w:p>
            <w:pPr>
              <w:spacing w:after="0"/>
              <w:rPr>
                <w:sz w:val="11"/>
                <w:szCs w:val="11"/>
                <w:color w:val="auto"/>
              </w:rPr>
            </w:pPr>
          </w:p>
        </w:tc>
        <w:tc>
          <w:tcPr>
            <w:tcW w:w="1680" w:type="dxa"/>
            <w:vAlign w:val="bottom"/>
            <w:gridSpan w:val="5"/>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For the Six Months Ended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3"/>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12"/>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21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12"/>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21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27,542</w:t>
            </w:r>
          </w:p>
        </w:tc>
        <w:tc>
          <w:tcPr>
            <w:tcW w:w="16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19,441</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56,552</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(26,944)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 income, net of tax:</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6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(49)</w:t>
            </w: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flow hedges: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80" w:type="dxa"/>
            <w:vAlign w:val="bottom"/>
            <w:shd w:val="clear" w:color="auto" w:fill="CFF0FC"/>
          </w:tcPr>
          <w:p>
            <w:pPr>
              <w:ind w:left="260"/>
              <w:spacing w:after="0" w:line="172" w:lineRule="exact"/>
              <w:rPr>
                <w:sz w:val="20"/>
                <w:szCs w:val="20"/>
                <w:color w:val="auto"/>
              </w:rPr>
            </w:pPr>
            <w:r>
              <w:rPr>
                <w:rFonts w:ascii="Times New Roman" w:cs="Times New Roman" w:eastAsia="Times New Roman" w:hAnsi="Times New Roman"/>
                <w:sz w:val="14"/>
                <w:szCs w:val="14"/>
                <w:color w:val="auto"/>
              </w:rPr>
              <w:t xml:space="preserve">Net change in fair value, net of tax </w:t>
            </w:r>
            <w:r>
              <w:rPr>
                <w:rFonts w:ascii="Times New Roman" w:cs="Times New Roman" w:eastAsia="Times New Roman" w:hAnsi="Times New Roman"/>
                <w:sz w:val="19"/>
                <w:szCs w:val="19"/>
                <w:color w:val="auto"/>
                <w:vertAlign w:val="superscript"/>
              </w:rPr>
              <w:t>(1)</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16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3,145</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21,104</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80" w:type="dxa"/>
            <w:vAlign w:val="bottom"/>
          </w:tcPr>
          <w:p>
            <w:pPr>
              <w:ind w:left="260"/>
              <w:spacing w:after="0" w:line="172" w:lineRule="exact"/>
              <w:rPr>
                <w:sz w:val="20"/>
                <w:szCs w:val="20"/>
                <w:color w:val="auto"/>
              </w:rPr>
            </w:pPr>
            <w:r>
              <w:rPr>
                <w:rFonts w:ascii="Times New Roman" w:cs="Times New Roman" w:eastAsia="Times New Roman" w:hAnsi="Times New Roman"/>
                <w:sz w:val="14"/>
                <w:szCs w:val="14"/>
                <w:color w:val="auto"/>
              </w:rPr>
              <w:t xml:space="preserve">Amounts reclassified to earnings, net of tax </w:t>
            </w:r>
            <w:r>
              <w:rPr>
                <w:rFonts w:ascii="Times New Roman" w:cs="Times New Roman" w:eastAsia="Times New Roman" w:hAnsi="Times New Roman"/>
                <w:sz w:val="19"/>
                <w:szCs w:val="19"/>
                <w:color w:val="auto"/>
                <w:vertAlign w:val="superscript"/>
              </w:rPr>
              <w:t>(2)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(3,321)</w:t>
            </w:r>
          </w:p>
        </w:tc>
        <w:tc>
          <w:tcPr>
            <w:tcW w:w="2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(7,186)</w:t>
            </w:r>
          </w:p>
        </w:tc>
        <w:tc>
          <w:tcPr>
            <w:tcW w:w="1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(6,678)</w:t>
            </w:r>
          </w:p>
        </w:tc>
        <w:tc>
          <w:tcPr>
            <w:tcW w:w="18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(14,428)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other comprehensive (loss) income, net of tax</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(2,461)</w:t>
            </w:r>
          </w:p>
        </w:tc>
        <w:tc>
          <w:tcPr>
            <w:tcW w:w="2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(4,090)</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(5,748)</w:t>
            </w: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6,481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25,081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15,351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50,804</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(20,463)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8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4"/>
                <w:szCs w:val="14"/>
                <w:color w:val="auto"/>
              </w:rPr>
              <w:t>Comprehensive loss attributable to redeemable noncontrolling</w:t>
            </w:r>
          </w:p>
        </w:tc>
        <w:tc>
          <w:tcPr>
            <w:tcW w:w="24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interests</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(508)</w:t>
            </w:r>
          </w:p>
        </w:tc>
        <w:tc>
          <w:tcPr>
            <w:tcW w:w="20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(339)</w:t>
            </w:r>
          </w:p>
        </w:tc>
        <w:tc>
          <w:tcPr>
            <w:tcW w:w="1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(915)</w:t>
            </w:r>
          </w:p>
        </w:tc>
        <w:tc>
          <w:tcPr>
            <w:tcW w:w="18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(822)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loss attributable to noncontrolling interest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(158)</w:t>
            </w:r>
          </w:p>
        </w:tc>
        <w:tc>
          <w:tcPr>
            <w:tcW w:w="2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(139)</w:t>
            </w:r>
          </w:p>
        </w:tc>
        <w:tc>
          <w:tcPr>
            <w:tcW w:w="1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(283)</w:t>
            </w:r>
          </w:p>
        </w:tc>
        <w:tc>
          <w:tcPr>
            <w:tcW w:w="18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378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4"/>
                <w:szCs w:val="14"/>
                <w:color w:val="auto"/>
              </w:rPr>
              <w:t>Comprehensive income (loss) attributable to BrightSpring</w:t>
            </w:r>
          </w:p>
        </w:tc>
        <w:tc>
          <w:tcPr>
            <w:tcW w:w="3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25,747</w:t>
            </w:r>
          </w:p>
        </w:tc>
        <w:tc>
          <w:tcPr>
            <w:tcW w:w="160" w:type="dxa"/>
            <w:vAlign w:val="bottom"/>
            <w:tcBorders>
              <w:right w:val="single" w:sz="8" w:color="CFF0FC"/>
            </w:tcBorders>
            <w:shd w:val="clear" w:color="auto" w:fill="CFF0FC"/>
          </w:tcPr>
          <w:p>
            <w:pPr>
              <w:spacing w:after="0"/>
              <w:rPr>
                <w:sz w:val="12"/>
                <w:szCs w:val="12"/>
                <w:color w:val="auto"/>
              </w:rPr>
            </w:pPr>
          </w:p>
        </w:tc>
        <w:tc>
          <w:tcPr>
            <w:tcW w:w="2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15,829</w:t>
            </w:r>
          </w:p>
        </w:tc>
        <w:tc>
          <w:tcPr>
            <w:tcW w:w="160" w:type="dxa"/>
            <w:vAlign w:val="bottom"/>
            <w:shd w:val="clear" w:color="auto" w:fill="CFF0FC"/>
          </w:tcPr>
          <w:p>
            <w:pPr>
              <w:spacing w:after="0"/>
              <w:rPr>
                <w:sz w:val="12"/>
                <w:szCs w:val="12"/>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52,002</w:t>
            </w:r>
          </w:p>
        </w:tc>
        <w:tc>
          <w:tcPr>
            <w:tcW w:w="180" w:type="dxa"/>
            <w:vAlign w:val="bottom"/>
            <w:shd w:val="clear" w:color="auto" w:fill="CFF0FC"/>
          </w:tcPr>
          <w:p>
            <w:pPr>
              <w:spacing w:after="0"/>
              <w:rPr>
                <w:sz w:val="12"/>
                <w:szCs w:val="12"/>
                <w:color w:val="auto"/>
              </w:rPr>
            </w:pPr>
          </w:p>
        </w:tc>
        <w:tc>
          <w:tcPr>
            <w:tcW w:w="180" w:type="dxa"/>
            <w:vAlign w:val="bottom"/>
            <w:vMerge w:val="restart"/>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(19,350)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shd w:val="clear" w:color="auto" w:fill="CFF0FC"/>
          </w:tcPr>
          <w:p>
            <w:pPr>
              <w:ind w:left="80"/>
              <w:spacing w:after="0" w:line="155" w:lineRule="exact"/>
              <w:rPr>
                <w:sz w:val="20"/>
                <w:szCs w:val="20"/>
                <w:color w:val="auto"/>
              </w:rPr>
            </w:pPr>
            <w:r>
              <w:rPr>
                <w:rFonts w:ascii="Times New Roman" w:cs="Times New Roman" w:eastAsia="Times New Roman" w:hAnsi="Times New Roman"/>
                <w:sz w:val="14"/>
                <w:szCs w:val="14"/>
                <w:color w:val="auto"/>
              </w:rPr>
              <w:t>Health Services, Inc. and subsidiaries</w:t>
            </w:r>
          </w:p>
        </w:tc>
        <w:tc>
          <w:tcPr>
            <w:tcW w:w="340" w:type="dxa"/>
            <w:vAlign w:val="bottom"/>
            <w:gridSpan w:val="2"/>
            <w:vMerge w:val="continue"/>
            <w:shd w:val="clear" w:color="auto" w:fill="CFF0FC"/>
          </w:tcPr>
          <w:p>
            <w:pPr>
              <w:spacing w:after="0"/>
              <w:rPr>
                <w:sz w:val="15"/>
                <w:szCs w:val="15"/>
                <w:color w:val="auto"/>
              </w:rPr>
            </w:pPr>
          </w:p>
        </w:tc>
        <w:tc>
          <w:tcPr>
            <w:tcW w:w="680" w:type="dxa"/>
            <w:vAlign w:val="bottom"/>
            <w:vMerge w:val="continue"/>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200" w:type="dxa"/>
            <w:vAlign w:val="bottom"/>
            <w:vMerge w:val="continue"/>
            <w:shd w:val="clear" w:color="auto" w:fill="CFF0FC"/>
          </w:tcPr>
          <w:p>
            <w:pPr>
              <w:spacing w:after="0"/>
              <w:rPr>
                <w:sz w:val="15"/>
                <w:szCs w:val="15"/>
                <w:color w:val="auto"/>
              </w:rPr>
            </w:pPr>
          </w:p>
        </w:tc>
        <w:tc>
          <w:tcPr>
            <w:tcW w:w="58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vMerge w:val="continue"/>
            <w:shd w:val="clear" w:color="auto" w:fill="CFF0FC"/>
          </w:tcPr>
          <w:p>
            <w:pPr>
              <w:spacing w:after="0"/>
              <w:rPr>
                <w:sz w:val="15"/>
                <w:szCs w:val="15"/>
                <w:color w:val="auto"/>
              </w:rPr>
            </w:pPr>
          </w:p>
        </w:tc>
        <w:tc>
          <w:tcPr>
            <w:tcW w:w="68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3467100</wp:posOffset>
            </wp:positionH>
            <wp:positionV relativeFrom="paragraph">
              <wp:posOffset>-674370</wp:posOffset>
            </wp:positionV>
            <wp:extent cx="4762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-674370</wp:posOffset>
            </wp:positionV>
            <wp:extent cx="4762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4667250</wp:posOffset>
            </wp:positionH>
            <wp:positionV relativeFrom="paragraph">
              <wp:posOffset>-674370</wp:posOffset>
            </wp:positionV>
            <wp:extent cx="4762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-674370</wp:posOffset>
            </wp:positionV>
            <wp:extent cx="4762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3467100</wp:posOffset>
            </wp:positionH>
            <wp:positionV relativeFrom="paragraph">
              <wp:posOffset>-19685</wp:posOffset>
            </wp:positionV>
            <wp:extent cx="4762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3467100</wp:posOffset>
            </wp:positionH>
            <wp:positionV relativeFrom="paragraph">
              <wp:posOffset>-6350</wp:posOffset>
            </wp:positionV>
            <wp:extent cx="4762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-19685</wp:posOffset>
            </wp:positionV>
            <wp:extent cx="4762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-6350</wp:posOffset>
            </wp:positionV>
            <wp:extent cx="4762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4667250</wp:posOffset>
            </wp:positionH>
            <wp:positionV relativeFrom="paragraph">
              <wp:posOffset>-19685</wp:posOffset>
            </wp:positionV>
            <wp:extent cx="4762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4667250</wp:posOffset>
            </wp:positionH>
            <wp:positionV relativeFrom="paragraph">
              <wp:posOffset>-6350</wp:posOffset>
            </wp:positionV>
            <wp:extent cx="4762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59" w:lineRule="exact"/>
        <w:rPr>
          <w:sz w:val="20"/>
          <w:szCs w:val="20"/>
          <w:color w:val="auto"/>
        </w:rPr>
      </w:pPr>
    </w:p>
    <w:p>
      <w:pPr>
        <w:ind w:left="980" w:right="699" w:hanging="342"/>
        <w:spacing w:after="0" w:line="226" w:lineRule="auto"/>
        <w:tabs>
          <w:tab w:leader="none" w:pos="98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income tax effects of the net change in fair value were $(201) and $(234) for the three and six months ended June 30, 2025, respectively, and $(1,018) and $(6,833) for the three and six months ended June 30, 2024, respectively.</w:t>
      </w:r>
    </w:p>
    <w:p>
      <w:pPr>
        <w:spacing w:after="0" w:line="72" w:lineRule="exact"/>
        <w:rPr>
          <w:rFonts w:ascii="Times New Roman" w:cs="Times New Roman" w:eastAsia="Times New Roman" w:hAnsi="Times New Roman"/>
          <w:sz w:val="19"/>
          <w:szCs w:val="19"/>
          <w:color w:val="auto"/>
          <w:vertAlign w:val="superscript"/>
        </w:rPr>
      </w:pPr>
    </w:p>
    <w:p>
      <w:pPr>
        <w:ind w:left="980" w:right="739" w:hanging="342"/>
        <w:spacing w:after="0" w:line="226" w:lineRule="auto"/>
        <w:tabs>
          <w:tab w:leader="none" w:pos="98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income tax effects of amounts reclassified to earnings were $1,080 and $2,167 for the three and six months ended June 30, 2025, respectively, and $2,327 and $4,672 for the three and six months ended June 30, 2024, respectively.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BrightSpring Health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Shareholders’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7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120" w:type="dxa"/>
            <w:vAlign w:val="bottom"/>
            <w:tcBorders>
              <w:bottom w:val="single" w:sz="8" w:color="auto"/>
            </w:tcBorders>
            <w:gridSpan w:val="9"/>
          </w:tcPr>
          <w:p>
            <w:pPr>
              <w:jc w:val="right"/>
              <w:ind w:right="980"/>
              <w:spacing w:after="0"/>
              <w:rPr>
                <w:sz w:val="20"/>
                <w:szCs w:val="20"/>
                <w:color w:val="auto"/>
              </w:rPr>
            </w:pPr>
            <w:r>
              <w:rPr>
                <w:rFonts w:ascii="Times New Roman" w:cs="Times New Roman" w:eastAsia="Times New Roman" w:hAnsi="Times New Roman"/>
                <w:sz w:val="11"/>
                <w:szCs w:val="11"/>
                <w:b w:val="1"/>
                <w:bCs w:val="1"/>
                <w:color w:val="auto"/>
              </w:rPr>
              <w:t>For the Three Months Ended June 30, 2025</w:t>
            </w: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700" w:type="dxa"/>
            <w:vAlign w:val="bottom"/>
          </w:tcPr>
          <w:p>
            <w:pPr>
              <w:spacing w:after="0"/>
              <w:rPr>
                <w:sz w:val="7"/>
                <w:szCs w:val="7"/>
                <w:color w:val="auto"/>
              </w:rPr>
            </w:pPr>
          </w:p>
        </w:tc>
        <w:tc>
          <w:tcPr>
            <w:tcW w:w="1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tcPr>
          <w:p>
            <w:pPr>
              <w:jc w:val="center"/>
              <w:ind w:right="200"/>
              <w:spacing w:after="0" w:line="90"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60" w:type="dxa"/>
            <w:vAlign w:val="bottom"/>
          </w:tcPr>
          <w:p>
            <w:pPr>
              <w:spacing w:after="0"/>
              <w:rPr>
                <w:sz w:val="7"/>
                <w:szCs w:val="7"/>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120" w:type="dxa"/>
            <w:vAlign w:val="bottom"/>
            <w:vMerge w:val="restart"/>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80" w:type="dxa"/>
            <w:vAlign w:val="bottom"/>
            <w:gridSpan w:val="3"/>
          </w:tcPr>
          <w:p>
            <w:pPr>
              <w:ind w:left="120"/>
              <w:spacing w:after="0" w:line="90" w:lineRule="exact"/>
              <w:rPr>
                <w:sz w:val="20"/>
                <w:szCs w:val="20"/>
                <w:color w:val="auto"/>
              </w:rPr>
            </w:pPr>
            <w:r>
              <w:rPr>
                <w:rFonts w:ascii="Times New Roman" w:cs="Times New Roman" w:eastAsia="Times New Roman" w:hAnsi="Times New Roman"/>
                <w:sz w:val="10"/>
                <w:szCs w:val="10"/>
                <w:b w:val="1"/>
                <w:bCs w:val="1"/>
                <w:color w:val="auto"/>
              </w:rPr>
              <w:t>Accumulated Other</w:t>
            </w:r>
          </w:p>
        </w:tc>
        <w:tc>
          <w:tcPr>
            <w:tcW w:w="20" w:type="dxa"/>
            <w:vAlign w:val="bottom"/>
          </w:tcPr>
          <w:p>
            <w:pPr>
              <w:spacing w:after="0"/>
              <w:rPr>
                <w:sz w:val="7"/>
                <w:szCs w:val="7"/>
                <w:color w:val="auto"/>
              </w:rPr>
            </w:pPr>
          </w:p>
        </w:tc>
        <w:tc>
          <w:tcPr>
            <w:tcW w:w="980" w:type="dxa"/>
            <w:vAlign w:val="bottom"/>
            <w:gridSpan w:val="3"/>
          </w:tcPr>
          <w:p>
            <w:pPr>
              <w:jc w:val="center"/>
              <w:ind w:right="220"/>
              <w:spacing w:after="0" w:line="90"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700" w:type="dxa"/>
            <w:vAlign w:val="bottom"/>
          </w:tcPr>
          <w:p>
            <w:pPr>
              <w:spacing w:after="0"/>
              <w:rPr>
                <w:sz w:val="11"/>
                <w:szCs w:val="11"/>
                <w:color w:val="auto"/>
              </w:rPr>
            </w:pPr>
          </w:p>
        </w:tc>
        <w:tc>
          <w:tcPr>
            <w:tcW w:w="1200" w:type="dxa"/>
            <w:vAlign w:val="bottom"/>
            <w:tcBorders>
              <w:bottom w:val="single" w:sz="8" w:color="auto"/>
            </w:tcBorders>
            <w:gridSpan w:val="3"/>
            <w:vMerge w:val="continue"/>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Borders>
              <w:bottom w:val="single" w:sz="8" w:color="auto"/>
            </w:tcBorders>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Comprehensive Loss</w:t>
            </w:r>
          </w:p>
        </w:tc>
        <w:tc>
          <w:tcPr>
            <w:tcW w:w="20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Balances at March 31, 2025</w:t>
            </w:r>
          </w:p>
        </w:tc>
        <w:tc>
          <w:tcPr>
            <w:tcW w:w="1040" w:type="dxa"/>
            <w:vAlign w:val="bottom"/>
            <w:gridSpan w:val="2"/>
          </w:tcPr>
          <w:p>
            <w:pPr>
              <w:jc w:val="right"/>
              <w:ind w:right="460"/>
              <w:spacing w:after="0" w:line="109" w:lineRule="exact"/>
              <w:rPr>
                <w:sz w:val="20"/>
                <w:szCs w:val="20"/>
                <w:color w:val="auto"/>
              </w:rPr>
            </w:pPr>
            <w:r>
              <w:rPr>
                <w:rFonts w:ascii="Times New Roman" w:cs="Times New Roman" w:eastAsia="Times New Roman" w:hAnsi="Times New Roman"/>
                <w:sz w:val="11"/>
                <w:szCs w:val="11"/>
                <w:b w:val="1"/>
                <w:bCs w:val="1"/>
                <w:color w:val="auto"/>
              </w:rPr>
              <w:t>Shares</w:t>
            </w:r>
          </w:p>
        </w:tc>
        <w:tc>
          <w:tcPr>
            <w:tcW w:w="540" w:type="dxa"/>
            <w:vAlign w:val="bottom"/>
            <w:gridSpan w:val="2"/>
          </w:tcPr>
          <w:p>
            <w:pPr>
              <w:jc w:val="right"/>
              <w:ind w:right="13"/>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1,880,099</w:t>
            </w:r>
          </w:p>
        </w:tc>
        <w:tc>
          <w:tcPr>
            <w:tcW w:w="60" w:type="dxa"/>
            <w:vAlign w:val="bottom"/>
          </w:tcPr>
          <w:p>
            <w:pPr>
              <w:spacing w:after="0"/>
              <w:rPr>
                <w:sz w:val="9"/>
                <w:szCs w:val="9"/>
                <w:color w:val="auto"/>
              </w:rPr>
            </w:pPr>
          </w:p>
        </w:tc>
        <w:tc>
          <w:tcPr>
            <w:tcW w:w="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(192,613)</w:t>
            </w:r>
          </w:p>
        </w:tc>
        <w:tc>
          <w:tcPr>
            <w:tcW w:w="22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(1,869)</w:t>
            </w:r>
          </w:p>
        </w:tc>
        <w:tc>
          <w:tcPr>
            <w:tcW w:w="140" w:type="dxa"/>
            <w:vAlign w:val="bottom"/>
            <w:gridSpan w:val="2"/>
            <w:vMerge w:val="restart"/>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1,687,244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700" w:type="dxa"/>
            <w:vAlign w:val="bottom"/>
            <w:vMerge w:val="continue"/>
          </w:tcPr>
          <w:p>
            <w:pPr>
              <w:spacing w:after="0"/>
              <w:rPr>
                <w:sz w:val="9"/>
                <w:szCs w:val="9"/>
                <w:color w:val="auto"/>
              </w:rPr>
            </w:pPr>
          </w:p>
        </w:tc>
        <w:tc>
          <w:tcPr>
            <w:tcW w:w="8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2"/>
                <w:szCs w:val="12"/>
                <w:color w:val="auto"/>
              </w:rPr>
              <w:t>175,183,434</w:t>
            </w:r>
          </w:p>
        </w:tc>
        <w:tc>
          <w:tcPr>
            <w:tcW w:w="200" w:type="dxa"/>
            <w:vAlign w:val="bottom"/>
          </w:tcPr>
          <w:p>
            <w:pPr>
              <w:spacing w:after="0"/>
              <w:rPr>
                <w:sz w:val="9"/>
                <w:szCs w:val="9"/>
                <w:color w:val="auto"/>
              </w:rPr>
            </w:pPr>
          </w:p>
        </w:tc>
        <w:tc>
          <w:tcPr>
            <w:tcW w:w="160" w:type="dxa"/>
            <w:vAlign w:val="bottom"/>
            <w:tcBorders>
              <w:top w:val="single" w:sz="8" w:color="auto"/>
            </w:tcBorders>
          </w:tcPr>
          <w:p>
            <w:pPr>
              <w:jc w:val="right"/>
              <w:ind w:right="17"/>
              <w:spacing w:after="0" w:line="114" w:lineRule="exact"/>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2"/>
                <w:szCs w:val="12"/>
                <w:color w:val="auto"/>
              </w:rPr>
              <w:t>1,752</w:t>
            </w:r>
          </w:p>
        </w:tc>
        <w:tc>
          <w:tcPr>
            <w:tcW w:w="2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14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700" w:type="dxa"/>
            <w:vAlign w:val="bottom"/>
          </w:tcPr>
          <w:p>
            <w:pPr>
              <w:spacing w:after="0" w:line="199" w:lineRule="exact"/>
              <w:rPr>
                <w:sz w:val="20"/>
                <w:szCs w:val="20"/>
                <w:color w:val="auto"/>
              </w:rPr>
            </w:pPr>
            <w:r>
              <w:rPr>
                <w:rFonts w:ascii="Times New Roman" w:cs="Times New Roman" w:eastAsia="Times New Roman" w:hAnsi="Times New Roman"/>
                <w:sz w:val="14"/>
                <w:szCs w:val="14"/>
                <w:color w:val="auto"/>
              </w:rPr>
              <w:t xml:space="preserve">Net income (loss) </w:t>
            </w:r>
            <w:r>
              <w:rPr>
                <w:rFonts w:ascii="Times New Roman" w:cs="Times New Roman" w:eastAsia="Times New Roman" w:hAnsi="Times New Roman"/>
                <w:sz w:val="18"/>
                <w:szCs w:val="18"/>
                <w:color w:val="auto"/>
                <w:vertAlign w:val="superscript"/>
              </w:rPr>
              <w:t>(1)</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28,208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(158)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(2,461)</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(2,461)</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22,802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1,283,882</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8,703</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8,717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70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Issuance of common stock for settlement</w:t>
            </w:r>
          </w:p>
        </w:tc>
        <w:tc>
          <w:tcPr>
            <w:tcW w:w="84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649,010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(6)</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3"/>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 RSUs</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700" w:type="dxa"/>
            <w:vAlign w:val="bottom"/>
            <w:shd w:val="clear" w:color="auto" w:fill="CFF0FC"/>
          </w:tcPr>
          <w:p>
            <w:pPr>
              <w:spacing w:after="0" w:line="146" w:lineRule="exact"/>
              <w:rPr>
                <w:sz w:val="20"/>
                <w:szCs w:val="20"/>
                <w:color w:val="auto"/>
              </w:rPr>
            </w:pPr>
            <w:r>
              <w:rPr>
                <w:rFonts w:ascii="Times New Roman" w:cs="Times New Roman" w:eastAsia="Times New Roman" w:hAnsi="Times New Roman"/>
                <w:sz w:val="14"/>
                <w:szCs w:val="14"/>
                <w:color w:val="auto"/>
              </w:rPr>
              <w:t>Tax effect of net share settlement of equity</w:t>
            </w:r>
          </w:p>
        </w:tc>
        <w:tc>
          <w:tcPr>
            <w:tcW w:w="1040" w:type="dxa"/>
            <w:vAlign w:val="bottom"/>
            <w:gridSpan w:val="2"/>
            <w:shd w:val="clear" w:color="auto" w:fill="CFF0FC"/>
          </w:tcPr>
          <w:p>
            <w:pPr>
              <w:jc w:val="right"/>
              <w:ind w:right="160"/>
              <w:spacing w:after="0" w:line="146" w:lineRule="exact"/>
              <w:rPr>
                <w:sz w:val="20"/>
                <w:szCs w:val="20"/>
                <w:color w:val="auto"/>
              </w:rPr>
            </w:pPr>
            <w:r>
              <w:rPr>
                <w:rFonts w:ascii="Times New Roman" w:cs="Times New Roman" w:eastAsia="Times New Roman" w:hAnsi="Times New Roman"/>
                <w:sz w:val="14"/>
                <w:szCs w:val="14"/>
                <w:color w:val="auto"/>
              </w:rPr>
              <w:t>(60,999)</w:t>
            </w:r>
          </w:p>
        </w:tc>
        <w:tc>
          <w:tcPr>
            <w:tcW w:w="16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80"/>
              <w:spacing w:after="0" w:line="146"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spacing w:after="0" w:line="146" w:lineRule="exact"/>
              <w:rPr>
                <w:sz w:val="20"/>
                <w:szCs w:val="20"/>
                <w:color w:val="auto"/>
              </w:rPr>
            </w:pPr>
            <w:r>
              <w:rPr>
                <w:rFonts w:ascii="Times New Roman" w:cs="Times New Roman" w:eastAsia="Times New Roman" w:hAnsi="Times New Roman"/>
                <w:sz w:val="14"/>
                <w:szCs w:val="14"/>
                <w:color w:val="auto"/>
              </w:rPr>
              <w:t>(1,744)</w:t>
            </w: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40"/>
              <w:spacing w:after="0" w:line="146"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580" w:type="dxa"/>
            <w:vAlign w:val="bottom"/>
            <w:gridSpan w:val="3"/>
            <w:shd w:val="clear" w:color="auto" w:fill="CFF0FC"/>
          </w:tcPr>
          <w:p>
            <w:pPr>
              <w:jc w:val="right"/>
              <w:ind w:right="200"/>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00"/>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line="146" w:lineRule="exact"/>
              <w:rPr>
                <w:sz w:val="20"/>
                <w:szCs w:val="20"/>
                <w:color w:val="auto"/>
              </w:rPr>
            </w:pPr>
            <w:r>
              <w:rPr>
                <w:rFonts w:ascii="Times New Roman" w:cs="Times New Roman" w:eastAsia="Times New Roman" w:hAnsi="Times New Roman"/>
                <w:sz w:val="14"/>
                <w:szCs w:val="14"/>
                <w:color w:val="auto"/>
              </w:rPr>
              <w:t>(1,745)</w:t>
            </w:r>
          </w:p>
        </w:tc>
        <w:tc>
          <w:tcPr>
            <w:tcW w:w="0" w:type="dxa"/>
            <w:vAlign w:val="bottom"/>
          </w:tcPr>
          <w:p>
            <w:pPr>
              <w:spacing w:after="0"/>
              <w:rPr>
                <w:sz w:val="1"/>
                <w:szCs w:val="1"/>
                <w:color w:val="auto"/>
              </w:rPr>
            </w:pPr>
          </w:p>
        </w:tc>
      </w:tr>
      <w:tr>
        <w:trPr>
          <w:trHeight w:val="167"/>
        </w:trPr>
        <w:tc>
          <w:tcPr>
            <w:tcW w:w="27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awards</w:t>
            </w:r>
          </w:p>
        </w:tc>
        <w:tc>
          <w:tcPr>
            <w:tcW w:w="84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70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Balances at June 30, 2025</w:t>
            </w:r>
          </w:p>
        </w:tc>
        <w:tc>
          <w:tcPr>
            <w:tcW w:w="8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177,055,327</w:t>
            </w:r>
          </w:p>
        </w:tc>
        <w:tc>
          <w:tcPr>
            <w:tcW w:w="200" w:type="dxa"/>
            <w:vAlign w:val="bottom"/>
          </w:tcPr>
          <w:p>
            <w:pPr>
              <w:spacing w:after="0"/>
              <w:rPr>
                <w:sz w:val="13"/>
                <w:szCs w:val="13"/>
                <w:color w:val="auto"/>
              </w:rPr>
            </w:pPr>
          </w:p>
        </w:tc>
        <w:tc>
          <w:tcPr>
            <w:tcW w:w="160" w:type="dxa"/>
            <w:vAlign w:val="bottom"/>
          </w:tcPr>
          <w:p>
            <w:pPr>
              <w:jc w:val="right"/>
              <w:ind w:right="17"/>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1,771</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1,909,854</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80"/>
              <w:spacing w:after="0" w:line="152" w:lineRule="exact"/>
              <w:rPr>
                <w:sz w:val="20"/>
                <w:szCs w:val="20"/>
                <w:color w:val="auto"/>
              </w:rPr>
            </w:pPr>
            <w:r>
              <w:rPr>
                <w:rFonts w:ascii="Times New Roman" w:cs="Times New Roman" w:eastAsia="Times New Roman" w:hAnsi="Times New Roman"/>
                <w:sz w:val="14"/>
                <w:szCs w:val="14"/>
                <w:color w:val="auto"/>
              </w:rPr>
              <w:t>(164,405)</w:t>
            </w:r>
          </w:p>
        </w:tc>
        <w:tc>
          <w:tcPr>
            <w:tcW w:w="220" w:type="dxa"/>
            <w:vAlign w:val="bottom"/>
            <w:gridSpan w:val="2"/>
          </w:tcPr>
          <w:p>
            <w:pPr>
              <w:jc w:val="right"/>
              <w:ind w:right="17"/>
              <w:spacing w:after="0" w:line="152"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3"/>
          </w:tcPr>
          <w:p>
            <w:pPr>
              <w:jc w:val="right"/>
              <w:ind w:right="160"/>
              <w:spacing w:after="0" w:line="152" w:lineRule="exact"/>
              <w:rPr>
                <w:sz w:val="20"/>
                <w:szCs w:val="20"/>
                <w:color w:val="auto"/>
              </w:rPr>
            </w:pPr>
            <w:r>
              <w:rPr>
                <w:rFonts w:ascii="Times New Roman" w:cs="Times New Roman" w:eastAsia="Times New Roman" w:hAnsi="Times New Roman"/>
                <w:sz w:val="14"/>
                <w:szCs w:val="14"/>
                <w:color w:val="auto"/>
              </w:rPr>
              <w:t>(4,330)</w:t>
            </w:r>
          </w:p>
        </w:tc>
        <w:tc>
          <w:tcPr>
            <w:tcW w:w="140" w:type="dxa"/>
            <w:vAlign w:val="bottom"/>
            <w:gridSpan w:val="2"/>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140"/>
              <w:spacing w:after="0" w:line="152" w:lineRule="exact"/>
              <w:rPr>
                <w:sz w:val="20"/>
                <w:szCs w:val="20"/>
                <w:color w:val="auto"/>
              </w:rPr>
            </w:pPr>
            <w:r>
              <w:rPr>
                <w:rFonts w:ascii="Times New Roman" w:cs="Times New Roman" w:eastAsia="Times New Roman" w:hAnsi="Times New Roman"/>
                <w:sz w:val="14"/>
                <w:szCs w:val="14"/>
                <w:color w:val="auto"/>
              </w:rPr>
              <w:t>(283)</w:t>
            </w:r>
          </w:p>
        </w:tc>
        <w:tc>
          <w:tcPr>
            <w:tcW w:w="12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w w:val="99"/>
              </w:rPr>
              <w:t>1,742,607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7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9"/>
          </w:tcPr>
          <w:p>
            <w:pPr>
              <w:jc w:val="right"/>
              <w:ind w:right="980"/>
              <w:spacing w:after="0"/>
              <w:rPr>
                <w:sz w:val="20"/>
                <w:szCs w:val="20"/>
                <w:color w:val="auto"/>
              </w:rPr>
            </w:pPr>
            <w:r>
              <w:rPr>
                <w:rFonts w:ascii="Times New Roman" w:cs="Times New Roman" w:eastAsia="Times New Roman" w:hAnsi="Times New Roman"/>
                <w:sz w:val="11"/>
                <w:szCs w:val="11"/>
                <w:b w:val="1"/>
                <w:bCs w:val="1"/>
                <w:color w:val="auto"/>
              </w:rPr>
              <w:t>For the Three Months Ended June 30, 2024</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2700" w:type="dxa"/>
            <w:vAlign w:val="bottom"/>
          </w:tcPr>
          <w:p>
            <w:pPr>
              <w:spacing w:after="0"/>
              <w:rPr>
                <w:sz w:val="7"/>
                <w:szCs w:val="7"/>
                <w:color w:val="auto"/>
              </w:rPr>
            </w:pPr>
          </w:p>
        </w:tc>
        <w:tc>
          <w:tcPr>
            <w:tcW w:w="1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tcPr>
          <w:p>
            <w:pPr>
              <w:jc w:val="center"/>
              <w:ind w:right="200"/>
              <w:spacing w:after="0" w:line="90"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60" w:type="dxa"/>
            <w:vAlign w:val="bottom"/>
          </w:tcPr>
          <w:p>
            <w:pPr>
              <w:spacing w:after="0"/>
              <w:rPr>
                <w:sz w:val="7"/>
                <w:szCs w:val="7"/>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120" w:type="dxa"/>
            <w:vAlign w:val="bottom"/>
            <w:vMerge w:val="restart"/>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80" w:type="dxa"/>
            <w:vAlign w:val="bottom"/>
            <w:gridSpan w:val="3"/>
          </w:tcPr>
          <w:p>
            <w:pPr>
              <w:ind w:left="120"/>
              <w:spacing w:after="0" w:line="90" w:lineRule="exact"/>
              <w:rPr>
                <w:sz w:val="20"/>
                <w:szCs w:val="20"/>
                <w:color w:val="auto"/>
              </w:rPr>
            </w:pPr>
            <w:r>
              <w:rPr>
                <w:rFonts w:ascii="Times New Roman" w:cs="Times New Roman" w:eastAsia="Times New Roman" w:hAnsi="Times New Roman"/>
                <w:sz w:val="10"/>
                <w:szCs w:val="10"/>
                <w:b w:val="1"/>
                <w:bCs w:val="1"/>
                <w:color w:val="auto"/>
              </w:rPr>
              <w:t>Accumulated Other</w:t>
            </w:r>
          </w:p>
        </w:tc>
        <w:tc>
          <w:tcPr>
            <w:tcW w:w="20" w:type="dxa"/>
            <w:vAlign w:val="bottom"/>
          </w:tcPr>
          <w:p>
            <w:pPr>
              <w:spacing w:after="0"/>
              <w:rPr>
                <w:sz w:val="7"/>
                <w:szCs w:val="7"/>
                <w:color w:val="auto"/>
              </w:rPr>
            </w:pPr>
          </w:p>
        </w:tc>
        <w:tc>
          <w:tcPr>
            <w:tcW w:w="980" w:type="dxa"/>
            <w:vAlign w:val="bottom"/>
            <w:gridSpan w:val="3"/>
          </w:tcPr>
          <w:p>
            <w:pPr>
              <w:jc w:val="center"/>
              <w:ind w:right="200"/>
              <w:spacing w:after="0" w:line="90"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700" w:type="dxa"/>
            <w:vAlign w:val="bottom"/>
          </w:tcPr>
          <w:p>
            <w:pPr>
              <w:spacing w:after="0"/>
              <w:rPr>
                <w:sz w:val="11"/>
                <w:szCs w:val="11"/>
                <w:color w:val="auto"/>
              </w:rPr>
            </w:pPr>
          </w:p>
        </w:tc>
        <w:tc>
          <w:tcPr>
            <w:tcW w:w="1200" w:type="dxa"/>
            <w:vAlign w:val="bottom"/>
            <w:tcBorders>
              <w:bottom w:val="single" w:sz="8" w:color="auto"/>
            </w:tcBorders>
            <w:gridSpan w:val="3"/>
            <w:vMerge w:val="continue"/>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Borders>
              <w:bottom w:val="single" w:sz="8" w:color="auto"/>
            </w:tcBorders>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5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Comprehensive Income (Loss)</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Balances at March 31, 2024</w:t>
            </w:r>
          </w:p>
        </w:tc>
        <w:tc>
          <w:tcPr>
            <w:tcW w:w="1040" w:type="dxa"/>
            <w:vAlign w:val="bottom"/>
            <w:gridSpan w:val="2"/>
          </w:tcPr>
          <w:p>
            <w:pPr>
              <w:jc w:val="right"/>
              <w:ind w:right="460"/>
              <w:spacing w:after="0" w:line="109" w:lineRule="exact"/>
              <w:rPr>
                <w:sz w:val="20"/>
                <w:szCs w:val="20"/>
                <w:color w:val="auto"/>
              </w:rPr>
            </w:pPr>
            <w:r>
              <w:rPr>
                <w:rFonts w:ascii="Times New Roman" w:cs="Times New Roman" w:eastAsia="Times New Roman" w:hAnsi="Times New Roman"/>
                <w:sz w:val="11"/>
                <w:szCs w:val="11"/>
                <w:b w:val="1"/>
                <w:bCs w:val="1"/>
                <w:color w:val="auto"/>
              </w:rPr>
              <w:t>Shares</w:t>
            </w:r>
          </w:p>
        </w:tc>
        <w:tc>
          <w:tcPr>
            <w:tcW w:w="540" w:type="dxa"/>
            <w:vAlign w:val="bottom"/>
            <w:gridSpan w:val="2"/>
          </w:tcPr>
          <w:p>
            <w:pPr>
              <w:jc w:val="right"/>
              <w:ind w:right="13"/>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1,788,728</w:t>
            </w:r>
          </w:p>
        </w:tc>
        <w:tc>
          <w:tcPr>
            <w:tcW w:w="60" w:type="dxa"/>
            <w:vAlign w:val="bottom"/>
          </w:tcPr>
          <w:p>
            <w:pPr>
              <w:spacing w:after="0"/>
              <w:rPr>
                <w:sz w:val="9"/>
                <w:szCs w:val="9"/>
                <w:color w:val="auto"/>
              </w:rPr>
            </w:pPr>
          </w:p>
        </w:tc>
        <w:tc>
          <w:tcPr>
            <w:tcW w:w="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(246,069)</w:t>
            </w:r>
          </w:p>
        </w:tc>
        <w:tc>
          <w:tcPr>
            <w:tcW w:w="22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23,115</w:t>
            </w:r>
          </w:p>
        </w:tc>
        <w:tc>
          <w:tcPr>
            <w:tcW w:w="180" w:type="dxa"/>
            <w:vAlign w:val="bottom"/>
          </w:tcPr>
          <w:p>
            <w:pPr>
              <w:spacing w:after="0"/>
              <w:rPr>
                <w:sz w:val="9"/>
                <w:szCs w:val="9"/>
                <w:color w:val="auto"/>
              </w:rPr>
            </w:pPr>
          </w:p>
        </w:tc>
        <w:tc>
          <w:tcPr>
            <w:tcW w:w="140" w:type="dxa"/>
            <w:vAlign w:val="bottom"/>
            <w:gridSpan w:val="2"/>
            <w:vMerge w:val="restart"/>
          </w:tcPr>
          <w:p>
            <w:pPr>
              <w:jc w:val="right"/>
              <w:ind w:right="7"/>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80" w:type="dxa"/>
            <w:vAlign w:val="bottom"/>
          </w:tcPr>
          <w:p>
            <w:pPr>
              <w:spacing w:after="0"/>
              <w:rPr>
                <w:sz w:val="9"/>
                <w:szCs w:val="9"/>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1,568,004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700" w:type="dxa"/>
            <w:vAlign w:val="bottom"/>
            <w:vMerge w:val="continue"/>
          </w:tcPr>
          <w:p>
            <w:pPr>
              <w:spacing w:after="0"/>
              <w:rPr>
                <w:sz w:val="9"/>
                <w:szCs w:val="9"/>
                <w:color w:val="auto"/>
              </w:rPr>
            </w:pPr>
          </w:p>
        </w:tc>
        <w:tc>
          <w:tcPr>
            <w:tcW w:w="8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2"/>
                <w:szCs w:val="12"/>
                <w:color w:val="auto"/>
              </w:rPr>
              <w:t>171,190,389</w:t>
            </w:r>
          </w:p>
        </w:tc>
        <w:tc>
          <w:tcPr>
            <w:tcW w:w="200" w:type="dxa"/>
            <w:vAlign w:val="bottom"/>
          </w:tcPr>
          <w:p>
            <w:pPr>
              <w:spacing w:after="0"/>
              <w:rPr>
                <w:sz w:val="9"/>
                <w:szCs w:val="9"/>
                <w:color w:val="auto"/>
              </w:rPr>
            </w:pPr>
          </w:p>
        </w:tc>
        <w:tc>
          <w:tcPr>
            <w:tcW w:w="160" w:type="dxa"/>
            <w:vAlign w:val="bottom"/>
            <w:tcBorders>
              <w:top w:val="single" w:sz="8" w:color="auto"/>
            </w:tcBorders>
          </w:tcPr>
          <w:p>
            <w:pPr>
              <w:jc w:val="right"/>
              <w:ind w:right="17"/>
              <w:spacing w:after="0" w:line="114" w:lineRule="exact"/>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2"/>
                <w:szCs w:val="12"/>
                <w:color w:val="auto"/>
              </w:rPr>
              <w:t>1,712</w:t>
            </w:r>
          </w:p>
        </w:tc>
        <w:tc>
          <w:tcPr>
            <w:tcW w:w="2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700" w:type="dxa"/>
            <w:vAlign w:val="bottom"/>
          </w:tcPr>
          <w:p>
            <w:pPr>
              <w:spacing w:after="0" w:line="199" w:lineRule="exact"/>
              <w:rPr>
                <w:sz w:val="20"/>
                <w:szCs w:val="20"/>
                <w:color w:val="auto"/>
              </w:rPr>
            </w:pPr>
            <w:r>
              <w:rPr>
                <w:rFonts w:ascii="Times New Roman" w:cs="Times New Roman" w:eastAsia="Times New Roman" w:hAnsi="Times New Roman"/>
                <w:sz w:val="14"/>
                <w:szCs w:val="14"/>
                <w:color w:val="auto"/>
              </w:rPr>
              <w:t xml:space="preserve">Net income (loss) </w:t>
            </w:r>
            <w:r>
              <w:rPr>
                <w:rFonts w:ascii="Times New Roman" w:cs="Times New Roman" w:eastAsia="Times New Roman" w:hAnsi="Times New Roman"/>
                <w:sz w:val="18"/>
                <w:szCs w:val="18"/>
                <w:color w:val="auto"/>
                <w:vertAlign w:val="superscript"/>
              </w:rPr>
              <w:t>(1)</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19,919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(4,090)</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(4,090)</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15,136</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7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Shares issued under share-based compensation</w:t>
            </w:r>
          </w:p>
        </w:tc>
        <w:tc>
          <w:tcPr>
            <w:tcW w:w="84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107,389</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21</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580" w:type="dxa"/>
            <w:vAlign w:val="bottom"/>
            <w:gridSpan w:val="3"/>
            <w:shd w:val="clear" w:color="auto" w:fill="CFF0FC"/>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plan, including tax effects</w:t>
            </w: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Shares issued for payment of acquisition</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99,252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700" w:type="dxa"/>
            <w:vAlign w:val="bottom"/>
            <w:tcBorders>
              <w:top w:val="single" w:sz="8" w:color="CFF0FC"/>
              <w:bottom w:val="single" w:sz="8" w:color="CFF0FC"/>
            </w:tcBorders>
            <w:shd w:val="clear" w:color="auto" w:fill="CFF0FC"/>
          </w:tcPr>
          <w:p>
            <w:pPr>
              <w:spacing w:after="0" w:line="152" w:lineRule="exact"/>
              <w:rPr>
                <w:sz w:val="20"/>
                <w:szCs w:val="20"/>
                <w:color w:val="auto"/>
              </w:rPr>
            </w:pPr>
            <w:r>
              <w:rPr>
                <w:rFonts w:ascii="Times New Roman" w:cs="Times New Roman" w:eastAsia="Times New Roman" w:hAnsi="Times New Roman"/>
                <w:sz w:val="14"/>
                <w:szCs w:val="14"/>
                <w:color w:val="auto"/>
              </w:rPr>
              <w:t>Balances at June 30, 2024</w:t>
            </w:r>
          </w:p>
        </w:tc>
        <w:tc>
          <w:tcPr>
            <w:tcW w:w="840" w:type="dxa"/>
            <w:vAlign w:val="bottom"/>
            <w:tcBorders>
              <w:top w:val="single" w:sz="8" w:color="auto"/>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171,397,030</w:t>
            </w:r>
          </w:p>
        </w:tc>
        <w:tc>
          <w:tcPr>
            <w:tcW w:w="200" w:type="dxa"/>
            <w:vAlign w:val="bottom"/>
            <w:tcBorders>
              <w:top w:val="single" w:sz="8" w:color="CFF0FC"/>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auto"/>
            </w:tcBorders>
            <w:shd w:val="clear" w:color="auto" w:fill="CFF0FC"/>
          </w:tcPr>
          <w:p>
            <w:pPr>
              <w:jc w:val="right"/>
              <w:ind w:right="17"/>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1,714</w:t>
            </w: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1,804,965</w:t>
            </w:r>
          </w:p>
        </w:tc>
        <w:tc>
          <w:tcPr>
            <w:tcW w:w="60" w:type="dxa"/>
            <w:vAlign w:val="bottom"/>
            <w:tcBorders>
              <w:top w:val="single" w:sz="8" w:color="CFF0FC"/>
              <w:bottom w:val="single" w:sz="8" w:color="CFF0FC"/>
            </w:tcBorders>
            <w:shd w:val="clear" w:color="auto" w:fill="CFF0FC"/>
          </w:tcPr>
          <w:p>
            <w:pPr>
              <w:spacing w:after="0"/>
              <w:rPr>
                <w:sz w:val="16"/>
                <w:szCs w:val="16"/>
                <w:color w:val="auto"/>
              </w:rPr>
            </w:pPr>
          </w:p>
        </w:tc>
        <w:tc>
          <w:tcPr>
            <w:tcW w:w="160" w:type="dxa"/>
            <w:vAlign w:val="bottom"/>
            <w:tcBorders>
              <w:top w:val="single" w:sz="8" w:color="CFF0FC"/>
              <w:bottom w:val="single" w:sz="8" w:color="CFF0FC"/>
            </w:tcBorders>
            <w:shd w:val="clear" w:color="auto" w:fill="CFF0FC"/>
          </w:tcPr>
          <w:p>
            <w:pPr>
              <w:spacing w:after="0"/>
              <w:rPr>
                <w:sz w:val="16"/>
                <w:szCs w:val="16"/>
                <w:color w:val="auto"/>
              </w:rPr>
            </w:pPr>
          </w:p>
        </w:tc>
        <w:tc>
          <w:tcPr>
            <w:tcW w:w="300" w:type="dxa"/>
            <w:vAlign w:val="bottom"/>
            <w:tcBorders>
              <w:top w:val="single" w:sz="8" w:color="auto"/>
              <w:bottom w:val="single" w:sz="8" w:color="auto"/>
            </w:tcBorders>
            <w:shd w:val="clear" w:color="auto" w:fill="CFF0FC"/>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(226,150)</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60" w:type="dxa"/>
            <w:vAlign w:val="bottom"/>
            <w:tcBorders>
              <w:top w:val="single" w:sz="8" w:color="CFF0FC"/>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auto"/>
            </w:tcBorders>
            <w:shd w:val="clear" w:color="auto" w:fill="CFF0FC"/>
          </w:tcPr>
          <w:p>
            <w:pPr>
              <w:jc w:val="right"/>
              <w:ind w:right="17"/>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gridSpan w:val="2"/>
            <w:shd w:val="clear" w:color="auto" w:fill="CFF0FC"/>
          </w:tcPr>
          <w:p>
            <w:pPr>
              <w:jc w:val="right"/>
              <w:ind w:right="20"/>
              <w:spacing w:after="0" w:line="152" w:lineRule="exact"/>
              <w:rPr>
                <w:sz w:val="20"/>
                <w:szCs w:val="20"/>
                <w:color w:val="auto"/>
              </w:rPr>
            </w:pPr>
            <w:r>
              <w:rPr>
                <w:rFonts w:ascii="Times New Roman" w:cs="Times New Roman" w:eastAsia="Times New Roman" w:hAnsi="Times New Roman"/>
                <w:sz w:val="14"/>
                <w:szCs w:val="14"/>
                <w:color w:val="auto"/>
              </w:rPr>
              <w:t>19,025</w:t>
            </w:r>
          </w:p>
        </w:tc>
        <w:tc>
          <w:tcPr>
            <w:tcW w:w="180" w:type="dxa"/>
            <w:vAlign w:val="bottom"/>
            <w:tcBorders>
              <w:top w:val="single" w:sz="8" w:color="CFF0FC"/>
              <w:bottom w:val="single" w:sz="8" w:color="CFF0FC"/>
            </w:tcBorders>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379</w:t>
            </w:r>
          </w:p>
        </w:tc>
        <w:tc>
          <w:tcPr>
            <w:tcW w:w="180" w:type="dxa"/>
            <w:vAlign w:val="bottom"/>
            <w:tcBorders>
              <w:top w:val="single" w:sz="8" w:color="CFF0FC"/>
              <w:bottom w:val="single" w:sz="8" w:color="CFF0FC"/>
            </w:tcBorders>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w w:val="99"/>
              </w:rPr>
              <w:t>1,599,933</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-2331720</wp:posOffset>
            </wp:positionV>
            <wp:extent cx="6546850" cy="1022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46850" cy="102235"/>
                    </a:xfrm>
                    <a:prstGeom prst="rect">
                      <a:avLst/>
                    </a:prstGeom>
                    <a:noFill/>
                  </pic:spPr>
                </pic:pic>
              </a:graphicData>
            </a:graphic>
          </wp:anchor>
        </w:drawing>
        <w:drawing>
          <wp:anchor simplePos="0" relativeHeight="251657728" behindDoc="1" locked="0" layoutInCell="0" allowOverlap="1">
            <wp:simplePos x="0" y="0"/>
            <wp:positionH relativeFrom="column">
              <wp:posOffset>2244725</wp:posOffset>
            </wp:positionH>
            <wp:positionV relativeFrom="paragraph">
              <wp:posOffset>-1417955</wp:posOffset>
            </wp:positionV>
            <wp:extent cx="6794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-1417955</wp:posOffset>
            </wp:positionV>
            <wp:extent cx="6794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3383280</wp:posOffset>
            </wp:positionH>
            <wp:positionV relativeFrom="paragraph">
              <wp:posOffset>-1417955</wp:posOffset>
            </wp:positionV>
            <wp:extent cx="6794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-1417955</wp:posOffset>
            </wp:positionV>
            <wp:extent cx="6159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5272405</wp:posOffset>
            </wp:positionH>
            <wp:positionV relativeFrom="paragraph">
              <wp:posOffset>-1417955</wp:posOffset>
            </wp:positionV>
            <wp:extent cx="6159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-1417955</wp:posOffset>
            </wp:positionV>
            <wp:extent cx="6159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-1417955</wp:posOffset>
            </wp:positionV>
            <wp:extent cx="6159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-845185</wp:posOffset>
            </wp:positionV>
            <wp:extent cx="6546850" cy="1022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46850" cy="102235"/>
                    </a:xfrm>
                    <a:prstGeom prst="rect">
                      <a:avLst/>
                    </a:prstGeom>
                    <a:noFill/>
                  </pic:spPr>
                </pic:pic>
              </a:graphicData>
            </a:graphic>
          </wp:anchor>
        </w:drawing>
        <w:drawing>
          <wp:anchor simplePos="0" relativeHeight="251657728" behindDoc="1" locked="0" layoutInCell="0" allowOverlap="1">
            <wp:simplePos x="0" y="0"/>
            <wp:positionH relativeFrom="column">
              <wp:posOffset>2244725</wp:posOffset>
            </wp:positionH>
            <wp:positionV relativeFrom="paragraph">
              <wp:posOffset>-19685</wp:posOffset>
            </wp:positionV>
            <wp:extent cx="6794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2244725</wp:posOffset>
            </wp:positionH>
            <wp:positionV relativeFrom="paragraph">
              <wp:posOffset>-6350</wp:posOffset>
            </wp:positionV>
            <wp:extent cx="6794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2244725</wp:posOffset>
            </wp:positionH>
            <wp:positionV relativeFrom="paragraph">
              <wp:posOffset>-128905</wp:posOffset>
            </wp:positionV>
            <wp:extent cx="6794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-19685</wp:posOffset>
            </wp:positionV>
            <wp:extent cx="6794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-6350</wp:posOffset>
            </wp:positionV>
            <wp:extent cx="6794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-128905</wp:posOffset>
            </wp:positionV>
            <wp:extent cx="6794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3383280</wp:posOffset>
            </wp:positionH>
            <wp:positionV relativeFrom="paragraph">
              <wp:posOffset>-19685</wp:posOffset>
            </wp:positionV>
            <wp:extent cx="6794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3383280</wp:posOffset>
            </wp:positionH>
            <wp:positionV relativeFrom="paragraph">
              <wp:posOffset>-6350</wp:posOffset>
            </wp:positionV>
            <wp:extent cx="6794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3383280</wp:posOffset>
            </wp:positionH>
            <wp:positionV relativeFrom="paragraph">
              <wp:posOffset>-128905</wp:posOffset>
            </wp:positionV>
            <wp:extent cx="6794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-19685</wp:posOffset>
            </wp:positionV>
            <wp:extent cx="6159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-6350</wp:posOffset>
            </wp:positionV>
            <wp:extent cx="6159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-128905</wp:posOffset>
            </wp:positionV>
            <wp:extent cx="6159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-19685</wp:posOffset>
            </wp:positionV>
            <wp:extent cx="6159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-6350</wp:posOffset>
            </wp:positionV>
            <wp:extent cx="6159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-128905</wp:posOffset>
            </wp:positionV>
            <wp:extent cx="6159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-19685</wp:posOffset>
            </wp:positionV>
            <wp:extent cx="6159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-6350</wp:posOffset>
            </wp:positionV>
            <wp:extent cx="6159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-128905</wp:posOffset>
            </wp:positionV>
            <wp:extent cx="6159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-19685</wp:posOffset>
            </wp:positionV>
            <wp:extent cx="6159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-6350</wp:posOffset>
            </wp:positionV>
            <wp:extent cx="6159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-128905</wp:posOffset>
            </wp:positionV>
            <wp:extent cx="6159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pacing w:after="0" w:line="148" w:lineRule="exact"/>
        <w:rPr>
          <w:sz w:val="20"/>
          <w:szCs w:val="20"/>
          <w:color w:val="auto"/>
        </w:rPr>
      </w:pPr>
    </w:p>
    <w:p>
      <w:pPr>
        <w:ind w:right="180" w:firstLine="1"/>
        <w:spacing w:after="0" w:line="233" w:lineRule="auto"/>
        <w:tabs>
          <w:tab w:leader="none" w:pos="147"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Net loss to the Company for the three months ended June 30, 2025 and 2024 excludes $(508) and $(339), respectively, allocable to the redeemable noncontrolling interests for our joint venture arrangements.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385445</wp:posOffset>
            </wp:positionV>
            <wp:extent cx="722249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22490" cy="38735"/>
                    </a:xfrm>
                    <a:prstGeom prst="rect">
                      <a:avLst/>
                    </a:prstGeom>
                    <a:noFill/>
                  </pic:spPr>
                </pic:pic>
              </a:graphicData>
            </a:graphic>
          </wp:anchor>
        </w:drawing>
      </w:r>
    </w:p>
    <w:p>
      <w:pPr>
        <w:sectPr>
          <w:pgSz w:w="11900" w:h="16838" w:orient="portrait"/>
          <w:cols w:equalWidth="0" w:num="1">
            <w:col w:w="10320"/>
          </w:cols>
          <w:pgMar w:left="820" w:top="896" w:right="7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BrightSpring Health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Shareholders’ Equity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6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980" w:type="dxa"/>
            <w:vAlign w:val="bottom"/>
            <w:tcBorders>
              <w:bottom w:val="single" w:sz="8" w:color="auto"/>
            </w:tcBorders>
            <w:gridSpan w:val="12"/>
          </w:tcPr>
          <w:p>
            <w:pPr>
              <w:ind w:left="40"/>
              <w:spacing w:after="0"/>
              <w:rPr>
                <w:sz w:val="20"/>
                <w:szCs w:val="20"/>
                <w:color w:val="auto"/>
              </w:rPr>
            </w:pPr>
            <w:r>
              <w:rPr>
                <w:rFonts w:ascii="Times New Roman" w:cs="Times New Roman" w:eastAsia="Times New Roman" w:hAnsi="Times New Roman"/>
                <w:sz w:val="11"/>
                <w:szCs w:val="11"/>
                <w:b w:val="1"/>
                <w:bCs w:val="1"/>
                <w:color w:val="auto"/>
              </w:rPr>
              <w:t>For the Six Months Ended June 30, 2025</w:t>
            </w: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5"/>
            <w:vMerge w:val="restart"/>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3"/>
          </w:tcPr>
          <w:p>
            <w:pPr>
              <w:jc w:val="right"/>
              <w:ind w:right="280"/>
              <w:spacing w:after="0" w:line="90"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20" w:type="dxa"/>
            <w:vAlign w:val="bottom"/>
          </w:tcPr>
          <w:p>
            <w:pPr>
              <w:spacing w:after="0"/>
              <w:rPr>
                <w:sz w:val="7"/>
                <w:szCs w:val="7"/>
                <w:color w:val="auto"/>
              </w:rPr>
            </w:pPr>
          </w:p>
        </w:tc>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140" w:type="dxa"/>
            <w:vAlign w:val="bottom"/>
            <w:gridSpan w:val="2"/>
            <w:vMerge w:val="restart"/>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80" w:type="dxa"/>
            <w:vAlign w:val="bottom"/>
            <w:gridSpan w:val="3"/>
          </w:tcPr>
          <w:p>
            <w:pPr>
              <w:jc w:val="right"/>
              <w:ind w:right="420"/>
              <w:spacing w:after="0" w:line="90" w:lineRule="exact"/>
              <w:rPr>
                <w:sz w:val="20"/>
                <w:szCs w:val="20"/>
                <w:color w:val="auto"/>
              </w:rPr>
            </w:pPr>
            <w:r>
              <w:rPr>
                <w:rFonts w:ascii="Times New Roman" w:cs="Times New Roman" w:eastAsia="Times New Roman" w:hAnsi="Times New Roman"/>
                <w:sz w:val="10"/>
                <w:szCs w:val="10"/>
                <w:b w:val="1"/>
                <w:bCs w:val="1"/>
                <w:color w:val="auto"/>
              </w:rPr>
              <w:t>Accumulated Other</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gridSpan w:val="4"/>
          </w:tcPr>
          <w:p>
            <w:pPr>
              <w:spacing w:after="0" w:line="90"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restart"/>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6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5"/>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10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Borders>
              <w:bottom w:val="single" w:sz="8" w:color="auto"/>
            </w:tcBorders>
            <w:gridSpan w:val="3"/>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5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Comprehensive Income (Loss)</w:t>
            </w:r>
          </w:p>
        </w:tc>
        <w:tc>
          <w:tcPr>
            <w:tcW w:w="10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20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Balances at December 31, 2024</w:t>
            </w:r>
          </w:p>
        </w:tc>
        <w:tc>
          <w:tcPr>
            <w:tcW w:w="40" w:type="dxa"/>
            <w:vAlign w:val="bottom"/>
          </w:tcPr>
          <w:p>
            <w:pPr>
              <w:spacing w:after="0"/>
              <w:rPr>
                <w:sz w:val="9"/>
                <w:szCs w:val="9"/>
                <w:color w:val="auto"/>
              </w:rPr>
            </w:pPr>
          </w:p>
        </w:tc>
        <w:tc>
          <w:tcPr>
            <w:tcW w:w="1020" w:type="dxa"/>
            <w:vAlign w:val="bottom"/>
            <w:gridSpan w:val="3"/>
          </w:tcPr>
          <w:p>
            <w:pPr>
              <w:jc w:val="right"/>
              <w:ind w:right="480"/>
              <w:spacing w:after="0" w:line="109" w:lineRule="exact"/>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Pr>
          <w:p>
            <w:pPr>
              <w:spacing w:after="0"/>
              <w:rPr>
                <w:sz w:val="9"/>
                <w:szCs w:val="9"/>
                <w:color w:val="auto"/>
              </w:rPr>
            </w:pPr>
          </w:p>
        </w:tc>
        <w:tc>
          <w:tcPr>
            <w:tcW w:w="50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1,866,850</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(222,155)</w:t>
            </w:r>
          </w:p>
        </w:tc>
        <w:tc>
          <w:tcPr>
            <w:tcW w:w="220" w:type="dxa"/>
            <w:vAlign w:val="bottom"/>
            <w:gridSpan w:val="3"/>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1,418</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gridSpan w:val="3"/>
            <w:vMerge w:val="restart"/>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1,647,855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660" w:type="dxa"/>
            <w:vAlign w:val="bottom"/>
            <w:vMerge w:val="continue"/>
          </w:tcPr>
          <w:p>
            <w:pPr>
              <w:spacing w:after="0"/>
              <w:rPr>
                <w:sz w:val="9"/>
                <w:szCs w:val="9"/>
                <w:color w:val="auto"/>
              </w:rPr>
            </w:pPr>
          </w:p>
        </w:tc>
        <w:tc>
          <w:tcPr>
            <w:tcW w:w="840" w:type="dxa"/>
            <w:vAlign w:val="bottom"/>
            <w:tcBorders>
              <w:top w:val="single" w:sz="8" w:color="auto"/>
            </w:tcBorders>
            <w:gridSpan w:val="2"/>
          </w:tcPr>
          <w:p>
            <w:pPr>
              <w:jc w:val="right"/>
              <w:spacing w:after="0" w:line="114" w:lineRule="exact"/>
              <w:rPr>
                <w:sz w:val="20"/>
                <w:szCs w:val="20"/>
                <w:color w:val="auto"/>
              </w:rPr>
            </w:pPr>
            <w:r>
              <w:rPr>
                <w:rFonts w:ascii="Times New Roman" w:cs="Times New Roman" w:eastAsia="Times New Roman" w:hAnsi="Times New Roman"/>
                <w:sz w:val="12"/>
                <w:szCs w:val="12"/>
                <w:color w:val="auto"/>
              </w:rPr>
              <w:t>174,245,990</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top w:val="single" w:sz="8" w:color="auto"/>
            </w:tcBorders>
            <w:gridSpan w:val="2"/>
          </w:tcPr>
          <w:p>
            <w:pPr>
              <w:jc w:val="right"/>
              <w:ind w:right="59"/>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2"/>
                <w:szCs w:val="12"/>
                <w:color w:val="auto"/>
              </w:rPr>
              <w:t>1,742</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gridSpan w:val="3"/>
            <w:vMerge w:val="continue"/>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220" w:type="dxa"/>
            <w:vAlign w:val="bottom"/>
            <w:gridSpan w:val="3"/>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gridSpan w:val="3"/>
            <w:vMerge w:val="continue"/>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14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660" w:type="dxa"/>
            <w:vAlign w:val="bottom"/>
          </w:tcPr>
          <w:p>
            <w:pPr>
              <w:spacing w:after="0" w:line="199" w:lineRule="exact"/>
              <w:rPr>
                <w:sz w:val="20"/>
                <w:szCs w:val="20"/>
                <w:color w:val="auto"/>
              </w:rPr>
            </w:pPr>
            <w:r>
              <w:rPr>
                <w:rFonts w:ascii="Times New Roman" w:cs="Times New Roman" w:eastAsia="Times New Roman" w:hAnsi="Times New Roman"/>
                <w:sz w:val="14"/>
                <w:szCs w:val="14"/>
                <w:color w:val="auto"/>
              </w:rPr>
              <w:t xml:space="preserve">Net income (loss) </w:t>
            </w:r>
            <w:r>
              <w:rPr>
                <w:rFonts w:ascii="Times New Roman" w:cs="Times New Roman" w:eastAsia="Times New Roman" w:hAnsi="Times New Roman"/>
                <w:sz w:val="18"/>
                <w:szCs w:val="18"/>
                <w:color w:val="auto"/>
                <w:vertAlign w:val="superscript"/>
              </w:rPr>
              <w:t>(1)</w:t>
            </w:r>
          </w:p>
        </w:tc>
        <w:tc>
          <w:tcPr>
            <w:tcW w:w="40" w:type="dxa"/>
            <w:vAlign w:val="bottom"/>
          </w:tcPr>
          <w:p>
            <w:pPr>
              <w:spacing w:after="0"/>
              <w:rPr>
                <w:sz w:val="17"/>
                <w:szCs w:val="17"/>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57,750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(283)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40" w:type="dxa"/>
            <w:vAlign w:val="bottom"/>
            <w:shd w:val="clear" w:color="auto" w:fill="CFF0FC"/>
          </w:tcPr>
          <w:p>
            <w:pPr>
              <w:spacing w:after="0"/>
              <w:rPr>
                <w:sz w:val="14"/>
                <w:szCs w:val="14"/>
                <w:color w:val="auto"/>
              </w:rPr>
            </w:pPr>
          </w:p>
        </w:tc>
        <w:tc>
          <w:tcPr>
            <w:tcW w:w="10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(5,748)</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(5,748)</w:t>
            </w:r>
          </w:p>
        </w:tc>
        <w:tc>
          <w:tcPr>
            <w:tcW w:w="0" w:type="dxa"/>
            <w:vAlign w:val="bottom"/>
          </w:tcPr>
          <w:p>
            <w:pPr>
              <w:spacing w:after="0"/>
              <w:rPr>
                <w:sz w:val="1"/>
                <w:szCs w:val="1"/>
                <w:color w:val="auto"/>
              </w:rPr>
            </w:pPr>
          </w:p>
        </w:tc>
      </w:tr>
      <w:tr>
        <w:trPr>
          <w:trHeight w:val="161"/>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40" w:type="dxa"/>
            <w:vAlign w:val="bottom"/>
          </w:tcPr>
          <w:p>
            <w:pPr>
              <w:spacing w:after="0"/>
              <w:rPr>
                <w:sz w:val="14"/>
                <w:szCs w:val="14"/>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38,483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1,320,135</w:t>
            </w: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9,048</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9,062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6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Issuance of common stock for settlement</w:t>
            </w:r>
          </w:p>
        </w:tc>
        <w:tc>
          <w:tcPr>
            <w:tcW w:w="8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1,701,546</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17</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3"/>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3"/>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right"/>
              <w:ind w:right="2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2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 RSUs</w:t>
            </w: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660" w:type="dxa"/>
            <w:vAlign w:val="bottom"/>
            <w:shd w:val="clear" w:color="auto" w:fill="CFF0FC"/>
          </w:tcPr>
          <w:p>
            <w:pPr>
              <w:spacing w:after="0" w:line="146" w:lineRule="exact"/>
              <w:rPr>
                <w:sz w:val="20"/>
                <w:szCs w:val="20"/>
                <w:color w:val="auto"/>
              </w:rPr>
            </w:pPr>
            <w:r>
              <w:rPr>
                <w:rFonts w:ascii="Times New Roman" w:cs="Times New Roman" w:eastAsia="Times New Roman" w:hAnsi="Times New Roman"/>
                <w:sz w:val="14"/>
                <w:szCs w:val="14"/>
                <w:color w:val="auto"/>
              </w:rPr>
              <w:t>Tax effect of net share settlement of equity</w:t>
            </w:r>
          </w:p>
        </w:tc>
        <w:tc>
          <w:tcPr>
            <w:tcW w:w="1060" w:type="dxa"/>
            <w:vAlign w:val="bottom"/>
            <w:gridSpan w:val="4"/>
            <w:shd w:val="clear" w:color="auto" w:fill="CFF0FC"/>
          </w:tcPr>
          <w:p>
            <w:pPr>
              <w:jc w:val="right"/>
              <w:ind w:right="180"/>
              <w:spacing w:after="0" w:line="146" w:lineRule="exact"/>
              <w:rPr>
                <w:sz w:val="20"/>
                <w:szCs w:val="20"/>
                <w:color w:val="auto"/>
              </w:rPr>
            </w:pPr>
            <w:r>
              <w:rPr>
                <w:rFonts w:ascii="Times New Roman" w:cs="Times New Roman" w:eastAsia="Times New Roman" w:hAnsi="Times New Roman"/>
                <w:sz w:val="14"/>
                <w:szCs w:val="14"/>
                <w:color w:val="auto"/>
              </w:rPr>
              <w:t>(212,344)</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60" w:type="dxa"/>
            <w:vAlign w:val="bottom"/>
            <w:gridSpan w:val="3"/>
            <w:shd w:val="clear" w:color="auto" w:fill="CFF0FC"/>
          </w:tcPr>
          <w:p>
            <w:pPr>
              <w:jc w:val="right"/>
              <w:ind w:right="180"/>
              <w:spacing w:after="0" w:line="146" w:lineRule="exact"/>
              <w:rPr>
                <w:sz w:val="20"/>
                <w:szCs w:val="20"/>
                <w:color w:val="auto"/>
              </w:rPr>
            </w:pPr>
            <w:r>
              <w:rPr>
                <w:rFonts w:ascii="Times New Roman" w:cs="Times New Roman" w:eastAsia="Times New Roman" w:hAnsi="Times New Roman"/>
                <w:sz w:val="14"/>
                <w:szCs w:val="14"/>
                <w:color w:val="auto"/>
              </w:rPr>
              <w:t>(2)</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3"/>
            <w:shd w:val="clear" w:color="auto" w:fill="CFF0FC"/>
          </w:tcPr>
          <w:p>
            <w:pPr>
              <w:jc w:val="right"/>
              <w:ind w:right="60"/>
              <w:spacing w:after="0" w:line="146" w:lineRule="exact"/>
              <w:rPr>
                <w:sz w:val="20"/>
                <w:szCs w:val="20"/>
                <w:color w:val="auto"/>
              </w:rPr>
            </w:pPr>
            <w:r>
              <w:rPr>
                <w:rFonts w:ascii="Times New Roman" w:cs="Times New Roman" w:eastAsia="Times New Roman" w:hAnsi="Times New Roman"/>
                <w:sz w:val="14"/>
                <w:szCs w:val="14"/>
                <w:color w:val="auto"/>
              </w:rPr>
              <w:t>(4,510)</w:t>
            </w: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gridSpan w:val="3"/>
            <w:shd w:val="clear" w:color="auto" w:fill="CFF0FC"/>
          </w:tcPr>
          <w:p>
            <w:pPr>
              <w:jc w:val="right"/>
              <w:ind w:right="140"/>
              <w:spacing w:after="0" w:line="146"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80" w:type="dxa"/>
            <w:vAlign w:val="bottom"/>
            <w:gridSpan w:val="3"/>
            <w:shd w:val="clear" w:color="auto" w:fill="CFF0FC"/>
          </w:tcPr>
          <w:p>
            <w:pPr>
              <w:jc w:val="right"/>
              <w:ind w:right="1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gridSpan w:val="3"/>
            <w:shd w:val="clear" w:color="auto" w:fill="CFF0FC"/>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line="146" w:lineRule="exact"/>
              <w:rPr>
                <w:sz w:val="20"/>
                <w:szCs w:val="20"/>
                <w:color w:val="auto"/>
              </w:rPr>
            </w:pPr>
            <w:r>
              <w:rPr>
                <w:rFonts w:ascii="Times New Roman" w:cs="Times New Roman" w:eastAsia="Times New Roman" w:hAnsi="Times New Roman"/>
                <w:sz w:val="14"/>
                <w:szCs w:val="14"/>
                <w:color w:val="auto"/>
              </w:rPr>
              <w:t>(4,512)</w:t>
            </w:r>
          </w:p>
        </w:tc>
        <w:tc>
          <w:tcPr>
            <w:tcW w:w="0" w:type="dxa"/>
            <w:vAlign w:val="bottom"/>
          </w:tcPr>
          <w:p>
            <w:pPr>
              <w:spacing w:after="0"/>
              <w:rPr>
                <w:sz w:val="1"/>
                <w:szCs w:val="1"/>
                <w:color w:val="auto"/>
              </w:rPr>
            </w:pPr>
          </w:p>
        </w:tc>
      </w:tr>
      <w:tr>
        <w:trPr>
          <w:trHeight w:val="167"/>
        </w:trPr>
        <w:tc>
          <w:tcPr>
            <w:tcW w:w="26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awards</w:t>
            </w:r>
          </w:p>
        </w:tc>
        <w:tc>
          <w:tcPr>
            <w:tcW w:w="4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66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Balances at June 30, 2025</w:t>
            </w:r>
          </w:p>
        </w:tc>
        <w:tc>
          <w:tcPr>
            <w:tcW w:w="84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177,055,327</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gridSpan w:val="2"/>
          </w:tcPr>
          <w:p>
            <w:pPr>
              <w:jc w:val="right"/>
              <w:ind w:right="59"/>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1,771</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gridSpan w:val="2"/>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1,909,854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3"/>
          </w:tcPr>
          <w:p>
            <w:pPr>
              <w:ind w:left="120"/>
              <w:spacing w:after="0" w:line="15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jc w:val="right"/>
              <w:ind w:right="100"/>
              <w:spacing w:after="0" w:line="152" w:lineRule="exact"/>
              <w:rPr>
                <w:sz w:val="20"/>
                <w:szCs w:val="20"/>
                <w:color w:val="auto"/>
              </w:rPr>
            </w:pPr>
            <w:r>
              <w:rPr>
                <w:rFonts w:ascii="Times New Roman" w:cs="Times New Roman" w:eastAsia="Times New Roman" w:hAnsi="Times New Roman"/>
                <w:sz w:val="14"/>
                <w:szCs w:val="14"/>
                <w:color w:val="auto"/>
              </w:rPr>
              <w:t>(164,405)</w:t>
            </w:r>
          </w:p>
        </w:tc>
        <w:tc>
          <w:tcPr>
            <w:tcW w:w="220" w:type="dxa"/>
            <w:vAlign w:val="bottom"/>
            <w:gridSpan w:val="3"/>
          </w:tcPr>
          <w:p>
            <w:pPr>
              <w:jc w:val="right"/>
              <w:ind w:right="32"/>
              <w:spacing w:after="0" w:line="152"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3"/>
          </w:tcPr>
          <w:p>
            <w:pPr>
              <w:jc w:val="right"/>
              <w:ind w:right="60"/>
              <w:spacing w:after="0" w:line="152" w:lineRule="exact"/>
              <w:rPr>
                <w:sz w:val="20"/>
                <w:szCs w:val="20"/>
                <w:color w:val="auto"/>
              </w:rPr>
            </w:pPr>
            <w:r>
              <w:rPr>
                <w:rFonts w:ascii="Times New Roman" w:cs="Times New Roman" w:eastAsia="Times New Roman" w:hAnsi="Times New Roman"/>
                <w:sz w:val="14"/>
                <w:szCs w:val="14"/>
                <w:color w:val="auto"/>
              </w:rPr>
              <w:t>(4,330)</w:t>
            </w:r>
          </w:p>
        </w:tc>
        <w:tc>
          <w:tcPr>
            <w:tcW w:w="240" w:type="dxa"/>
            <w:vAlign w:val="bottom"/>
            <w:gridSpan w:val="3"/>
          </w:tcPr>
          <w:p>
            <w:pPr>
              <w:jc w:val="right"/>
              <w:ind w:right="23"/>
              <w:spacing w:after="0" w:line="15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jc w:val="right"/>
              <w:ind w:right="160"/>
              <w:spacing w:after="0" w:line="152" w:lineRule="exact"/>
              <w:rPr>
                <w:sz w:val="20"/>
                <w:szCs w:val="20"/>
                <w:color w:val="auto"/>
              </w:rPr>
            </w:pPr>
            <w:r>
              <w:rPr>
                <w:rFonts w:ascii="Times New Roman" w:cs="Times New Roman" w:eastAsia="Times New Roman" w:hAnsi="Times New Roman"/>
                <w:sz w:val="14"/>
                <w:szCs w:val="14"/>
                <w:color w:val="auto"/>
              </w:rPr>
              <w:t>(283)</w:t>
            </w:r>
          </w:p>
        </w:tc>
        <w:tc>
          <w:tcPr>
            <w:tcW w:w="140" w:type="dxa"/>
            <w:vAlign w:val="bottom"/>
            <w:gridSpan w:val="2"/>
          </w:tcPr>
          <w:p>
            <w:pPr>
              <w:jc w:val="right"/>
              <w:ind w:right="12"/>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w w:val="99"/>
              </w:rPr>
              <w:t>1,742,607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980" w:type="dxa"/>
            <w:vAlign w:val="bottom"/>
            <w:tcBorders>
              <w:bottom w:val="single" w:sz="8" w:color="auto"/>
            </w:tcBorders>
            <w:gridSpan w:val="12"/>
          </w:tcPr>
          <w:p>
            <w:pPr>
              <w:ind w:left="60"/>
              <w:spacing w:after="0"/>
              <w:rPr>
                <w:sz w:val="20"/>
                <w:szCs w:val="20"/>
                <w:color w:val="auto"/>
              </w:rPr>
            </w:pPr>
            <w:r>
              <w:rPr>
                <w:rFonts w:ascii="Times New Roman" w:cs="Times New Roman" w:eastAsia="Times New Roman" w:hAnsi="Times New Roman"/>
                <w:sz w:val="11"/>
                <w:szCs w:val="11"/>
                <w:b w:val="1"/>
                <w:bCs w:val="1"/>
                <w:color w:val="auto"/>
              </w:rPr>
              <w:t>For the Six Months Ended June 30, 2024</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2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3"/>
          </w:tcPr>
          <w:p>
            <w:pPr>
              <w:jc w:val="right"/>
              <w:ind w:right="240"/>
              <w:spacing w:after="0" w:line="90"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100" w:type="dxa"/>
            <w:vAlign w:val="bottom"/>
            <w:vMerge w:val="restart"/>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80" w:type="dxa"/>
            <w:vAlign w:val="bottom"/>
            <w:gridSpan w:val="3"/>
          </w:tcPr>
          <w:p>
            <w:pPr>
              <w:jc w:val="right"/>
              <w:ind w:right="380"/>
              <w:spacing w:after="0" w:line="90" w:lineRule="exact"/>
              <w:rPr>
                <w:sz w:val="20"/>
                <w:szCs w:val="20"/>
                <w:color w:val="auto"/>
              </w:rPr>
            </w:pPr>
            <w:r>
              <w:rPr>
                <w:rFonts w:ascii="Times New Roman" w:cs="Times New Roman" w:eastAsia="Times New Roman" w:hAnsi="Times New Roman"/>
                <w:sz w:val="10"/>
                <w:szCs w:val="10"/>
                <w:b w:val="1"/>
                <w:bCs w:val="1"/>
                <w:color w:val="auto"/>
              </w:rPr>
              <w:t>Accumulated Other</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gridSpan w:val="4"/>
          </w:tcPr>
          <w:p>
            <w:pPr>
              <w:jc w:val="right"/>
              <w:ind w:right="220"/>
              <w:spacing w:after="0" w:line="90"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restart"/>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Borders>
              <w:bottom w:val="single" w:sz="8" w:color="auto"/>
            </w:tcBorders>
            <w:gridSpan w:val="5"/>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Borders>
              <w:bottom w:val="single" w:sz="8" w:color="auto"/>
            </w:tcBorders>
            <w:gridSpan w:val="3"/>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Comprehensive Income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Balances at December 31, 2023</w:t>
            </w:r>
          </w:p>
        </w:tc>
        <w:tc>
          <w:tcPr>
            <w:tcW w:w="40" w:type="dxa"/>
            <w:vAlign w:val="bottom"/>
          </w:tcPr>
          <w:p>
            <w:pPr>
              <w:spacing w:after="0"/>
              <w:rPr>
                <w:sz w:val="9"/>
                <w:szCs w:val="9"/>
                <w:color w:val="auto"/>
              </w:rPr>
            </w:pPr>
          </w:p>
        </w:tc>
        <w:tc>
          <w:tcPr>
            <w:tcW w:w="840" w:type="dxa"/>
            <w:vAlign w:val="bottom"/>
            <w:tcBorders>
              <w:bottom w:val="single" w:sz="8" w:color="auto"/>
            </w:tcBorders>
            <w:gridSpan w:val="2"/>
          </w:tcPr>
          <w:p>
            <w:pPr>
              <w:jc w:val="right"/>
              <w:ind w:right="260"/>
              <w:spacing w:after="0" w:line="109" w:lineRule="exact"/>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gridSpan w:val="3"/>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180" w:type="dxa"/>
            <w:vAlign w:val="bottom"/>
          </w:tcPr>
          <w:p>
            <w:pPr>
              <w:spacing w:after="0"/>
              <w:rPr>
                <w:sz w:val="9"/>
                <w:szCs w:val="9"/>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771,336</w:t>
            </w:r>
          </w:p>
        </w:tc>
        <w:tc>
          <w:tcPr>
            <w:tcW w:w="80" w:type="dxa"/>
            <w:vAlign w:val="bottom"/>
          </w:tcPr>
          <w:p>
            <w:pPr>
              <w:spacing w:after="0"/>
              <w:rPr>
                <w:sz w:val="9"/>
                <w:szCs w:val="9"/>
                <w:color w:val="auto"/>
              </w:rPr>
            </w:pPr>
          </w:p>
        </w:tc>
        <w:tc>
          <w:tcPr>
            <w:tcW w:w="4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(200,319)</w:t>
            </w:r>
          </w:p>
        </w:tc>
        <w:tc>
          <w:tcPr>
            <w:tcW w:w="2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12,544</w:t>
            </w:r>
          </w:p>
        </w:tc>
        <w:tc>
          <w:tcPr>
            <w:tcW w:w="80" w:type="dxa"/>
            <w:vAlign w:val="bottom"/>
          </w:tcPr>
          <w:p>
            <w:pPr>
              <w:spacing w:after="0"/>
              <w:rPr>
                <w:sz w:val="9"/>
                <w:szCs w:val="9"/>
                <w:color w:val="auto"/>
              </w:rPr>
            </w:pPr>
          </w:p>
        </w:tc>
        <w:tc>
          <w:tcPr>
            <w:tcW w:w="2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670</w:t>
            </w:r>
          </w:p>
        </w:tc>
        <w:tc>
          <w:tcPr>
            <w:tcW w:w="160" w:type="dxa"/>
            <w:vAlign w:val="bottom"/>
          </w:tcPr>
          <w:p>
            <w:pPr>
              <w:spacing w:after="0"/>
              <w:rPr>
                <w:sz w:val="9"/>
                <w:szCs w:val="9"/>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585,410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660" w:type="dxa"/>
            <w:vAlign w:val="bottom"/>
            <w:vMerge w:val="continue"/>
          </w:tcPr>
          <w:p>
            <w:pPr>
              <w:spacing w:after="0"/>
              <w:rPr>
                <w:sz w:val="9"/>
                <w:szCs w:val="9"/>
                <w:color w:val="auto"/>
              </w:rPr>
            </w:pPr>
          </w:p>
        </w:tc>
        <w:tc>
          <w:tcPr>
            <w:tcW w:w="880" w:type="dxa"/>
            <w:vAlign w:val="bottom"/>
            <w:gridSpan w:val="3"/>
          </w:tcPr>
          <w:p>
            <w:pPr>
              <w:jc w:val="right"/>
              <w:ind w:right="20"/>
              <w:spacing w:after="0" w:line="114" w:lineRule="exact"/>
              <w:rPr>
                <w:sz w:val="20"/>
                <w:szCs w:val="20"/>
                <w:color w:val="auto"/>
              </w:rPr>
            </w:pPr>
            <w:r>
              <w:rPr>
                <w:rFonts w:ascii="Times New Roman" w:cs="Times New Roman" w:eastAsia="Times New Roman" w:hAnsi="Times New Roman"/>
                <w:sz w:val="12"/>
                <w:szCs w:val="12"/>
                <w:color w:val="auto"/>
              </w:rPr>
              <w:t>117,857,055</w:t>
            </w:r>
          </w:p>
        </w:tc>
        <w:tc>
          <w:tcPr>
            <w:tcW w:w="180" w:type="dxa"/>
            <w:vAlign w:val="bottom"/>
          </w:tcPr>
          <w:p>
            <w:pPr>
              <w:spacing w:after="0"/>
              <w:rPr>
                <w:sz w:val="9"/>
                <w:szCs w:val="9"/>
                <w:color w:val="auto"/>
              </w:rPr>
            </w:pPr>
          </w:p>
        </w:tc>
        <w:tc>
          <w:tcPr>
            <w:tcW w:w="180" w:type="dxa"/>
            <w:vAlign w:val="bottom"/>
            <w:gridSpan w:val="2"/>
          </w:tcPr>
          <w:p>
            <w:pPr>
              <w:jc w:val="right"/>
              <w:ind w:right="19"/>
              <w:spacing w:after="0" w:line="114"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gridSpan w:val="2"/>
          </w:tcPr>
          <w:p>
            <w:pPr>
              <w:jc w:val="right"/>
              <w:ind w:right="20"/>
              <w:spacing w:after="0" w:line="114" w:lineRule="exact"/>
              <w:rPr>
                <w:sz w:val="20"/>
                <w:szCs w:val="20"/>
                <w:color w:val="auto"/>
              </w:rPr>
            </w:pPr>
            <w:r>
              <w:rPr>
                <w:rFonts w:ascii="Times New Roman" w:cs="Times New Roman" w:eastAsia="Times New Roman" w:hAnsi="Times New Roman"/>
                <w:sz w:val="12"/>
                <w:szCs w:val="12"/>
                <w:color w:val="auto"/>
              </w:rPr>
              <w:t>1,179</w:t>
            </w:r>
          </w:p>
        </w:tc>
        <w:tc>
          <w:tcPr>
            <w:tcW w:w="180" w:type="dxa"/>
            <w:vAlign w:val="bottom"/>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gridSpan w:val="3"/>
            <w:vMerge w:val="continue"/>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220" w:type="dxa"/>
            <w:vAlign w:val="bottom"/>
            <w:gridSpan w:val="3"/>
            <w:vMerge w:val="continue"/>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gridSpan w:val="3"/>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660" w:type="dxa"/>
            <w:vAlign w:val="bottom"/>
          </w:tcPr>
          <w:p>
            <w:pPr>
              <w:spacing w:after="0" w:line="199" w:lineRule="exact"/>
              <w:rPr>
                <w:sz w:val="20"/>
                <w:szCs w:val="20"/>
                <w:color w:val="auto"/>
              </w:rPr>
            </w:pPr>
            <w:r>
              <w:rPr>
                <w:rFonts w:ascii="Times New Roman" w:cs="Times New Roman" w:eastAsia="Times New Roman" w:hAnsi="Times New Roman"/>
                <w:sz w:val="14"/>
                <w:szCs w:val="14"/>
                <w:color w:val="auto"/>
              </w:rPr>
              <w:t xml:space="preserve">Net loss </w:t>
            </w:r>
            <w:r>
              <w:rPr>
                <w:rFonts w:ascii="Times New Roman" w:cs="Times New Roman" w:eastAsia="Times New Roman" w:hAnsi="Times New Roman"/>
                <w:sz w:val="18"/>
                <w:szCs w:val="18"/>
                <w:color w:val="auto"/>
                <w:vertAlign w:val="superscript"/>
              </w:rPr>
              <w:t>(1)</w:t>
            </w:r>
          </w:p>
        </w:tc>
        <w:tc>
          <w:tcPr>
            <w:tcW w:w="40" w:type="dxa"/>
            <w:vAlign w:val="bottom"/>
          </w:tcPr>
          <w:p>
            <w:pPr>
              <w:spacing w:after="0"/>
              <w:rPr>
                <w:sz w:val="17"/>
                <w:szCs w:val="17"/>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(25,831)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(291)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(26,122)</w:t>
            </w:r>
          </w:p>
        </w:tc>
        <w:tc>
          <w:tcPr>
            <w:tcW w:w="0" w:type="dxa"/>
            <w:vAlign w:val="bottom"/>
          </w:tcPr>
          <w:p>
            <w:pPr>
              <w:spacing w:after="0"/>
              <w:rPr>
                <w:sz w:val="1"/>
                <w:szCs w:val="1"/>
                <w:color w:val="auto"/>
              </w:rPr>
            </w:pPr>
          </w:p>
        </w:tc>
      </w:tr>
      <w:tr>
        <w:trPr>
          <w:trHeight w:val="161"/>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40" w:type="dxa"/>
            <w:vAlign w:val="bottom"/>
            <w:shd w:val="clear" w:color="auto" w:fill="CFF0FC"/>
          </w:tcPr>
          <w:p>
            <w:pPr>
              <w:spacing w:after="0"/>
              <w:rPr>
                <w:sz w:val="14"/>
                <w:szCs w:val="14"/>
                <w:color w:val="auto"/>
              </w:rPr>
            </w:pPr>
          </w:p>
        </w:tc>
        <w:tc>
          <w:tcPr>
            <w:tcW w:w="10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6,481</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6,481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40" w:type="dxa"/>
            <w:vAlign w:val="bottom"/>
          </w:tcPr>
          <w:p>
            <w:pPr>
              <w:spacing w:after="0"/>
              <w:rPr>
                <w:sz w:val="14"/>
                <w:szCs w:val="14"/>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39,984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Shares issued under share-based compensation</w:t>
            </w:r>
          </w:p>
        </w:tc>
        <w:tc>
          <w:tcPr>
            <w:tcW w:w="880" w:type="dxa"/>
            <w:vAlign w:val="bottom"/>
            <w:gridSpan w:val="3"/>
            <w:shd w:val="clear" w:color="auto" w:fill="CFF0FC"/>
          </w:tcPr>
          <w:p>
            <w:pPr>
              <w:jc w:val="right"/>
              <w:ind w:right="20"/>
              <w:spacing w:after="0" w:line="144" w:lineRule="exact"/>
              <w:rPr>
                <w:sz w:val="20"/>
                <w:szCs w:val="20"/>
                <w:color w:val="auto"/>
              </w:rPr>
            </w:pPr>
            <w:r>
              <w:rPr>
                <w:rFonts w:ascii="Times New Roman" w:cs="Times New Roman" w:eastAsia="Times New Roman" w:hAnsi="Times New Roman"/>
                <w:sz w:val="14"/>
                <w:szCs w:val="14"/>
                <w:color w:val="auto"/>
              </w:rPr>
              <w:t>107,389</w:t>
            </w: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20"/>
              <w:spacing w:after="0" w:line="144"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gridSpan w:val="3"/>
            <w:shd w:val="clear" w:color="auto" w:fill="CFF0FC"/>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80" w:type="dxa"/>
            <w:vAlign w:val="bottom"/>
            <w:gridSpan w:val="3"/>
            <w:shd w:val="clear" w:color="auto" w:fill="CFF0FC"/>
          </w:tcPr>
          <w:p>
            <w:pPr>
              <w:jc w:val="right"/>
              <w:ind w:right="80"/>
              <w:spacing w:after="0" w:line="14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gridSpan w:val="3"/>
            <w:shd w:val="clear" w:color="auto" w:fill="CFF0FC"/>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plan, including tax effects</w:t>
            </w:r>
          </w:p>
        </w:tc>
        <w:tc>
          <w:tcPr>
            <w:tcW w:w="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Shares issued for payment of acquisition</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99,252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Derecognition of redeemable noncontrolling</w:t>
            </w:r>
          </w:p>
        </w:tc>
        <w:tc>
          <w:tcPr>
            <w:tcW w:w="40" w:type="dxa"/>
            <w:vAlign w:val="bottom"/>
            <w:shd w:val="clear" w:color="auto" w:fill="CFF0FC"/>
          </w:tcPr>
          <w:p>
            <w:pPr>
              <w:spacing w:after="0"/>
              <w:rPr>
                <w:sz w:val="12"/>
                <w:szCs w:val="12"/>
                <w:color w:val="auto"/>
              </w:rPr>
            </w:pPr>
          </w:p>
        </w:tc>
        <w:tc>
          <w:tcPr>
            <w:tcW w:w="1020" w:type="dxa"/>
            <w:vAlign w:val="bottom"/>
            <w:gridSpan w:val="3"/>
            <w:shd w:val="clear" w:color="auto" w:fill="CFF0FC"/>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60" w:type="dxa"/>
            <w:vAlign w:val="bottom"/>
            <w:gridSpan w:val="3"/>
            <w:shd w:val="clear" w:color="auto" w:fill="CFF0FC"/>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14,981</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gridSpan w:val="3"/>
            <w:shd w:val="clear" w:color="auto" w:fill="CFF0FC"/>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gridSpan w:val="3"/>
            <w:shd w:val="clear" w:color="auto" w:fill="CFF0FC"/>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14,981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interest</w:t>
            </w:r>
          </w:p>
        </w:tc>
        <w:tc>
          <w:tcPr>
            <w:tcW w:w="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66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Issuance of common stock on initial public</w:t>
            </w:r>
          </w:p>
        </w:tc>
        <w:tc>
          <w:tcPr>
            <w:tcW w:w="88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4"/>
                <w:szCs w:val="14"/>
                <w:color w:val="auto"/>
              </w:rPr>
              <w:t>53,333,334</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4"/>
                <w:szCs w:val="14"/>
                <w:color w:val="auto"/>
              </w:rPr>
              <w:t>533</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rPr>
              <w:t>655,952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gridSpan w:val="3"/>
          </w:tcPr>
          <w:p>
            <w:pPr>
              <w:jc w:val="right"/>
              <w:ind w:right="120"/>
              <w:spacing w:after="0" w:line="124"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3"/>
          </w:tcPr>
          <w:p>
            <w:pPr>
              <w:jc w:val="right"/>
              <w:ind w:right="180"/>
              <w:spacing w:after="0" w:line="124"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656,485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9"/>
        </w:trPr>
        <w:tc>
          <w:tcPr>
            <w:tcW w:w="2660" w:type="dxa"/>
            <w:vAlign w:val="bottom"/>
          </w:tcPr>
          <w:p>
            <w:pPr>
              <w:ind w:left="140"/>
              <w:spacing w:after="0" w:line="199" w:lineRule="exact"/>
              <w:rPr>
                <w:sz w:val="20"/>
                <w:szCs w:val="20"/>
                <w:color w:val="auto"/>
              </w:rPr>
            </w:pPr>
            <w:r>
              <w:rPr>
                <w:rFonts w:ascii="Times New Roman" w:cs="Times New Roman" w:eastAsia="Times New Roman" w:hAnsi="Times New Roman"/>
                <w:sz w:val="14"/>
                <w:szCs w:val="14"/>
                <w:color w:val="auto"/>
              </w:rPr>
              <w:t xml:space="preserve">offering, net </w:t>
            </w:r>
            <w:r>
              <w:rPr>
                <w:rFonts w:ascii="Times New Roman" w:cs="Times New Roman" w:eastAsia="Times New Roman" w:hAnsi="Times New Roman"/>
                <w:sz w:val="18"/>
                <w:szCs w:val="18"/>
                <w:color w:val="auto"/>
                <w:vertAlign w:val="superscript"/>
              </w:rPr>
              <w:t>(2)</w:t>
            </w: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266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4"/>
                <w:szCs w:val="14"/>
                <w:color w:val="auto"/>
              </w:rPr>
              <w:t>Proceeds from stock purchase contract</w:t>
            </w:r>
          </w:p>
        </w:tc>
        <w:tc>
          <w:tcPr>
            <w:tcW w:w="40" w:type="dxa"/>
            <w:vAlign w:val="bottom"/>
            <w:shd w:val="clear" w:color="auto" w:fill="CFF0FC"/>
          </w:tcPr>
          <w:p>
            <w:pPr>
              <w:spacing w:after="0"/>
              <w:rPr>
                <w:sz w:val="10"/>
                <w:szCs w:val="10"/>
                <w:color w:val="auto"/>
              </w:rPr>
            </w:pPr>
          </w:p>
        </w:tc>
        <w:tc>
          <w:tcPr>
            <w:tcW w:w="1020" w:type="dxa"/>
            <w:vAlign w:val="bottom"/>
            <w:gridSpan w:val="3"/>
            <w:shd w:val="clear" w:color="auto" w:fill="CFF0FC"/>
          </w:tcPr>
          <w:p>
            <w:pPr>
              <w:jc w:val="right"/>
              <w:ind w:right="200"/>
              <w:spacing w:after="0" w:line="124"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60" w:type="dxa"/>
            <w:vAlign w:val="bottom"/>
            <w:gridSpan w:val="3"/>
            <w:shd w:val="clear" w:color="auto" w:fill="CFF0FC"/>
          </w:tcPr>
          <w:p>
            <w:pPr>
              <w:jc w:val="right"/>
              <w:ind w:right="200"/>
              <w:spacing w:after="0" w:line="124"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color w:val="auto"/>
              </w:rPr>
              <w:t>321,611</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860" w:type="dxa"/>
            <w:vAlign w:val="bottom"/>
            <w:gridSpan w:val="3"/>
            <w:shd w:val="clear" w:color="auto" w:fill="CFF0FC"/>
          </w:tcPr>
          <w:p>
            <w:pPr>
              <w:jc w:val="right"/>
              <w:ind w:right="120"/>
              <w:spacing w:after="0" w:line="124"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gridSpan w:val="3"/>
            <w:shd w:val="clear" w:color="auto" w:fill="CFF0FC"/>
          </w:tcPr>
          <w:p>
            <w:pPr>
              <w:jc w:val="right"/>
              <w:ind w:right="180"/>
              <w:spacing w:after="0" w:line="124"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color w:val="auto"/>
              </w:rPr>
              <w:t>321,611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99"/>
        </w:trPr>
        <w:tc>
          <w:tcPr>
            <w:tcW w:w="2660" w:type="dxa"/>
            <w:vAlign w:val="bottom"/>
            <w:shd w:val="clear" w:color="auto" w:fill="CFF0FC"/>
          </w:tcPr>
          <w:p>
            <w:pPr>
              <w:ind w:left="140"/>
              <w:spacing w:after="0" w:line="199" w:lineRule="exact"/>
              <w:rPr>
                <w:sz w:val="20"/>
                <w:szCs w:val="20"/>
                <w:color w:val="auto"/>
              </w:rPr>
            </w:pPr>
            <w:r>
              <w:rPr>
                <w:rFonts w:ascii="Times New Roman" w:cs="Times New Roman" w:eastAsia="Times New Roman" w:hAnsi="Times New Roman"/>
                <w:sz w:val="14"/>
                <w:szCs w:val="14"/>
                <w:color w:val="auto"/>
              </w:rPr>
              <w:t xml:space="preserve">issued under tangible equity units, net </w:t>
            </w:r>
            <w:r>
              <w:rPr>
                <w:rFonts w:ascii="Times New Roman" w:cs="Times New Roman" w:eastAsia="Times New Roman" w:hAnsi="Times New Roman"/>
                <w:sz w:val="18"/>
                <w:szCs w:val="18"/>
                <w:color w:val="auto"/>
                <w:vertAlign w:val="superscript"/>
              </w:rPr>
              <w:t>(3)</w:t>
            </w:r>
          </w:p>
        </w:tc>
        <w:tc>
          <w:tcPr>
            <w:tcW w:w="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66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Balances at June 30, 2024</w:t>
            </w:r>
          </w:p>
        </w:tc>
        <w:tc>
          <w:tcPr>
            <w:tcW w:w="40" w:type="dxa"/>
            <w:vAlign w:val="bottom"/>
          </w:tcPr>
          <w:p>
            <w:pPr>
              <w:spacing w:after="0"/>
              <w:rPr>
                <w:sz w:val="13"/>
                <w:szCs w:val="13"/>
                <w:color w:val="auto"/>
              </w:rPr>
            </w:pPr>
          </w:p>
        </w:tc>
        <w:tc>
          <w:tcPr>
            <w:tcW w:w="840" w:type="dxa"/>
            <w:vAlign w:val="bottom"/>
            <w:tcBorders>
              <w:top w:val="single" w:sz="8" w:color="auto"/>
              <w:bottom w:val="single" w:sz="8" w:color="auto"/>
            </w:tcBorders>
            <w:gridSpan w:val="2"/>
          </w:tcPr>
          <w:p>
            <w:pPr>
              <w:jc w:val="right"/>
              <w:ind w:right="20"/>
              <w:spacing w:after="0" w:line="152" w:lineRule="exact"/>
              <w:rPr>
                <w:sz w:val="20"/>
                <w:szCs w:val="20"/>
                <w:color w:val="auto"/>
              </w:rPr>
            </w:pPr>
            <w:r>
              <w:rPr>
                <w:rFonts w:ascii="Times New Roman" w:cs="Times New Roman" w:eastAsia="Times New Roman" w:hAnsi="Times New Roman"/>
                <w:sz w:val="14"/>
                <w:szCs w:val="14"/>
                <w:color w:val="auto"/>
              </w:rPr>
              <w:t>171,397,030</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9"/>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gridSpan w:val="2"/>
          </w:tcPr>
          <w:p>
            <w:pPr>
              <w:jc w:val="right"/>
              <w:ind w:right="20"/>
              <w:spacing w:after="0" w:line="152" w:lineRule="exact"/>
              <w:rPr>
                <w:sz w:val="20"/>
                <w:szCs w:val="20"/>
                <w:color w:val="auto"/>
              </w:rPr>
            </w:pPr>
            <w:r>
              <w:rPr>
                <w:rFonts w:ascii="Times New Roman" w:cs="Times New Roman" w:eastAsia="Times New Roman" w:hAnsi="Times New Roman"/>
                <w:sz w:val="14"/>
                <w:szCs w:val="14"/>
                <w:color w:val="auto"/>
              </w:rPr>
              <w:t>1,714</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1,804,965</w:t>
            </w:r>
          </w:p>
        </w:tc>
        <w:tc>
          <w:tcPr>
            <w:tcW w:w="8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80" w:type="dxa"/>
            <w:vAlign w:val="bottom"/>
            <w:tcBorders>
              <w:top w:val="single" w:sz="8" w:color="auto"/>
              <w:bottom w:val="single" w:sz="8" w:color="auto"/>
            </w:tcBorders>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(226,150)</w:t>
            </w:r>
          </w:p>
        </w:tc>
        <w:tc>
          <w:tcPr>
            <w:tcW w:w="10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40" w:type="dxa"/>
            <w:vAlign w:val="bottom"/>
            <w:tcBorders>
              <w:top w:val="single" w:sz="8" w:color="auto"/>
              <w:bottom w:val="single" w:sz="8" w:color="auto"/>
            </w:tcBorders>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bottom w:val="single" w:sz="8" w:color="auto"/>
            </w:tcBorders>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19,025</w:t>
            </w:r>
          </w:p>
        </w:tc>
        <w:tc>
          <w:tcPr>
            <w:tcW w:w="8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20" w:type="dxa"/>
            <w:vAlign w:val="bottom"/>
            <w:tcBorders>
              <w:top w:val="single" w:sz="8" w:color="auto"/>
              <w:bottom w:val="single" w:sz="8" w:color="auto"/>
            </w:tcBorders>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gridSpan w:val="2"/>
          </w:tcPr>
          <w:p>
            <w:pPr>
              <w:jc w:val="right"/>
              <w:ind w:right="20"/>
              <w:spacing w:after="0" w:line="152" w:lineRule="exact"/>
              <w:rPr>
                <w:sz w:val="20"/>
                <w:szCs w:val="20"/>
                <w:color w:val="auto"/>
              </w:rPr>
            </w:pPr>
            <w:r>
              <w:rPr>
                <w:rFonts w:ascii="Times New Roman" w:cs="Times New Roman" w:eastAsia="Times New Roman" w:hAnsi="Times New Roman"/>
                <w:sz w:val="14"/>
                <w:szCs w:val="14"/>
                <w:color w:val="auto"/>
              </w:rPr>
              <w:t>379</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w w:val="99"/>
              </w:rPr>
              <w:t>1,599,933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-2931795</wp:posOffset>
            </wp:positionV>
            <wp:extent cx="6546850" cy="1022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546850" cy="102235"/>
                    </a:xfrm>
                    <a:prstGeom prst="rect">
                      <a:avLst/>
                    </a:prstGeom>
                    <a:noFill/>
                  </pic:spPr>
                </pic:pic>
              </a:graphicData>
            </a:graphic>
          </wp:anchor>
        </w:drawing>
        <w:drawing>
          <wp:anchor simplePos="0" relativeHeight="251657728" behindDoc="1" locked="0" layoutInCell="0" allowOverlap="1">
            <wp:simplePos x="0" y="0"/>
            <wp:positionH relativeFrom="column">
              <wp:posOffset>2223770</wp:posOffset>
            </wp:positionH>
            <wp:positionV relativeFrom="paragraph">
              <wp:posOffset>-2018030</wp:posOffset>
            </wp:positionV>
            <wp:extent cx="6794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-2018030</wp:posOffset>
            </wp:positionV>
            <wp:extent cx="6794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-2018030</wp:posOffset>
            </wp:positionV>
            <wp:extent cx="6794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-2018030</wp:posOffset>
            </wp:positionV>
            <wp:extent cx="6159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-2018030</wp:posOffset>
            </wp:positionV>
            <wp:extent cx="6159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5892800</wp:posOffset>
            </wp:positionH>
            <wp:positionV relativeFrom="paragraph">
              <wp:posOffset>-2018030</wp:posOffset>
            </wp:positionV>
            <wp:extent cx="6159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-2018030</wp:posOffset>
            </wp:positionV>
            <wp:extent cx="6159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-1458595</wp:posOffset>
            </wp:positionV>
            <wp:extent cx="6546850" cy="1022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546850" cy="102235"/>
                    </a:xfrm>
                    <a:prstGeom prst="rect">
                      <a:avLst/>
                    </a:prstGeom>
                    <a:noFill/>
                  </pic:spPr>
                </pic:pic>
              </a:graphicData>
            </a:graphic>
          </wp:anchor>
        </w:drawing>
      </w:r>
    </w:p>
    <w:p>
      <w:pPr>
        <w:spacing w:after="0" w:line="148" w:lineRule="exact"/>
        <w:rPr>
          <w:sz w:val="20"/>
          <w:szCs w:val="20"/>
          <w:color w:val="auto"/>
        </w:rPr>
      </w:pPr>
    </w:p>
    <w:p>
      <w:pPr>
        <w:ind w:right="60" w:firstLine="1"/>
        <w:spacing w:after="0" w:line="233" w:lineRule="auto"/>
        <w:tabs>
          <w:tab w:leader="none" w:pos="147"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Net loss to the Company for the six months ended June 30, 2025 and 2024 excludes $(915) and $(822), respectively, allocable to the redeemable noncontrolling interests for our joint venture arrangements.</w:t>
      </w:r>
    </w:p>
    <w:p>
      <w:pPr>
        <w:ind w:left="140" w:hanging="139"/>
        <w:spacing w:after="0" w:line="224" w:lineRule="auto"/>
        <w:tabs>
          <w:tab w:leader="none" w:pos="140"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Issuance of common stock on initial public offering is presented net of underwriting discounts and commissions, and offering-related expenses of $36.8 million.</w:t>
      </w:r>
    </w:p>
    <w:p>
      <w:pPr>
        <w:spacing w:after="0" w:line="13" w:lineRule="exact"/>
        <w:rPr>
          <w:rFonts w:ascii="Times New Roman" w:cs="Times New Roman" w:eastAsia="Times New Roman" w:hAnsi="Times New Roman"/>
          <w:sz w:val="17"/>
          <w:szCs w:val="17"/>
          <w:color w:val="auto"/>
          <w:vertAlign w:val="superscript"/>
        </w:rPr>
      </w:pPr>
    </w:p>
    <w:p>
      <w:pPr>
        <w:ind w:left="140" w:hanging="139"/>
        <w:spacing w:after="0" w:line="208" w:lineRule="auto"/>
        <w:tabs>
          <w:tab w:leader="none" w:pos="140"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Proceeds from stock purchase contract issued under tangible equity units is presented net of underwriting discounts and commissions of $9.1 million.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385445</wp:posOffset>
            </wp:positionV>
            <wp:extent cx="722249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22490" cy="38735"/>
                    </a:xfrm>
                    <a:prstGeom prst="rect">
                      <a:avLst/>
                    </a:prstGeom>
                    <a:noFill/>
                  </pic:spPr>
                </pic:pic>
              </a:graphicData>
            </a:graphic>
          </wp:anchor>
        </w:drawing>
      </w:r>
    </w:p>
    <w:p>
      <w:pPr>
        <w:sectPr>
          <w:pgSz w:w="11900" w:h="16838" w:orient="portrait"/>
          <w:cols w:equalWidth="0" w:num="1">
            <w:col w:w="10320"/>
          </w:cols>
          <w:pgMar w:left="820" w:top="896" w:right="7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BrightSpring Health Services,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231F20"/>
        </w:rPr>
        <w:t>Condensed Consolidated Statements of Cash Flows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231F20"/>
        </w:rPr>
        <w:t>(In thousands)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231F20"/>
        </w:rPr>
        <w:t>(Unaudited)</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52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80" w:type="dxa"/>
            <w:vAlign w:val="bottom"/>
            <w:gridSpan w:val="6"/>
          </w:tcPr>
          <w:p>
            <w:pPr>
              <w:jc w:val="right"/>
              <w:ind w:right="900"/>
              <w:spacing w:after="0"/>
              <w:rPr>
                <w:sz w:val="20"/>
                <w:szCs w:val="20"/>
                <w:color w:val="auto"/>
              </w:rPr>
            </w:pPr>
            <w:r>
              <w:rPr>
                <w:rFonts w:ascii="Times New Roman" w:cs="Times New Roman" w:eastAsia="Times New Roman" w:hAnsi="Times New Roman"/>
                <w:sz w:val="11"/>
                <w:szCs w:val="11"/>
                <w:b w:val="1"/>
                <w:bCs w:val="1"/>
                <w:color w:val="auto"/>
              </w:rPr>
              <w:t>For the Six Months Ended</w:t>
            </w:r>
          </w:p>
        </w:tc>
      </w:tr>
      <w:tr>
        <w:trPr>
          <w:trHeight w:val="137"/>
        </w:trPr>
        <w:tc>
          <w:tcPr>
            <w:tcW w:w="52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09"/>
        </w:trPr>
        <w:tc>
          <w:tcPr>
            <w:tcW w:w="5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69"/>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29"/>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63"/>
        </w:trPr>
        <w:tc>
          <w:tcPr>
            <w:tcW w:w="520" w:type="dxa"/>
            <w:vAlign w:val="bottom"/>
          </w:tcPr>
          <w:p>
            <w:pPr>
              <w:spacing w:after="0"/>
              <w:rPr>
                <w:sz w:val="14"/>
                <w:szCs w:val="14"/>
                <w:color w:val="auto"/>
              </w:rPr>
            </w:pPr>
          </w:p>
        </w:tc>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56,552</w:t>
            </w:r>
          </w:p>
        </w:tc>
        <w:tc>
          <w:tcPr>
            <w:tcW w:w="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(26,944)</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(loss) to cash provided by (used in) operating activities:</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84,000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98,993</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4,019</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1,980</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 in fair value of contingent consideration, net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Payment of contingent consideration in excess of acquisition date fair value</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(1,500)</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40,658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13,118</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Amortization of deferred debt issuance costs</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5,543</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6,937</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Share-based compensation</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38,483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39,984</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3,892</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(49,260)</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12,726</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Loss on disposition of fixed assets</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(1,422)</w:t>
            </w:r>
          </w:p>
        </w:tc>
        <w:tc>
          <w:tcPr>
            <w:tcW w:w="14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(1,438)</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Change in operating assets and liabilities, net of acquisitions and dispositions:</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6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(112,756)</w:t>
            </w:r>
          </w:p>
        </w:tc>
        <w:tc>
          <w:tcPr>
            <w:tcW w:w="14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(112,522)</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64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24,411</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21,737</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6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Inventories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29,720</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64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4"/>
                <w:szCs w:val="14"/>
                <w:color w:val="auto"/>
              </w:rPr>
              <w:t>Trade accounts payable</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53,277</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41,329</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6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Accrued expenses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(43,490)</w:t>
            </w:r>
          </w:p>
        </w:tc>
        <w:tc>
          <w:tcPr>
            <w:tcW w:w="14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(153,892)</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64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4"/>
                <w:szCs w:val="14"/>
                <w:color w:val="auto"/>
              </w:rPr>
              <w:t>Other assets and liabilities</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(15,630)</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(16,576)</w:t>
            </w:r>
          </w:p>
        </w:tc>
        <w:tc>
          <w:tcPr>
            <w:tcW w:w="52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56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63"/>
        </w:trPr>
        <w:tc>
          <w:tcPr>
            <w:tcW w:w="520" w:type="dxa"/>
            <w:vAlign w:val="bottom"/>
          </w:tcPr>
          <w:p>
            <w:pPr>
              <w:spacing w:after="0"/>
              <w:rPr>
                <w:sz w:val="14"/>
                <w:szCs w:val="14"/>
                <w:color w:val="auto"/>
              </w:rPr>
            </w:pPr>
          </w:p>
        </w:tc>
        <w:tc>
          <w:tcPr>
            <w:tcW w:w="5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150,674</w:t>
            </w:r>
          </w:p>
        </w:tc>
        <w:tc>
          <w:tcPr>
            <w:tcW w:w="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(94,084)</w:t>
            </w:r>
          </w:p>
        </w:tc>
        <w:tc>
          <w:tcPr>
            <w:tcW w:w="520" w:type="dxa"/>
            <w:vAlign w:val="bottom"/>
          </w:tcPr>
          <w:p>
            <w:pPr>
              <w:spacing w:after="0"/>
              <w:rPr>
                <w:sz w:val="14"/>
                <w:szCs w:val="14"/>
                <w:color w:val="auto"/>
              </w:rPr>
            </w:pPr>
          </w:p>
        </w:tc>
      </w:tr>
      <w:tr>
        <w:trPr>
          <w:trHeight w:val="163"/>
        </w:trPr>
        <w:tc>
          <w:tcPr>
            <w:tcW w:w="520" w:type="dxa"/>
            <w:vAlign w:val="bottom"/>
          </w:tcPr>
          <w:p>
            <w:pPr>
              <w:spacing w:after="0"/>
              <w:rPr>
                <w:sz w:val="14"/>
                <w:szCs w:val="14"/>
                <w:color w:val="auto"/>
              </w:rPr>
            </w:pPr>
          </w:p>
        </w:tc>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6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(42,057)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(45,559)</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Acquisitions of businesses</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(6,754)</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(43,611)</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3"/>
        </w:trPr>
        <w:tc>
          <w:tcPr>
            <w:tcW w:w="520" w:type="dxa"/>
            <w:vAlign w:val="bottom"/>
          </w:tcPr>
          <w:p>
            <w:pPr>
              <w:spacing w:after="0"/>
              <w:rPr>
                <w:sz w:val="14"/>
                <w:szCs w:val="14"/>
                <w:color w:val="auto"/>
              </w:rPr>
            </w:pPr>
          </w:p>
        </w:tc>
        <w:tc>
          <w:tcPr>
            <w:tcW w:w="56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(47,434)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(88,630)</w:t>
            </w:r>
          </w:p>
        </w:tc>
        <w:tc>
          <w:tcPr>
            <w:tcW w:w="520" w:type="dxa"/>
            <w:vAlign w:val="bottom"/>
          </w:tcPr>
          <w:p>
            <w:pPr>
              <w:spacing w:after="0"/>
              <w:rPr>
                <w:sz w:val="14"/>
                <w:szCs w:val="14"/>
                <w:color w:val="auto"/>
              </w:rPr>
            </w:pPr>
          </w:p>
        </w:tc>
      </w:tr>
      <w:tr>
        <w:trPr>
          <w:trHeight w:val="163"/>
        </w:trPr>
        <w:tc>
          <w:tcPr>
            <w:tcW w:w="520" w:type="dxa"/>
            <w:vAlign w:val="bottom"/>
          </w:tcPr>
          <w:p>
            <w:pPr>
              <w:spacing w:after="0"/>
              <w:rPr>
                <w:sz w:val="14"/>
                <w:szCs w:val="14"/>
                <w:color w:val="auto"/>
              </w:rPr>
            </w:pPr>
          </w:p>
        </w:tc>
        <w:tc>
          <w:tcPr>
            <w:tcW w:w="5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16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Long-term debt borrowings</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2,566,000</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Long-term debt repayments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(23,720)</w:t>
            </w:r>
          </w:p>
        </w:tc>
        <w:tc>
          <w:tcPr>
            <w:tcW w:w="14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(3,370,970)</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Proceeds from issuance of common stock on initial public offering, net</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656,485</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issuance of tangible equity units, net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389,000</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(Repayments) borrowings of the Revolving Credit Facility, net</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(63,300)</w:t>
            </w: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5,100</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of debt issuance costs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(43,188)</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Repurchase of shares of common stock</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(650)</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shares issued under share-based compensation plan</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(4,512)</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 issued for payment of acquisition</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Payment of acquisition earn-outs</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(2,656)</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of redeemable noncontrolling interest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(5,100)</w:t>
            </w:r>
          </w:p>
        </w:tc>
        <w:tc>
          <w:tcPr>
            <w:tcW w:w="14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(300)</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Payments of financing lease obligations</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(6,691)</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(5,636)</w:t>
            </w:r>
          </w:p>
        </w:tc>
        <w:tc>
          <w:tcPr>
            <w:tcW w:w="52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56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63"/>
        </w:trPr>
        <w:tc>
          <w:tcPr>
            <w:tcW w:w="520" w:type="dxa"/>
            <w:vAlign w:val="bottom"/>
          </w:tcPr>
          <w:p>
            <w:pPr>
              <w:spacing w:after="0"/>
              <w:rPr>
                <w:sz w:val="14"/>
                <w:szCs w:val="14"/>
                <w:color w:val="auto"/>
              </w:rPr>
            </w:pPr>
          </w:p>
        </w:tc>
        <w:tc>
          <w:tcPr>
            <w:tcW w:w="56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(94,261)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194,670</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3"/>
        </w:trPr>
        <w:tc>
          <w:tcPr>
            <w:tcW w:w="520" w:type="dxa"/>
            <w:vAlign w:val="bottom"/>
          </w:tcPr>
          <w:p>
            <w:pPr>
              <w:spacing w:after="0"/>
              <w:rPr>
                <w:sz w:val="14"/>
                <w:szCs w:val="14"/>
                <w:color w:val="auto"/>
              </w:rPr>
            </w:pPr>
          </w:p>
        </w:tc>
        <w:tc>
          <w:tcPr>
            <w:tcW w:w="56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16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8,979</w:t>
            </w:r>
          </w:p>
        </w:tc>
        <w:tc>
          <w:tcPr>
            <w:tcW w:w="1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11,956</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61,253</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13,071</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3"/>
        </w:trPr>
        <w:tc>
          <w:tcPr>
            <w:tcW w:w="520" w:type="dxa"/>
            <w:vAlign w:val="bottom"/>
          </w:tcPr>
          <w:p>
            <w:pPr>
              <w:spacing w:after="0"/>
              <w:rPr>
                <w:sz w:val="14"/>
                <w:szCs w:val="14"/>
                <w:color w:val="auto"/>
              </w:rPr>
            </w:pPr>
          </w:p>
        </w:tc>
        <w:tc>
          <w:tcPr>
            <w:tcW w:w="5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70,232</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25,027</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63"/>
        </w:trPr>
        <w:tc>
          <w:tcPr>
            <w:tcW w:w="520" w:type="dxa"/>
            <w:vAlign w:val="bottom"/>
          </w:tcPr>
          <w:p>
            <w:pPr>
              <w:spacing w:after="0"/>
              <w:rPr>
                <w:sz w:val="14"/>
                <w:szCs w:val="14"/>
                <w:color w:val="auto"/>
              </w:rPr>
            </w:pPr>
          </w:p>
        </w:tc>
        <w:tc>
          <w:tcPr>
            <w:tcW w:w="564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4"/>
                <w:szCs w:val="14"/>
                <w:color w:val="auto"/>
              </w:rPr>
              <w:t>Cash and cash equivalents included in assets held for sale at end of period</w:t>
            </w:r>
          </w:p>
        </w:tc>
        <w:tc>
          <w:tcPr>
            <w:tcW w:w="160" w:type="dxa"/>
            <w:vAlign w:val="bottom"/>
            <w:tcBorders>
              <w:top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60" w:type="dxa"/>
            <w:vAlign w:val="bottom"/>
            <w:tcBorders>
              <w:top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2,179</w:t>
            </w:r>
          </w:p>
        </w:tc>
        <w:tc>
          <w:tcPr>
            <w:tcW w:w="80" w:type="dxa"/>
            <w:vAlign w:val="bottom"/>
            <w:tcBorders>
              <w:top w:val="single" w:sz="8" w:color="CFF0FC"/>
            </w:tcBorders>
          </w:tcPr>
          <w:p>
            <w:pPr>
              <w:spacing w:after="0"/>
              <w:rPr>
                <w:sz w:val="14"/>
                <w:szCs w:val="14"/>
                <w:color w:val="auto"/>
              </w:rPr>
            </w:pPr>
          </w:p>
        </w:tc>
        <w:tc>
          <w:tcPr>
            <w:tcW w:w="520" w:type="dxa"/>
            <w:vAlign w:val="bottom"/>
          </w:tcPr>
          <w:p>
            <w:pPr>
              <w:spacing w:after="0"/>
              <w:rPr>
                <w:sz w:val="14"/>
                <w:szCs w:val="14"/>
                <w:color w:val="auto"/>
              </w:rPr>
            </w:pPr>
          </w:p>
        </w:tc>
      </w:tr>
      <w:tr>
        <w:trPr>
          <w:trHeight w:val="203"/>
        </w:trPr>
        <w:tc>
          <w:tcPr>
            <w:tcW w:w="520" w:type="dxa"/>
            <w:vAlign w:val="bottom"/>
          </w:tcPr>
          <w:p>
            <w:pPr>
              <w:spacing w:after="0"/>
              <w:rPr>
                <w:sz w:val="17"/>
                <w:szCs w:val="17"/>
                <w:color w:val="auto"/>
              </w:rPr>
            </w:pPr>
          </w:p>
        </w:tc>
        <w:tc>
          <w:tcPr>
            <w:tcW w:w="5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Cash and cash equivalents included in continuing operations at end of period</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70,070</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22,848</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r>
      <w:tr>
        <w:trPr>
          <w:trHeight w:val="487"/>
        </w:trPr>
        <w:tc>
          <w:tcPr>
            <w:tcW w:w="520" w:type="dxa"/>
            <w:vAlign w:val="bottom"/>
          </w:tcPr>
          <w:p>
            <w:pPr>
              <w:spacing w:after="0"/>
              <w:rPr>
                <w:sz w:val="24"/>
                <w:szCs w:val="24"/>
                <w:color w:val="auto"/>
              </w:rPr>
            </w:pPr>
          </w:p>
        </w:tc>
        <w:tc>
          <w:tcPr>
            <w:tcW w:w="5640" w:type="dxa"/>
            <w:vAlign w:val="bottom"/>
            <w:tcBorders>
              <w:top w:val="single" w:sz="8" w:color="CFF0FC"/>
            </w:tcBorders>
          </w:tcPr>
          <w:p>
            <w:pPr>
              <w:ind w:left="3820"/>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520" w:type="dxa"/>
            <w:vAlign w:val="bottom"/>
          </w:tcPr>
          <w:p>
            <w:pPr>
              <w:spacing w:after="0"/>
              <w:rPr>
                <w:sz w:val="24"/>
                <w:szCs w:val="24"/>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-3641090</wp:posOffset>
            </wp:positionV>
            <wp:extent cx="4762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-3641090</wp:posOffset>
            </wp:positionV>
            <wp:extent cx="4762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-2966085</wp:posOffset>
            </wp:positionV>
            <wp:extent cx="4762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-2966085</wp:posOffset>
            </wp:positionV>
            <wp:extent cx="4762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-1431290</wp:posOffset>
            </wp:positionV>
            <wp:extent cx="4762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-1431290</wp:posOffset>
            </wp:positionV>
            <wp:extent cx="4762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-974725</wp:posOffset>
            </wp:positionV>
            <wp:extent cx="4762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-974725</wp:posOffset>
            </wp:positionV>
            <wp:extent cx="4762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-742950</wp:posOffset>
            </wp:positionV>
            <wp:extent cx="4762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-728980</wp:posOffset>
            </wp:positionV>
            <wp:extent cx="4762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-742950</wp:posOffset>
            </wp:positionV>
            <wp:extent cx="4762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-728980</wp:posOffset>
            </wp:positionV>
            <wp:extent cx="4762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BrightSpring Health Services,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231F20"/>
        </w:rPr>
        <w:t>Condensed Consolidated Statements of Cash Flows (continued)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231F20"/>
        </w:rPr>
        <w:t>(In thousands)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231F20"/>
        </w:rPr>
        <w:t>(Unaudited)</w:t>
      </w:r>
    </w:p>
    <w:p>
      <w:pPr>
        <w:spacing w:after="0" w:line="164"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1"/>
          <w:szCs w:val="11"/>
          <w:b w:val="1"/>
          <w:bCs w:val="1"/>
          <w:color w:val="auto"/>
        </w:rPr>
        <w:t>For the Six Months Ended</w:t>
      </w:r>
    </w:p>
    <w:p>
      <w:pPr>
        <w:spacing w:after="0" w:line="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1"/>
          <w:szCs w:val="11"/>
          <w:b w:val="1"/>
          <w:bCs w:val="1"/>
          <w:color w:val="auto"/>
        </w:rPr>
        <w:t>June 30,</w:t>
      </w:r>
    </w:p>
    <w:tbl>
      <w:tblPr>
        <w:tblLayout w:type="fixed"/>
        <w:tblInd w:w="640" w:type="dxa"/>
        <w:tblCellMar>
          <w:top w:w="0" w:type="dxa"/>
          <w:left w:w="0" w:type="dxa"/>
          <w:bottom w:w="0" w:type="dxa"/>
          <w:right w:w="0" w:type="dxa"/>
        </w:tblCellMar>
      </w:tblPr>
      <w:tr>
        <w:trPr>
          <w:trHeight w:val="109"/>
        </w:trPr>
        <w:tc>
          <w:tcPr>
            <w:tcW w:w="5800" w:type="dxa"/>
            <w:vAlign w:val="bottom"/>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tcPr>
          <w:p>
            <w:pPr>
              <w:jc w:val="right"/>
              <w:ind w:right="25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Borders>
              <w:top w:val="single" w:sz="8" w:color="auto"/>
            </w:tcBorders>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jc w:val="right"/>
              <w:ind w:right="23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r>
      <w:tr>
        <w:trPr>
          <w:trHeight w:val="163"/>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5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for:</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58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Interest, net</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96,069</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110,905</w:t>
            </w:r>
          </w:p>
        </w:tc>
        <w:tc>
          <w:tcPr>
            <w:tcW w:w="80" w:type="dxa"/>
            <w:vAlign w:val="bottom"/>
            <w:shd w:val="clear" w:color="auto" w:fill="CFF0FC"/>
          </w:tcPr>
          <w:p>
            <w:pPr>
              <w:spacing w:after="0"/>
              <w:rPr>
                <w:sz w:val="14"/>
                <w:szCs w:val="14"/>
                <w:color w:val="auto"/>
              </w:rPr>
            </w:pPr>
          </w:p>
        </w:tc>
      </w:tr>
      <w:tr>
        <w:trPr>
          <w:trHeight w:val="172"/>
        </w:trPr>
        <w:tc>
          <w:tcPr>
            <w:tcW w:w="58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Income taxes, net of refunds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13,022</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23,692</w:t>
            </w:r>
          </w:p>
        </w:tc>
        <w:tc>
          <w:tcPr>
            <w:tcW w:w="80" w:type="dxa"/>
            <w:vAlign w:val="bottom"/>
          </w:tcPr>
          <w:p>
            <w:pPr>
              <w:spacing w:after="0"/>
              <w:rPr>
                <w:sz w:val="14"/>
                <w:szCs w:val="14"/>
                <w:color w:val="auto"/>
              </w:rPr>
            </w:pPr>
          </w:p>
        </w:tc>
      </w:tr>
      <w:tr>
        <w:trPr>
          <w:trHeight w:val="172"/>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Supplemental schedule of non-cash investing and financing activities:</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58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Notes issued in connection with acquisitions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2,533</w:t>
            </w:r>
          </w:p>
        </w:tc>
        <w:tc>
          <w:tcPr>
            <w:tcW w:w="80" w:type="dxa"/>
            <w:vAlign w:val="bottom"/>
          </w:tcPr>
          <w:p>
            <w:pPr>
              <w:spacing w:after="0"/>
              <w:rPr>
                <w:sz w:val="14"/>
                <w:szCs w:val="14"/>
                <w:color w:val="auto"/>
              </w:rPr>
            </w:pPr>
          </w:p>
        </w:tc>
      </w:tr>
      <w:tr>
        <w:trPr>
          <w:trHeight w:val="172"/>
        </w:trPr>
        <w:tc>
          <w:tcPr>
            <w:tcW w:w="58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Financing lease obligations</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6,691</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6,282</w:t>
            </w:r>
          </w:p>
        </w:tc>
        <w:tc>
          <w:tcPr>
            <w:tcW w:w="80" w:type="dxa"/>
            <w:vAlign w:val="bottom"/>
            <w:shd w:val="clear" w:color="auto" w:fill="CFF0FC"/>
          </w:tcPr>
          <w:p>
            <w:pPr>
              <w:spacing w:after="0"/>
              <w:rPr>
                <w:sz w:val="14"/>
                <w:szCs w:val="14"/>
                <w:color w:val="auto"/>
              </w:rPr>
            </w:pPr>
          </w:p>
        </w:tc>
      </w:tr>
      <w:tr>
        <w:trPr>
          <w:trHeight w:val="172"/>
        </w:trPr>
        <w:tc>
          <w:tcPr>
            <w:tcW w:w="58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Purchases of property and equipment in accounts payable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4,103</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80" w:type="dxa"/>
            <w:vAlign w:val="bottom"/>
          </w:tcPr>
          <w:p>
            <w:pPr>
              <w:spacing w:after="0"/>
              <w:rPr>
                <w:sz w:val="14"/>
                <w:szCs w:val="14"/>
                <w:color w:val="auto"/>
              </w:rPr>
            </w:pPr>
          </w:p>
        </w:tc>
      </w:tr>
      <w:tr>
        <w:trPr>
          <w:trHeight w:val="172"/>
        </w:trPr>
        <w:tc>
          <w:tcPr>
            <w:tcW w:w="58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Consideration for purchase of redeemable noncontrolling interest in accounts payable</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5,100</w:t>
            </w:r>
          </w:p>
        </w:tc>
        <w:tc>
          <w:tcPr>
            <w:tcW w:w="80" w:type="dxa"/>
            <w:vAlign w:val="bottom"/>
            <w:shd w:val="clear" w:color="auto" w:fill="CFF0FC"/>
          </w:tcPr>
          <w:p>
            <w:pPr>
              <w:spacing w:after="0"/>
              <w:rPr>
                <w:sz w:val="14"/>
                <w:szCs w:val="14"/>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BrightSpring Health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(Unaudited)</w:t>
      </w:r>
    </w:p>
    <w:p>
      <w:pPr>
        <w:spacing w:after="0" w:line="2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 Significant Accounting Policies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Description of Business</w:t>
      </w:r>
    </w:p>
    <w:p>
      <w:pPr>
        <w:spacing w:after="0" w:line="99" w:lineRule="exact"/>
        <w:rPr>
          <w:sz w:val="20"/>
          <w:szCs w:val="20"/>
          <w:color w:val="auto"/>
        </w:rPr>
      </w:pPr>
    </w:p>
    <w:p>
      <w:pPr>
        <w:ind w:left="640" w:right="779"/>
        <w:spacing w:after="0" w:line="268" w:lineRule="auto"/>
        <w:rPr>
          <w:sz w:val="20"/>
          <w:szCs w:val="20"/>
          <w:color w:val="auto"/>
        </w:rPr>
      </w:pPr>
      <w:r>
        <w:rPr>
          <w:rFonts w:ascii="Times New Roman" w:cs="Times New Roman" w:eastAsia="Times New Roman" w:hAnsi="Times New Roman"/>
          <w:sz w:val="14"/>
          <w:szCs w:val="14"/>
          <w:color w:val="auto"/>
        </w:rPr>
        <w:t>BrightSpring Health Services, Inc. and its subsidiaries (“BrightSpring”, the “Company”, “we,” “us,” or “our”) is a leading home and community-based healthcare services platform, focused on delivering complementary pharmacy and provider services to complex patients. Our platform delivers clinical services and pharmacy solutions across Medicare, Medicaid, and commercially-insured populations.</w:t>
      </w:r>
    </w:p>
    <w:p>
      <w:pPr>
        <w:spacing w:after="0" w:line="54" w:lineRule="exact"/>
        <w:rPr>
          <w:sz w:val="20"/>
          <w:szCs w:val="20"/>
          <w:color w:val="auto"/>
        </w:rPr>
      </w:pPr>
    </w:p>
    <w:p>
      <w:pPr>
        <w:ind w:left="640" w:right="799"/>
        <w:spacing w:after="0" w:line="274" w:lineRule="auto"/>
        <w:rPr>
          <w:sz w:val="20"/>
          <w:szCs w:val="20"/>
          <w:color w:val="auto"/>
        </w:rPr>
      </w:pPr>
      <w:r>
        <w:rPr>
          <w:rFonts w:ascii="Times New Roman" w:cs="Times New Roman" w:eastAsia="Times New Roman" w:hAnsi="Times New Roman"/>
          <w:sz w:val="14"/>
          <w:szCs w:val="14"/>
          <w:color w:val="auto"/>
        </w:rPr>
        <w:t>On December 7, 2017, affiliates of Kohlberg Kravis Roberts &amp; Co. L.P. (“KKR” or “KKR Stockholder”) and Walgreens Boots Alliance, Inc. (“WBA”) purchased PharMerica Corporation (“PharMerica”) and on March 5, 2019, expanded with the acquisition of BrightSpring Health Holdings Corp. The surviving entity was renamed BrightSpring Health Services, Inc.</w:t>
      </w:r>
    </w:p>
    <w:p>
      <w:pPr>
        <w:spacing w:after="0" w:line="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BrightSpring Health Services, Inc. completed its initial public offering (“IPO”) of 53,333,334 shares of its common stock at a price of</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$13.00 per share and its concurrent offering of 8,000,000 6.75% tangible equity units (“TEUs”) with a stated amount of $50.00 per</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unit in January 2024 (collectively, “the IPO Offerings”). The net proceeds from the IPO Offerings amounted to $656.5 million and</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$389.0 million for the common stock and TEUs, respectively, after deducting underwriting discounts and commissions, and offering-</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related expenses.</w:t>
      </w:r>
    </w:p>
    <w:p>
      <w:pPr>
        <w:spacing w:after="0" w:line="83" w:lineRule="exact"/>
        <w:rPr>
          <w:sz w:val="20"/>
          <w:szCs w:val="20"/>
          <w:color w:val="auto"/>
        </w:rPr>
      </w:pPr>
    </w:p>
    <w:p>
      <w:pPr>
        <w:jc w:val="both"/>
        <w:ind w:left="640" w:right="779"/>
        <w:spacing w:after="0" w:line="274" w:lineRule="auto"/>
        <w:rPr>
          <w:sz w:val="20"/>
          <w:szCs w:val="20"/>
          <w:color w:val="auto"/>
        </w:rPr>
      </w:pPr>
      <w:r>
        <w:rPr>
          <w:rFonts w:ascii="Times New Roman" w:cs="Times New Roman" w:eastAsia="Times New Roman" w:hAnsi="Times New Roman"/>
          <w:sz w:val="14"/>
          <w:szCs w:val="14"/>
          <w:color w:val="auto"/>
        </w:rPr>
        <w:t>On January 17, 2025, the Company entered into a purchase agreement to divest its community living services, home and community based waiver programs, and intermediate care facilities (the “Community Living business”). The transaction is subject to customary closing conditions and certain other antitrust laws and is expected to close in late 2025.</w:t>
      </w:r>
    </w:p>
    <w:p>
      <w:pPr>
        <w:spacing w:after="0" w:line="50" w:lineRule="exact"/>
        <w:rPr>
          <w:sz w:val="20"/>
          <w:szCs w:val="20"/>
          <w:color w:val="auto"/>
        </w:rPr>
      </w:pPr>
    </w:p>
    <w:p>
      <w:pPr>
        <w:ind w:left="640" w:right="759"/>
        <w:spacing w:after="0" w:line="261" w:lineRule="auto"/>
        <w:rPr>
          <w:sz w:val="20"/>
          <w:szCs w:val="20"/>
          <w:color w:val="auto"/>
        </w:rPr>
      </w:pPr>
      <w:r>
        <w:rPr>
          <w:rFonts w:ascii="Times New Roman" w:cs="Times New Roman" w:eastAsia="Times New Roman" w:hAnsi="Times New Roman"/>
          <w:sz w:val="14"/>
          <w:szCs w:val="14"/>
          <w:color w:val="auto"/>
        </w:rPr>
        <w:t>During the second quarter of 2025, WBA sold their remaining ownership interests in the Company through open market transactions and is no longer considered a related party of the Company. In June 2025, KKR Stockholder and certain management selling stockholders completed a registered secondary public offering of the Company’s common stock. The Company did not purchase or sell any shares of common stock that were offered in the secondary public offering. The Company did not receive any proceeds from the Offering, other than proceeds received in connection with the cash exercise of stock options by the Management Selling Stockholders in connection with the Offering. As a result of the aforementioned transactions, the Company no longer qualifies as a “controlled company” under the Nasdaq Stock Market LLC listing standards and is therefore required to comply with all applicable corporate governance requirements of Nasdaq, subject to phase-in rules.</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Principles of Consolidation</w:t>
      </w:r>
    </w:p>
    <w:p>
      <w:pPr>
        <w:spacing w:after="0" w:line="99" w:lineRule="exact"/>
        <w:rPr>
          <w:sz w:val="20"/>
          <w:szCs w:val="20"/>
          <w:color w:val="auto"/>
        </w:rPr>
      </w:pPr>
    </w:p>
    <w:p>
      <w:pPr>
        <w:ind w:left="640" w:right="659"/>
        <w:spacing w:after="0" w:line="274"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include the accounts of BrightSpring Health Services, Inc. and its subsidiaries. The Company consolidates its majority-owned and controlled entities, including variable interest entities (“VIEs”) for which the Company is the primary beneficiary. All intercompany balances and transactions have been eliminated.</w:t>
      </w:r>
    </w:p>
    <w:p>
      <w:pPr>
        <w:spacing w:after="0" w:line="50" w:lineRule="exact"/>
        <w:rPr>
          <w:sz w:val="20"/>
          <w:szCs w:val="20"/>
          <w:color w:val="auto"/>
        </w:rPr>
      </w:pPr>
    </w:p>
    <w:p>
      <w:pPr>
        <w:ind w:left="640" w:right="699"/>
        <w:spacing w:after="0" w:line="268" w:lineRule="auto"/>
        <w:rPr>
          <w:sz w:val="20"/>
          <w:szCs w:val="20"/>
          <w:color w:val="auto"/>
        </w:rPr>
      </w:pPr>
      <w:r>
        <w:rPr>
          <w:rFonts w:ascii="Times New Roman" w:cs="Times New Roman" w:eastAsia="Times New Roman" w:hAnsi="Times New Roman"/>
          <w:sz w:val="14"/>
          <w:szCs w:val="14"/>
          <w:color w:val="auto"/>
        </w:rPr>
        <w:t>We record a noncontrolling interest for the allocable portion of income or loss and comprehensive income or loss to which the noncontrolling interest holders are entitled based upon their ownership share of the affiliate. The Company determined noncontrolling interests for certain of these VIEs to be redeemable noncontrolling interests, which are presented in the unaudited condensed consolidated balance sheets as redeemable noncontrolling interests.</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Basis of Presentation</w:t>
      </w:r>
    </w:p>
    <w:p>
      <w:pPr>
        <w:spacing w:after="0" w:line="99" w:lineRule="exact"/>
        <w:rPr>
          <w:sz w:val="20"/>
          <w:szCs w:val="20"/>
          <w:color w:val="auto"/>
        </w:rPr>
      </w:pPr>
    </w:p>
    <w:p>
      <w:pPr>
        <w:ind w:left="640" w:right="859"/>
        <w:spacing w:after="0" w:line="268"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contain all adjustments (consisting solely of normal recurring adjustments) necessary to present fairly our financial position, our results of operations, and our cash flows in accordance with U.S. generally accepted accounting principles (“U.S. GAAP”) for interim financial reporting. Our results of operations for the interim periods presented are not necessarily indicative of the results of our operations for the entire year.</w:t>
      </w:r>
    </w:p>
    <w:p>
      <w:pPr>
        <w:spacing w:after="0" w:line="54" w:lineRule="exact"/>
        <w:rPr>
          <w:sz w:val="20"/>
          <w:szCs w:val="20"/>
          <w:color w:val="auto"/>
        </w:rPr>
      </w:pPr>
    </w:p>
    <w:p>
      <w:pPr>
        <w:ind w:left="640" w:right="719"/>
        <w:spacing w:after="0" w:line="263" w:lineRule="auto"/>
        <w:rPr>
          <w:sz w:val="20"/>
          <w:szCs w:val="20"/>
          <w:color w:val="auto"/>
        </w:rPr>
      </w:pPr>
      <w:r>
        <w:rPr>
          <w:rFonts w:ascii="Times New Roman" w:cs="Times New Roman" w:eastAsia="Times New Roman" w:hAnsi="Times New Roman"/>
          <w:sz w:val="14"/>
          <w:szCs w:val="14"/>
          <w:color w:val="auto"/>
        </w:rPr>
        <w:t>As a result of the Company's plan to divest the Community Living business discussed in Note 2, the Community Living business met the criteria to be reported as discontinued operations and held for sale. Therefore, the Company has reported the historical results of the Community Living business, including the results of operations, cash flows, and related assets and liabilities, as discontinued operations and held for sale for all periods presented herein. Unless otherwise noted, all activities and amounts reported in the accompanying notes to the unaudited condensed consolidated financial statements relate to the continuing operations of the Company and exclude activities and amounts related to the Community Living business.</w:t>
      </w:r>
    </w:p>
    <w:p>
      <w:pPr>
        <w:spacing w:after="0" w:line="58" w:lineRule="exact"/>
        <w:rPr>
          <w:sz w:val="20"/>
          <w:szCs w:val="20"/>
          <w:color w:val="auto"/>
        </w:rPr>
      </w:pPr>
    </w:p>
    <w:p>
      <w:pPr>
        <w:ind w:left="640" w:right="699"/>
        <w:spacing w:after="0" w:line="292" w:lineRule="auto"/>
        <w:rPr>
          <w:sz w:val="20"/>
          <w:szCs w:val="20"/>
          <w:color w:val="auto"/>
        </w:rPr>
      </w:pPr>
      <w:r>
        <w:rPr>
          <w:rFonts w:ascii="Times New Roman" w:cs="Times New Roman" w:eastAsia="Times New Roman" w:hAnsi="Times New Roman"/>
          <w:sz w:val="14"/>
          <w:szCs w:val="14"/>
          <w:color w:val="auto"/>
        </w:rPr>
        <w:t>This report should be read in conjunction with our consolidated financial statements and related notes thereto included in our Annual Report on Form 10-K for the year ended December 31, 2024, as well as the revised and recasted consolidated financial statements and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12" w:name="page13"/>
    <w:bookmarkEnd w:id="12"/>
    <w:p>
      <w:pPr>
        <w:ind w:left="640" w:right="719"/>
        <w:spacing w:after="0" w:line="265" w:lineRule="auto"/>
        <w:rPr>
          <w:sz w:val="20"/>
          <w:szCs w:val="20"/>
          <w:color w:val="auto"/>
        </w:rPr>
      </w:pPr>
      <w:r>
        <w:rPr>
          <w:rFonts w:ascii="Times New Roman" w:cs="Times New Roman" w:eastAsia="Times New Roman" w:hAnsi="Times New Roman"/>
          <w:sz w:val="14"/>
          <w:szCs w:val="14"/>
          <w:color w:val="auto"/>
        </w:rPr>
        <w:t>related notes thereto for the year ended December 31, 2024 that reflect the Community Living business as discontinued operations included in our Current Report on Form 8-K as filed on June 10, 2025, which includes information and disclosures not included herein. Certain information and footnote disclosures normally included in annual financial statements prepared in accordance with U.S. GAAP have been condensed or omitted from the interim financial information presented, as allowed by the rules and regulations of the Securities and Exchange Commission.</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Use of Estimates</w:t>
      </w:r>
    </w:p>
    <w:p>
      <w:pPr>
        <w:spacing w:after="0" w:line="99" w:lineRule="exact"/>
        <w:rPr>
          <w:sz w:val="20"/>
          <w:szCs w:val="20"/>
          <w:color w:val="auto"/>
        </w:rPr>
      </w:pPr>
    </w:p>
    <w:p>
      <w:pPr>
        <w:ind w:left="640" w:right="819"/>
        <w:spacing w:after="0" w:line="263"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U.S. GAAP requires us to make estimates and assumptions that affect the reported amounts and related disclosures. We rely on historical experience and on various other assumptions that we believe to be reasonable under the circumstances to make judgments about the carrying values of assets and liabilities that are not readily apparent from other sources. Significant estimates are involved in the valuation of accounts receivable, inventory, long-lived assets, intangible assets, derivatives, contingent consideration, taxes, insurance reserves, share-based compensation, and goodwill. Actual amounts may differ from these estimates.</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Recently Adopted Accounting Standards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There were no new accounting standards adopted during the six months ended June 30, 2025</w:t>
      </w:r>
      <w:r>
        <w:rPr>
          <w:rFonts w:ascii="Times New Roman" w:cs="Times New Roman" w:eastAsia="Times New Roman" w:hAnsi="Times New Roman"/>
          <w:sz w:val="14"/>
          <w:szCs w:val="14"/>
          <w:i w:val="1"/>
          <w:iCs w:val="1"/>
          <w:color w:val="auto"/>
        </w:rPr>
        <w: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Recently Issued Accounting Standards</w:t>
      </w:r>
    </w:p>
    <w:p>
      <w:pPr>
        <w:spacing w:after="0" w:line="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In December 2023, the Financial Accounting Standards Board (“FASB”) issued Accounting Standards Update (“ASU”) 2023-09,</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This ASU requires the following disclosures on an annual basis:</w:t>
      </w:r>
    </w:p>
    <w:p>
      <w:pPr>
        <w:spacing w:after="0" w:line="83" w:lineRule="exact"/>
        <w:rPr>
          <w:sz w:val="20"/>
          <w:szCs w:val="20"/>
          <w:color w:val="auto"/>
        </w:rPr>
      </w:pPr>
    </w:p>
    <w:p>
      <w:pPr>
        <w:ind w:left="1340" w:right="1199" w:hanging="352"/>
        <w:spacing w:after="0" w:line="292" w:lineRule="auto"/>
        <w:tabs>
          <w:tab w:leader="none" w:pos="1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tabular rate reconciliation using both percentages and amounts, broken out into specific categories with certain reconciling items at or above 5% of the statutory tax further broken out by nature and/or jurisdiction;</w:t>
      </w:r>
    </w:p>
    <w:p>
      <w:pPr>
        <w:spacing w:after="0" w:line="37" w:lineRule="exact"/>
        <w:rPr>
          <w:rFonts w:ascii="Times New Roman" w:cs="Times New Roman" w:eastAsia="Times New Roman" w:hAnsi="Times New Roman"/>
          <w:sz w:val="14"/>
          <w:szCs w:val="14"/>
          <w:color w:val="auto"/>
        </w:rPr>
      </w:pPr>
    </w:p>
    <w:p>
      <w:pPr>
        <w:ind w:left="1340" w:right="1119" w:hanging="352"/>
        <w:spacing w:after="0" w:line="292" w:lineRule="auto"/>
        <w:tabs>
          <w:tab w:leader="none" w:pos="1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Qualitative disclosure of the nature and effect of significant reconciling items by specific categories and individual jurisdictions; and</w:t>
      </w:r>
    </w:p>
    <w:p>
      <w:pPr>
        <w:spacing w:after="0" w:line="37" w:lineRule="exact"/>
        <w:rPr>
          <w:rFonts w:ascii="Times New Roman" w:cs="Times New Roman" w:eastAsia="Times New Roman" w:hAnsi="Times New Roman"/>
          <w:sz w:val="14"/>
          <w:szCs w:val="14"/>
          <w:color w:val="auto"/>
        </w:rPr>
      </w:pPr>
    </w:p>
    <w:p>
      <w:pPr>
        <w:ind w:left="1340" w:right="819" w:hanging="352"/>
        <w:spacing w:after="0" w:line="292" w:lineRule="auto"/>
        <w:tabs>
          <w:tab w:leader="none" w:pos="1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taxes paid (net of refunds received), broken out between federal, state/local and foreign, and amounts paid to an individual jurisdiction when 5% or more of the total income taxes paid.</w:t>
      </w:r>
    </w:p>
    <w:p>
      <w:pPr>
        <w:spacing w:after="0" w:line="38" w:lineRule="exact"/>
        <w:rPr>
          <w:sz w:val="20"/>
          <w:szCs w:val="20"/>
          <w:color w:val="auto"/>
        </w:rPr>
      </w:pPr>
    </w:p>
    <w:p>
      <w:pPr>
        <w:jc w:val="both"/>
        <w:ind w:left="640" w:right="739"/>
        <w:spacing w:after="0" w:line="274" w:lineRule="auto"/>
        <w:rPr>
          <w:sz w:val="20"/>
          <w:szCs w:val="20"/>
          <w:color w:val="auto"/>
        </w:rPr>
      </w:pPr>
      <w:r>
        <w:rPr>
          <w:rFonts w:ascii="Times New Roman" w:cs="Times New Roman" w:eastAsia="Times New Roman" w:hAnsi="Times New Roman"/>
          <w:sz w:val="14"/>
          <w:szCs w:val="14"/>
          <w:color w:val="auto"/>
        </w:rPr>
        <w:t>The amendments in this ASU are effective for annual periods beginning after December 15, 2024, with early adoption permitted, and should be applied on a prospective basis. This ASU will have no impact on the Company’s consolidated financial condition or results of operations. The Company is currently evaluating the impact to the income tax disclosures.</w:t>
      </w:r>
    </w:p>
    <w:p>
      <w:pPr>
        <w:spacing w:after="0" w:line="48" w:lineRule="exact"/>
        <w:rPr>
          <w:sz w:val="20"/>
          <w:szCs w:val="20"/>
          <w:color w:val="auto"/>
        </w:rPr>
      </w:pPr>
    </w:p>
    <w:p>
      <w:pPr>
        <w:ind w:left="640" w:right="739"/>
        <w:spacing w:after="0" w:line="261"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 - Reporting Comprehensive Income - Expense Disaggregation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Disclosures (Subtopic 220-40): Disaggregation of Income Statement Expenses</w:t>
      </w:r>
      <w:r>
        <w:rPr>
          <w:rFonts w:ascii="Times New Roman" w:cs="Times New Roman" w:eastAsia="Times New Roman" w:hAnsi="Times New Roman"/>
          <w:sz w:val="14"/>
          <w:szCs w:val="14"/>
          <w:color w:val="auto"/>
        </w:rPr>
        <w:t>, which was further clarified in January 2025 through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issuance of ASU 2025-01. These ASUs require new financial statement disclosures to provide disaggregated information for certain types of expenses, including purchases of inventory, employee compensation, depreciation, and amortization in commonly presented expense captions such as cost of goods and services and selling, general, and administrative expenses. The amendments in these ASUs are effective for annual periods beginning after December 15, 2026, with early adoption permitted. The adoption of this guidance will have no impact on the Company's consolidated financial condition or results of operations. The Company is currently evaluating the impact to the related disclosures.</w:t>
      </w: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2. Discontinued Operations</w:t>
      </w:r>
    </w:p>
    <w:p>
      <w:pPr>
        <w:spacing w:after="0" w:line="185" w:lineRule="exact"/>
        <w:rPr>
          <w:sz w:val="20"/>
          <w:szCs w:val="20"/>
          <w:color w:val="auto"/>
        </w:rPr>
      </w:pPr>
    </w:p>
    <w:p>
      <w:pPr>
        <w:ind w:left="640" w:right="699"/>
        <w:spacing w:after="0" w:line="267" w:lineRule="auto"/>
        <w:rPr>
          <w:sz w:val="20"/>
          <w:szCs w:val="20"/>
          <w:color w:val="auto"/>
        </w:rPr>
      </w:pPr>
      <w:r>
        <w:rPr>
          <w:rFonts w:ascii="Times New Roman" w:cs="Times New Roman" w:eastAsia="Times New Roman" w:hAnsi="Times New Roman"/>
          <w:sz w:val="14"/>
          <w:szCs w:val="14"/>
          <w:color w:val="auto"/>
        </w:rPr>
        <w:t>On January 17, 2025, BrightSpring entered into a definitive agreement to sell its Community Living business to National Mentor Holdings, Inc. (the “Purchaser”), for $835.0 million in cash upon closing, subject to certain post-closing adjustments. We entered into the transaction in order to streamline our service offerings and further focus on the senior and specialty populations. The transaction is currently expected to close in late 2025, subject to receipt of customary regulatory approvals and satisfaction of other closing conditions.</w:t>
      </w:r>
    </w:p>
    <w:p>
      <w:pPr>
        <w:spacing w:after="0" w:line="229" w:lineRule="exact"/>
        <w:rPr>
          <w:sz w:val="20"/>
          <w:szCs w:val="20"/>
          <w:color w:val="auto"/>
        </w:rPr>
      </w:pPr>
    </w:p>
    <w:p>
      <w:pPr>
        <w:ind w:left="640" w:right="659"/>
        <w:spacing w:after="0" w:line="262" w:lineRule="auto"/>
        <w:rPr>
          <w:sz w:val="20"/>
          <w:szCs w:val="20"/>
          <w:color w:val="auto"/>
        </w:rPr>
      </w:pPr>
      <w:r>
        <w:rPr>
          <w:rFonts w:ascii="Times New Roman" w:cs="Times New Roman" w:eastAsia="Times New Roman" w:hAnsi="Times New Roman"/>
          <w:sz w:val="14"/>
          <w:szCs w:val="14"/>
          <w:color w:val="auto"/>
        </w:rPr>
        <w:t xml:space="preserve">The Company has determined the divestiture of the Community Living business represents a strategic shift that will have a major effect on its business and has concluded the criteria for classification as discontinued operations were met during the first fiscal quarter of 2025. Accordingly, the Community Living business is reported as discontinued operations in accordance with Accounting Standards Codification (“ASC”) 205-20, </w:t>
      </w:r>
      <w:r>
        <w:rPr>
          <w:rFonts w:ascii="Times New Roman" w:cs="Times New Roman" w:eastAsia="Times New Roman" w:hAnsi="Times New Roman"/>
          <w:sz w:val="14"/>
          <w:szCs w:val="14"/>
          <w:i w:val="1"/>
          <w:iCs w:val="1"/>
          <w:color w:val="auto"/>
        </w:rPr>
        <w:t>Discontinued Operations</w:t>
      </w:r>
      <w:r>
        <w:rPr>
          <w:rFonts w:ascii="Times New Roman" w:cs="Times New Roman" w:eastAsia="Times New Roman" w:hAnsi="Times New Roman"/>
          <w:sz w:val="14"/>
          <w:szCs w:val="14"/>
          <w:color w:val="auto"/>
        </w:rPr>
        <w:t>. The related assets and liabilities of the Community Living business are classified as assets and liabilities held for sale in the accompanying unaudited condensed consolidated balance sheet as of June 30, 2025, and the results of operations from the Community Living business are classified as discontinued operations in the unaudited condensed consolidated statements of operations. Applicable amounts in prior years have been recast to conform to this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13" w:name="page14"/>
    <w:bookmarkEnd w:id="13"/>
    <w:p>
      <w:pPr>
        <w:ind w:left="640" w:right="879"/>
        <w:spacing w:after="0" w:line="292" w:lineRule="auto"/>
        <w:rPr>
          <w:sz w:val="20"/>
          <w:szCs w:val="20"/>
          <w:color w:val="auto"/>
        </w:rPr>
      </w:pPr>
      <w:r>
        <w:rPr>
          <w:rFonts w:ascii="Times New Roman" w:cs="Times New Roman" w:eastAsia="Times New Roman" w:hAnsi="Times New Roman"/>
          <w:sz w:val="14"/>
          <w:szCs w:val="14"/>
          <w:color w:val="auto"/>
        </w:rPr>
        <w:t>discontinued operations presentation. The Community Living business was historically presented as a part of the Provider Services reportable segment.</w:t>
      </w:r>
    </w:p>
    <w:p>
      <w:pPr>
        <w:spacing w:after="0" w:line="36" w:lineRule="exact"/>
        <w:rPr>
          <w:sz w:val="20"/>
          <w:szCs w:val="20"/>
          <w:color w:val="auto"/>
        </w:rPr>
      </w:pPr>
    </w:p>
    <w:p>
      <w:pPr>
        <w:ind w:left="640" w:right="719"/>
        <w:spacing w:after="0" w:line="262" w:lineRule="auto"/>
        <w:rPr>
          <w:sz w:val="20"/>
          <w:szCs w:val="20"/>
          <w:color w:val="auto"/>
        </w:rPr>
      </w:pPr>
      <w:r>
        <w:rPr>
          <w:rFonts w:ascii="Times New Roman" w:cs="Times New Roman" w:eastAsia="Times New Roman" w:hAnsi="Times New Roman"/>
          <w:sz w:val="14"/>
          <w:szCs w:val="14"/>
          <w:color w:val="auto"/>
        </w:rPr>
        <w:t xml:space="preserve">In accordance with ASC 205-20, </w:t>
      </w:r>
      <w:r>
        <w:rPr>
          <w:rFonts w:ascii="Times New Roman" w:cs="Times New Roman" w:eastAsia="Times New Roman" w:hAnsi="Times New Roman"/>
          <w:sz w:val="14"/>
          <w:szCs w:val="14"/>
          <w:i w:val="1"/>
          <w:iCs w:val="1"/>
          <w:color w:val="auto"/>
        </w:rPr>
        <w:t>Allocation of Interest to Discontinued Operations</w:t>
      </w:r>
      <w:r>
        <w:rPr>
          <w:rFonts w:ascii="Times New Roman" w:cs="Times New Roman" w:eastAsia="Times New Roman" w:hAnsi="Times New Roman"/>
          <w:sz w:val="14"/>
          <w:szCs w:val="14"/>
          <w:color w:val="auto"/>
        </w:rPr>
        <w:t>, the Company elected to allocate interest expense to discontinued operations for the Company’s debt that is not directly attributed to the Community Living business. Interest expense was allocated based on a ratio of net assets held for sale to the sum of consolidated net assets and consolidated debt. In addition, upon closing of the divestiture, we will enter into a transition services agreement with the Purchaser to support the Purchaser's post-closing operations of the Community Living business by providing the Purchaser with certain transition services in exchange for service fees in the form of both fixed-price and pass through costs. Transition services will primarily include finance and accounting, human resources, IT, facilities management, and compliance services.</w:t>
      </w:r>
    </w:p>
    <w:p>
      <w:pPr>
        <w:spacing w:after="0" w:line="61" w:lineRule="exact"/>
        <w:rPr>
          <w:sz w:val="20"/>
          <w:szCs w:val="20"/>
          <w:color w:val="auto"/>
        </w:rPr>
      </w:pPr>
    </w:p>
    <w:p>
      <w:pPr>
        <w:jc w:val="both"/>
        <w:ind w:left="640" w:right="1039"/>
        <w:spacing w:after="0" w:line="274" w:lineRule="auto"/>
        <w:rPr>
          <w:sz w:val="20"/>
          <w:szCs w:val="20"/>
          <w:color w:val="auto"/>
        </w:rPr>
      </w:pPr>
      <w:r>
        <w:rPr>
          <w:rFonts w:ascii="Times New Roman" w:cs="Times New Roman" w:eastAsia="Times New Roman" w:hAnsi="Times New Roman"/>
          <w:sz w:val="14"/>
          <w:szCs w:val="14"/>
          <w:color w:val="auto"/>
        </w:rPr>
        <w:t>The financial results of the Community Living business are presented as income from discontinued operations on our unaudited condensed consolidated statements of operations through June 30, 2025. The following table presents the financial results of the Community Living business (in thousands):</w:t>
      </w:r>
    </w:p>
    <w:p>
      <w:pPr>
        <w:spacing w:after="0" w:line="123"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3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4"/>
          </w:tcPr>
          <w:p>
            <w:pPr>
              <w:jc w:val="right"/>
              <w:ind w:right="9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5"/>
          </w:tcPr>
          <w:p>
            <w:pPr>
              <w:ind w:left="60"/>
              <w:spacing w:after="0"/>
              <w:rPr>
                <w:sz w:val="20"/>
                <w:szCs w:val="20"/>
                <w:color w:val="auto"/>
              </w:rPr>
            </w:pPr>
            <w:r>
              <w:rPr>
                <w:rFonts w:ascii="Times New Roman" w:cs="Times New Roman" w:eastAsia="Times New Roman" w:hAnsi="Times New Roman"/>
                <w:sz w:val="11"/>
                <w:szCs w:val="11"/>
                <w:b w:val="1"/>
                <w:bCs w:val="1"/>
                <w:color w:val="auto"/>
              </w:rPr>
              <w:t>For the Six Months Ended</w:t>
            </w:r>
          </w:p>
        </w:tc>
      </w:tr>
      <w:tr>
        <w:trPr>
          <w:trHeight w:val="137"/>
        </w:trPr>
        <w:tc>
          <w:tcPr>
            <w:tcW w:w="3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9"/>
        </w:trPr>
        <w:tc>
          <w:tcPr>
            <w:tcW w:w="3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12"/>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21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12"/>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23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r>
      <w:tr>
        <w:trPr>
          <w:trHeight w:val="163"/>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Services revenue</w:t>
            </w: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307,683</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291,956</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606,789</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582,828</w:t>
            </w:r>
          </w:p>
        </w:tc>
        <w:tc>
          <w:tcPr>
            <w:tcW w:w="80" w:type="dxa"/>
            <w:vAlign w:val="bottom"/>
            <w:shd w:val="clear" w:color="auto" w:fill="CFF0FC"/>
          </w:tcPr>
          <w:p>
            <w:pPr>
              <w:spacing w:after="0"/>
              <w:rPr>
                <w:sz w:val="14"/>
                <w:szCs w:val="14"/>
                <w:color w:val="auto"/>
              </w:rPr>
            </w:pPr>
          </w:p>
        </w:tc>
      </w:tr>
      <w:tr>
        <w:trPr>
          <w:trHeight w:val="172"/>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211,614</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215,099</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415,797</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429,071</w:t>
            </w:r>
          </w:p>
        </w:tc>
        <w:tc>
          <w:tcPr>
            <w:tcW w:w="80" w:type="dxa"/>
            <w:vAlign w:val="bottom"/>
          </w:tcPr>
          <w:p>
            <w:pPr>
              <w:spacing w:after="0"/>
              <w:rPr>
                <w:sz w:val="14"/>
                <w:szCs w:val="14"/>
                <w:color w:val="auto"/>
              </w:rPr>
            </w:pPr>
          </w:p>
        </w:tc>
      </w:tr>
      <w:tr>
        <w:trPr>
          <w:trHeight w:val="163"/>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96,069</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76,857</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190,992</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153,757</w:t>
            </w:r>
          </w:p>
        </w:tc>
        <w:tc>
          <w:tcPr>
            <w:tcW w:w="80" w:type="dxa"/>
            <w:vAlign w:val="bottom"/>
            <w:shd w:val="clear" w:color="auto" w:fill="CFF0FC"/>
          </w:tcPr>
          <w:p>
            <w:pPr>
              <w:spacing w:after="0"/>
              <w:rPr>
                <w:sz w:val="14"/>
                <w:szCs w:val="14"/>
                <w:color w:val="auto"/>
              </w:rPr>
            </w:pPr>
          </w:p>
        </w:tc>
      </w:tr>
      <w:tr>
        <w:trPr>
          <w:trHeight w:val="172"/>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63,739</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53,096</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124,483</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106,594</w:t>
            </w:r>
          </w:p>
        </w:tc>
        <w:tc>
          <w:tcPr>
            <w:tcW w:w="80" w:type="dxa"/>
            <w:vAlign w:val="bottom"/>
          </w:tcPr>
          <w:p>
            <w:pPr>
              <w:spacing w:after="0"/>
              <w:rPr>
                <w:sz w:val="14"/>
                <w:szCs w:val="14"/>
                <w:color w:val="auto"/>
              </w:rPr>
            </w:pPr>
          </w:p>
        </w:tc>
      </w:tr>
      <w:tr>
        <w:trPr>
          <w:trHeight w:val="163"/>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income of discontinued operations</w:t>
            </w:r>
          </w:p>
        </w:tc>
        <w:tc>
          <w:tcPr>
            <w:tcW w:w="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32,330</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23,761</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66,509</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47,163</w:t>
            </w:r>
          </w:p>
        </w:tc>
        <w:tc>
          <w:tcPr>
            <w:tcW w:w="80" w:type="dxa"/>
            <w:vAlign w:val="bottom"/>
            <w:shd w:val="clear" w:color="auto" w:fill="CFF0FC"/>
          </w:tcPr>
          <w:p>
            <w:pPr>
              <w:spacing w:after="0"/>
              <w:rPr>
                <w:sz w:val="14"/>
                <w:szCs w:val="14"/>
                <w:color w:val="auto"/>
              </w:rPr>
            </w:pPr>
          </w:p>
        </w:tc>
      </w:tr>
      <w:tr>
        <w:trPr>
          <w:trHeight w:val="172"/>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7,590</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9,157</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15,497</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19,707</w:t>
            </w:r>
          </w:p>
        </w:tc>
        <w:tc>
          <w:tcPr>
            <w:tcW w:w="80" w:type="dxa"/>
            <w:vAlign w:val="bottom"/>
          </w:tcPr>
          <w:p>
            <w:pPr>
              <w:spacing w:after="0"/>
              <w:rPr>
                <w:sz w:val="14"/>
                <w:szCs w:val="14"/>
                <w:color w:val="auto"/>
              </w:rPr>
            </w:pPr>
          </w:p>
        </w:tc>
      </w:tr>
      <w:tr>
        <w:trPr>
          <w:trHeight w:val="163"/>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of discontinued operations before incomes taxes</w:t>
            </w:r>
          </w:p>
        </w:tc>
        <w:tc>
          <w:tcPr>
            <w:tcW w:w="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24,740</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14,604</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51,012</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27,456</w:t>
            </w:r>
          </w:p>
        </w:tc>
        <w:tc>
          <w:tcPr>
            <w:tcW w:w="80" w:type="dxa"/>
            <w:vAlign w:val="bottom"/>
            <w:shd w:val="clear" w:color="auto" w:fill="CFF0FC"/>
          </w:tcPr>
          <w:p>
            <w:pPr>
              <w:spacing w:after="0"/>
              <w:rPr>
                <w:sz w:val="14"/>
                <w:szCs w:val="14"/>
                <w:color w:val="auto"/>
              </w:rPr>
            </w:pPr>
          </w:p>
        </w:tc>
      </w:tr>
      <w:tr>
        <w:trPr>
          <w:trHeight w:val="172"/>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 of discontinued operations</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5,739</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3,649</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12,217</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6,859</w:t>
            </w:r>
          </w:p>
        </w:tc>
        <w:tc>
          <w:tcPr>
            <w:tcW w:w="80" w:type="dxa"/>
            <w:vAlign w:val="bottom"/>
          </w:tcPr>
          <w:p>
            <w:pPr>
              <w:spacing w:after="0"/>
              <w:rPr>
                <w:sz w:val="14"/>
                <w:szCs w:val="14"/>
                <w:color w:val="auto"/>
              </w:rPr>
            </w:pPr>
          </w:p>
        </w:tc>
      </w:tr>
      <w:tr>
        <w:trPr>
          <w:trHeight w:val="183"/>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from discontinued operations, net of income taxes</w:t>
            </w: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19,001</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10,955</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38,795</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20,597</w:t>
            </w:r>
          </w:p>
        </w:tc>
        <w:tc>
          <w:tcPr>
            <w:tcW w:w="80" w:type="dxa"/>
            <w:vAlign w:val="bottom"/>
            <w:shd w:val="clear" w:color="auto" w:fill="CFF0FC"/>
          </w:tcPr>
          <w:p>
            <w:pPr>
              <w:spacing w:after="0"/>
              <w:rPr>
                <w:sz w:val="15"/>
                <w:szCs w:val="15"/>
                <w:color w:val="auto"/>
              </w:rPr>
            </w:pPr>
          </w:p>
        </w:tc>
      </w:tr>
      <w:tr>
        <w:trPr>
          <w:trHeight w:val="20"/>
        </w:trPr>
        <w:tc>
          <w:tcPr>
            <w:tcW w:w="36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3446780</wp:posOffset>
            </wp:positionH>
            <wp:positionV relativeFrom="paragraph">
              <wp:posOffset>-19685</wp:posOffset>
            </wp:positionV>
            <wp:extent cx="4762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-6350</wp:posOffset>
            </wp:positionV>
            <wp:extent cx="4762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-19685</wp:posOffset>
            </wp:positionV>
            <wp:extent cx="4762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-6350</wp:posOffset>
            </wp:positionV>
            <wp:extent cx="4762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-19685</wp:posOffset>
            </wp:positionV>
            <wp:extent cx="4762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-6350</wp:posOffset>
            </wp:positionV>
            <wp:extent cx="4762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right="759"/>
        <w:spacing w:after="0" w:line="292" w:lineRule="auto"/>
        <w:rPr>
          <w:sz w:val="20"/>
          <w:szCs w:val="20"/>
          <w:color w:val="auto"/>
        </w:rPr>
      </w:pPr>
      <w:r>
        <w:rPr>
          <w:rFonts w:ascii="Times New Roman" w:cs="Times New Roman" w:eastAsia="Times New Roman" w:hAnsi="Times New Roman"/>
          <w:sz w:val="14"/>
          <w:szCs w:val="14"/>
          <w:color w:val="auto"/>
        </w:rPr>
        <w:t>The following table presents the aggregate carrying amounts of assets and liabilities held for sale for the Community Living business in the unaudited condensed consolidated balance sheets (in thousands):</w:t>
      </w:r>
    </w:p>
    <w:p>
      <w:pPr>
        <w:spacing w:after="0" w:line="119"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June 30, 2025</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52"/>
        </w:trPr>
        <w:tc>
          <w:tcPr>
            <w:tcW w:w="20" w:type="dxa"/>
            <w:vAlign w:val="bottom"/>
          </w:tcPr>
          <w:p>
            <w:pPr>
              <w:spacing w:after="0"/>
              <w:rPr>
                <w:sz w:val="13"/>
                <w:szCs w:val="13"/>
                <w:color w:val="auto"/>
              </w:rPr>
            </w:pPr>
          </w:p>
        </w:tc>
        <w:tc>
          <w:tcPr>
            <w:tcW w:w="5300" w:type="dxa"/>
            <w:vAlign w:val="bottom"/>
            <w:shd w:val="clear" w:color="auto" w:fill="CFF0FC"/>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receivable, net of allowance for credit losses</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128,031</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125,872</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Inventories</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3,630</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4,007</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2,598</w:t>
            </w: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80" w:type="dxa"/>
            <w:vAlign w:val="bottom"/>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5300" w:type="dxa"/>
            <w:vAlign w:val="bottom"/>
            <w:tcBorders>
              <w:bottom w:val="single" w:sz="8" w:color="CFF0FC"/>
            </w:tcBorders>
            <w:shd w:val="clear" w:color="auto" w:fill="CFF0FC"/>
          </w:tcPr>
          <w:p>
            <w:pPr>
              <w:ind w:left="400"/>
              <w:spacing w:after="0" w:line="152" w:lineRule="exact"/>
              <w:rPr>
                <w:sz w:val="20"/>
                <w:szCs w:val="20"/>
                <w:color w:val="auto"/>
              </w:rPr>
            </w:pPr>
            <w:r>
              <w:rPr>
                <w:rFonts w:ascii="Times New Roman" w:cs="Times New Roman" w:eastAsia="Times New Roman" w:hAnsi="Times New Roman"/>
                <w:sz w:val="14"/>
                <w:szCs w:val="14"/>
                <w:b w:val="1"/>
                <w:bCs w:val="1"/>
                <w:color w:val="auto"/>
              </w:rPr>
              <w:t>Total current assets held for sale</w:t>
            </w:r>
          </w:p>
        </w:tc>
        <w:tc>
          <w:tcPr>
            <w:tcW w:w="14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134,421</w:t>
            </w:r>
          </w:p>
        </w:tc>
        <w:tc>
          <w:tcPr>
            <w:tcW w:w="18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131,447</w:t>
            </w:r>
          </w:p>
        </w:tc>
        <w:tc>
          <w:tcPr>
            <w:tcW w:w="80" w:type="dxa"/>
            <w:vAlign w:val="bottom"/>
            <w:tcBorders>
              <w:bottom w:val="single" w:sz="8" w:color="CFF0FC"/>
            </w:tcBorders>
            <w:shd w:val="clear" w:color="auto" w:fill="CFF0FC"/>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53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Property and equipment, net of accumulated depreciation of $107,168 and $110,417 at</w:t>
            </w:r>
          </w:p>
        </w:tc>
        <w:tc>
          <w:tcPr>
            <w:tcW w:w="14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75,063</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69,715</w:t>
            </w:r>
          </w:p>
        </w:tc>
        <w:tc>
          <w:tcPr>
            <w:tcW w:w="80" w:type="dxa"/>
            <w:vAlign w:val="bottom"/>
          </w:tcPr>
          <w:p>
            <w:pPr>
              <w:spacing w:after="0"/>
              <w:rPr>
                <w:sz w:val="11"/>
                <w:szCs w:val="11"/>
                <w:color w:val="auto"/>
              </w:rPr>
            </w:pPr>
          </w:p>
        </w:tc>
      </w:tr>
      <w:tr>
        <w:trPr>
          <w:trHeight w:val="175"/>
        </w:trPr>
        <w:tc>
          <w:tcPr>
            <w:tcW w:w="20" w:type="dxa"/>
            <w:vAlign w:val="bottom"/>
          </w:tcPr>
          <w:p>
            <w:pPr>
              <w:spacing w:after="0"/>
              <w:rPr>
                <w:sz w:val="15"/>
                <w:szCs w:val="15"/>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June 30, 2025 and December 31, 2024, respectively</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Goodwill</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307,640</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307,640</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 net of accumulated amortization</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216,319</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216,258</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lease right-of-use assets, net</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112,299</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88,717</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Deferred income taxes, net</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4,426</w:t>
            </w:r>
          </w:p>
        </w:tc>
        <w:tc>
          <w:tcPr>
            <w:tcW w:w="18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5,343</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5300" w:type="dxa"/>
            <w:vAlign w:val="bottom"/>
          </w:tcPr>
          <w:p>
            <w:pPr>
              <w:ind w:left="400"/>
              <w:spacing w:after="0" w:line="152" w:lineRule="exact"/>
              <w:rPr>
                <w:sz w:val="20"/>
                <w:szCs w:val="20"/>
                <w:color w:val="auto"/>
              </w:rPr>
            </w:pPr>
            <w:r>
              <w:rPr>
                <w:rFonts w:ascii="Times New Roman" w:cs="Times New Roman" w:eastAsia="Times New Roman" w:hAnsi="Times New Roman"/>
                <w:sz w:val="14"/>
                <w:szCs w:val="14"/>
                <w:b w:val="1"/>
                <w:bCs w:val="1"/>
                <w:color w:val="auto"/>
              </w:rPr>
              <w:t>Total assets held for sale</w:t>
            </w:r>
          </w:p>
        </w:tc>
        <w:tc>
          <w:tcPr>
            <w:tcW w:w="1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850,455</w:t>
            </w:r>
          </w:p>
        </w:tc>
        <w:tc>
          <w:tcPr>
            <w:tcW w:w="24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819,407</w:t>
            </w: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530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Trade accounts payable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21,239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17,366</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expenses</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55,580</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60,791</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Current portion of obligations under operating leases</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33,307</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30,755</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4"/>
                <w:szCs w:val="14"/>
                <w:color w:val="auto"/>
              </w:rPr>
              <w:t>Current portion of obligations under financing leases</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8,019</w:t>
            </w:r>
          </w:p>
        </w:tc>
        <w:tc>
          <w:tcPr>
            <w:tcW w:w="180" w:type="dxa"/>
            <w:vAlign w:val="bottom"/>
            <w:tcBorders>
              <w:bottom w:val="single" w:sz="8" w:color="CFF0FC"/>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8,651</w:t>
            </w:r>
          </w:p>
        </w:tc>
        <w:tc>
          <w:tcPr>
            <w:tcW w:w="80" w:type="dxa"/>
            <w:vAlign w:val="bottom"/>
            <w:tcBorders>
              <w:bottom w:val="single" w:sz="8" w:color="CFF0FC"/>
            </w:tcBorders>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5300" w:type="dxa"/>
            <w:vAlign w:val="bottom"/>
            <w:tcBorders>
              <w:bottom w:val="single" w:sz="8" w:color="CFF0FC"/>
            </w:tcBorders>
            <w:shd w:val="clear" w:color="auto" w:fill="CFF0FC"/>
          </w:tcPr>
          <w:p>
            <w:pPr>
              <w:ind w:left="400"/>
              <w:spacing w:after="0" w:line="152" w:lineRule="exact"/>
              <w:rPr>
                <w:sz w:val="20"/>
                <w:szCs w:val="20"/>
                <w:color w:val="auto"/>
              </w:rPr>
            </w:pPr>
            <w:r>
              <w:rPr>
                <w:rFonts w:ascii="Times New Roman" w:cs="Times New Roman" w:eastAsia="Times New Roman" w:hAnsi="Times New Roman"/>
                <w:sz w:val="14"/>
                <w:szCs w:val="14"/>
                <w:b w:val="1"/>
                <w:bCs w:val="1"/>
                <w:color w:val="auto"/>
              </w:rPr>
              <w:t>Total current liabilities held for sale</w:t>
            </w:r>
          </w:p>
        </w:tc>
        <w:tc>
          <w:tcPr>
            <w:tcW w:w="14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118,145</w:t>
            </w:r>
          </w:p>
        </w:tc>
        <w:tc>
          <w:tcPr>
            <w:tcW w:w="18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117,563</w:t>
            </w:r>
          </w:p>
        </w:tc>
        <w:tc>
          <w:tcPr>
            <w:tcW w:w="80" w:type="dxa"/>
            <w:vAlign w:val="bottom"/>
            <w:tcBorders>
              <w:bottom w:val="single" w:sz="8" w:color="CFF0FC"/>
            </w:tcBorders>
            <w:shd w:val="clear" w:color="auto" w:fill="CFF0FC"/>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530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Obligations under operating leases, net of current portion</w:t>
            </w:r>
          </w:p>
        </w:tc>
        <w:tc>
          <w:tcPr>
            <w:tcW w:w="140" w:type="dxa"/>
            <w:vAlign w:val="bottom"/>
          </w:tcPr>
          <w:p>
            <w:pPr>
              <w:spacing w:after="0"/>
              <w:rPr>
                <w:sz w:val="13"/>
                <w:szCs w:val="13"/>
                <w:color w:val="auto"/>
              </w:rPr>
            </w:pPr>
          </w:p>
        </w:tc>
        <w:tc>
          <w:tcPr>
            <w:tcW w:w="9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60,675</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58,147</w:t>
            </w:r>
          </w:p>
        </w:tc>
        <w:tc>
          <w:tcPr>
            <w:tcW w:w="80" w:type="dxa"/>
            <w:vAlign w:val="bottom"/>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Obligations under financing leases, net of current portion</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14,676</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18,461</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Long-term liabilities</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80" w:type="dxa"/>
            <w:vAlign w:val="bottom"/>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5300" w:type="dxa"/>
            <w:vAlign w:val="bottom"/>
            <w:tcBorders>
              <w:bottom w:val="single" w:sz="8" w:color="CFF0FC"/>
            </w:tcBorders>
            <w:shd w:val="clear" w:color="auto" w:fill="CFF0FC"/>
          </w:tcPr>
          <w:p>
            <w:pPr>
              <w:ind w:left="400"/>
              <w:spacing w:after="0" w:line="152" w:lineRule="exact"/>
              <w:rPr>
                <w:sz w:val="20"/>
                <w:szCs w:val="20"/>
                <w:color w:val="auto"/>
              </w:rPr>
            </w:pPr>
            <w:r>
              <w:rPr>
                <w:rFonts w:ascii="Times New Roman" w:cs="Times New Roman" w:eastAsia="Times New Roman" w:hAnsi="Times New Roman"/>
                <w:sz w:val="14"/>
                <w:szCs w:val="14"/>
                <w:b w:val="1"/>
                <w:bCs w:val="1"/>
                <w:color w:val="auto"/>
              </w:rPr>
              <w:t>Total liabilities held for sale</w:t>
            </w:r>
          </w:p>
        </w:tc>
        <w:tc>
          <w:tcPr>
            <w:tcW w:w="140" w:type="dxa"/>
            <w:vAlign w:val="bottom"/>
            <w:tcBorders>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194,035</w:t>
            </w:r>
          </w:p>
        </w:tc>
        <w:tc>
          <w:tcPr>
            <w:tcW w:w="18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194,740</w:t>
            </w:r>
          </w:p>
        </w:tc>
        <w:tc>
          <w:tcPr>
            <w:tcW w:w="80" w:type="dxa"/>
            <w:vAlign w:val="bottom"/>
            <w:tcBorders>
              <w:bottom w:val="single" w:sz="8" w:color="CFF0FC"/>
            </w:tcBorders>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-2018030</wp:posOffset>
            </wp:positionV>
            <wp:extent cx="4762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-2018030</wp:posOffset>
            </wp:positionV>
            <wp:extent cx="4762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-1294765</wp:posOffset>
            </wp:positionV>
            <wp:extent cx="4762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-1294765</wp:posOffset>
            </wp:positionV>
            <wp:extent cx="4762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4456430</wp:posOffset>
            </wp:positionH>
            <wp:positionV relativeFrom="paragraph">
              <wp:posOffset>-564515</wp:posOffset>
            </wp:positionV>
            <wp:extent cx="73025" cy="1416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3025" cy="141605"/>
                    </a:xfrm>
                    <a:prstGeom prst="rect">
                      <a:avLst/>
                    </a:prstGeom>
                    <a:noFill/>
                  </pic:spPr>
                </pic:pic>
              </a:graphicData>
            </a:graphic>
          </wp:anchor>
        </w:drawing>
        <w:drawing>
          <wp:anchor simplePos="0" relativeHeight="251657728" behindDoc="1" locked="0" layoutInCell="0" allowOverlap="1">
            <wp:simplePos x="0" y="0"/>
            <wp:positionH relativeFrom="column">
              <wp:posOffset>5254625</wp:posOffset>
            </wp:positionH>
            <wp:positionV relativeFrom="paragraph">
              <wp:posOffset>-564515</wp:posOffset>
            </wp:positionV>
            <wp:extent cx="73025" cy="1416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3025" cy="14160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-19685</wp:posOffset>
            </wp:positionV>
            <wp:extent cx="47625"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-6350</wp:posOffset>
            </wp:positionV>
            <wp:extent cx="4762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14" w:name="page15"/>
    <w:bookmarkEnd w:id="14"/>
    <w:p>
      <w:pPr>
        <w:ind w:left="640" w:right="699"/>
        <w:spacing w:after="0" w:line="268" w:lineRule="auto"/>
        <w:rPr>
          <w:sz w:val="20"/>
          <w:szCs w:val="20"/>
          <w:color w:val="auto"/>
        </w:rPr>
      </w:pPr>
      <w:r>
        <w:rPr>
          <w:rFonts w:ascii="Times New Roman" w:cs="Times New Roman" w:eastAsia="Times New Roman" w:hAnsi="Times New Roman"/>
          <w:sz w:val="14"/>
          <w:szCs w:val="14"/>
          <w:color w:val="auto"/>
        </w:rPr>
        <w:t>In accordance with ASC 205-20, all assets and liabilities held for sale are reported as current at June 30, 2025 as the Community Living transaction is expected to close within one-year of the balance sheet date. The presentation of assets and liabilities held for sale at December 31, 2024 are reported as current and noncurrent, consistent with the conclusion in the period, as the transaction did not meet the requirements of held for sale at that point in time.</w:t>
      </w:r>
    </w:p>
    <w:p>
      <w:pPr>
        <w:spacing w:after="0" w:line="54" w:lineRule="exact"/>
        <w:rPr>
          <w:sz w:val="20"/>
          <w:szCs w:val="20"/>
          <w:color w:val="auto"/>
        </w:rPr>
      </w:pPr>
    </w:p>
    <w:p>
      <w:pPr>
        <w:ind w:left="640" w:right="779"/>
        <w:spacing w:after="0" w:line="292" w:lineRule="auto"/>
        <w:rPr>
          <w:sz w:val="20"/>
          <w:szCs w:val="20"/>
          <w:color w:val="auto"/>
        </w:rPr>
      </w:pPr>
      <w:r>
        <w:rPr>
          <w:rFonts w:ascii="Times New Roman" w:cs="Times New Roman" w:eastAsia="Times New Roman" w:hAnsi="Times New Roman"/>
          <w:sz w:val="14"/>
          <w:szCs w:val="14"/>
          <w:color w:val="auto"/>
        </w:rPr>
        <w:t>The following table presents the significant non-cash items and purchases of property and equipment for the discontinued operations that are included in the accompanying unaudited condensed consolidated statements of cash flows (in thousands):</w:t>
      </w:r>
    </w:p>
    <w:p>
      <w:pPr>
        <w:spacing w:after="0" w:line="119"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11"/>
          <w:szCs w:val="11"/>
          <w:b w:val="1"/>
          <w:bCs w:val="1"/>
          <w:color w:val="auto"/>
        </w:rPr>
        <w:t>For the Six Months Ended</w:t>
      </w:r>
    </w:p>
    <w:p>
      <w:pPr>
        <w:spacing w:after="0" w:line="3"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11"/>
          <w:szCs w:val="11"/>
          <w:b w:val="1"/>
          <w:bCs w:val="1"/>
          <w:color w:val="auto"/>
        </w:rPr>
        <w:t>June 30,</w:t>
      </w:r>
    </w:p>
    <w:tbl>
      <w:tblPr>
        <w:tblLayout w:type="fixed"/>
        <w:tblInd w:w="64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66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380" w:type="dxa"/>
            <w:vAlign w:val="bottom"/>
            <w:tcBorders>
              <w:top w:val="single" w:sz="8" w:color="auto"/>
              <w:bottom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800" w:type="dxa"/>
            <w:vAlign w:val="bottom"/>
            <w:tcBorders>
              <w:top w:val="single" w:sz="8" w:color="auto"/>
              <w:bottom w:val="single" w:sz="8" w:color="auto"/>
            </w:tcBorders>
          </w:tcPr>
          <w:p>
            <w:pPr>
              <w:jc w:val="right"/>
              <w:ind w:right="331"/>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flows from discontinued operations operating activities:</w:t>
            </w:r>
          </w:p>
        </w:tc>
        <w:tc>
          <w:tcPr>
            <w:tcW w:w="6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660" w:type="dxa"/>
            <w:vAlign w:val="bottom"/>
          </w:tcPr>
          <w:p>
            <w:pPr>
              <w:jc w:val="right"/>
              <w:ind w:right="516"/>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Share-based compensation</w:t>
            </w:r>
          </w:p>
        </w:tc>
        <w:tc>
          <w:tcPr>
            <w:tcW w:w="66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6,501</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2,911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6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3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discontinued operations investing activities:</w:t>
            </w: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66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5,868</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5,331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3. Revenue</w:t>
      </w:r>
    </w:p>
    <w:p>
      <w:pPr>
        <w:spacing w:after="0" w:line="185" w:lineRule="exact"/>
        <w:rPr>
          <w:sz w:val="20"/>
          <w:szCs w:val="20"/>
          <w:color w:val="auto"/>
        </w:rPr>
      </w:pPr>
    </w:p>
    <w:p>
      <w:pPr>
        <w:ind w:left="640" w:right="679"/>
        <w:spacing w:after="0" w:line="268" w:lineRule="auto"/>
        <w:rPr>
          <w:sz w:val="20"/>
          <w:szCs w:val="20"/>
          <w:color w:val="auto"/>
        </w:rPr>
      </w:pPr>
      <w:r>
        <w:rPr>
          <w:rFonts w:ascii="Times New Roman" w:cs="Times New Roman" w:eastAsia="Times New Roman" w:hAnsi="Times New Roman"/>
          <w:sz w:val="14"/>
          <w:szCs w:val="14"/>
          <w:color w:val="auto"/>
        </w:rPr>
        <w:t>The Company is substantially dependent on revenues received under contracts with federal, state, and local government agencies. Operating funding sources are generally earned from Medicaid, Medicare, commercial insurance reimbursement, and from private and other payors. There is no single customer whose revenue was 10% or more of our consolidated revenue during the periods presented. The following tables set forth revenue by payor type (in millions):</w:t>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5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Pharmacy Solutions</w:t>
            </w:r>
          </w:p>
        </w:tc>
        <w:tc>
          <w:tcPr>
            <w:tcW w:w="5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5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gridSpan w:val="8"/>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For the Three Months Ended June 30,</w:t>
            </w: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gridSpan w:val="7"/>
          </w:tcPr>
          <w:p>
            <w:pPr>
              <w:jc w:val="right"/>
              <w:ind w:right="60"/>
              <w:spacing w:after="0" w:line="109" w:lineRule="exact"/>
              <w:rPr>
                <w:sz w:val="20"/>
                <w:szCs w:val="20"/>
                <w:color w:val="auto"/>
              </w:rPr>
            </w:pPr>
            <w:r>
              <w:rPr>
                <w:rFonts w:ascii="Times New Roman" w:cs="Times New Roman" w:eastAsia="Times New Roman" w:hAnsi="Times New Roman"/>
                <w:sz w:val="11"/>
                <w:szCs w:val="11"/>
                <w:b w:val="1"/>
                <w:bCs w:val="1"/>
                <w:color w:val="auto"/>
              </w:rPr>
              <w:t>For the Six Months Ended June 30,</w:t>
            </w:r>
          </w:p>
        </w:tc>
        <w:tc>
          <w:tcPr>
            <w:tcW w:w="5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5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gridSpan w:val="2"/>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gridSpan w:val="3"/>
          </w:tcPr>
          <w:p>
            <w:pPr>
              <w:jc w:val="right"/>
              <w:ind w:right="4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jc w:val="right"/>
              <w:ind w:right="4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5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w w:val="99"/>
              </w:rPr>
              <w:t>Revenue</w:t>
            </w:r>
          </w:p>
        </w:tc>
        <w:tc>
          <w:tcPr>
            <w:tcW w:w="200" w:type="dxa"/>
            <w:vAlign w:val="bottom"/>
            <w:vMerge w:val="restart"/>
          </w:tcPr>
          <w:p>
            <w:pPr>
              <w:spacing w:after="0"/>
              <w:rPr>
                <w:sz w:val="7"/>
                <w:szCs w:val="7"/>
                <w:color w:val="auto"/>
              </w:rPr>
            </w:pPr>
          </w:p>
        </w:tc>
        <w:tc>
          <w:tcPr>
            <w:tcW w:w="540" w:type="dxa"/>
            <w:vAlign w:val="bottom"/>
          </w:tcPr>
          <w:p>
            <w:pPr>
              <w:jc w:val="center"/>
              <w:ind w:right="32"/>
              <w:spacing w:after="0" w:line="90" w:lineRule="exact"/>
              <w:rPr>
                <w:sz w:val="20"/>
                <w:szCs w:val="20"/>
                <w:color w:val="auto"/>
              </w:rPr>
            </w:pPr>
            <w:r>
              <w:rPr>
                <w:rFonts w:ascii="Times New Roman" w:cs="Times New Roman" w:eastAsia="Times New Roman" w:hAnsi="Times New Roman"/>
                <w:sz w:val="10"/>
                <w:szCs w:val="10"/>
                <w:b w:val="1"/>
                <w:bCs w:val="1"/>
                <w:color w:val="auto"/>
              </w:rPr>
              <w:t>% of</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vMerge w:val="restart"/>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4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520" w:type="dxa"/>
            <w:vAlign w:val="bottom"/>
          </w:tcPr>
          <w:p>
            <w:pPr>
              <w:jc w:val="center"/>
              <w:ind w:right="53"/>
              <w:spacing w:after="0" w:line="90" w:lineRule="exact"/>
              <w:rPr>
                <w:sz w:val="20"/>
                <w:szCs w:val="20"/>
                <w:color w:val="auto"/>
              </w:rPr>
            </w:pPr>
            <w:r>
              <w:rPr>
                <w:rFonts w:ascii="Times New Roman" w:cs="Times New Roman" w:eastAsia="Times New Roman" w:hAnsi="Times New Roman"/>
                <w:sz w:val="10"/>
                <w:szCs w:val="10"/>
                <w:b w:val="1"/>
                <w:bCs w:val="1"/>
                <w:color w:val="auto"/>
              </w:rPr>
              <w:t>% of</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w w:val="99"/>
              </w:rPr>
              <w:t>Revenue</w:t>
            </w:r>
          </w:p>
        </w:tc>
        <w:tc>
          <w:tcPr>
            <w:tcW w:w="220" w:type="dxa"/>
            <w:vAlign w:val="bottom"/>
            <w:vMerge w:val="restart"/>
          </w:tcPr>
          <w:p>
            <w:pPr>
              <w:spacing w:after="0"/>
              <w:rPr>
                <w:sz w:val="7"/>
                <w:szCs w:val="7"/>
                <w:color w:val="auto"/>
              </w:rPr>
            </w:pPr>
          </w:p>
        </w:tc>
        <w:tc>
          <w:tcPr>
            <w:tcW w:w="540" w:type="dxa"/>
            <w:vAlign w:val="bottom"/>
          </w:tcPr>
          <w:p>
            <w:pPr>
              <w:jc w:val="center"/>
              <w:ind w:right="32"/>
              <w:spacing w:after="0" w:line="90" w:lineRule="exact"/>
              <w:rPr>
                <w:sz w:val="20"/>
                <w:szCs w:val="20"/>
                <w:color w:val="auto"/>
              </w:rPr>
            </w:pPr>
            <w:r>
              <w:rPr>
                <w:rFonts w:ascii="Times New Roman" w:cs="Times New Roman" w:eastAsia="Times New Roman" w:hAnsi="Times New Roman"/>
                <w:sz w:val="10"/>
                <w:szCs w:val="10"/>
                <w:b w:val="1"/>
                <w:bCs w:val="1"/>
                <w:color w:val="auto"/>
              </w:rPr>
              <w:t>% of</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00" w:type="dxa"/>
            <w:vAlign w:val="bottom"/>
            <w:vMerge w:val="restart"/>
          </w:tcPr>
          <w:p>
            <w:pPr>
              <w:spacing w:after="0"/>
              <w:rPr>
                <w:sz w:val="7"/>
                <w:szCs w:val="7"/>
                <w:color w:val="auto"/>
              </w:rPr>
            </w:pPr>
          </w:p>
        </w:tc>
        <w:tc>
          <w:tcPr>
            <w:tcW w:w="560" w:type="dxa"/>
            <w:vAlign w:val="bottom"/>
          </w:tcPr>
          <w:p>
            <w:pPr>
              <w:jc w:val="center"/>
              <w:ind w:right="32"/>
              <w:spacing w:after="0" w:line="90" w:lineRule="exact"/>
              <w:rPr>
                <w:sz w:val="20"/>
                <w:szCs w:val="20"/>
                <w:color w:val="auto"/>
              </w:rPr>
            </w:pPr>
            <w:r>
              <w:rPr>
                <w:rFonts w:ascii="Times New Roman" w:cs="Times New Roman" w:eastAsia="Times New Roman" w:hAnsi="Times New Roman"/>
                <w:sz w:val="10"/>
                <w:szCs w:val="10"/>
                <w:b w:val="1"/>
                <w:bCs w:val="1"/>
                <w:color w:val="auto"/>
              </w:rPr>
              <w:t>% of</w:t>
            </w:r>
          </w:p>
        </w:tc>
        <w:tc>
          <w:tcPr>
            <w:tcW w:w="66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5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5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5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5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6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Commercial insurance</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742.0</w:t>
            </w:r>
          </w:p>
        </w:tc>
        <w:tc>
          <w:tcPr>
            <w:tcW w:w="200" w:type="dxa"/>
            <w:vAlign w:val="bottom"/>
            <w:tcBorders>
              <w:right w:val="single" w:sz="8" w:color="CFF0FC"/>
            </w:tcBorders>
            <w:shd w:val="clear" w:color="auto" w:fill="CFF0FC"/>
          </w:tcPr>
          <w:p>
            <w:pPr>
              <w:spacing w:after="0"/>
              <w:rPr>
                <w:sz w:val="14"/>
                <w:szCs w:val="14"/>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23.6%</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570.2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23.4%</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1,416.5</w:t>
            </w:r>
          </w:p>
        </w:tc>
        <w:tc>
          <w:tcPr>
            <w:tcW w:w="220" w:type="dxa"/>
            <w:vAlign w:val="bottom"/>
            <w:tcBorders>
              <w:right w:val="single" w:sz="8" w:color="CFF0FC"/>
            </w:tcBorders>
            <w:shd w:val="clear" w:color="auto" w:fill="CFF0FC"/>
          </w:tcPr>
          <w:p>
            <w:pPr>
              <w:spacing w:after="0"/>
              <w:rPr>
                <w:sz w:val="14"/>
                <w:szCs w:val="14"/>
                <w:color w:val="auto"/>
              </w:rPr>
            </w:pPr>
          </w:p>
        </w:tc>
        <w:tc>
          <w:tcPr>
            <w:tcW w:w="74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23.5%</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1,074.6</w:t>
            </w:r>
          </w:p>
        </w:tc>
        <w:tc>
          <w:tcPr>
            <w:tcW w:w="200" w:type="dxa"/>
            <w:vAlign w:val="bottom"/>
            <w:tcBorders>
              <w:right w:val="single" w:sz="8" w:color="CFF0FC"/>
            </w:tcBorders>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22.7%</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Medicaid</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266.2</w:t>
            </w:r>
          </w:p>
        </w:tc>
        <w:tc>
          <w:tcPr>
            <w:tcW w:w="2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8.5%</w:t>
            </w: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504.4</w:t>
            </w:r>
          </w:p>
        </w:tc>
        <w:tc>
          <w:tcPr>
            <w:tcW w:w="2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387.0</w:t>
            </w:r>
          </w:p>
        </w:tc>
        <w:tc>
          <w:tcPr>
            <w:tcW w:w="20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8.2%</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Medicare A</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200" w:type="dxa"/>
            <w:vAlign w:val="bottom"/>
            <w:tcBorders>
              <w:right w:val="single" w:sz="8" w:color="CFF0FC"/>
            </w:tcBorders>
            <w:shd w:val="clear" w:color="auto" w:fill="CFF0FC"/>
          </w:tcPr>
          <w:p>
            <w:pPr>
              <w:spacing w:after="0"/>
              <w:rPr>
                <w:sz w:val="14"/>
                <w:szCs w:val="14"/>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4.4%</w:t>
            </w:r>
          </w:p>
        </w:tc>
        <w:tc>
          <w:tcPr>
            <w:tcW w:w="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279.3</w:t>
            </w:r>
          </w:p>
        </w:tc>
        <w:tc>
          <w:tcPr>
            <w:tcW w:w="220" w:type="dxa"/>
            <w:vAlign w:val="bottom"/>
            <w:tcBorders>
              <w:right w:val="single" w:sz="8" w:color="CFF0FC"/>
            </w:tcBorders>
            <w:shd w:val="clear" w:color="auto" w:fill="CFF0FC"/>
          </w:tcPr>
          <w:p>
            <w:pPr>
              <w:spacing w:after="0"/>
              <w:rPr>
                <w:sz w:val="14"/>
                <w:szCs w:val="14"/>
                <w:color w:val="auto"/>
              </w:rPr>
            </w:pPr>
          </w:p>
        </w:tc>
        <w:tc>
          <w:tcPr>
            <w:tcW w:w="74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257.1</w:t>
            </w:r>
          </w:p>
        </w:tc>
        <w:tc>
          <w:tcPr>
            <w:tcW w:w="200" w:type="dxa"/>
            <w:vAlign w:val="bottom"/>
            <w:tcBorders>
              <w:right w:val="single" w:sz="8" w:color="CFF0FC"/>
            </w:tcBorders>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5.4%</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Medicare B</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2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0.6%</w:t>
            </w: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2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20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0.7%</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Medicare C</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555.6</w:t>
            </w:r>
          </w:p>
        </w:tc>
        <w:tc>
          <w:tcPr>
            <w:tcW w:w="200" w:type="dxa"/>
            <w:vAlign w:val="bottom"/>
            <w:tcBorders>
              <w:right w:val="single" w:sz="8" w:color="CFF0FC"/>
            </w:tcBorders>
            <w:shd w:val="clear" w:color="auto" w:fill="CFF0FC"/>
          </w:tcPr>
          <w:p>
            <w:pPr>
              <w:spacing w:after="0"/>
              <w:rPr>
                <w:sz w:val="14"/>
                <w:szCs w:val="14"/>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17.7%</w:t>
            </w:r>
          </w:p>
        </w:tc>
        <w:tc>
          <w:tcPr>
            <w:tcW w:w="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377.9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1,043.3</w:t>
            </w:r>
          </w:p>
        </w:tc>
        <w:tc>
          <w:tcPr>
            <w:tcW w:w="220" w:type="dxa"/>
            <w:vAlign w:val="bottom"/>
            <w:tcBorders>
              <w:right w:val="single" w:sz="8" w:color="CFF0FC"/>
            </w:tcBorders>
            <w:shd w:val="clear" w:color="auto" w:fill="CFF0FC"/>
          </w:tcPr>
          <w:p>
            <w:pPr>
              <w:spacing w:after="0"/>
              <w:rPr>
                <w:sz w:val="14"/>
                <w:szCs w:val="14"/>
                <w:color w:val="auto"/>
              </w:rPr>
            </w:pPr>
          </w:p>
        </w:tc>
        <w:tc>
          <w:tcPr>
            <w:tcW w:w="74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714.8</w:t>
            </w:r>
          </w:p>
        </w:tc>
        <w:tc>
          <w:tcPr>
            <w:tcW w:w="200" w:type="dxa"/>
            <w:vAlign w:val="bottom"/>
            <w:tcBorders>
              <w:right w:val="single" w:sz="8" w:color="CFF0FC"/>
            </w:tcBorders>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15.1%</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Medicare D</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1,008.4</w:t>
            </w:r>
          </w:p>
        </w:tc>
        <w:tc>
          <w:tcPr>
            <w:tcW w:w="2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32.0%</w:t>
            </w: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31.6%</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1,919.3</w:t>
            </w:r>
          </w:p>
        </w:tc>
        <w:tc>
          <w:tcPr>
            <w:tcW w:w="2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31.9%</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1,526.3</w:t>
            </w:r>
          </w:p>
        </w:tc>
        <w:tc>
          <w:tcPr>
            <w:tcW w:w="20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32.3%</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Private &amp; other</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200" w:type="dxa"/>
            <w:vAlign w:val="bottom"/>
            <w:tcBorders>
              <w:right w:val="single" w:sz="8" w:color="CFF0FC"/>
            </w:tcBorders>
            <w:shd w:val="clear" w:color="auto" w:fill="CFF0FC"/>
          </w:tcPr>
          <w:p>
            <w:pPr>
              <w:spacing w:after="0"/>
              <w:rPr>
                <w:sz w:val="14"/>
                <w:szCs w:val="14"/>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1.8%</w:t>
            </w:r>
          </w:p>
        </w:tc>
        <w:tc>
          <w:tcPr>
            <w:tcW w:w="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220" w:type="dxa"/>
            <w:vAlign w:val="bottom"/>
            <w:tcBorders>
              <w:right w:val="single" w:sz="8" w:color="CFF0FC"/>
            </w:tcBorders>
            <w:shd w:val="clear" w:color="auto" w:fill="CFF0FC"/>
          </w:tcPr>
          <w:p>
            <w:pPr>
              <w:spacing w:after="0"/>
              <w:rPr>
                <w:sz w:val="14"/>
                <w:szCs w:val="14"/>
                <w:color w:val="auto"/>
              </w:rPr>
            </w:pPr>
          </w:p>
        </w:tc>
        <w:tc>
          <w:tcPr>
            <w:tcW w:w="74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200" w:type="dxa"/>
            <w:vAlign w:val="bottom"/>
            <w:tcBorders>
              <w:right w:val="single" w:sz="8" w:color="CFF0FC"/>
            </w:tcBorders>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2.2%</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5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2,790.1</w:t>
            </w:r>
          </w:p>
        </w:tc>
        <w:tc>
          <w:tcPr>
            <w:tcW w:w="2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88.6%</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2,114.5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86.7%</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5,322.3</w:t>
            </w:r>
          </w:p>
        </w:tc>
        <w:tc>
          <w:tcPr>
            <w:tcW w:w="2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88.3%</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4,091.5</w:t>
            </w:r>
          </w:p>
        </w:tc>
        <w:tc>
          <w:tcPr>
            <w:tcW w:w="20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86.6%</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Provider Services</w:t>
            </w:r>
          </w:p>
        </w:tc>
        <w:tc>
          <w:tcPr>
            <w:tcW w:w="5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9"/>
        </w:trPr>
        <w:tc>
          <w:tcPr>
            <w:tcW w:w="5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gridSpan w:val="8"/>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For the Three Months Ended June 30,</w:t>
            </w: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gridSpan w:val="7"/>
          </w:tcPr>
          <w:p>
            <w:pPr>
              <w:jc w:val="right"/>
              <w:ind w:right="60"/>
              <w:spacing w:after="0" w:line="109" w:lineRule="exact"/>
              <w:rPr>
                <w:sz w:val="20"/>
                <w:szCs w:val="20"/>
                <w:color w:val="auto"/>
              </w:rPr>
            </w:pPr>
            <w:r>
              <w:rPr>
                <w:rFonts w:ascii="Times New Roman" w:cs="Times New Roman" w:eastAsia="Times New Roman" w:hAnsi="Times New Roman"/>
                <w:sz w:val="11"/>
                <w:szCs w:val="11"/>
                <w:b w:val="1"/>
                <w:bCs w:val="1"/>
                <w:color w:val="auto"/>
              </w:rPr>
              <w:t>For the Six Months Ended June 30,</w:t>
            </w:r>
          </w:p>
        </w:tc>
        <w:tc>
          <w:tcPr>
            <w:tcW w:w="5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5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gridSpan w:val="2"/>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gridSpan w:val="3"/>
          </w:tcPr>
          <w:p>
            <w:pPr>
              <w:jc w:val="right"/>
              <w:ind w:right="4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jc w:val="right"/>
              <w:ind w:right="4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5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w w:val="99"/>
              </w:rPr>
              <w:t>Revenue</w:t>
            </w:r>
          </w:p>
        </w:tc>
        <w:tc>
          <w:tcPr>
            <w:tcW w:w="200" w:type="dxa"/>
            <w:vAlign w:val="bottom"/>
            <w:vMerge w:val="restart"/>
          </w:tcPr>
          <w:p>
            <w:pPr>
              <w:spacing w:after="0"/>
              <w:rPr>
                <w:sz w:val="7"/>
                <w:szCs w:val="7"/>
                <w:color w:val="auto"/>
              </w:rPr>
            </w:pPr>
          </w:p>
        </w:tc>
        <w:tc>
          <w:tcPr>
            <w:tcW w:w="540" w:type="dxa"/>
            <w:vAlign w:val="bottom"/>
          </w:tcPr>
          <w:p>
            <w:pPr>
              <w:jc w:val="center"/>
              <w:ind w:right="32"/>
              <w:spacing w:after="0" w:line="90" w:lineRule="exact"/>
              <w:rPr>
                <w:sz w:val="20"/>
                <w:szCs w:val="20"/>
                <w:color w:val="auto"/>
              </w:rPr>
            </w:pPr>
            <w:r>
              <w:rPr>
                <w:rFonts w:ascii="Times New Roman" w:cs="Times New Roman" w:eastAsia="Times New Roman" w:hAnsi="Times New Roman"/>
                <w:sz w:val="10"/>
                <w:szCs w:val="10"/>
                <w:b w:val="1"/>
                <w:bCs w:val="1"/>
                <w:color w:val="auto"/>
              </w:rPr>
              <w:t>% of</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vMerge w:val="restart"/>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4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520" w:type="dxa"/>
            <w:vAlign w:val="bottom"/>
          </w:tcPr>
          <w:p>
            <w:pPr>
              <w:jc w:val="center"/>
              <w:ind w:right="53"/>
              <w:spacing w:after="0" w:line="90" w:lineRule="exact"/>
              <w:rPr>
                <w:sz w:val="20"/>
                <w:szCs w:val="20"/>
                <w:color w:val="auto"/>
              </w:rPr>
            </w:pPr>
            <w:r>
              <w:rPr>
                <w:rFonts w:ascii="Times New Roman" w:cs="Times New Roman" w:eastAsia="Times New Roman" w:hAnsi="Times New Roman"/>
                <w:sz w:val="10"/>
                <w:szCs w:val="10"/>
                <w:b w:val="1"/>
                <w:bCs w:val="1"/>
                <w:color w:val="auto"/>
              </w:rPr>
              <w:t>% of</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w w:val="99"/>
              </w:rPr>
              <w:t>Revenue</w:t>
            </w:r>
          </w:p>
        </w:tc>
        <w:tc>
          <w:tcPr>
            <w:tcW w:w="220" w:type="dxa"/>
            <w:vAlign w:val="bottom"/>
            <w:vMerge w:val="restart"/>
          </w:tcPr>
          <w:p>
            <w:pPr>
              <w:spacing w:after="0"/>
              <w:rPr>
                <w:sz w:val="7"/>
                <w:szCs w:val="7"/>
                <w:color w:val="auto"/>
              </w:rPr>
            </w:pPr>
          </w:p>
        </w:tc>
        <w:tc>
          <w:tcPr>
            <w:tcW w:w="540" w:type="dxa"/>
            <w:vAlign w:val="bottom"/>
          </w:tcPr>
          <w:p>
            <w:pPr>
              <w:jc w:val="center"/>
              <w:ind w:right="32"/>
              <w:spacing w:after="0" w:line="90" w:lineRule="exact"/>
              <w:rPr>
                <w:sz w:val="20"/>
                <w:szCs w:val="20"/>
                <w:color w:val="auto"/>
              </w:rPr>
            </w:pPr>
            <w:r>
              <w:rPr>
                <w:rFonts w:ascii="Times New Roman" w:cs="Times New Roman" w:eastAsia="Times New Roman" w:hAnsi="Times New Roman"/>
                <w:sz w:val="10"/>
                <w:szCs w:val="10"/>
                <w:b w:val="1"/>
                <w:bCs w:val="1"/>
                <w:color w:val="auto"/>
              </w:rPr>
              <w:t>% of</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00" w:type="dxa"/>
            <w:vAlign w:val="bottom"/>
            <w:vMerge w:val="restart"/>
          </w:tcPr>
          <w:p>
            <w:pPr>
              <w:spacing w:after="0"/>
              <w:rPr>
                <w:sz w:val="7"/>
                <w:szCs w:val="7"/>
                <w:color w:val="auto"/>
              </w:rPr>
            </w:pPr>
          </w:p>
        </w:tc>
        <w:tc>
          <w:tcPr>
            <w:tcW w:w="560" w:type="dxa"/>
            <w:vAlign w:val="bottom"/>
          </w:tcPr>
          <w:p>
            <w:pPr>
              <w:jc w:val="center"/>
              <w:ind w:right="32"/>
              <w:spacing w:after="0" w:line="90" w:lineRule="exact"/>
              <w:rPr>
                <w:sz w:val="20"/>
                <w:szCs w:val="20"/>
                <w:color w:val="auto"/>
              </w:rPr>
            </w:pPr>
            <w:r>
              <w:rPr>
                <w:rFonts w:ascii="Times New Roman" w:cs="Times New Roman" w:eastAsia="Times New Roman" w:hAnsi="Times New Roman"/>
                <w:sz w:val="10"/>
                <w:szCs w:val="10"/>
                <w:b w:val="1"/>
                <w:bCs w:val="1"/>
                <w:color w:val="auto"/>
              </w:rPr>
              <w:t>% of</w:t>
            </w:r>
          </w:p>
        </w:tc>
        <w:tc>
          <w:tcPr>
            <w:tcW w:w="66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5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5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5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5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6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Commercial insurance</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200" w:type="dxa"/>
            <w:vAlign w:val="bottom"/>
            <w:tcBorders>
              <w:right w:val="single" w:sz="8" w:color="CFF0FC"/>
            </w:tcBorders>
            <w:shd w:val="clear" w:color="auto" w:fill="CFF0FC"/>
          </w:tcPr>
          <w:p>
            <w:pPr>
              <w:spacing w:after="0"/>
              <w:rPr>
                <w:sz w:val="14"/>
                <w:szCs w:val="14"/>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1.4%</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220" w:type="dxa"/>
            <w:vAlign w:val="bottom"/>
            <w:tcBorders>
              <w:right w:val="single" w:sz="8" w:color="CFF0FC"/>
            </w:tcBorders>
            <w:shd w:val="clear" w:color="auto" w:fill="CFF0FC"/>
          </w:tcPr>
          <w:p>
            <w:pPr>
              <w:spacing w:after="0"/>
              <w:rPr>
                <w:sz w:val="14"/>
                <w:szCs w:val="14"/>
                <w:color w:val="auto"/>
              </w:rPr>
            </w:pPr>
          </w:p>
        </w:tc>
        <w:tc>
          <w:tcPr>
            <w:tcW w:w="74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200" w:type="dxa"/>
            <w:vAlign w:val="bottom"/>
            <w:tcBorders>
              <w:right w:val="single" w:sz="8" w:color="CFF0FC"/>
            </w:tcBorders>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1.8%</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Medicaid</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2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w:t>
            </w: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173.6</w:t>
            </w:r>
          </w:p>
        </w:tc>
        <w:tc>
          <w:tcPr>
            <w:tcW w:w="2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166.5</w:t>
            </w:r>
          </w:p>
        </w:tc>
        <w:tc>
          <w:tcPr>
            <w:tcW w:w="20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3.5%</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Medicare A</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125.8</w:t>
            </w:r>
          </w:p>
        </w:tc>
        <w:tc>
          <w:tcPr>
            <w:tcW w:w="200" w:type="dxa"/>
            <w:vAlign w:val="bottom"/>
            <w:tcBorders>
              <w:right w:val="single" w:sz="8" w:color="CFF0FC"/>
            </w:tcBorders>
            <w:shd w:val="clear" w:color="auto" w:fill="CFF0FC"/>
          </w:tcPr>
          <w:p>
            <w:pPr>
              <w:spacing w:after="0"/>
              <w:rPr>
                <w:sz w:val="14"/>
                <w:szCs w:val="14"/>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4.0%</w:t>
            </w:r>
          </w:p>
        </w:tc>
        <w:tc>
          <w:tcPr>
            <w:tcW w:w="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248.2</w:t>
            </w:r>
          </w:p>
        </w:tc>
        <w:tc>
          <w:tcPr>
            <w:tcW w:w="220" w:type="dxa"/>
            <w:vAlign w:val="bottom"/>
            <w:tcBorders>
              <w:right w:val="single" w:sz="8" w:color="CFF0FC"/>
            </w:tcBorders>
            <w:shd w:val="clear" w:color="auto" w:fill="CFF0FC"/>
          </w:tcPr>
          <w:p>
            <w:pPr>
              <w:spacing w:after="0"/>
              <w:rPr>
                <w:sz w:val="14"/>
                <w:szCs w:val="14"/>
                <w:color w:val="auto"/>
              </w:rPr>
            </w:pPr>
          </w:p>
        </w:tc>
        <w:tc>
          <w:tcPr>
            <w:tcW w:w="74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212.9</w:t>
            </w:r>
          </w:p>
        </w:tc>
        <w:tc>
          <w:tcPr>
            <w:tcW w:w="200" w:type="dxa"/>
            <w:vAlign w:val="bottom"/>
            <w:tcBorders>
              <w:right w:val="single" w:sz="8" w:color="CFF0FC"/>
            </w:tcBorders>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4.5%</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Medicare B</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w:t>
            </w: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20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0.3%</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Medicare C</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200" w:type="dxa"/>
            <w:vAlign w:val="bottom"/>
            <w:tcBorders>
              <w:right w:val="single" w:sz="8" w:color="CFF0FC"/>
            </w:tcBorders>
            <w:shd w:val="clear" w:color="auto" w:fill="CFF0FC"/>
          </w:tcPr>
          <w:p>
            <w:pPr>
              <w:spacing w:after="0"/>
              <w:rPr>
                <w:sz w:val="14"/>
                <w:szCs w:val="14"/>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1.1%</w:t>
            </w:r>
          </w:p>
        </w:tc>
        <w:tc>
          <w:tcPr>
            <w:tcW w:w="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220" w:type="dxa"/>
            <w:vAlign w:val="bottom"/>
            <w:tcBorders>
              <w:right w:val="single" w:sz="8" w:color="CFF0FC"/>
            </w:tcBorders>
            <w:shd w:val="clear" w:color="auto" w:fill="CFF0FC"/>
          </w:tcPr>
          <w:p>
            <w:pPr>
              <w:spacing w:after="0"/>
              <w:rPr>
                <w:sz w:val="14"/>
                <w:szCs w:val="14"/>
                <w:color w:val="auto"/>
              </w:rPr>
            </w:pPr>
          </w:p>
        </w:tc>
        <w:tc>
          <w:tcPr>
            <w:tcW w:w="74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200" w:type="dxa"/>
            <w:vAlign w:val="bottom"/>
            <w:tcBorders>
              <w:right w:val="single" w:sz="8" w:color="CFF0FC"/>
            </w:tcBorders>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Private &amp; other</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2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w:t>
            </w: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2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20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357.6</w:t>
            </w:r>
          </w:p>
        </w:tc>
        <w:tc>
          <w:tcPr>
            <w:tcW w:w="200" w:type="dxa"/>
            <w:vAlign w:val="bottom"/>
            <w:tcBorders>
              <w:right w:val="single" w:sz="8" w:color="CFF0FC"/>
            </w:tcBorders>
            <w:shd w:val="clear" w:color="auto" w:fill="CFF0FC"/>
          </w:tcPr>
          <w:p>
            <w:pPr>
              <w:spacing w:after="0"/>
              <w:rPr>
                <w:sz w:val="15"/>
                <w:szCs w:val="15"/>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11.4%</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323.8</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703.5</w:t>
            </w:r>
          </w:p>
        </w:tc>
        <w:tc>
          <w:tcPr>
            <w:tcW w:w="220" w:type="dxa"/>
            <w:vAlign w:val="bottom"/>
            <w:tcBorders>
              <w:right w:val="single" w:sz="8" w:color="CFF0FC"/>
            </w:tcBorders>
            <w:shd w:val="clear" w:color="auto" w:fill="CFF0FC"/>
          </w:tcPr>
          <w:p>
            <w:pPr>
              <w:spacing w:after="0"/>
              <w:rPr>
                <w:sz w:val="15"/>
                <w:szCs w:val="15"/>
                <w:color w:val="auto"/>
              </w:rPr>
            </w:pPr>
          </w:p>
        </w:tc>
        <w:tc>
          <w:tcPr>
            <w:tcW w:w="74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632.5</w:t>
            </w:r>
          </w:p>
        </w:tc>
        <w:tc>
          <w:tcPr>
            <w:tcW w:w="200" w:type="dxa"/>
            <w:vAlign w:val="bottom"/>
            <w:tcBorders>
              <w:right w:val="single" w:sz="8" w:color="CFF0FC"/>
            </w:tcBorders>
            <w:shd w:val="clear" w:color="auto" w:fill="CFF0FC"/>
          </w:tcPr>
          <w:p>
            <w:pPr>
              <w:spacing w:after="0"/>
              <w:rPr>
                <w:sz w:val="15"/>
                <w:szCs w:val="15"/>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13.4%</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gridSpan w:val="3"/>
          </w:tcPr>
          <w:p>
            <w:pPr>
              <w:jc w:val="right"/>
              <w:ind w:right="433"/>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-2160905</wp:posOffset>
            </wp:positionV>
            <wp:extent cx="4762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2232660</wp:posOffset>
            </wp:positionH>
            <wp:positionV relativeFrom="paragraph">
              <wp:posOffset>-2160905</wp:posOffset>
            </wp:positionV>
            <wp:extent cx="8890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2750820</wp:posOffset>
            </wp:positionH>
            <wp:positionV relativeFrom="paragraph">
              <wp:posOffset>-2160905</wp:posOffset>
            </wp:positionV>
            <wp:extent cx="4762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-2160905</wp:posOffset>
            </wp:positionV>
            <wp:extent cx="8890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3746500</wp:posOffset>
            </wp:positionH>
            <wp:positionV relativeFrom="paragraph">
              <wp:posOffset>-2160905</wp:posOffset>
            </wp:positionV>
            <wp:extent cx="4762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4224020</wp:posOffset>
            </wp:positionH>
            <wp:positionV relativeFrom="paragraph">
              <wp:posOffset>-2160905</wp:posOffset>
            </wp:positionV>
            <wp:extent cx="8890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4749165</wp:posOffset>
            </wp:positionH>
            <wp:positionV relativeFrom="paragraph">
              <wp:posOffset>-2160905</wp:posOffset>
            </wp:positionV>
            <wp:extent cx="4762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-2160905</wp:posOffset>
            </wp:positionV>
            <wp:extent cx="8890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-742950</wp:posOffset>
            </wp:positionV>
            <wp:extent cx="4762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-728980</wp:posOffset>
            </wp:positionV>
            <wp:extent cx="47625"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2232660</wp:posOffset>
            </wp:positionH>
            <wp:positionV relativeFrom="paragraph">
              <wp:posOffset>-742950</wp:posOffset>
            </wp:positionV>
            <wp:extent cx="8890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2232660</wp:posOffset>
            </wp:positionH>
            <wp:positionV relativeFrom="paragraph">
              <wp:posOffset>-728980</wp:posOffset>
            </wp:positionV>
            <wp:extent cx="8890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2750820</wp:posOffset>
            </wp:positionH>
            <wp:positionV relativeFrom="paragraph">
              <wp:posOffset>-742950</wp:posOffset>
            </wp:positionV>
            <wp:extent cx="4762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2750820</wp:posOffset>
            </wp:positionH>
            <wp:positionV relativeFrom="paragraph">
              <wp:posOffset>-728980</wp:posOffset>
            </wp:positionV>
            <wp:extent cx="4762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-742950</wp:posOffset>
            </wp:positionV>
            <wp:extent cx="8890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-728980</wp:posOffset>
            </wp:positionV>
            <wp:extent cx="8890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3746500</wp:posOffset>
            </wp:positionH>
            <wp:positionV relativeFrom="paragraph">
              <wp:posOffset>-742950</wp:posOffset>
            </wp:positionV>
            <wp:extent cx="47625"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3746500</wp:posOffset>
            </wp:positionH>
            <wp:positionV relativeFrom="paragraph">
              <wp:posOffset>-728980</wp:posOffset>
            </wp:positionV>
            <wp:extent cx="47625"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4224020</wp:posOffset>
            </wp:positionH>
            <wp:positionV relativeFrom="paragraph">
              <wp:posOffset>-742950</wp:posOffset>
            </wp:positionV>
            <wp:extent cx="8890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4224020</wp:posOffset>
            </wp:positionH>
            <wp:positionV relativeFrom="paragraph">
              <wp:posOffset>-728980</wp:posOffset>
            </wp:positionV>
            <wp:extent cx="8890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4749165</wp:posOffset>
            </wp:positionH>
            <wp:positionV relativeFrom="paragraph">
              <wp:posOffset>-742950</wp:posOffset>
            </wp:positionV>
            <wp:extent cx="47625"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4749165</wp:posOffset>
            </wp:positionH>
            <wp:positionV relativeFrom="paragraph">
              <wp:posOffset>-728980</wp:posOffset>
            </wp:positionV>
            <wp:extent cx="47625"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-742950</wp:posOffset>
            </wp:positionV>
            <wp:extent cx="8890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-728980</wp:posOffset>
            </wp:positionV>
            <wp:extent cx="88900"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0" cy="6985"/>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15" w:name="page16"/>
    <w:bookmarkEnd w:id="15"/>
    <w:p>
      <w:pPr>
        <w:ind w:left="4880"/>
        <w:spacing w:after="0"/>
        <w:rPr>
          <w:sz w:val="20"/>
          <w:szCs w:val="20"/>
          <w:color w:val="auto"/>
        </w:rPr>
      </w:pPr>
      <w:r>
        <w:rPr>
          <w:rFonts w:ascii="Times New Roman" w:cs="Times New Roman" w:eastAsia="Times New Roman" w:hAnsi="Times New Roman"/>
          <w:sz w:val="11"/>
          <w:szCs w:val="11"/>
          <w:b w:val="1"/>
          <w:bCs w:val="1"/>
          <w:color w:val="auto"/>
        </w:rPr>
        <w:t>Consolidated</w:t>
      </w:r>
    </w:p>
    <w:p>
      <w:pPr>
        <w:spacing w:after="0" w:line="11" w:lineRule="exact"/>
        <w:rPr>
          <w:sz w:val="20"/>
          <w:szCs w:val="20"/>
          <w:color w:val="auto"/>
        </w:rPr>
      </w:pPr>
    </w:p>
    <w:tbl>
      <w:tblPr>
        <w:tblLayout w:type="fixed"/>
        <w:tblInd w:w="64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2300" w:type="dxa"/>
            <w:vAlign w:val="bottom"/>
            <w:tcBorders>
              <w:top w:val="single" w:sz="8" w:color="auto"/>
              <w:bottom w:val="single" w:sz="8" w:color="auto"/>
            </w:tcBorders>
            <w:gridSpan w:val="8"/>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For the Three Months Ended June 30,</w:t>
            </w:r>
          </w:p>
        </w:tc>
        <w:tc>
          <w:tcPr>
            <w:tcW w:w="520" w:type="dxa"/>
            <w:vAlign w:val="bottom"/>
            <w:tcBorders>
              <w:top w:val="single" w:sz="8" w:color="auto"/>
              <w:bottom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2300" w:type="dxa"/>
            <w:vAlign w:val="bottom"/>
            <w:tcBorders>
              <w:top w:val="single" w:sz="8" w:color="auto"/>
              <w:bottom w:val="single" w:sz="8" w:color="auto"/>
            </w:tcBorders>
            <w:gridSpan w:val="7"/>
          </w:tcPr>
          <w:p>
            <w:pPr>
              <w:jc w:val="right"/>
              <w:ind w:right="60"/>
              <w:spacing w:after="0" w:line="109" w:lineRule="exact"/>
              <w:rPr>
                <w:sz w:val="20"/>
                <w:szCs w:val="20"/>
                <w:color w:val="auto"/>
              </w:rPr>
            </w:pPr>
            <w:r>
              <w:rPr>
                <w:rFonts w:ascii="Times New Roman" w:cs="Times New Roman" w:eastAsia="Times New Roman" w:hAnsi="Times New Roman"/>
                <w:sz w:val="11"/>
                <w:szCs w:val="11"/>
                <w:b w:val="1"/>
                <w:bCs w:val="1"/>
                <w:color w:val="auto"/>
              </w:rPr>
              <w:t>For the Six Months Ended June 30,</w:t>
            </w:r>
          </w:p>
        </w:tc>
        <w:tc>
          <w:tcPr>
            <w:tcW w:w="560" w:type="dxa"/>
            <w:vAlign w:val="bottom"/>
            <w:tcBorders>
              <w:top w:val="single" w:sz="8" w:color="auto"/>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gridSpan w:val="2"/>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gridSpan w:val="3"/>
          </w:tcPr>
          <w:p>
            <w:pPr>
              <w:jc w:val="right"/>
              <w:ind w:right="4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jc w:val="right"/>
              <w:ind w:right="4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w w:val="99"/>
              </w:rPr>
              <w:t>Revenue</w:t>
            </w:r>
          </w:p>
        </w:tc>
        <w:tc>
          <w:tcPr>
            <w:tcW w:w="200" w:type="dxa"/>
            <w:vAlign w:val="bottom"/>
            <w:vMerge w:val="restart"/>
          </w:tcPr>
          <w:p>
            <w:pPr>
              <w:spacing w:after="0"/>
              <w:rPr>
                <w:sz w:val="7"/>
                <w:szCs w:val="7"/>
                <w:color w:val="auto"/>
              </w:rPr>
            </w:pPr>
          </w:p>
        </w:tc>
        <w:tc>
          <w:tcPr>
            <w:tcW w:w="540" w:type="dxa"/>
            <w:vAlign w:val="bottom"/>
          </w:tcPr>
          <w:p>
            <w:pPr>
              <w:jc w:val="center"/>
              <w:ind w:right="32"/>
              <w:spacing w:after="0" w:line="90" w:lineRule="exact"/>
              <w:rPr>
                <w:sz w:val="20"/>
                <w:szCs w:val="20"/>
                <w:color w:val="auto"/>
              </w:rPr>
            </w:pPr>
            <w:r>
              <w:rPr>
                <w:rFonts w:ascii="Times New Roman" w:cs="Times New Roman" w:eastAsia="Times New Roman" w:hAnsi="Times New Roman"/>
                <w:sz w:val="10"/>
                <w:szCs w:val="10"/>
                <w:b w:val="1"/>
                <w:bCs w:val="1"/>
                <w:color w:val="auto"/>
              </w:rPr>
              <w:t>% of</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vMerge w:val="restart"/>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4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520" w:type="dxa"/>
            <w:vAlign w:val="bottom"/>
          </w:tcPr>
          <w:p>
            <w:pPr>
              <w:jc w:val="center"/>
              <w:ind w:right="52"/>
              <w:spacing w:after="0" w:line="90" w:lineRule="exact"/>
              <w:rPr>
                <w:sz w:val="20"/>
                <w:szCs w:val="20"/>
                <w:color w:val="auto"/>
              </w:rPr>
            </w:pPr>
            <w:r>
              <w:rPr>
                <w:rFonts w:ascii="Times New Roman" w:cs="Times New Roman" w:eastAsia="Times New Roman" w:hAnsi="Times New Roman"/>
                <w:sz w:val="10"/>
                <w:szCs w:val="10"/>
                <w:b w:val="1"/>
                <w:bCs w:val="1"/>
                <w:color w:val="auto"/>
              </w:rPr>
              <w:t>% of</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w w:val="99"/>
              </w:rPr>
              <w:t>Revenue</w:t>
            </w:r>
          </w:p>
        </w:tc>
        <w:tc>
          <w:tcPr>
            <w:tcW w:w="220" w:type="dxa"/>
            <w:vAlign w:val="bottom"/>
            <w:vMerge w:val="restart"/>
          </w:tcPr>
          <w:p>
            <w:pPr>
              <w:spacing w:after="0"/>
              <w:rPr>
                <w:sz w:val="7"/>
                <w:szCs w:val="7"/>
                <w:color w:val="auto"/>
              </w:rPr>
            </w:pPr>
          </w:p>
        </w:tc>
        <w:tc>
          <w:tcPr>
            <w:tcW w:w="540" w:type="dxa"/>
            <w:vAlign w:val="bottom"/>
          </w:tcPr>
          <w:p>
            <w:pPr>
              <w:jc w:val="center"/>
              <w:ind w:right="32"/>
              <w:spacing w:after="0" w:line="90" w:lineRule="exact"/>
              <w:rPr>
                <w:sz w:val="20"/>
                <w:szCs w:val="20"/>
                <w:color w:val="auto"/>
              </w:rPr>
            </w:pPr>
            <w:r>
              <w:rPr>
                <w:rFonts w:ascii="Times New Roman" w:cs="Times New Roman" w:eastAsia="Times New Roman" w:hAnsi="Times New Roman"/>
                <w:sz w:val="10"/>
                <w:szCs w:val="10"/>
                <w:b w:val="1"/>
                <w:bCs w:val="1"/>
                <w:color w:val="auto"/>
              </w:rPr>
              <w:t>% of</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00" w:type="dxa"/>
            <w:vAlign w:val="bottom"/>
            <w:vMerge w:val="restart"/>
          </w:tcPr>
          <w:p>
            <w:pPr>
              <w:spacing w:after="0"/>
              <w:rPr>
                <w:sz w:val="7"/>
                <w:szCs w:val="7"/>
                <w:color w:val="auto"/>
              </w:rPr>
            </w:pPr>
          </w:p>
        </w:tc>
        <w:tc>
          <w:tcPr>
            <w:tcW w:w="560" w:type="dxa"/>
            <w:vAlign w:val="bottom"/>
          </w:tcPr>
          <w:p>
            <w:pPr>
              <w:jc w:val="center"/>
              <w:ind w:right="32"/>
              <w:spacing w:after="0" w:line="90" w:lineRule="exact"/>
              <w:rPr>
                <w:sz w:val="20"/>
                <w:szCs w:val="20"/>
                <w:color w:val="auto"/>
              </w:rPr>
            </w:pPr>
            <w:r>
              <w:rPr>
                <w:rFonts w:ascii="Times New Roman" w:cs="Times New Roman" w:eastAsia="Times New Roman" w:hAnsi="Times New Roman"/>
                <w:sz w:val="10"/>
                <w:szCs w:val="10"/>
                <w:b w:val="1"/>
                <w:bCs w:val="1"/>
                <w:color w:val="auto"/>
              </w:rPr>
              <w:t>% of</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5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5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5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Commercial insurance    $</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786.1</w:t>
            </w:r>
          </w:p>
        </w:tc>
        <w:tc>
          <w:tcPr>
            <w:tcW w:w="200" w:type="dxa"/>
            <w:vAlign w:val="bottom"/>
            <w:tcBorders>
              <w:right w:val="single" w:sz="8" w:color="CFF0FC"/>
            </w:tcBorders>
            <w:shd w:val="clear" w:color="auto" w:fill="CFF0FC"/>
          </w:tcPr>
          <w:p>
            <w:pPr>
              <w:spacing w:after="0"/>
              <w:rPr>
                <w:sz w:val="14"/>
                <w:szCs w:val="14"/>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25.0%</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612.1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25.1%</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1,502.0</w:t>
            </w:r>
          </w:p>
        </w:tc>
        <w:tc>
          <w:tcPr>
            <w:tcW w:w="220" w:type="dxa"/>
            <w:vAlign w:val="bottom"/>
            <w:tcBorders>
              <w:right w:val="single" w:sz="8" w:color="CFF0FC"/>
            </w:tcBorders>
            <w:shd w:val="clear" w:color="auto" w:fill="CFF0FC"/>
          </w:tcPr>
          <w:p>
            <w:pPr>
              <w:spacing w:after="0"/>
              <w:rPr>
                <w:sz w:val="14"/>
                <w:szCs w:val="14"/>
                <w:color w:val="auto"/>
              </w:rPr>
            </w:pPr>
          </w:p>
        </w:tc>
        <w:tc>
          <w:tcPr>
            <w:tcW w:w="74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24.9%</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1,157.7</w:t>
            </w:r>
          </w:p>
        </w:tc>
        <w:tc>
          <w:tcPr>
            <w:tcW w:w="200" w:type="dxa"/>
            <w:vAlign w:val="bottom"/>
            <w:tcBorders>
              <w:right w:val="single" w:sz="8" w:color="CFF0FC"/>
            </w:tcBorders>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24.5%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Medicaid</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354.7</w:t>
            </w:r>
          </w:p>
        </w:tc>
        <w:tc>
          <w:tcPr>
            <w:tcW w:w="2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11.3%</w:t>
            </w: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678.0</w:t>
            </w:r>
          </w:p>
        </w:tc>
        <w:tc>
          <w:tcPr>
            <w:tcW w:w="2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553.5</w:t>
            </w:r>
          </w:p>
        </w:tc>
        <w:tc>
          <w:tcPr>
            <w:tcW w:w="20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Medicare A</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264.7</w:t>
            </w:r>
          </w:p>
        </w:tc>
        <w:tc>
          <w:tcPr>
            <w:tcW w:w="200" w:type="dxa"/>
            <w:vAlign w:val="bottom"/>
            <w:tcBorders>
              <w:right w:val="single" w:sz="8" w:color="CFF0FC"/>
            </w:tcBorders>
            <w:shd w:val="clear" w:color="auto" w:fill="CFF0FC"/>
          </w:tcPr>
          <w:p>
            <w:pPr>
              <w:spacing w:after="0"/>
              <w:rPr>
                <w:sz w:val="14"/>
                <w:szCs w:val="14"/>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8.4%</w:t>
            </w:r>
          </w:p>
        </w:tc>
        <w:tc>
          <w:tcPr>
            <w:tcW w:w="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527.5</w:t>
            </w:r>
          </w:p>
        </w:tc>
        <w:tc>
          <w:tcPr>
            <w:tcW w:w="220" w:type="dxa"/>
            <w:vAlign w:val="bottom"/>
            <w:tcBorders>
              <w:right w:val="single" w:sz="8" w:color="CFF0FC"/>
            </w:tcBorders>
            <w:shd w:val="clear" w:color="auto" w:fill="CFF0FC"/>
          </w:tcPr>
          <w:p>
            <w:pPr>
              <w:spacing w:after="0"/>
              <w:rPr>
                <w:sz w:val="14"/>
                <w:szCs w:val="14"/>
                <w:color w:val="auto"/>
              </w:rPr>
            </w:pPr>
          </w:p>
        </w:tc>
        <w:tc>
          <w:tcPr>
            <w:tcW w:w="74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470.0</w:t>
            </w:r>
          </w:p>
        </w:tc>
        <w:tc>
          <w:tcPr>
            <w:tcW w:w="200" w:type="dxa"/>
            <w:vAlign w:val="bottom"/>
            <w:tcBorders>
              <w:right w:val="single" w:sz="8" w:color="CFF0FC"/>
            </w:tcBorders>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Medicare B</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2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0.6%</w:t>
            </w: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2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20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Medicare C</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590.2</w:t>
            </w:r>
          </w:p>
        </w:tc>
        <w:tc>
          <w:tcPr>
            <w:tcW w:w="200" w:type="dxa"/>
            <w:vAlign w:val="bottom"/>
            <w:tcBorders>
              <w:right w:val="single" w:sz="8" w:color="CFF0FC"/>
            </w:tcBorders>
            <w:shd w:val="clear" w:color="auto" w:fill="CFF0FC"/>
          </w:tcPr>
          <w:p>
            <w:pPr>
              <w:spacing w:after="0"/>
              <w:rPr>
                <w:sz w:val="14"/>
                <w:szCs w:val="14"/>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18.8%</w:t>
            </w:r>
          </w:p>
        </w:tc>
        <w:tc>
          <w:tcPr>
            <w:tcW w:w="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406.0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1,110.5</w:t>
            </w:r>
          </w:p>
        </w:tc>
        <w:tc>
          <w:tcPr>
            <w:tcW w:w="220" w:type="dxa"/>
            <w:vAlign w:val="bottom"/>
            <w:tcBorders>
              <w:right w:val="single" w:sz="8" w:color="CFF0FC"/>
            </w:tcBorders>
            <w:shd w:val="clear" w:color="auto" w:fill="CFF0FC"/>
          </w:tcPr>
          <w:p>
            <w:pPr>
              <w:spacing w:after="0"/>
              <w:rPr>
                <w:sz w:val="14"/>
                <w:szCs w:val="14"/>
                <w:color w:val="auto"/>
              </w:rPr>
            </w:pPr>
          </w:p>
        </w:tc>
        <w:tc>
          <w:tcPr>
            <w:tcW w:w="74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763.1</w:t>
            </w:r>
          </w:p>
        </w:tc>
        <w:tc>
          <w:tcPr>
            <w:tcW w:w="200" w:type="dxa"/>
            <w:vAlign w:val="bottom"/>
            <w:tcBorders>
              <w:right w:val="single" w:sz="8" w:color="CFF0FC"/>
            </w:tcBorders>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Medicare D</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1,008.4</w:t>
            </w:r>
          </w:p>
        </w:tc>
        <w:tc>
          <w:tcPr>
            <w:tcW w:w="2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32.0%</w:t>
            </w: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31.6%</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1,919.3</w:t>
            </w:r>
          </w:p>
        </w:tc>
        <w:tc>
          <w:tcPr>
            <w:tcW w:w="2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31.9%</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1,526.3</w:t>
            </w:r>
          </w:p>
        </w:tc>
        <w:tc>
          <w:tcPr>
            <w:tcW w:w="20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32.3%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Private &amp; other</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123.5</w:t>
            </w:r>
          </w:p>
        </w:tc>
        <w:tc>
          <w:tcPr>
            <w:tcW w:w="200" w:type="dxa"/>
            <w:vAlign w:val="bottom"/>
            <w:tcBorders>
              <w:right w:val="single" w:sz="8" w:color="CFF0FC"/>
            </w:tcBorders>
            <w:shd w:val="clear" w:color="auto" w:fill="CFF0FC"/>
          </w:tcPr>
          <w:p>
            <w:pPr>
              <w:spacing w:after="0"/>
              <w:rPr>
                <w:sz w:val="14"/>
                <w:szCs w:val="14"/>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3.9%</w:t>
            </w:r>
          </w:p>
        </w:tc>
        <w:tc>
          <w:tcPr>
            <w:tcW w:w="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247.4</w:t>
            </w:r>
          </w:p>
        </w:tc>
        <w:tc>
          <w:tcPr>
            <w:tcW w:w="220" w:type="dxa"/>
            <w:vAlign w:val="bottom"/>
            <w:tcBorders>
              <w:right w:val="single" w:sz="8" w:color="CFF0FC"/>
            </w:tcBorders>
            <w:shd w:val="clear" w:color="auto" w:fill="CFF0FC"/>
          </w:tcPr>
          <w:p>
            <w:pPr>
              <w:spacing w:after="0"/>
              <w:rPr>
                <w:sz w:val="14"/>
                <w:szCs w:val="14"/>
                <w:color w:val="auto"/>
              </w:rPr>
            </w:pPr>
          </w:p>
        </w:tc>
        <w:tc>
          <w:tcPr>
            <w:tcW w:w="74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204.8</w:t>
            </w:r>
          </w:p>
        </w:tc>
        <w:tc>
          <w:tcPr>
            <w:tcW w:w="200" w:type="dxa"/>
            <w:vAlign w:val="bottom"/>
            <w:tcBorders>
              <w:right w:val="single" w:sz="8" w:color="CFF0FC"/>
            </w:tcBorders>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3,147.7</w:t>
            </w:r>
          </w:p>
        </w:tc>
        <w:tc>
          <w:tcPr>
            <w:tcW w:w="2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2,438.3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6,025.8</w:t>
            </w:r>
          </w:p>
        </w:tc>
        <w:tc>
          <w:tcPr>
            <w:tcW w:w="2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4,724.0</w:t>
            </w:r>
          </w:p>
        </w:tc>
        <w:tc>
          <w:tcPr>
            <w:tcW w:w="20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-135890</wp:posOffset>
            </wp:positionV>
            <wp:extent cx="47625"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2232660</wp:posOffset>
            </wp:positionH>
            <wp:positionV relativeFrom="paragraph">
              <wp:posOffset>-135890</wp:posOffset>
            </wp:positionV>
            <wp:extent cx="8890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2750820</wp:posOffset>
            </wp:positionH>
            <wp:positionV relativeFrom="paragraph">
              <wp:posOffset>-135890</wp:posOffset>
            </wp:positionV>
            <wp:extent cx="47625"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-135890</wp:posOffset>
            </wp:positionV>
            <wp:extent cx="8890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3746500</wp:posOffset>
            </wp:positionH>
            <wp:positionV relativeFrom="paragraph">
              <wp:posOffset>-135890</wp:posOffset>
            </wp:positionV>
            <wp:extent cx="47625"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4224020</wp:posOffset>
            </wp:positionH>
            <wp:positionV relativeFrom="paragraph">
              <wp:posOffset>-135890</wp:posOffset>
            </wp:positionV>
            <wp:extent cx="88900"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4749165</wp:posOffset>
            </wp:positionH>
            <wp:positionV relativeFrom="paragraph">
              <wp:posOffset>-135890</wp:posOffset>
            </wp:positionV>
            <wp:extent cx="47625"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-135890</wp:posOffset>
            </wp:positionV>
            <wp:extent cx="8890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0" cy="6985"/>
                    </a:xfrm>
                    <a:prstGeom prst="rect">
                      <a:avLst/>
                    </a:prstGeom>
                    <a:noFill/>
                  </pic:spPr>
                </pic:pic>
              </a:graphicData>
            </a:graphic>
          </wp:anchor>
        </w:drawing>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Refer to Note 15 for the disaggregation of revenue by reportable segment.</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4. Acquisitions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2025 Acquisition</w:t>
      </w:r>
    </w:p>
    <w:p>
      <w:pPr>
        <w:spacing w:after="0" w:line="99" w:lineRule="exact"/>
        <w:rPr>
          <w:sz w:val="20"/>
          <w:szCs w:val="20"/>
          <w:color w:val="auto"/>
        </w:rPr>
      </w:pPr>
    </w:p>
    <w:p>
      <w:pPr>
        <w:ind w:left="640" w:right="819"/>
        <w:spacing w:after="0" w:line="268" w:lineRule="auto"/>
        <w:rPr>
          <w:sz w:val="20"/>
          <w:szCs w:val="20"/>
          <w:color w:val="auto"/>
        </w:rPr>
      </w:pPr>
      <w:r>
        <w:rPr>
          <w:rFonts w:ascii="Times New Roman" w:cs="Times New Roman" w:eastAsia="Times New Roman" w:hAnsi="Times New Roman"/>
          <w:sz w:val="14"/>
          <w:szCs w:val="14"/>
          <w:color w:val="auto"/>
        </w:rPr>
        <w:t>During the six months ended June 30, 2025, we completed one acquisition within the Provider Services segment on January 1, 2025 for aggregate consideration of $6.8 million. No cash was acquired as a part of this transaction. We entered into the transaction in order to expand our services and geographic offerings. The operating results of the acquisition are included in our unaudited condensed consolidated financial statements from the date of the acquisition and are not material to our results of operations.</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2024 Acquisitions</w:t>
      </w:r>
    </w:p>
    <w:p>
      <w:pPr>
        <w:spacing w:after="0" w:line="99" w:lineRule="exact"/>
        <w:rPr>
          <w:sz w:val="20"/>
          <w:szCs w:val="20"/>
          <w:color w:val="auto"/>
        </w:rPr>
      </w:pPr>
    </w:p>
    <w:p>
      <w:pPr>
        <w:ind w:left="640" w:right="679"/>
        <w:spacing w:after="0" w:line="268" w:lineRule="auto"/>
        <w:rPr>
          <w:sz w:val="20"/>
          <w:szCs w:val="20"/>
          <w:color w:val="auto"/>
        </w:rPr>
      </w:pPr>
      <w:r>
        <w:rPr>
          <w:rFonts w:ascii="Times New Roman" w:cs="Times New Roman" w:eastAsia="Times New Roman" w:hAnsi="Times New Roman"/>
          <w:sz w:val="14"/>
          <w:szCs w:val="14"/>
          <w:color w:val="231F20"/>
        </w:rPr>
        <w:t>During the year ended December 31, 2024, we completed eight acquisitions within the Pharmacy Solutions and Provider Services segments. We entered these transactions in order to expand our services and geographic offerings. Aggregate consideration net of cash acquired for these acquisitions was approximately $110.6 million. The operating results of these acquisitions are included in our unaudited condensed consolidated financial statements from the respective dates of the acquisition.</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u w:val="single" w:color="auto"/>
          <w:color w:val="231F20"/>
        </w:rPr>
        <w:t>Haven Hospice</w:t>
      </w:r>
    </w:p>
    <w:p>
      <w:pPr>
        <w:spacing w:after="0" w:line="99" w:lineRule="exact"/>
        <w:rPr>
          <w:sz w:val="20"/>
          <w:szCs w:val="20"/>
          <w:color w:val="auto"/>
        </w:rPr>
      </w:pPr>
    </w:p>
    <w:p>
      <w:pPr>
        <w:jc w:val="both"/>
        <w:ind w:left="640" w:right="719"/>
        <w:spacing w:after="0" w:line="268" w:lineRule="auto"/>
        <w:rPr>
          <w:sz w:val="20"/>
          <w:szCs w:val="20"/>
          <w:color w:val="auto"/>
        </w:rPr>
      </w:pPr>
      <w:r>
        <w:rPr>
          <w:rFonts w:ascii="Times New Roman" w:cs="Times New Roman" w:eastAsia="Times New Roman" w:hAnsi="Times New Roman"/>
          <w:sz w:val="14"/>
          <w:szCs w:val="14"/>
          <w:color w:val="231F20"/>
        </w:rPr>
        <w:t>The following table summarizes the consideration paid (in thousands) for the September 1, 2024 acquisition of North Central Florida Hospice, Inc. (</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231F20"/>
        </w:rPr>
        <w:t>Haven Hospice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231F20"/>
        </w:rPr>
        <w:t>) and the fair value of the assets acquired and the liabilities assumed at the acquisition date, which are adjusted for immaterial measurement-period adjustments through June 30, 2025. Haven Hospice provides hospice and palliative care services in the state of Florida. Its results are consolidated within the Provider Services segment.</w:t>
      </w:r>
    </w:p>
    <w:p>
      <w:pPr>
        <w:spacing w:after="0" w:line="241"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Inventories</w:t>
            </w:r>
          </w:p>
        </w:tc>
        <w:tc>
          <w:tcPr>
            <w:tcW w:w="20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CFF0FC"/>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w:t>
            </w:r>
          </w:p>
        </w:tc>
        <w:tc>
          <w:tcPr>
            <w:tcW w:w="1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80" w:type="dxa"/>
            <w:vAlign w:val="bottom"/>
          </w:tcPr>
          <w:p>
            <w:pPr>
              <w:spacing w:after="0"/>
              <w:rPr>
                <w:sz w:val="14"/>
                <w:szCs w:val="14"/>
                <w:color w:val="auto"/>
              </w:rPr>
            </w:pPr>
          </w:p>
        </w:tc>
      </w:tr>
      <w:tr>
        <w:trPr>
          <w:trHeight w:val="172"/>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Goodwill</w:t>
            </w:r>
          </w:p>
        </w:tc>
        <w:tc>
          <w:tcPr>
            <w:tcW w:w="15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45,114</w:t>
            </w:r>
          </w:p>
        </w:tc>
        <w:tc>
          <w:tcPr>
            <w:tcW w:w="80" w:type="dxa"/>
            <w:vAlign w:val="bottom"/>
            <w:shd w:val="clear" w:color="auto" w:fill="CFF0FC"/>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1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19,860</w:t>
            </w:r>
          </w:p>
        </w:tc>
        <w:tc>
          <w:tcPr>
            <w:tcW w:w="80" w:type="dxa"/>
            <w:vAlign w:val="bottom"/>
          </w:tcPr>
          <w:p>
            <w:pPr>
              <w:spacing w:after="0"/>
              <w:rPr>
                <w:sz w:val="14"/>
                <w:szCs w:val="14"/>
                <w:color w:val="auto"/>
              </w:rPr>
            </w:pPr>
          </w:p>
        </w:tc>
      </w:tr>
      <w:tr>
        <w:trPr>
          <w:trHeight w:val="172"/>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5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7,157</w:t>
            </w:r>
          </w:p>
        </w:tc>
        <w:tc>
          <w:tcPr>
            <w:tcW w:w="80" w:type="dxa"/>
            <w:vAlign w:val="bottom"/>
            <w:shd w:val="clear" w:color="auto" w:fill="CFF0FC"/>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Trade accounts payable</w:t>
            </w:r>
          </w:p>
        </w:tc>
        <w:tc>
          <w:tcPr>
            <w:tcW w:w="1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80" w:type="dxa"/>
            <w:vAlign w:val="bottom"/>
          </w:tcPr>
          <w:p>
            <w:pPr>
              <w:spacing w:after="0"/>
              <w:rPr>
                <w:sz w:val="14"/>
                <w:szCs w:val="14"/>
                <w:color w:val="auto"/>
              </w:rPr>
            </w:pPr>
          </w:p>
        </w:tc>
      </w:tr>
      <w:tr>
        <w:trPr>
          <w:trHeight w:val="172"/>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Current portion of obligations under operating leases</w:t>
            </w:r>
          </w:p>
        </w:tc>
        <w:tc>
          <w:tcPr>
            <w:tcW w:w="15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2,235</w:t>
            </w:r>
          </w:p>
        </w:tc>
        <w:tc>
          <w:tcPr>
            <w:tcW w:w="80" w:type="dxa"/>
            <w:vAlign w:val="bottom"/>
            <w:shd w:val="clear" w:color="auto" w:fill="CFF0FC"/>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Obligations under operating leases, net of current portion</w:t>
            </w:r>
          </w:p>
        </w:tc>
        <w:tc>
          <w:tcPr>
            <w:tcW w:w="15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4,922</w:t>
            </w:r>
          </w:p>
        </w:tc>
        <w:tc>
          <w:tcPr>
            <w:tcW w:w="80" w:type="dxa"/>
            <w:vAlign w:val="bottom"/>
          </w:tcPr>
          <w:p>
            <w:pPr>
              <w:spacing w:after="0"/>
              <w:rPr>
                <w:sz w:val="14"/>
                <w:szCs w:val="14"/>
                <w:color w:val="auto"/>
              </w:rPr>
            </w:pPr>
          </w:p>
        </w:tc>
      </w:tr>
      <w:tr>
        <w:trPr>
          <w:trHeight w:val="183"/>
        </w:trPr>
        <w:tc>
          <w:tcPr>
            <w:tcW w:w="4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Aggregate purchase price</w:t>
            </w:r>
          </w:p>
        </w:tc>
        <w:tc>
          <w:tcPr>
            <w:tcW w:w="20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64,750</w:t>
            </w:r>
          </w:p>
        </w:tc>
        <w:tc>
          <w:tcPr>
            <w:tcW w:w="80" w:type="dxa"/>
            <w:vAlign w:val="bottom"/>
            <w:shd w:val="clear" w:color="auto" w:fill="CFF0FC"/>
          </w:tcPr>
          <w:p>
            <w:pPr>
              <w:spacing w:after="0"/>
              <w:rPr>
                <w:sz w:val="15"/>
                <w:szCs w:val="15"/>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right="719"/>
        <w:spacing w:after="0" w:line="261" w:lineRule="auto"/>
        <w:rPr>
          <w:sz w:val="20"/>
          <w:szCs w:val="20"/>
          <w:color w:val="auto"/>
        </w:rPr>
      </w:pPr>
      <w:r>
        <w:rPr>
          <w:rFonts w:ascii="Times New Roman" w:cs="Times New Roman" w:eastAsia="Times New Roman" w:hAnsi="Times New Roman"/>
          <w:sz w:val="14"/>
          <w:szCs w:val="14"/>
          <w:color w:val="auto"/>
        </w:rPr>
        <w:t>Consideration for the Haven Hospice acquisition included a $15.0 million cash payment, $15.0 million seller note payable in 2028, and $30.0 million of the Company's common stock equal to 2,471,251 shares. The number of shares was calculated by dividing $30.0 million by a price per share equal to the average of the volume weighted average trading price of the Company's common stock on each of the fifteen consecutive trading days ending on and including the trading day that is three trading days prior to the closing date, as required by the asset purchase agreement. The sellers were restricted from trading during a 180-day lock-up period from closing with agreed-upon sale volume limitations for four years thereafter. The asset purchase agreement also includes a post-closing adjustment feature to the extent any losses are incurred by the sellers in the sale of their common stock for four years following closing with a final equity adjustment feature. See Note 12.</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3" w:right="1440" w:bottom="1440" w:gutter="0" w:footer="0" w:header="0"/>
        </w:sectPr>
      </w:pPr>
    </w:p>
    <w:bookmarkStart w:id="16" w:name="page17"/>
    <w:bookmarkEnd w:id="16"/>
    <w:p>
      <w:pPr>
        <w:ind w:left="640" w:right="879"/>
        <w:spacing w:after="0" w:line="268" w:lineRule="auto"/>
        <w:rPr>
          <w:sz w:val="20"/>
          <w:szCs w:val="20"/>
          <w:color w:val="auto"/>
        </w:rPr>
      </w:pPr>
      <w:r>
        <w:rPr>
          <w:rFonts w:ascii="Times New Roman" w:cs="Times New Roman" w:eastAsia="Times New Roman" w:hAnsi="Times New Roman"/>
          <w:sz w:val="14"/>
          <w:szCs w:val="14"/>
          <w:color w:val="auto"/>
        </w:rPr>
        <w:t>The intangible assets consist of $14.8 million in indefinite-lived licenses and $5.1 million of trade name. The fair value of acquired licenses and trade name were based upon a third-party valuation. The trade name has an estimated useful life of 10.0 years. We expect all of the goodwill will be deductible for tax purposes. The Company believes the resulting amount of goodwill reflects its expectation of synergistic benefits of the acquisition.</w:t>
      </w:r>
    </w:p>
    <w:p>
      <w:pPr>
        <w:spacing w:after="0" w:line="54" w:lineRule="exact"/>
        <w:rPr>
          <w:sz w:val="20"/>
          <w:szCs w:val="20"/>
          <w:color w:val="auto"/>
        </w:rPr>
      </w:pPr>
    </w:p>
    <w:p>
      <w:pPr>
        <w:ind w:left="640" w:right="719"/>
        <w:spacing w:after="0" w:line="263" w:lineRule="auto"/>
        <w:rPr>
          <w:sz w:val="20"/>
          <w:szCs w:val="20"/>
          <w:color w:val="auto"/>
        </w:rPr>
      </w:pPr>
      <w:r>
        <w:rPr>
          <w:rFonts w:ascii="Times New Roman" w:cs="Times New Roman" w:eastAsia="Times New Roman" w:hAnsi="Times New Roman"/>
          <w:sz w:val="14"/>
          <w:szCs w:val="14"/>
          <w:color w:val="auto"/>
        </w:rPr>
        <w:t>Haven Hospice contributed $16.5 million and $32.4 million in revenue during the three and six months ended June 30, 2025, respectively. Haven Hospice contributed $2.0 million and $3.2 million of operating income during the three and six months ended June 30, 2025, respectively. The Haven Hospice acquisition was not completed until the third fiscal quarter of 2024, as such it did not contribute any revenue or operating income during the three and six months ended June 30, 2024. Pro forma financial data for the Haven Hospice acquisition has not been included as the results of the operations are not material to our unaudited condensed consolidated financial statements.</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u w:val="single" w:color="auto"/>
          <w:color w:val="auto"/>
        </w:rPr>
        <w:t>Others</w:t>
      </w:r>
    </w:p>
    <w:p>
      <w:pPr>
        <w:spacing w:after="0" w:line="99" w:lineRule="exact"/>
        <w:rPr>
          <w:sz w:val="20"/>
          <w:szCs w:val="20"/>
          <w:color w:val="auto"/>
        </w:rPr>
      </w:pPr>
    </w:p>
    <w:p>
      <w:pPr>
        <w:jc w:val="both"/>
        <w:ind w:left="640" w:right="1019"/>
        <w:spacing w:after="0" w:line="268" w:lineRule="auto"/>
        <w:rPr>
          <w:sz w:val="20"/>
          <w:szCs w:val="20"/>
          <w:color w:val="auto"/>
        </w:rPr>
      </w:pPr>
      <w:r>
        <w:rPr>
          <w:rFonts w:ascii="Times New Roman" w:cs="Times New Roman" w:eastAsia="Times New Roman" w:hAnsi="Times New Roman"/>
          <w:sz w:val="14"/>
          <w:szCs w:val="14"/>
          <w:color w:val="auto"/>
        </w:rPr>
        <w:t>The following table summarizes the consideration paid (in thousands) for 2024 acquisitions, excluding Haven Hospice, and the estimated fair value of the assets acquired and the liabilities assumed at the acquisition dates, which are adjusted for immaterial measurement-period adjustments through June 30, 2025. Consideration for acquisitions by the Pharmacy Solutions and Provider Services segments was $27.0 million and $18.9 million, respectively.</w:t>
      </w:r>
    </w:p>
    <w:p>
      <w:pPr>
        <w:spacing w:after="0" w:line="155"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Accounts receivable</w:t>
            </w:r>
          </w:p>
        </w:tc>
        <w:tc>
          <w:tcPr>
            <w:tcW w:w="480" w:type="dxa"/>
            <w:vAlign w:val="bottom"/>
            <w:gridSpan w:val="2"/>
            <w:shd w:val="clear" w:color="auto" w:fill="CFF0FC"/>
          </w:tcPr>
          <w:p>
            <w:pPr>
              <w:jc w:val="right"/>
              <w:ind w:right="39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3,749</w:t>
            </w:r>
          </w:p>
        </w:tc>
        <w:tc>
          <w:tcPr>
            <w:tcW w:w="80" w:type="dxa"/>
            <w:vAlign w:val="bottom"/>
            <w:shd w:val="clear" w:color="auto" w:fill="CFF0FC"/>
          </w:tcPr>
          <w:p>
            <w:pPr>
              <w:spacing w:after="0"/>
              <w:rPr>
                <w:sz w:val="14"/>
                <w:szCs w:val="14"/>
                <w:color w:val="auto"/>
              </w:rPr>
            </w:pPr>
          </w:p>
        </w:tc>
      </w:tr>
      <w:tr>
        <w:trPr>
          <w:trHeight w:val="172"/>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Inventories</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1,234</w:t>
            </w:r>
          </w:p>
        </w:tc>
        <w:tc>
          <w:tcPr>
            <w:tcW w:w="80" w:type="dxa"/>
            <w:vAlign w:val="bottom"/>
          </w:tcPr>
          <w:p>
            <w:pPr>
              <w:spacing w:after="0"/>
              <w:rPr>
                <w:sz w:val="14"/>
                <w:szCs w:val="14"/>
                <w:color w:val="auto"/>
              </w:rPr>
            </w:pPr>
          </w:p>
        </w:tc>
      </w:tr>
      <w:tr>
        <w:trPr>
          <w:trHeight w:val="172"/>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shd w:val="clear" w:color="auto" w:fill="CFF0FC"/>
          </w:tcPr>
          <w:p>
            <w:pPr>
              <w:spacing w:after="0"/>
              <w:rPr>
                <w:sz w:val="14"/>
                <w:szCs w:val="14"/>
                <w:color w:val="auto"/>
              </w:rPr>
            </w:pPr>
          </w:p>
        </w:tc>
      </w:tr>
      <w:tr>
        <w:trPr>
          <w:trHeight w:val="172"/>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80" w:type="dxa"/>
            <w:vAlign w:val="bottom"/>
          </w:tcPr>
          <w:p>
            <w:pPr>
              <w:spacing w:after="0"/>
              <w:rPr>
                <w:sz w:val="14"/>
                <w:szCs w:val="14"/>
                <w:color w:val="auto"/>
              </w:rPr>
            </w:pPr>
          </w:p>
        </w:tc>
      </w:tr>
      <w:tr>
        <w:trPr>
          <w:trHeight w:val="172"/>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Goodwill</w:t>
            </w:r>
          </w:p>
        </w:tc>
        <w:tc>
          <w:tcPr>
            <w:tcW w:w="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17,721</w:t>
            </w:r>
          </w:p>
        </w:tc>
        <w:tc>
          <w:tcPr>
            <w:tcW w:w="80" w:type="dxa"/>
            <w:vAlign w:val="bottom"/>
            <w:shd w:val="clear" w:color="auto" w:fill="CFF0FC"/>
          </w:tcPr>
          <w:p>
            <w:pPr>
              <w:spacing w:after="0"/>
              <w:rPr>
                <w:sz w:val="14"/>
                <w:szCs w:val="14"/>
                <w:color w:val="auto"/>
              </w:rPr>
            </w:pPr>
          </w:p>
        </w:tc>
      </w:tr>
      <w:tr>
        <w:trPr>
          <w:trHeight w:val="172"/>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31,233</w:t>
            </w:r>
          </w:p>
        </w:tc>
        <w:tc>
          <w:tcPr>
            <w:tcW w:w="80" w:type="dxa"/>
            <w:vAlign w:val="bottom"/>
          </w:tcPr>
          <w:p>
            <w:pPr>
              <w:spacing w:after="0"/>
              <w:rPr>
                <w:sz w:val="14"/>
                <w:szCs w:val="14"/>
                <w:color w:val="auto"/>
              </w:rPr>
            </w:pPr>
          </w:p>
        </w:tc>
      </w:tr>
      <w:tr>
        <w:trPr>
          <w:trHeight w:val="172"/>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80" w:type="dxa"/>
            <w:vAlign w:val="bottom"/>
            <w:shd w:val="clear" w:color="auto" w:fill="CFF0FC"/>
          </w:tcPr>
          <w:p>
            <w:pPr>
              <w:spacing w:after="0"/>
              <w:rPr>
                <w:sz w:val="14"/>
                <w:szCs w:val="14"/>
                <w:color w:val="auto"/>
              </w:rPr>
            </w:pPr>
          </w:p>
        </w:tc>
      </w:tr>
      <w:tr>
        <w:trPr>
          <w:trHeight w:val="172"/>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80" w:type="dxa"/>
            <w:vAlign w:val="bottom"/>
          </w:tcPr>
          <w:p>
            <w:pPr>
              <w:spacing w:after="0"/>
              <w:rPr>
                <w:sz w:val="14"/>
                <w:szCs w:val="14"/>
                <w:color w:val="auto"/>
              </w:rPr>
            </w:pPr>
          </w:p>
        </w:tc>
      </w:tr>
      <w:tr>
        <w:trPr>
          <w:trHeight w:val="172"/>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Trade accounts payable</w:t>
            </w:r>
          </w:p>
        </w:tc>
        <w:tc>
          <w:tcPr>
            <w:tcW w:w="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80" w:type="dxa"/>
            <w:vAlign w:val="bottom"/>
            <w:shd w:val="clear" w:color="auto" w:fill="CFF0FC"/>
          </w:tcPr>
          <w:p>
            <w:pPr>
              <w:spacing w:after="0"/>
              <w:rPr>
                <w:sz w:val="14"/>
                <w:szCs w:val="14"/>
                <w:color w:val="auto"/>
              </w:rPr>
            </w:pPr>
          </w:p>
        </w:tc>
      </w:tr>
      <w:tr>
        <w:trPr>
          <w:trHeight w:val="172"/>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Accrued expenses</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7,657</w:t>
            </w:r>
          </w:p>
        </w:tc>
        <w:tc>
          <w:tcPr>
            <w:tcW w:w="80" w:type="dxa"/>
            <w:vAlign w:val="bottom"/>
          </w:tcPr>
          <w:p>
            <w:pPr>
              <w:spacing w:after="0"/>
              <w:rPr>
                <w:sz w:val="14"/>
                <w:szCs w:val="14"/>
                <w:color w:val="auto"/>
              </w:rPr>
            </w:pPr>
          </w:p>
        </w:tc>
      </w:tr>
      <w:tr>
        <w:trPr>
          <w:trHeight w:val="172"/>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Current portion of obligations under operating leases</w:t>
            </w:r>
          </w:p>
        </w:tc>
        <w:tc>
          <w:tcPr>
            <w:tcW w:w="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shd w:val="clear" w:color="auto" w:fill="CFF0FC"/>
          </w:tcPr>
          <w:p>
            <w:pPr>
              <w:spacing w:after="0"/>
              <w:rPr>
                <w:sz w:val="14"/>
                <w:szCs w:val="14"/>
                <w:color w:val="auto"/>
              </w:rPr>
            </w:pPr>
          </w:p>
        </w:tc>
      </w:tr>
      <w:tr>
        <w:trPr>
          <w:trHeight w:val="172"/>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Current portion of obligations under financing leases</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4"/>
                <w:szCs w:val="14"/>
                <w:color w:val="auto"/>
              </w:rPr>
            </w:pPr>
          </w:p>
        </w:tc>
      </w:tr>
      <w:tr>
        <w:trPr>
          <w:trHeight w:val="172"/>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Obligations under operating leases, net of current portion</w:t>
            </w:r>
          </w:p>
        </w:tc>
        <w:tc>
          <w:tcPr>
            <w:tcW w:w="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80" w:type="dxa"/>
            <w:vAlign w:val="bottom"/>
            <w:shd w:val="clear" w:color="auto" w:fill="CFF0FC"/>
          </w:tcPr>
          <w:p>
            <w:pPr>
              <w:spacing w:after="0"/>
              <w:rPr>
                <w:sz w:val="14"/>
                <w:szCs w:val="14"/>
                <w:color w:val="auto"/>
              </w:rPr>
            </w:pPr>
          </w:p>
        </w:tc>
      </w:tr>
      <w:tr>
        <w:trPr>
          <w:trHeight w:val="172"/>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Obligations under financing leases, net of current portion</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4"/>
                <w:szCs w:val="14"/>
                <w:color w:val="auto"/>
              </w:rPr>
            </w:pPr>
          </w:p>
        </w:tc>
      </w:tr>
      <w:tr>
        <w:trPr>
          <w:trHeight w:val="172"/>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Deferred income taxes, net</w:t>
            </w:r>
          </w:p>
        </w:tc>
        <w:tc>
          <w:tcPr>
            <w:tcW w:w="20" w:type="dxa"/>
            <w:vAlign w:val="bottom"/>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1,686</w:t>
            </w:r>
          </w:p>
        </w:tc>
        <w:tc>
          <w:tcPr>
            <w:tcW w:w="80" w:type="dxa"/>
            <w:vAlign w:val="bottom"/>
            <w:shd w:val="clear" w:color="auto" w:fill="CFF0FC"/>
          </w:tcPr>
          <w:p>
            <w:pPr>
              <w:spacing w:after="0"/>
              <w:rPr>
                <w:sz w:val="14"/>
                <w:szCs w:val="14"/>
                <w:color w:val="auto"/>
              </w:rPr>
            </w:pPr>
          </w:p>
        </w:tc>
      </w:tr>
      <w:tr>
        <w:trPr>
          <w:trHeight w:val="163"/>
        </w:trPr>
        <w:tc>
          <w:tcPr>
            <w:tcW w:w="6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Aggregate purchase price, net of cash acquired</w:t>
            </w: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45,893</w:t>
            </w:r>
          </w:p>
        </w:tc>
        <w:tc>
          <w:tcPr>
            <w:tcW w:w="80" w:type="dxa"/>
            <w:vAlign w:val="bottom"/>
          </w:tcPr>
          <w:p>
            <w:pPr>
              <w:spacing w:after="0"/>
              <w:rPr>
                <w:sz w:val="14"/>
                <w:szCs w:val="14"/>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71" w:lineRule="exact"/>
        <w:rPr>
          <w:sz w:val="20"/>
          <w:szCs w:val="20"/>
          <w:color w:val="auto"/>
        </w:rPr>
      </w:pPr>
    </w:p>
    <w:p>
      <w:pPr>
        <w:ind w:left="640" w:right="839"/>
        <w:spacing w:after="0" w:line="268" w:lineRule="auto"/>
        <w:rPr>
          <w:sz w:val="20"/>
          <w:szCs w:val="20"/>
          <w:color w:val="auto"/>
        </w:rPr>
      </w:pPr>
      <w:r>
        <w:rPr>
          <w:rFonts w:ascii="Times New Roman" w:cs="Times New Roman" w:eastAsia="Times New Roman" w:hAnsi="Times New Roman"/>
          <w:sz w:val="14"/>
          <w:szCs w:val="14"/>
          <w:color w:val="auto"/>
        </w:rPr>
        <w:t>The Company is in the process of reviewing the fair value of the assets acquired and liabilities assumed. We have estimated the fair value of acquired customer relationships, licenses, trade names, and covenants not to compete based upon third-party valuations and/or the values assigned in prior acquisitions that were deemed comparable in nature. Based on the Company’s preliminary valuations, the total estimated consideration has been allocated to assets acquired and liabilities assumed as of the acquisition dates.</w:t>
      </w:r>
    </w:p>
    <w:p>
      <w:pPr>
        <w:spacing w:after="0" w:line="54" w:lineRule="exact"/>
        <w:rPr>
          <w:sz w:val="20"/>
          <w:szCs w:val="20"/>
          <w:color w:val="auto"/>
        </w:rPr>
      </w:pPr>
    </w:p>
    <w:p>
      <w:pPr>
        <w:ind w:left="640" w:right="739"/>
        <w:spacing w:after="0" w:line="267" w:lineRule="auto"/>
        <w:rPr>
          <w:sz w:val="20"/>
          <w:szCs w:val="20"/>
          <w:color w:val="auto"/>
        </w:rPr>
      </w:pPr>
      <w:r>
        <w:rPr>
          <w:rFonts w:ascii="Times New Roman" w:cs="Times New Roman" w:eastAsia="Times New Roman" w:hAnsi="Times New Roman"/>
          <w:sz w:val="14"/>
          <w:szCs w:val="14"/>
          <w:color w:val="auto"/>
        </w:rPr>
        <w:t>The estimated intangible assets consist primarily of $22.3 million in customer relationships, $5.7 million in definite-lived licenses, $2.1 million in indefinite-lived licenses, $0.6 million in covenants not to compete, and $0.5 million in trade names. Definite-lived intangible assets have an estimated weighted average useful life of 14.9 years. We expect $12.0 million of the goodwill will be deductible for tax purposes. The Company believes the resulting amount of goodwill reflects its expectation of synergistic benefits of the acquisitions.</w:t>
      </w:r>
    </w:p>
    <w:p>
      <w:pPr>
        <w:spacing w:after="0" w:line="229" w:lineRule="exact"/>
        <w:rPr>
          <w:sz w:val="20"/>
          <w:szCs w:val="20"/>
          <w:color w:val="auto"/>
        </w:rPr>
      </w:pPr>
    </w:p>
    <w:p>
      <w:pPr>
        <w:ind w:left="640" w:right="779"/>
        <w:spacing w:after="0" w:line="263" w:lineRule="auto"/>
        <w:rPr>
          <w:sz w:val="20"/>
          <w:szCs w:val="20"/>
          <w:color w:val="auto"/>
        </w:rPr>
      </w:pPr>
      <w:r>
        <w:rPr>
          <w:rFonts w:ascii="Times New Roman" w:cs="Times New Roman" w:eastAsia="Times New Roman" w:hAnsi="Times New Roman"/>
          <w:sz w:val="14"/>
          <w:szCs w:val="14"/>
          <w:color w:val="auto"/>
        </w:rPr>
        <w:t>The above acquisitions contributed approximately $22.7 million and $41.8 million in revenue during the three and six months ended June 30, 2025, respectively, compared to $15.1 million and $15.9 million in revenue during the three and six months ended June 30, 2024. The above acquisitions contributed approximately $1.5 million and $2.8 million in operating income during the three and six months ended June 30, 2025, respectively, compared to $0.9 million and $1.0 million in operating income during the three and six months ended June 30, 2024. Pro forma financial data for the 2024 acquisitions has not been included as the results of the operations are not material to our unaudited condensed consolidated financial statements.</w:t>
      </w:r>
    </w:p>
    <w:p>
      <w:pPr>
        <w:spacing w:after="0" w:line="58" w:lineRule="exact"/>
        <w:rPr>
          <w:sz w:val="20"/>
          <w:szCs w:val="20"/>
          <w:color w:val="auto"/>
        </w:rPr>
      </w:pPr>
    </w:p>
    <w:p>
      <w:pPr>
        <w:jc w:val="both"/>
        <w:ind w:left="640" w:right="839"/>
        <w:spacing w:after="0" w:line="274" w:lineRule="auto"/>
        <w:rPr>
          <w:sz w:val="20"/>
          <w:szCs w:val="20"/>
          <w:color w:val="auto"/>
        </w:rPr>
      </w:pPr>
      <w:r>
        <w:rPr>
          <w:rFonts w:ascii="Times New Roman" w:cs="Times New Roman" w:eastAsia="Times New Roman" w:hAnsi="Times New Roman"/>
          <w:sz w:val="14"/>
          <w:szCs w:val="14"/>
          <w:color w:val="auto"/>
        </w:rPr>
        <w:t>Measurement period adjustments for all aforementioned acquisitions completed in 2024 recorded in the three and six months ended June 30, 2025 were not material to the unaudited condensed consolidated financial statements. The Company expects to finalize the purchase price allocation for the 2024 acquisitions prior to the one-year anniversary date of each acquisition.</w:t>
      </w:r>
    </w:p>
    <w:p>
      <w:pPr>
        <w:spacing w:after="0" w:line="50" w:lineRule="exact"/>
        <w:rPr>
          <w:sz w:val="20"/>
          <w:szCs w:val="20"/>
          <w:color w:val="auto"/>
        </w:rPr>
      </w:pPr>
    </w:p>
    <w:p>
      <w:pPr>
        <w:ind w:left="640" w:right="1079"/>
        <w:spacing w:after="0" w:line="274" w:lineRule="auto"/>
        <w:rPr>
          <w:sz w:val="20"/>
          <w:szCs w:val="20"/>
          <w:color w:val="auto"/>
        </w:rPr>
      </w:pPr>
      <w:r>
        <w:rPr>
          <w:rFonts w:ascii="Times New Roman" w:cs="Times New Roman" w:eastAsia="Times New Roman" w:hAnsi="Times New Roman"/>
          <w:sz w:val="14"/>
          <w:szCs w:val="14"/>
          <w:color w:val="auto"/>
        </w:rPr>
        <w:t>During the three and six months ended June 30, 2024, the Company incurred approximately $1.2 million and $1.9 million in transaction costs, respectively, related to 2024 acquisitions that were completed in subsequent quarters of 2024. These costs are included in selling, general, and administrative expenses in our unaudited condensed consolidated statements of operations.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17" w:name="page18"/>
    <w:bookmarkEnd w:id="17"/>
    <w:p>
      <w:pPr>
        <w:ind w:left="640" w:right="759"/>
        <w:spacing w:after="0" w:line="274" w:lineRule="auto"/>
        <w:rPr>
          <w:sz w:val="20"/>
          <w:szCs w:val="20"/>
          <w:color w:val="auto"/>
        </w:rPr>
      </w:pPr>
      <w:r>
        <w:rPr>
          <w:rFonts w:ascii="Times New Roman" w:cs="Times New Roman" w:eastAsia="Times New Roman" w:hAnsi="Times New Roman"/>
          <w:sz w:val="14"/>
          <w:szCs w:val="14"/>
          <w:color w:val="auto"/>
        </w:rPr>
        <w:t>The Company also agreed to purchase the remaining 30% noncontrolling interest in Gateway Pediatric Therapy, LLC during the first fiscal quarter of 2024 and the remaining 45% noncontrolling interest in Harvest Grove LTC, LLC during the third fiscal quarter of 2024. These transactions did not meet the definition of a business combination in accordance with ASC 805</w:t>
      </w:r>
      <w:r>
        <w:rPr>
          <w:rFonts w:ascii="Times New Roman" w:cs="Times New Roman" w:eastAsia="Times New Roman" w:hAnsi="Times New Roman"/>
          <w:sz w:val="14"/>
          <w:szCs w:val="14"/>
          <w:i w:val="1"/>
          <w:iCs w:val="1"/>
          <w:color w:val="auto"/>
        </w:rPr>
        <w:t>, Business Combinations</w:t>
      </w:r>
      <w:r>
        <w:rPr>
          <w:rFonts w:ascii="Times New Roman" w:cs="Times New Roman" w:eastAsia="Times New Roman" w:hAnsi="Times New Roman"/>
          <w:sz w:val="14"/>
          <w:szCs w:val="14"/>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5. Goodwill and Intangible Assets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A summary of changes to goodwill, by reportable segment, is as follows (in thousands):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38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Goodwill</w:t>
            </w: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9"/>
        </w:trPr>
        <w:tc>
          <w:tcPr>
            <w:tcW w:w="38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ind w:right="31"/>
              <w:spacing w:after="0" w:line="109" w:lineRule="exact"/>
              <w:rPr>
                <w:sz w:val="20"/>
                <w:szCs w:val="20"/>
                <w:color w:val="auto"/>
              </w:rPr>
            </w:pPr>
            <w:r>
              <w:rPr>
                <w:rFonts w:ascii="Times New Roman" w:cs="Times New Roman" w:eastAsia="Times New Roman" w:hAnsi="Times New Roman"/>
                <w:sz w:val="11"/>
                <w:szCs w:val="11"/>
                <w:b w:val="1"/>
                <w:bCs w:val="1"/>
                <w:color w:val="auto"/>
              </w:rPr>
              <w:t>Pharmacy Solutions</w:t>
            </w: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right"/>
              <w:ind w:right="73"/>
              <w:spacing w:after="0" w:line="109" w:lineRule="exact"/>
              <w:rPr>
                <w:sz w:val="20"/>
                <w:szCs w:val="20"/>
                <w:color w:val="auto"/>
              </w:rPr>
            </w:pPr>
            <w:r>
              <w:rPr>
                <w:rFonts w:ascii="Times New Roman" w:cs="Times New Roman" w:eastAsia="Times New Roman" w:hAnsi="Times New Roman"/>
                <w:sz w:val="11"/>
                <w:szCs w:val="11"/>
                <w:b w:val="1"/>
                <w:bCs w:val="1"/>
                <w:color w:val="auto"/>
              </w:rPr>
              <w:t>Provider Services</w:t>
            </w:r>
          </w:p>
        </w:tc>
        <w:tc>
          <w:tcPr>
            <w:tcW w:w="1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391"/>
              <w:spacing w:after="0" w:line="109" w:lineRule="exact"/>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Pr>
          <w:p>
            <w:pPr>
              <w:spacing w:after="0"/>
              <w:rPr>
                <w:sz w:val="9"/>
                <w:szCs w:val="9"/>
                <w:color w:val="auto"/>
              </w:rPr>
            </w:pPr>
          </w:p>
        </w:tc>
      </w:tr>
      <w:tr>
        <w:trPr>
          <w:trHeight w:val="163"/>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Goodwill at January 1, 2025*</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841,052</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1,522,832</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2,363,884</w:t>
            </w:r>
          </w:p>
        </w:tc>
        <w:tc>
          <w:tcPr>
            <w:tcW w:w="80" w:type="dxa"/>
            <w:vAlign w:val="bottom"/>
            <w:shd w:val="clear" w:color="auto" w:fill="CFF0FC"/>
          </w:tcPr>
          <w:p>
            <w:pPr>
              <w:spacing w:after="0"/>
              <w:rPr>
                <w:sz w:val="14"/>
                <w:szCs w:val="14"/>
                <w:color w:val="auto"/>
              </w:rPr>
            </w:pPr>
          </w:p>
        </w:tc>
      </w:tr>
      <w:tr>
        <w:trPr>
          <w:trHeight w:val="172"/>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Goodwill added through acquisitions</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6,430</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6,430</w:t>
            </w:r>
          </w:p>
        </w:tc>
        <w:tc>
          <w:tcPr>
            <w:tcW w:w="80" w:type="dxa"/>
            <w:vAlign w:val="bottom"/>
          </w:tcPr>
          <w:p>
            <w:pPr>
              <w:spacing w:after="0"/>
              <w:rPr>
                <w:sz w:val="14"/>
                <w:szCs w:val="14"/>
                <w:color w:val="auto"/>
              </w:rPr>
            </w:pPr>
          </w:p>
        </w:tc>
      </w:tr>
      <w:tr>
        <w:trPr>
          <w:trHeight w:val="172"/>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Measurement period adjustments</w:t>
            </w: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(372)</w:t>
            </w:r>
          </w:p>
        </w:tc>
        <w:tc>
          <w:tcPr>
            <w:tcW w:w="2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(372)</w:t>
            </w:r>
          </w:p>
        </w:tc>
      </w:tr>
      <w:tr>
        <w:trPr>
          <w:trHeight w:val="172"/>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adjustments</w:t>
            </w: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tcPr>
          <w:p>
            <w:pPr>
              <w:spacing w:after="0"/>
              <w:rPr>
                <w:sz w:val="14"/>
                <w:szCs w:val="14"/>
                <w:color w:val="auto"/>
              </w:rPr>
            </w:pPr>
          </w:p>
        </w:tc>
      </w:tr>
      <w:tr>
        <w:trPr>
          <w:trHeight w:val="203"/>
        </w:trPr>
        <w:tc>
          <w:tcPr>
            <w:tcW w:w="3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Goodwill at June 30, 2025*</w:t>
            </w: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841,052</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1,529,082</w:t>
            </w:r>
          </w:p>
        </w:tc>
        <w:tc>
          <w:tcPr>
            <w:tcW w:w="1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2,370,134</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3603625</wp:posOffset>
            </wp:positionH>
            <wp:positionV relativeFrom="paragraph">
              <wp:posOffset>-19685</wp:posOffset>
            </wp:positionV>
            <wp:extent cx="47625"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3603625</wp:posOffset>
            </wp:positionH>
            <wp:positionV relativeFrom="paragraph">
              <wp:posOffset>-6350</wp:posOffset>
            </wp:positionV>
            <wp:extent cx="4762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-19685</wp:posOffset>
            </wp:positionV>
            <wp:extent cx="4762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-6350</wp:posOffset>
            </wp:positionV>
            <wp:extent cx="4762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right="979" w:hanging="2"/>
        <w:spacing w:after="0" w:line="511" w:lineRule="auto"/>
        <w:tabs>
          <w:tab w:leader="none" w:pos="74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periods presented, the carrying amount of goodwill is presented net of accumulated impairment losses of $40.9 million. Intangible assets are as follows (in thousands):</w:t>
      </w:r>
    </w:p>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123"/>
        </w:trPr>
        <w:tc>
          <w:tcPr>
            <w:tcW w:w="1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June 30, 2025</w:t>
            </w: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December 31, 2024</w:t>
            </w: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Life</w:t>
            </w:r>
          </w:p>
        </w:tc>
        <w:tc>
          <w:tcPr>
            <w:tcW w:w="0" w:type="dxa"/>
            <w:vAlign w:val="bottom"/>
          </w:tcPr>
          <w:p>
            <w:pPr>
              <w:spacing w:after="0"/>
              <w:rPr>
                <w:sz w:val="1"/>
                <w:szCs w:val="1"/>
                <w:color w:val="auto"/>
              </w:rPr>
            </w:pPr>
          </w:p>
        </w:tc>
      </w:tr>
      <w:tr>
        <w:trPr>
          <w:trHeight w:val="83"/>
        </w:trPr>
        <w:tc>
          <w:tcPr>
            <w:tcW w:w="18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gridSpan w:val="2"/>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Accumulated</w:t>
            </w:r>
          </w:p>
        </w:tc>
        <w:tc>
          <w:tcPr>
            <w:tcW w:w="160" w:type="dxa"/>
            <w:vAlign w:val="bottom"/>
          </w:tcPr>
          <w:p>
            <w:pPr>
              <w:spacing w:after="0"/>
              <w:rPr>
                <w:sz w:val="7"/>
                <w:szCs w:val="7"/>
                <w:color w:val="auto"/>
              </w:rPr>
            </w:pPr>
          </w:p>
        </w:tc>
        <w:tc>
          <w:tcPr>
            <w:tcW w:w="600" w:type="dxa"/>
            <w:vAlign w:val="bottom"/>
            <w:gridSpan w:val="2"/>
          </w:tcPr>
          <w:p>
            <w:pPr>
              <w:spacing w:after="0" w:line="83" w:lineRule="exact"/>
              <w:rPr>
                <w:sz w:val="20"/>
                <w:szCs w:val="20"/>
                <w:color w:val="auto"/>
              </w:rPr>
            </w:pPr>
            <w:r>
              <w:rPr>
                <w:rFonts w:ascii="Times New Roman" w:cs="Times New Roman" w:eastAsia="Times New Roman" w:hAnsi="Times New Roman"/>
                <w:sz w:val="9"/>
                <w:szCs w:val="9"/>
                <w:b w:val="1"/>
                <w:bCs w:val="1"/>
                <w:color w:val="auto"/>
              </w:rPr>
              <w:t>Net Carrying</w:t>
            </w: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gridSpan w:val="3"/>
          </w:tcPr>
          <w:p>
            <w:pPr>
              <w:jc w:val="center"/>
              <w:ind w:right="160"/>
              <w:spacing w:after="0" w:line="83" w:lineRule="exact"/>
              <w:rPr>
                <w:sz w:val="20"/>
                <w:szCs w:val="20"/>
                <w:color w:val="auto"/>
              </w:rPr>
            </w:pPr>
            <w:r>
              <w:rPr>
                <w:rFonts w:ascii="Times New Roman" w:cs="Times New Roman" w:eastAsia="Times New Roman" w:hAnsi="Times New Roman"/>
                <w:sz w:val="9"/>
                <w:szCs w:val="9"/>
                <w:b w:val="1"/>
                <w:bCs w:val="1"/>
                <w:color w:val="auto"/>
              </w:rPr>
              <w:t>Accumulated</w:t>
            </w:r>
          </w:p>
        </w:tc>
        <w:tc>
          <w:tcPr>
            <w:tcW w:w="620" w:type="dxa"/>
            <w:vAlign w:val="bottom"/>
            <w:gridSpan w:val="2"/>
          </w:tcPr>
          <w:p>
            <w:pPr>
              <w:spacing w:after="0" w:line="83" w:lineRule="exact"/>
              <w:rPr>
                <w:sz w:val="20"/>
                <w:szCs w:val="20"/>
                <w:color w:val="auto"/>
              </w:rPr>
            </w:pPr>
            <w:r>
              <w:rPr>
                <w:rFonts w:ascii="Times New Roman" w:cs="Times New Roman" w:eastAsia="Times New Roman" w:hAnsi="Times New Roman"/>
                <w:sz w:val="9"/>
                <w:szCs w:val="9"/>
                <w:b w:val="1"/>
                <w:bCs w:val="1"/>
                <w:color w:val="auto"/>
              </w:rPr>
              <w:t>Net Carrying</w:t>
            </w:r>
          </w:p>
        </w:tc>
        <w:tc>
          <w:tcPr>
            <w:tcW w:w="1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0"/>
                <w:szCs w:val="10"/>
                <w:b w:val="1"/>
                <w:bCs w:val="1"/>
                <w:color w:val="auto"/>
              </w:rPr>
              <w:t>Gross</w:t>
            </w:r>
          </w:p>
        </w:tc>
        <w:tc>
          <w:tcPr>
            <w:tcW w:w="180" w:type="dxa"/>
            <w:vAlign w:val="bottom"/>
          </w:tcPr>
          <w:p>
            <w:pPr>
              <w:spacing w:after="0"/>
              <w:rPr>
                <w:sz w:val="10"/>
                <w:szCs w:val="10"/>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0"/>
                <w:szCs w:val="10"/>
                <w:b w:val="1"/>
                <w:bCs w:val="1"/>
                <w:color w:val="auto"/>
              </w:rPr>
              <w:t>Value</w:t>
            </w:r>
          </w:p>
        </w:tc>
        <w:tc>
          <w:tcPr>
            <w:tcW w:w="220" w:type="dxa"/>
            <w:vAlign w:val="bottom"/>
          </w:tcPr>
          <w:p>
            <w:pPr>
              <w:spacing w:after="0"/>
              <w:rPr>
                <w:sz w:val="10"/>
                <w:szCs w:val="10"/>
                <w:color w:val="auto"/>
              </w:rPr>
            </w:pPr>
          </w:p>
        </w:tc>
        <w:tc>
          <w:tcPr>
            <w:tcW w:w="5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0"/>
                <w:szCs w:val="10"/>
                <w:b w:val="1"/>
                <w:bCs w:val="1"/>
                <w:color w:val="auto"/>
              </w:rPr>
              <w:t>Gross</w:t>
            </w:r>
          </w:p>
        </w:tc>
        <w:tc>
          <w:tcPr>
            <w:tcW w:w="160" w:type="dxa"/>
            <w:vAlign w:val="bottom"/>
          </w:tcPr>
          <w:p>
            <w:pPr>
              <w:spacing w:after="0"/>
              <w:rPr>
                <w:sz w:val="10"/>
                <w:szCs w:val="10"/>
                <w:color w:val="auto"/>
              </w:rPr>
            </w:pPr>
          </w:p>
        </w:tc>
        <w:tc>
          <w:tcPr>
            <w:tcW w:w="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w w:val="97"/>
              </w:rPr>
              <w:t>Amortization</w:t>
            </w: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0"/>
                <w:szCs w:val="10"/>
                <w:b w:val="1"/>
                <w:bCs w:val="1"/>
                <w:color w:val="auto"/>
              </w:rPr>
              <w:t>Value</w:t>
            </w:r>
          </w:p>
        </w:tc>
        <w:tc>
          <w:tcPr>
            <w:tcW w:w="160" w:type="dxa"/>
            <w:vAlign w:val="bottom"/>
          </w:tcPr>
          <w:p>
            <w:pPr>
              <w:spacing w:after="0"/>
              <w:rPr>
                <w:sz w:val="10"/>
                <w:szCs w:val="10"/>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(Years)</w:t>
            </w:r>
          </w:p>
        </w:tc>
        <w:tc>
          <w:tcPr>
            <w:tcW w:w="0" w:type="dxa"/>
            <w:vAlign w:val="bottom"/>
          </w:tcPr>
          <w:p>
            <w:pPr>
              <w:spacing w:after="0"/>
              <w:rPr>
                <w:sz w:val="1"/>
                <w:szCs w:val="1"/>
                <w:color w:val="auto"/>
              </w:rPr>
            </w:pPr>
          </w:p>
        </w:tc>
      </w:tr>
      <w:tr>
        <w:trPr>
          <w:trHeight w:val="152"/>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Customer relationships</w:t>
            </w: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522,435</w:t>
            </w:r>
          </w:p>
        </w:tc>
        <w:tc>
          <w:tcPr>
            <w:tcW w:w="3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345,663</w:t>
            </w:r>
          </w:p>
        </w:tc>
        <w:tc>
          <w:tcPr>
            <w:tcW w:w="2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176,772</w:t>
            </w:r>
          </w:p>
        </w:tc>
        <w:tc>
          <w:tcPr>
            <w:tcW w:w="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542,137</w:t>
            </w:r>
          </w:p>
        </w:tc>
        <w:tc>
          <w:tcPr>
            <w:tcW w:w="2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335,647</w:t>
            </w:r>
          </w:p>
        </w:tc>
        <w:tc>
          <w:tcPr>
            <w:tcW w:w="16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206,490</w:t>
            </w:r>
          </w:p>
        </w:tc>
        <w:tc>
          <w:tcPr>
            <w:tcW w:w="860" w:type="dxa"/>
            <w:vAlign w:val="bottom"/>
            <w:gridSpan w:val="2"/>
            <w:shd w:val="clear" w:color="auto" w:fill="CFF0FC"/>
          </w:tcPr>
          <w:p>
            <w:pPr>
              <w:jc w:val="center"/>
              <w:ind w:left="76"/>
              <w:spacing w:after="0"/>
              <w:rPr>
                <w:sz w:val="20"/>
                <w:szCs w:val="20"/>
                <w:color w:val="auto"/>
              </w:rPr>
            </w:pPr>
            <w:r>
              <w:rPr>
                <w:rFonts w:ascii="Times New Roman" w:cs="Times New Roman" w:eastAsia="Times New Roman" w:hAnsi="Times New Roman"/>
                <w:sz w:val="13"/>
                <w:szCs w:val="13"/>
                <w:color w:val="auto"/>
              </w:rPr>
              <w:t>5-20</w:t>
            </w:r>
          </w:p>
        </w:tc>
        <w:tc>
          <w:tcPr>
            <w:tcW w:w="0" w:type="dxa"/>
            <w:vAlign w:val="bottom"/>
          </w:tcPr>
          <w:p>
            <w:pPr>
              <w:spacing w:after="0"/>
              <w:rPr>
                <w:sz w:val="1"/>
                <w:szCs w:val="1"/>
                <w:color w:val="auto"/>
              </w:rPr>
            </w:pPr>
          </w:p>
        </w:tc>
      </w:tr>
      <w:tr>
        <w:trPr>
          <w:trHeight w:val="161"/>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Trade names</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332,977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153,017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179,960</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332,977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140,020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192,957</w:t>
            </w:r>
          </w:p>
        </w:tc>
        <w:tc>
          <w:tcPr>
            <w:tcW w:w="860" w:type="dxa"/>
            <w:vAlign w:val="bottom"/>
            <w:gridSpan w:val="2"/>
          </w:tcPr>
          <w:p>
            <w:pPr>
              <w:jc w:val="center"/>
              <w:ind w:left="76"/>
              <w:spacing w:after="0"/>
              <w:rPr>
                <w:sz w:val="20"/>
                <w:szCs w:val="20"/>
                <w:color w:val="auto"/>
              </w:rPr>
            </w:pPr>
            <w:r>
              <w:rPr>
                <w:rFonts w:ascii="Times New Roman" w:cs="Times New Roman" w:eastAsia="Times New Roman" w:hAnsi="Times New Roman"/>
                <w:sz w:val="13"/>
                <w:szCs w:val="13"/>
                <w:color w:val="auto"/>
              </w:rPr>
              <w:t>2-20</w:t>
            </w:r>
          </w:p>
        </w:tc>
        <w:tc>
          <w:tcPr>
            <w:tcW w:w="0" w:type="dxa"/>
            <w:vAlign w:val="bottom"/>
          </w:tcPr>
          <w:p>
            <w:pPr>
              <w:spacing w:after="0"/>
              <w:rPr>
                <w:sz w:val="1"/>
                <w:szCs w:val="1"/>
                <w:color w:val="auto"/>
              </w:rPr>
            </w:pPr>
          </w:p>
        </w:tc>
      </w:tr>
      <w:tr>
        <w:trPr>
          <w:trHeight w:val="161"/>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Licenses</w:t>
            </w:r>
          </w:p>
        </w:tc>
        <w:tc>
          <w:tcPr>
            <w:tcW w:w="5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62,167</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17,556</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44,611</w:t>
            </w:r>
          </w:p>
        </w:tc>
        <w:tc>
          <w:tcPr>
            <w:tcW w:w="220" w:type="dxa"/>
            <w:vAlign w:val="bottom"/>
            <w:tcBorders>
              <w:right w:val="single" w:sz="8" w:color="CFF0FC"/>
            </w:tcBorders>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68,425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17,528</w:t>
            </w: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50,897</w:t>
            </w:r>
          </w:p>
        </w:tc>
        <w:tc>
          <w:tcPr>
            <w:tcW w:w="860" w:type="dxa"/>
            <w:vAlign w:val="bottom"/>
            <w:gridSpan w:val="2"/>
            <w:shd w:val="clear" w:color="auto" w:fill="CFF0FC"/>
          </w:tcPr>
          <w:p>
            <w:pPr>
              <w:jc w:val="center"/>
              <w:ind w:left="56"/>
              <w:spacing w:after="0"/>
              <w:rPr>
                <w:sz w:val="20"/>
                <w:szCs w:val="20"/>
                <w:color w:val="auto"/>
              </w:rPr>
            </w:pPr>
            <w:r>
              <w:rPr>
                <w:rFonts w:ascii="Times New Roman" w:cs="Times New Roman" w:eastAsia="Times New Roman" w:hAnsi="Times New Roman"/>
                <w:sz w:val="13"/>
                <w:szCs w:val="13"/>
                <w:color w:val="auto"/>
                <w:w w:val="98"/>
              </w:rPr>
              <w:t>10-20</w:t>
            </w:r>
          </w:p>
        </w:tc>
        <w:tc>
          <w:tcPr>
            <w:tcW w:w="0" w:type="dxa"/>
            <w:vAlign w:val="bottom"/>
          </w:tcPr>
          <w:p>
            <w:pPr>
              <w:spacing w:after="0"/>
              <w:rPr>
                <w:sz w:val="1"/>
                <w:szCs w:val="1"/>
                <w:color w:val="auto"/>
              </w:rPr>
            </w:pPr>
          </w:p>
        </w:tc>
      </w:tr>
      <w:tr>
        <w:trPr>
          <w:trHeight w:val="161"/>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Doctor/payor network</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1,037</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10,965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1,765</w:t>
            </w:r>
          </w:p>
        </w:tc>
        <w:tc>
          <w:tcPr>
            <w:tcW w:w="860" w:type="dxa"/>
            <w:vAlign w:val="bottom"/>
            <w:gridSpan w:val="2"/>
          </w:tcPr>
          <w:p>
            <w:pPr>
              <w:jc w:val="center"/>
              <w:ind w:left="76"/>
              <w:spacing w:after="0"/>
              <w:rPr>
                <w:sz w:val="20"/>
                <w:szCs w:val="20"/>
                <w:color w:val="auto"/>
              </w:rPr>
            </w:pPr>
            <w:r>
              <w:rPr>
                <w:rFonts w:ascii="Times New Roman" w:cs="Times New Roman" w:eastAsia="Times New Roman" w:hAnsi="Times New Roman"/>
                <w:sz w:val="13"/>
                <w:szCs w:val="13"/>
                <w:color w:val="auto"/>
                <w:w w:val="92"/>
              </w:rPr>
              <w:t>5-8</w:t>
            </w:r>
          </w:p>
        </w:tc>
        <w:tc>
          <w:tcPr>
            <w:tcW w:w="0" w:type="dxa"/>
            <w:vAlign w:val="bottom"/>
          </w:tcPr>
          <w:p>
            <w:pPr>
              <w:spacing w:after="0"/>
              <w:rPr>
                <w:sz w:val="1"/>
                <w:szCs w:val="1"/>
                <w:color w:val="auto"/>
              </w:rPr>
            </w:pPr>
          </w:p>
        </w:tc>
      </w:tr>
      <w:tr>
        <w:trPr>
          <w:trHeight w:val="161"/>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Covenants not to compete</w:t>
            </w:r>
          </w:p>
        </w:tc>
        <w:tc>
          <w:tcPr>
            <w:tcW w:w="5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7,640</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5,112</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2,528</w:t>
            </w:r>
          </w:p>
        </w:tc>
        <w:tc>
          <w:tcPr>
            <w:tcW w:w="220" w:type="dxa"/>
            <w:vAlign w:val="bottom"/>
            <w:tcBorders>
              <w:right w:val="single" w:sz="8" w:color="CFF0FC"/>
            </w:tcBorders>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8,790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5,886</w:t>
            </w: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2,904</w:t>
            </w:r>
          </w:p>
        </w:tc>
        <w:tc>
          <w:tcPr>
            <w:tcW w:w="860" w:type="dxa"/>
            <w:vAlign w:val="bottom"/>
            <w:gridSpan w:val="2"/>
            <w:shd w:val="clear" w:color="auto" w:fill="CFF0FC"/>
          </w:tcPr>
          <w:p>
            <w:pPr>
              <w:jc w:val="center"/>
              <w:ind w:left="76"/>
              <w:spacing w:after="0"/>
              <w:rPr>
                <w:sz w:val="20"/>
                <w:szCs w:val="20"/>
                <w:color w:val="auto"/>
              </w:rPr>
            </w:pPr>
            <w:r>
              <w:rPr>
                <w:rFonts w:ascii="Times New Roman" w:cs="Times New Roman" w:eastAsia="Times New Roman" w:hAnsi="Times New Roman"/>
                <w:sz w:val="13"/>
                <w:szCs w:val="13"/>
                <w:color w:val="auto"/>
                <w:w w:val="92"/>
              </w:rPr>
              <w:t>2-7</w:t>
            </w:r>
          </w:p>
        </w:tc>
        <w:tc>
          <w:tcPr>
            <w:tcW w:w="0" w:type="dxa"/>
            <w:vAlign w:val="bottom"/>
          </w:tcPr>
          <w:p>
            <w:pPr>
              <w:spacing w:after="0"/>
              <w:rPr>
                <w:sz w:val="1"/>
                <w:szCs w:val="1"/>
                <w:color w:val="auto"/>
              </w:rPr>
            </w:pPr>
          </w:p>
        </w:tc>
      </w:tr>
      <w:tr>
        <w:trPr>
          <w:trHeight w:val="161"/>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Other intangible assets</w:t>
            </w: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10,940</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7,144</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3,796</w:t>
            </w:r>
          </w:p>
        </w:tc>
        <w:tc>
          <w:tcPr>
            <w:tcW w:w="22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10,940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6,362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4,578</w:t>
            </w:r>
          </w:p>
        </w:tc>
        <w:tc>
          <w:tcPr>
            <w:tcW w:w="860" w:type="dxa"/>
            <w:vAlign w:val="bottom"/>
            <w:gridSpan w:val="2"/>
          </w:tcPr>
          <w:p>
            <w:pPr>
              <w:jc w:val="center"/>
              <w:ind w:left="76"/>
              <w:spacing w:after="0"/>
              <w:rPr>
                <w:sz w:val="20"/>
                <w:szCs w:val="20"/>
                <w:color w:val="auto"/>
              </w:rPr>
            </w:pPr>
            <w:r>
              <w:rPr>
                <w:rFonts w:ascii="Times New Roman" w:cs="Times New Roman" w:eastAsia="Times New Roman" w:hAnsi="Times New Roman"/>
                <w:sz w:val="13"/>
                <w:szCs w:val="13"/>
                <w:color w:val="auto"/>
                <w:w w:val="92"/>
              </w:rPr>
              <w:t>5-7</w:t>
            </w:r>
          </w:p>
        </w:tc>
        <w:tc>
          <w:tcPr>
            <w:tcW w:w="0" w:type="dxa"/>
            <w:vAlign w:val="bottom"/>
          </w:tcPr>
          <w:p>
            <w:pPr>
              <w:spacing w:after="0"/>
              <w:rPr>
                <w:sz w:val="1"/>
                <w:szCs w:val="1"/>
                <w:color w:val="auto"/>
              </w:rPr>
            </w:pPr>
          </w:p>
        </w:tc>
      </w:tr>
      <w:tr>
        <w:trPr>
          <w:trHeight w:val="152"/>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Total definite-lived assets</w:t>
            </w: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941,809</w:t>
            </w:r>
          </w:p>
        </w:tc>
        <w:tc>
          <w:tcPr>
            <w:tcW w:w="3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533,105</w:t>
            </w:r>
          </w:p>
        </w:tc>
        <w:tc>
          <w:tcPr>
            <w:tcW w:w="2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408,704</w:t>
            </w:r>
          </w:p>
        </w:tc>
        <w:tc>
          <w:tcPr>
            <w:tcW w:w="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975,999</w:t>
            </w:r>
          </w:p>
        </w:tc>
        <w:tc>
          <w:tcPr>
            <w:tcW w:w="2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516,408</w:t>
            </w:r>
          </w:p>
        </w:tc>
        <w:tc>
          <w:tcPr>
            <w:tcW w:w="16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459,591</w:t>
            </w: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Licenses</w:t>
            </w: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135,633</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135,633</w:t>
            </w:r>
          </w:p>
        </w:tc>
        <w:tc>
          <w:tcPr>
            <w:tcW w:w="22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135,633</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135,633</w:t>
            </w: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Indefinite</w:t>
            </w:r>
          </w:p>
        </w:tc>
        <w:tc>
          <w:tcPr>
            <w:tcW w:w="0" w:type="dxa"/>
            <w:vAlign w:val="bottom"/>
          </w:tcPr>
          <w:p>
            <w:pPr>
              <w:spacing w:after="0"/>
              <w:rPr>
                <w:sz w:val="1"/>
                <w:szCs w:val="1"/>
                <w:color w:val="auto"/>
              </w:rPr>
            </w:pPr>
          </w:p>
        </w:tc>
      </w:tr>
      <w:tr>
        <w:trPr>
          <w:trHeight w:val="172"/>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Total intangible assets</w:t>
            </w: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9"/>
              </w:rPr>
              <w:t>1,077,442</w:t>
            </w:r>
          </w:p>
        </w:tc>
        <w:tc>
          <w:tcPr>
            <w:tcW w:w="3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533,105</w:t>
            </w:r>
          </w:p>
        </w:tc>
        <w:tc>
          <w:tcPr>
            <w:tcW w:w="2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544,337</w:t>
            </w:r>
          </w:p>
        </w:tc>
        <w:tc>
          <w:tcPr>
            <w:tcW w:w="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9"/>
              </w:rPr>
              <w:t>1,111,632</w:t>
            </w:r>
          </w:p>
        </w:tc>
        <w:tc>
          <w:tcPr>
            <w:tcW w:w="2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516,408</w:t>
            </w: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595,224</w:t>
            </w: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2314575</wp:posOffset>
            </wp:positionH>
            <wp:positionV relativeFrom="paragraph">
              <wp:posOffset>-19685</wp:posOffset>
            </wp:positionV>
            <wp:extent cx="5461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2314575</wp:posOffset>
            </wp:positionH>
            <wp:positionV relativeFrom="paragraph">
              <wp:posOffset>-6350</wp:posOffset>
            </wp:positionV>
            <wp:extent cx="5461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-19685</wp:posOffset>
            </wp:positionV>
            <wp:extent cx="5461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-6350</wp:posOffset>
            </wp:positionV>
            <wp:extent cx="5461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3317240</wp:posOffset>
            </wp:positionH>
            <wp:positionV relativeFrom="paragraph">
              <wp:posOffset>-19685</wp:posOffset>
            </wp:positionV>
            <wp:extent cx="47625"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3317240</wp:posOffset>
            </wp:positionH>
            <wp:positionV relativeFrom="paragraph">
              <wp:posOffset>-6350</wp:posOffset>
            </wp:positionV>
            <wp:extent cx="47625"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3801110</wp:posOffset>
            </wp:positionH>
            <wp:positionV relativeFrom="paragraph">
              <wp:posOffset>-19685</wp:posOffset>
            </wp:positionV>
            <wp:extent cx="47625"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3801110</wp:posOffset>
            </wp:positionH>
            <wp:positionV relativeFrom="paragraph">
              <wp:posOffset>-6350</wp:posOffset>
            </wp:positionV>
            <wp:extent cx="47625"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4284980</wp:posOffset>
            </wp:positionH>
            <wp:positionV relativeFrom="paragraph">
              <wp:posOffset>-19685</wp:posOffset>
            </wp:positionV>
            <wp:extent cx="47625"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4284980</wp:posOffset>
            </wp:positionH>
            <wp:positionV relativeFrom="paragraph">
              <wp:posOffset>-6350</wp:posOffset>
            </wp:positionV>
            <wp:extent cx="47625"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4776470</wp:posOffset>
            </wp:positionH>
            <wp:positionV relativeFrom="paragraph">
              <wp:posOffset>-19685</wp:posOffset>
            </wp:positionV>
            <wp:extent cx="47625"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4776470</wp:posOffset>
            </wp:positionH>
            <wp:positionV relativeFrom="paragraph">
              <wp:posOffset>-6350</wp:posOffset>
            </wp:positionV>
            <wp:extent cx="47625"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right="1199"/>
        <w:spacing w:after="0" w:line="292" w:lineRule="auto"/>
        <w:rPr>
          <w:sz w:val="20"/>
          <w:szCs w:val="20"/>
          <w:color w:val="auto"/>
        </w:rPr>
      </w:pPr>
      <w:r>
        <w:rPr>
          <w:rFonts w:ascii="Times New Roman" w:cs="Times New Roman" w:eastAsia="Times New Roman" w:hAnsi="Times New Roman"/>
          <w:sz w:val="14"/>
          <w:szCs w:val="14"/>
          <w:color w:val="auto"/>
        </w:rPr>
        <w:t>Amortization expense for the three and six months ended June 30, 2025 was $23.6 million and $47.0 million, respectively, as compared to $24.2 million and $47.9 million for the three and six months ended June 30, 2024, respectively.</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6. Debt and Derivatives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The table below summarizes the total outstanding debt of the Company (in thousands):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440" w:type="dxa"/>
            <w:vAlign w:val="bottom"/>
            <w:gridSpan w:val="3"/>
          </w:tcPr>
          <w:p>
            <w:pPr>
              <w:jc w:val="right"/>
              <w:ind w:right="330"/>
              <w:spacing w:after="0"/>
              <w:rPr>
                <w:sz w:val="20"/>
                <w:szCs w:val="20"/>
                <w:color w:val="auto"/>
              </w:rPr>
            </w:pPr>
            <w:r>
              <w:rPr>
                <w:rFonts w:ascii="Times New Roman" w:cs="Times New Roman" w:eastAsia="Times New Roman" w:hAnsi="Times New Roman"/>
                <w:sz w:val="11"/>
                <w:szCs w:val="11"/>
                <w:b w:val="1"/>
                <w:bCs w:val="1"/>
                <w:color w:val="auto"/>
              </w:rPr>
              <w:t>June 30, 2025</w:t>
            </w:r>
          </w:p>
        </w:tc>
        <w:tc>
          <w:tcPr>
            <w:tcW w:w="160" w:type="dxa"/>
            <w:vAlign w:val="bottom"/>
          </w:tcPr>
          <w:p>
            <w:pPr>
              <w:spacing w:after="0"/>
              <w:rPr>
                <w:sz w:val="11"/>
                <w:szCs w:val="11"/>
                <w:color w:val="auto"/>
              </w:rPr>
            </w:pPr>
          </w:p>
        </w:tc>
        <w:tc>
          <w:tcPr>
            <w:tcW w:w="1420" w:type="dxa"/>
            <w:vAlign w:val="bottom"/>
            <w:gridSpan w:val="5"/>
          </w:tcPr>
          <w:p>
            <w:pPr>
              <w:ind w:left="200"/>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09"/>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500" w:type="dxa"/>
            <w:vAlign w:val="bottom"/>
            <w:tcBorders>
              <w:top w:val="single" w:sz="8" w:color="auto"/>
              <w:bottom w:val="single" w:sz="8" w:color="auto"/>
            </w:tcBorders>
          </w:tcPr>
          <w:p>
            <w:pPr>
              <w:ind w:left="140"/>
              <w:spacing w:after="0" w:line="109" w:lineRule="exact"/>
              <w:rPr>
                <w:sz w:val="20"/>
                <w:szCs w:val="20"/>
                <w:color w:val="auto"/>
              </w:rPr>
            </w:pPr>
            <w:r>
              <w:rPr>
                <w:rFonts w:ascii="Times New Roman" w:cs="Times New Roman" w:eastAsia="Times New Roman" w:hAnsi="Times New Roman"/>
                <w:sz w:val="11"/>
                <w:szCs w:val="11"/>
                <w:b w:val="1"/>
                <w:bCs w:val="1"/>
                <w:color w:val="auto"/>
              </w:rPr>
              <w:t>Rate</w:t>
            </w:r>
          </w:p>
        </w:tc>
        <w:tc>
          <w:tcPr>
            <w:tcW w:w="240" w:type="dxa"/>
            <w:vAlign w:val="bottom"/>
            <w:tcBorders>
              <w:top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ind w:right="250"/>
              <w:spacing w:after="0" w:line="109"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9"/>
                <w:szCs w:val="9"/>
                <w:color w:val="auto"/>
              </w:rPr>
            </w:pPr>
          </w:p>
        </w:tc>
        <w:tc>
          <w:tcPr>
            <w:tcW w:w="420" w:type="dxa"/>
            <w:vAlign w:val="bottom"/>
            <w:tcBorders>
              <w:top w:val="single" w:sz="8" w:color="auto"/>
              <w:bottom w:val="single" w:sz="8" w:color="auto"/>
            </w:tcBorders>
          </w:tcPr>
          <w:p>
            <w:pPr>
              <w:ind w:left="80"/>
              <w:spacing w:after="0" w:line="109" w:lineRule="exact"/>
              <w:rPr>
                <w:sz w:val="20"/>
                <w:szCs w:val="20"/>
                <w:color w:val="auto"/>
              </w:rPr>
            </w:pPr>
            <w:r>
              <w:rPr>
                <w:rFonts w:ascii="Times New Roman" w:cs="Times New Roman" w:eastAsia="Times New Roman" w:hAnsi="Times New Roman"/>
                <w:sz w:val="11"/>
                <w:szCs w:val="11"/>
                <w:b w:val="1"/>
                <w:bCs w:val="1"/>
                <w:color w:val="auto"/>
              </w:rPr>
              <w:t>Rate</w:t>
            </w:r>
          </w:p>
        </w:tc>
        <w:tc>
          <w:tcPr>
            <w:tcW w:w="1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ind w:right="271"/>
              <w:spacing w:after="0" w:line="109"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9"/>
                <w:szCs w:val="9"/>
                <w:color w:val="auto"/>
              </w:rPr>
            </w:pPr>
          </w:p>
        </w:tc>
      </w:tr>
      <w:tr>
        <w:trPr>
          <w:trHeight w:val="148"/>
        </w:trPr>
        <w:tc>
          <w:tcPr>
            <w:tcW w:w="20" w:type="dxa"/>
            <w:vAlign w:val="bottom"/>
          </w:tcPr>
          <w:p>
            <w:pPr>
              <w:spacing w:after="0"/>
              <w:rPr>
                <w:sz w:val="12"/>
                <w:szCs w:val="12"/>
                <w:color w:val="auto"/>
              </w:rPr>
            </w:pPr>
          </w:p>
        </w:tc>
        <w:tc>
          <w:tcPr>
            <w:tcW w:w="470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4"/>
                <w:szCs w:val="14"/>
                <w:color w:val="auto"/>
              </w:rPr>
              <w:t>First Lien Incremental Term Loan Tranche B-5 - payable to lenders at SOFR</w:t>
            </w:r>
          </w:p>
        </w:tc>
        <w:tc>
          <w:tcPr>
            <w:tcW w:w="740" w:type="dxa"/>
            <w:vAlign w:val="bottom"/>
            <w:gridSpan w:val="2"/>
            <w:shd w:val="clear" w:color="auto" w:fill="CFF0FC"/>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6.83%</w:t>
            </w:r>
          </w:p>
        </w:tc>
        <w:tc>
          <w:tcPr>
            <w:tcW w:w="70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$ 2,534,021</w:t>
            </w:r>
          </w:p>
        </w:tc>
        <w:tc>
          <w:tcPr>
            <w:tcW w:w="740" w:type="dxa"/>
            <w:vAlign w:val="bottom"/>
            <w:gridSpan w:val="3"/>
            <w:shd w:val="clear" w:color="auto" w:fill="CFF0FC"/>
          </w:tcPr>
          <w:p>
            <w:pPr>
              <w:jc w:val="right"/>
              <w:ind w:right="40"/>
              <w:spacing w:after="0" w:line="148" w:lineRule="exact"/>
              <w:rPr>
                <w:sz w:val="20"/>
                <w:szCs w:val="20"/>
                <w:color w:val="auto"/>
              </w:rPr>
            </w:pPr>
            <w:r>
              <w:rPr>
                <w:rFonts w:ascii="Times New Roman" w:cs="Times New Roman" w:eastAsia="Times New Roman" w:hAnsi="Times New Roman"/>
                <w:sz w:val="14"/>
                <w:szCs w:val="14"/>
                <w:color w:val="auto"/>
              </w:rPr>
              <w:t>6.86%</w:t>
            </w:r>
          </w:p>
        </w:tc>
        <w:tc>
          <w:tcPr>
            <w:tcW w:w="760" w:type="dxa"/>
            <w:vAlign w:val="bottom"/>
            <w:gridSpan w:val="2"/>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$ 2,546,787</w:t>
            </w:r>
          </w:p>
        </w:tc>
        <w:tc>
          <w:tcPr>
            <w:tcW w:w="80" w:type="dxa"/>
            <w:vAlign w:val="bottom"/>
            <w:shd w:val="clear" w:color="auto" w:fill="CFF0FC"/>
          </w:tcPr>
          <w:p>
            <w:pPr>
              <w:spacing w:after="0"/>
              <w:rPr>
                <w:sz w:val="12"/>
                <w:szCs w:val="12"/>
                <w:color w:val="auto"/>
              </w:rPr>
            </w:pPr>
          </w:p>
        </w:tc>
      </w:tr>
      <w:tr>
        <w:trPr>
          <w:trHeight w:val="187"/>
        </w:trPr>
        <w:tc>
          <w:tcPr>
            <w:tcW w:w="20" w:type="dxa"/>
            <w:vAlign w:val="bottom"/>
          </w:tcPr>
          <w:p>
            <w:pPr>
              <w:spacing w:after="0"/>
              <w:rPr>
                <w:sz w:val="16"/>
                <w:szCs w:val="16"/>
                <w:color w:val="auto"/>
              </w:rPr>
            </w:pPr>
          </w:p>
        </w:tc>
        <w:tc>
          <w:tcPr>
            <w:tcW w:w="4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plus applicable margin</w:t>
            </w:r>
          </w:p>
        </w:tc>
        <w:tc>
          <w:tcPr>
            <w:tcW w:w="5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72"/>
        </w:trPr>
        <w:tc>
          <w:tcPr>
            <w:tcW w:w="2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Revolving Credit Loans - payable to lenders at SOFR plus applicable margin</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7.33%</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7.61%</w:t>
            </w:r>
          </w:p>
        </w:tc>
        <w:tc>
          <w:tcPr>
            <w:tcW w:w="6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0" w:type="dxa"/>
            <w:vAlign w:val="bottom"/>
          </w:tcPr>
          <w:p>
            <w:pPr>
              <w:spacing w:after="0"/>
              <w:rPr>
                <w:sz w:val="14"/>
                <w:szCs w:val="14"/>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Swingline/Base Rate - payable to lenders at ABR plus applicable margin</w:t>
            </w: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9.50%</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9.75%</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63,300</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700" w:type="dxa"/>
            <w:vAlign w:val="bottom"/>
          </w:tcPr>
          <w:p>
            <w:pPr>
              <w:spacing w:after="0" w:line="172" w:lineRule="exact"/>
              <w:rPr>
                <w:sz w:val="20"/>
                <w:szCs w:val="20"/>
                <w:color w:val="auto"/>
              </w:rPr>
            </w:pPr>
            <w:r>
              <w:rPr>
                <w:rFonts w:ascii="Times New Roman" w:cs="Times New Roman" w:eastAsia="Times New Roman" w:hAnsi="Times New Roman"/>
                <w:sz w:val="14"/>
                <w:szCs w:val="14"/>
                <w:color w:val="auto"/>
              </w:rPr>
              <w:t xml:space="preserve">Amortizing Notes </w:t>
            </w:r>
            <w:r>
              <w:rPr>
                <w:rFonts w:ascii="Times New Roman" w:cs="Times New Roman" w:eastAsia="Times New Roman" w:hAnsi="Times New Roman"/>
                <w:sz w:val="19"/>
                <w:szCs w:val="19"/>
                <w:color w:val="auto"/>
                <w:vertAlign w:val="superscript"/>
              </w:rPr>
              <w:t>(1)</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42,859</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53,804</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Notes payable and other</w:t>
            </w:r>
          </w:p>
        </w:tc>
        <w:tc>
          <w:tcPr>
            <w:tcW w:w="5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19,419</w:t>
            </w:r>
          </w:p>
        </w:tc>
        <w:tc>
          <w:tcPr>
            <w:tcW w:w="16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19,428</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Total debt</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2,596,299</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2,683,319</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debt issuance costs, net</w:t>
            </w:r>
          </w:p>
        </w:tc>
        <w:tc>
          <w:tcPr>
            <w:tcW w:w="5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67,546</w:t>
            </w:r>
          </w:p>
        </w:tc>
        <w:tc>
          <w:tcPr>
            <w:tcW w:w="16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72,736</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Total debt, net of debt issuance costs</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2,528,753</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2,610,583</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5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50,836</w:t>
            </w:r>
          </w:p>
        </w:tc>
        <w:tc>
          <w:tcPr>
            <w:tcW w:w="16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48,725</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Total long-term debt, net of current portion</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$ 2,477,917</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$ 2,561,858</w:t>
            </w:r>
          </w:p>
        </w:tc>
        <w:tc>
          <w:tcPr>
            <w:tcW w:w="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4319270</wp:posOffset>
            </wp:positionH>
            <wp:positionV relativeFrom="paragraph">
              <wp:posOffset>-586105</wp:posOffset>
            </wp:positionV>
            <wp:extent cx="4762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-586105</wp:posOffset>
            </wp:positionV>
            <wp:extent cx="47625"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4319270</wp:posOffset>
            </wp:positionH>
            <wp:positionV relativeFrom="paragraph">
              <wp:posOffset>-360680</wp:posOffset>
            </wp:positionV>
            <wp:extent cx="47625"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-360680</wp:posOffset>
            </wp:positionV>
            <wp:extent cx="47625"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4319270</wp:posOffset>
            </wp:positionH>
            <wp:positionV relativeFrom="paragraph">
              <wp:posOffset>-135890</wp:posOffset>
            </wp:positionV>
            <wp:extent cx="47625"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spacing w:after="0"/>
        <w:tabs>
          <w:tab w:leader="none" w:pos="960" w:val="left"/>
        </w:tabs>
        <w:rPr>
          <w:sz w:val="20"/>
          <w:szCs w:val="20"/>
          <w:color w:val="auto"/>
        </w:rPr>
      </w:pPr>
      <w:r>
        <w:rPr>
          <w:rFonts w:ascii="Times New Roman" w:cs="Times New Roman" w:eastAsia="Times New Roman" w:hAnsi="Times New Roman"/>
          <w:sz w:val="14"/>
          <w:szCs w:val="14"/>
          <w:color w:val="auto"/>
        </w:rPr>
        <w:t>(1)</w:t>
        <w:tab/>
        <w:t>See Note 7 for discussion of Amortizing Notes.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18" w:name="page19"/>
    <w:bookmarkEnd w:id="18"/>
    <w:p>
      <w:pPr>
        <w:jc w:val="both"/>
        <w:ind w:left="640" w:right="799"/>
        <w:spacing w:after="0" w:line="274" w:lineRule="auto"/>
        <w:rPr>
          <w:sz w:val="20"/>
          <w:szCs w:val="20"/>
          <w:color w:val="auto"/>
        </w:rPr>
      </w:pPr>
      <w:r>
        <w:rPr>
          <w:rFonts w:ascii="Times New Roman" w:cs="Times New Roman" w:eastAsia="Times New Roman" w:hAnsi="Times New Roman"/>
          <w:sz w:val="14"/>
          <w:szCs w:val="14"/>
          <w:color w:val="auto"/>
        </w:rPr>
        <w:t>The following discussion summarizes the debt agreements and related modifications for the six months ended June 30, 2025 and the year ended December 31, 2024. We were in compliance with all applicable financial debt covenants at June 30, 2025 and December 31, 2024.</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First Lien Credit Agreement</w:t>
      </w:r>
    </w:p>
    <w:p>
      <w:pPr>
        <w:spacing w:after="0" w:line="99" w:lineRule="exact"/>
        <w:rPr>
          <w:sz w:val="20"/>
          <w:szCs w:val="20"/>
          <w:color w:val="auto"/>
        </w:rPr>
      </w:pPr>
    </w:p>
    <w:p>
      <w:pPr>
        <w:ind w:left="640" w:right="699"/>
        <w:spacing w:after="0" w:line="263" w:lineRule="auto"/>
        <w:rPr>
          <w:sz w:val="20"/>
          <w:szCs w:val="20"/>
          <w:color w:val="auto"/>
        </w:rPr>
      </w:pPr>
      <w:r>
        <w:rPr>
          <w:rFonts w:ascii="Times New Roman" w:cs="Times New Roman" w:eastAsia="Times New Roman" w:hAnsi="Times New Roman"/>
          <w:sz w:val="14"/>
          <w:szCs w:val="14"/>
          <w:color w:val="auto"/>
        </w:rPr>
        <w:t>On March 5, 2019, the Company entered into a First Lien Credit Agreement (the “First Lien”), with Morgan Stanley Senior Funding, Inc., as the Administrative Agent and the Collateral Agent. The First Lien originally consisted of a principal amount of $1,650.0 million. In 2019, an additional delayed draw of $150.0 million was made on the First Lien, resulting in a gross borrowing of $1,800.0 million (“Tranche B-1”). The First Lien, as amended in 2020, provided for the establishment of a Tranche B-2 Term Loan (“Tranche B-2”) in an aggregate principal amount equal to $550.0 million. The First Lien, as amended in 2021, provided for the establishment of a Tranche B-3 Term Loan (“Tranche B-3”) in an aggregate principal amount equal to $675.0 million.</w:t>
      </w:r>
    </w:p>
    <w:p>
      <w:pPr>
        <w:spacing w:after="0" w:line="58" w:lineRule="exact"/>
        <w:rPr>
          <w:sz w:val="20"/>
          <w:szCs w:val="20"/>
          <w:color w:val="auto"/>
        </w:rPr>
      </w:pPr>
    </w:p>
    <w:p>
      <w:pPr>
        <w:ind w:left="640" w:right="899"/>
        <w:spacing w:after="0" w:line="268" w:lineRule="auto"/>
        <w:rPr>
          <w:sz w:val="20"/>
          <w:szCs w:val="20"/>
          <w:color w:val="auto"/>
        </w:rPr>
      </w:pPr>
      <w:r>
        <w:rPr>
          <w:rFonts w:ascii="Times New Roman" w:cs="Times New Roman" w:eastAsia="Times New Roman" w:hAnsi="Times New Roman"/>
          <w:sz w:val="14"/>
          <w:szCs w:val="14"/>
          <w:color w:val="auto"/>
        </w:rPr>
        <w:t>On February 21, 2024, we used a portion of the net proceeds received from the IPO Offerings to repay $343.3 million of the borrowings under the First Lien, and amended the First Lien to establish a new Tranche B-4 Term Loan (“Tranche B-4”) in an aggregate principal amount of $2,566.0 million. The proceeds from Tranche B-4 borrowings were used to refinance the equivalent amount of the remaining First Lien Tranches B-1, B-2, and B-3 borrowings and was accounted for as a debt modification.</w:t>
      </w:r>
    </w:p>
    <w:p>
      <w:pPr>
        <w:spacing w:after="0" w:line="54" w:lineRule="exact"/>
        <w:rPr>
          <w:sz w:val="20"/>
          <w:szCs w:val="20"/>
          <w:color w:val="auto"/>
        </w:rPr>
      </w:pPr>
    </w:p>
    <w:p>
      <w:pPr>
        <w:jc w:val="both"/>
        <w:ind w:left="640" w:right="679"/>
        <w:spacing w:after="0" w:line="265" w:lineRule="auto"/>
        <w:rPr>
          <w:sz w:val="20"/>
          <w:szCs w:val="20"/>
          <w:color w:val="auto"/>
        </w:rPr>
      </w:pPr>
      <w:r>
        <w:rPr>
          <w:rFonts w:ascii="Times New Roman" w:cs="Times New Roman" w:eastAsia="Times New Roman" w:hAnsi="Times New Roman"/>
          <w:sz w:val="14"/>
          <w:szCs w:val="14"/>
          <w:color w:val="auto"/>
        </w:rPr>
        <w:t>On December 11, 2024, we amended the First Lien to refinance Tranche B-4 by establishing a Tranche B-5 Term Loan (“Tranche B-5”) in an aggregate principal amount of $2,553.2 million at a rate equal to Secured Overnight Financing Rate (“SOFR”) plus 2.50% or Alternate Base Rate (“ABR”) plus 1.50% with a maturity date of February 21, 2031. The non-cash transaction was accounted for as a debt modification. Principal payments are due on the last business day of each quarter, which commenced in the first fiscal quarter of 2025 and equate to 0.25% of the principal at issuance, with a balloon payment due February 21, 2031.</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Revolving Credit Facility</w:t>
      </w:r>
    </w:p>
    <w:p>
      <w:pPr>
        <w:spacing w:after="0" w:line="99" w:lineRule="exact"/>
        <w:rPr>
          <w:sz w:val="20"/>
          <w:szCs w:val="20"/>
          <w:color w:val="auto"/>
        </w:rPr>
      </w:pPr>
    </w:p>
    <w:p>
      <w:pPr>
        <w:ind w:left="640" w:right="659"/>
        <w:spacing w:after="0" w:line="260" w:lineRule="auto"/>
        <w:rPr>
          <w:sz w:val="20"/>
          <w:szCs w:val="20"/>
          <w:color w:val="auto"/>
        </w:rPr>
      </w:pPr>
      <w:r>
        <w:rPr>
          <w:rFonts w:ascii="Times New Roman" w:cs="Times New Roman" w:eastAsia="Times New Roman" w:hAnsi="Times New Roman"/>
          <w:sz w:val="14"/>
          <w:szCs w:val="14"/>
          <w:color w:val="auto"/>
        </w:rPr>
        <w:t>The First Lien also extends credit in the form of a Revolving Credit Facility with a borrowing capacity of $475.0 million (the “Revolver”), of which up to $50.0 million is available as swingline loans and up to $82.5 million is available as letters of credit (the “LC Sublimit”). The Revolver will mature on June 30, 2028. In connection with the First Lien modification on February 21, 2024, borrowings under the Revolver bore interest at a rate equal to SOFR (with a floor of 0.00%) plus 3.25% for the Revolving Credit Loans or ABR plus 2.25% for the Swingline Loans at December 31, 2024. During the first fiscal quarter of 2025, the variable rate on the Revolving Credit Loans and Swingline Loans decreased to SOFR plus 3.00% and ABR plus 2.00%, respectively, as a result of our improved leverage ratio in accordance with the terms of our credit agreement. As of June 30, 2025, the Company had $475.0 million of borrowing capacity available under the Revolver as there were no borrowings under the Revolver or letters of credit outstanding. As of December 31, 2024, the Company had $63.3 million of borrowings outstanding under the Revolver and no letters of credit, reducing the available borrowing capacity to approximately $411.7 million.</w:t>
      </w:r>
    </w:p>
    <w:p>
      <w:pPr>
        <w:spacing w:after="0" w:line="60" w:lineRule="exact"/>
        <w:rPr>
          <w:sz w:val="20"/>
          <w:szCs w:val="20"/>
          <w:color w:val="auto"/>
        </w:rPr>
      </w:pPr>
    </w:p>
    <w:p>
      <w:pPr>
        <w:jc w:val="both"/>
        <w:ind w:left="640" w:right="699"/>
        <w:spacing w:after="0" w:line="274" w:lineRule="auto"/>
        <w:rPr>
          <w:sz w:val="20"/>
          <w:szCs w:val="20"/>
          <w:color w:val="auto"/>
        </w:rPr>
      </w:pPr>
      <w:r>
        <w:rPr>
          <w:rFonts w:ascii="Times New Roman" w:cs="Times New Roman" w:eastAsia="Times New Roman" w:hAnsi="Times New Roman"/>
          <w:sz w:val="14"/>
          <w:szCs w:val="14"/>
          <w:color w:val="auto"/>
        </w:rPr>
        <w:t>The Company’s First Lien also provides for an additional $65.0 million of letter of credit commitments (the “LC Facility”), which are not subject to the LC Sublimit and do not reduce the Revolver borrowing capacity. As of June 30, 2025 and December 31, 2024, there were $61.8 million of letters of credit outstanding under the LC Facility, resulting in an available borrowing capacity of $3.2 million.</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Second Lien Credit Agreement</w:t>
      </w:r>
    </w:p>
    <w:p>
      <w:pPr>
        <w:spacing w:after="0" w:line="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The Company’s amended and restated Second Lien Credit Agreement (the “Second Lien Facility”), with certain Lenders and</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Wilmington Trust, National Association, as the Administrative Agent and the Collateral Agent consisted of a principal amount of</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$450.0 million. On January 30, 2024, we used a portion of the net proceeds received from the IPO Offerings to repay all outstanding</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borrowings under the Second Lien Facility. No remaining obligation exists related to the Second Lien Facility. This transaction was</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accounted for as a debt extinguishment and the Company incurred a loss on extinguishment of debt of $12.7 million related to the</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write-off of unamortized debt issuance costs during the first fiscal quarter of 2024.</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Derivative Financial Instruments</w:t>
      </w:r>
    </w:p>
    <w:p>
      <w:pPr>
        <w:spacing w:after="0" w:line="99" w:lineRule="exact"/>
        <w:rPr>
          <w:sz w:val="20"/>
          <w:szCs w:val="20"/>
          <w:color w:val="auto"/>
        </w:rPr>
      </w:pPr>
    </w:p>
    <w:p>
      <w:pPr>
        <w:ind w:left="640" w:right="719"/>
        <w:spacing w:after="0" w:line="292" w:lineRule="auto"/>
        <w:rPr>
          <w:sz w:val="20"/>
          <w:szCs w:val="20"/>
          <w:color w:val="auto"/>
        </w:rPr>
      </w:pPr>
      <w:r>
        <w:rPr>
          <w:rFonts w:ascii="Times New Roman" w:cs="Times New Roman" w:eastAsia="Times New Roman" w:hAnsi="Times New Roman"/>
          <w:sz w:val="14"/>
          <w:szCs w:val="14"/>
          <w:color w:val="auto"/>
        </w:rPr>
        <w:t>To manage fluctuations in cash flows resulting from changes in the variable interest rates, the Company entered into receive-variable, pay-fixed interest rate swap agreements. The following table summarizes our interest rate swaps designated as cash flow hedges:</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19" w:name="page20"/>
    <w:bookmarkEnd w:id="19"/>
    <w:tbl>
      <w:tblPr>
        <w:tblLayout w:type="fixed"/>
        <w:tblInd w:w="640" w:type="dxa"/>
        <w:tblCellMar>
          <w:top w:w="0" w:type="dxa"/>
          <w:left w:w="0" w:type="dxa"/>
          <w:bottom w:w="0" w:type="dxa"/>
          <w:right w:w="0" w:type="dxa"/>
        </w:tblCellMar>
      </w:tblPr>
      <w:tr>
        <w:trPr>
          <w:trHeight w:val="137"/>
        </w:trPr>
        <w:tc>
          <w:tcPr>
            <w:tcW w:w="292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Financial Institution</w:t>
            </w:r>
          </w:p>
        </w:tc>
        <w:tc>
          <w:tcPr>
            <w:tcW w:w="1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Notional Amount as of</w:t>
            </w:r>
          </w:p>
        </w:tc>
        <w:tc>
          <w:tcPr>
            <w:tcW w:w="5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Effective Dates</w:t>
            </w:r>
          </w:p>
        </w:tc>
        <w:tc>
          <w:tcPr>
            <w:tcW w:w="80" w:type="dxa"/>
            <w:vAlign w:val="bottom"/>
          </w:tcPr>
          <w:p>
            <w:pPr>
              <w:spacing w:after="0"/>
              <w:rPr>
                <w:sz w:val="11"/>
                <w:szCs w:val="11"/>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Fixed Rates</w:t>
            </w:r>
          </w:p>
        </w:tc>
        <w:tc>
          <w:tcPr>
            <w:tcW w:w="0" w:type="dxa"/>
            <w:vAlign w:val="bottom"/>
          </w:tcPr>
          <w:p>
            <w:pPr>
              <w:spacing w:after="0"/>
              <w:rPr>
                <w:sz w:val="1"/>
                <w:szCs w:val="1"/>
                <w:color w:val="auto"/>
              </w:rPr>
            </w:pPr>
          </w:p>
        </w:tc>
      </w:tr>
      <w:tr>
        <w:trPr>
          <w:trHeight w:val="109"/>
        </w:trPr>
        <w:tc>
          <w:tcPr>
            <w:tcW w:w="29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tcPr>
          <w:p>
            <w:pPr>
              <w:ind w:left="60"/>
              <w:spacing w:after="0" w:line="109" w:lineRule="exact"/>
              <w:rPr>
                <w:sz w:val="20"/>
                <w:szCs w:val="20"/>
                <w:color w:val="auto"/>
              </w:rPr>
            </w:pPr>
            <w:r>
              <w:rPr>
                <w:rFonts w:ascii="Times New Roman" w:cs="Times New Roman" w:eastAsia="Times New Roman" w:hAnsi="Times New Roman"/>
                <w:sz w:val="11"/>
                <w:szCs w:val="11"/>
                <w:b w:val="1"/>
                <w:bCs w:val="1"/>
                <w:color w:val="auto"/>
              </w:rPr>
              <w:t>June 30, 2025</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tcPr>
          <w:p>
            <w:pPr>
              <w:ind w:left="20"/>
              <w:spacing w:after="0" w:line="109" w:lineRule="exact"/>
              <w:rPr>
                <w:sz w:val="20"/>
                <w:szCs w:val="20"/>
                <w:color w:val="auto"/>
              </w:rPr>
            </w:pPr>
            <w:r>
              <w:rPr>
                <w:rFonts w:ascii="Times New Roman" w:cs="Times New Roman" w:eastAsia="Times New Roman" w:hAnsi="Times New Roman"/>
                <w:sz w:val="11"/>
                <w:szCs w:val="11"/>
                <w:b w:val="1"/>
                <w:bCs w:val="1"/>
                <w:color w:val="auto"/>
              </w:rPr>
              <w:t>December 31, 2024</w:t>
            </w:r>
          </w:p>
        </w:tc>
        <w:tc>
          <w:tcPr>
            <w:tcW w:w="16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28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4"/>
                <w:szCs w:val="14"/>
                <w:color w:val="auto"/>
              </w:rPr>
              <w:t>Credit Suisse</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500</w:t>
            </w:r>
          </w:p>
        </w:tc>
        <w:tc>
          <w:tcPr>
            <w:tcW w:w="54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4"/>
                <w:szCs w:val="14"/>
                <w:color w:val="auto"/>
              </w:rPr>
              <w:t>million</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500</w:t>
            </w:r>
          </w:p>
        </w:tc>
        <w:tc>
          <w:tcPr>
            <w:tcW w:w="54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4"/>
                <w:szCs w:val="14"/>
                <w:color w:val="auto"/>
              </w:rPr>
              <w:t>million</w:t>
            </w:r>
          </w:p>
        </w:tc>
        <w:tc>
          <w:tcPr>
            <w:tcW w:w="160" w:type="dxa"/>
            <w:vAlign w:val="bottom"/>
            <w:shd w:val="clear" w:color="auto" w:fill="CFF0FC"/>
          </w:tcPr>
          <w:p>
            <w:pPr>
              <w:spacing w:after="0"/>
              <w:rPr>
                <w:sz w:val="11"/>
                <w:szCs w:val="11"/>
                <w:color w:val="auto"/>
              </w:rPr>
            </w:pPr>
          </w:p>
        </w:tc>
        <w:tc>
          <w:tcPr>
            <w:tcW w:w="14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4"/>
                <w:szCs w:val="14"/>
                <w:color w:val="auto"/>
                <w:w w:val="97"/>
              </w:rPr>
              <w:t>3-year period ending</w:t>
            </w:r>
          </w:p>
        </w:tc>
        <w:tc>
          <w:tcPr>
            <w:tcW w:w="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4"/>
                <w:szCs w:val="14"/>
                <w:color w:val="auto"/>
              </w:rPr>
              <w:t>3.41650%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7"/>
              </w:rPr>
              <w:t>September 30, 2025</w:t>
            </w: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0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Morgan Stanley</w:t>
            </w:r>
          </w:p>
        </w:tc>
        <w:tc>
          <w:tcPr>
            <w:tcW w:w="140" w:type="dxa"/>
            <w:vAlign w:val="bottom"/>
          </w:tcPr>
          <w:p>
            <w:pPr>
              <w:spacing w:after="0"/>
              <w:rPr>
                <w:sz w:val="12"/>
                <w:szCs w:val="12"/>
                <w:color w:val="auto"/>
              </w:rPr>
            </w:pPr>
          </w:p>
        </w:tc>
        <w:tc>
          <w:tcPr>
            <w:tcW w:w="4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1,050</w:t>
            </w:r>
          </w:p>
        </w:tc>
        <w:tc>
          <w:tcPr>
            <w:tcW w:w="540" w:type="dxa"/>
            <w:vAlign w:val="bottom"/>
          </w:tcPr>
          <w:p>
            <w:pPr>
              <w:ind w:left="80"/>
              <w:spacing w:after="0" w:line="144" w:lineRule="exact"/>
              <w:rPr>
                <w:sz w:val="20"/>
                <w:szCs w:val="20"/>
                <w:color w:val="auto"/>
              </w:rPr>
            </w:pPr>
            <w:r>
              <w:rPr>
                <w:rFonts w:ascii="Times New Roman" w:cs="Times New Roman" w:eastAsia="Times New Roman" w:hAnsi="Times New Roman"/>
                <w:sz w:val="14"/>
                <w:szCs w:val="14"/>
                <w:color w:val="auto"/>
              </w:rPr>
              <w:t>million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1,050</w:t>
            </w:r>
          </w:p>
        </w:tc>
        <w:tc>
          <w:tcPr>
            <w:tcW w:w="540" w:type="dxa"/>
            <w:vAlign w:val="bottom"/>
          </w:tcPr>
          <w:p>
            <w:pPr>
              <w:ind w:left="80"/>
              <w:spacing w:after="0" w:line="144" w:lineRule="exact"/>
              <w:rPr>
                <w:sz w:val="20"/>
                <w:szCs w:val="20"/>
                <w:color w:val="auto"/>
              </w:rPr>
            </w:pPr>
            <w:r>
              <w:rPr>
                <w:rFonts w:ascii="Times New Roman" w:cs="Times New Roman" w:eastAsia="Times New Roman" w:hAnsi="Times New Roman"/>
                <w:sz w:val="14"/>
                <w:szCs w:val="14"/>
                <w:color w:val="auto"/>
              </w:rPr>
              <w:t>million</w:t>
            </w:r>
          </w:p>
        </w:tc>
        <w:tc>
          <w:tcPr>
            <w:tcW w:w="160" w:type="dxa"/>
            <w:vAlign w:val="bottom"/>
          </w:tcPr>
          <w:p>
            <w:pPr>
              <w:spacing w:after="0"/>
              <w:rPr>
                <w:sz w:val="12"/>
                <w:szCs w:val="12"/>
                <w:color w:val="auto"/>
              </w:rPr>
            </w:pPr>
          </w:p>
        </w:tc>
        <w:tc>
          <w:tcPr>
            <w:tcW w:w="14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7"/>
              </w:rPr>
              <w:t>3-year period ending</w:t>
            </w:r>
          </w:p>
        </w:tc>
        <w:tc>
          <w:tcPr>
            <w:tcW w:w="920" w:type="dxa"/>
            <w:vAlign w:val="bottom"/>
            <w:gridSpan w:val="3"/>
          </w:tcPr>
          <w:p>
            <w:pPr>
              <w:jc w:val="right"/>
              <w:ind w:right="20"/>
              <w:spacing w:after="0" w:line="144" w:lineRule="exact"/>
              <w:rPr>
                <w:sz w:val="20"/>
                <w:szCs w:val="20"/>
                <w:color w:val="auto"/>
              </w:rPr>
            </w:pPr>
            <w:r>
              <w:rPr>
                <w:rFonts w:ascii="Times New Roman" w:cs="Times New Roman" w:eastAsia="Times New Roman" w:hAnsi="Times New Roman"/>
                <w:sz w:val="14"/>
                <w:szCs w:val="14"/>
                <w:color w:val="auto"/>
              </w:rPr>
              <w:t>3.42000%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September 30, 2025</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900" w:type="dxa"/>
            <w:vAlign w:val="bottom"/>
            <w:gridSpan w:val="2"/>
            <w:shd w:val="clear" w:color="auto" w:fill="CFF0FC"/>
          </w:tcPr>
          <w:p>
            <w:pPr>
              <w:spacing w:after="0" w:line="147" w:lineRule="exact"/>
              <w:rPr>
                <w:sz w:val="20"/>
                <w:szCs w:val="20"/>
                <w:color w:val="auto"/>
              </w:rPr>
            </w:pPr>
            <w:r>
              <w:rPr>
                <w:rFonts w:ascii="Times New Roman" w:cs="Times New Roman" w:eastAsia="Times New Roman" w:hAnsi="Times New Roman"/>
                <w:sz w:val="14"/>
                <w:szCs w:val="14"/>
                <w:color w:val="auto"/>
              </w:rPr>
              <w:t>Credit Agricole Corporate and Investment Bank</w:t>
            </w: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450</w:t>
            </w:r>
          </w:p>
        </w:tc>
        <w:tc>
          <w:tcPr>
            <w:tcW w:w="540" w:type="dxa"/>
            <w:vAlign w:val="bottom"/>
            <w:shd w:val="clear" w:color="auto" w:fill="CFF0FC"/>
          </w:tcPr>
          <w:p>
            <w:pPr>
              <w:ind w:left="80"/>
              <w:spacing w:after="0" w:line="147" w:lineRule="exact"/>
              <w:rPr>
                <w:sz w:val="20"/>
                <w:szCs w:val="20"/>
                <w:color w:val="auto"/>
              </w:rPr>
            </w:pPr>
            <w:r>
              <w:rPr>
                <w:rFonts w:ascii="Times New Roman" w:cs="Times New Roman" w:eastAsia="Times New Roman" w:hAnsi="Times New Roman"/>
                <w:sz w:val="14"/>
                <w:szCs w:val="14"/>
                <w:color w:val="auto"/>
              </w:rPr>
              <w:t>million</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450</w:t>
            </w:r>
          </w:p>
        </w:tc>
        <w:tc>
          <w:tcPr>
            <w:tcW w:w="540" w:type="dxa"/>
            <w:vAlign w:val="bottom"/>
            <w:shd w:val="clear" w:color="auto" w:fill="CFF0FC"/>
          </w:tcPr>
          <w:p>
            <w:pPr>
              <w:ind w:left="80"/>
              <w:spacing w:after="0" w:line="147" w:lineRule="exact"/>
              <w:rPr>
                <w:sz w:val="20"/>
                <w:szCs w:val="20"/>
                <w:color w:val="auto"/>
              </w:rPr>
            </w:pPr>
            <w:r>
              <w:rPr>
                <w:rFonts w:ascii="Times New Roman" w:cs="Times New Roman" w:eastAsia="Times New Roman" w:hAnsi="Times New Roman"/>
                <w:sz w:val="14"/>
                <w:szCs w:val="14"/>
                <w:color w:val="auto"/>
              </w:rPr>
              <w:t>million</w:t>
            </w:r>
          </w:p>
        </w:tc>
        <w:tc>
          <w:tcPr>
            <w:tcW w:w="160" w:type="dxa"/>
            <w:vAlign w:val="bottom"/>
            <w:shd w:val="clear" w:color="auto" w:fill="CFF0FC"/>
          </w:tcPr>
          <w:p>
            <w:pPr>
              <w:spacing w:after="0"/>
              <w:rPr>
                <w:sz w:val="12"/>
                <w:szCs w:val="12"/>
                <w:color w:val="auto"/>
              </w:rPr>
            </w:pPr>
          </w:p>
        </w:tc>
        <w:tc>
          <w:tcPr>
            <w:tcW w:w="1480" w:type="dxa"/>
            <w:vAlign w:val="bottom"/>
            <w:shd w:val="clear" w:color="auto" w:fill="CFF0FC"/>
          </w:tcPr>
          <w:p>
            <w:pPr>
              <w:jc w:val="center"/>
              <w:spacing w:after="0" w:line="147" w:lineRule="exact"/>
              <w:rPr>
                <w:sz w:val="20"/>
                <w:szCs w:val="20"/>
                <w:color w:val="auto"/>
              </w:rPr>
            </w:pPr>
            <w:r>
              <w:rPr>
                <w:rFonts w:ascii="Times New Roman" w:cs="Times New Roman" w:eastAsia="Times New Roman" w:hAnsi="Times New Roman"/>
                <w:sz w:val="14"/>
                <w:szCs w:val="14"/>
                <w:color w:val="auto"/>
                <w:w w:val="97"/>
              </w:rPr>
              <w:t>3-year period ending</w:t>
            </w:r>
          </w:p>
        </w:tc>
        <w:tc>
          <w:tcPr>
            <w:tcW w:w="920" w:type="dxa"/>
            <w:vAlign w:val="bottom"/>
            <w:gridSpan w:val="3"/>
            <w:shd w:val="clear" w:color="auto" w:fill="CFF0FC"/>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3.52410%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4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7"/>
              </w:rPr>
              <w:t>September 30, 2025</w:t>
            </w:r>
          </w:p>
        </w:tc>
        <w:tc>
          <w:tcPr>
            <w:tcW w:w="8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900" w:type="dxa"/>
            <w:vAlign w:val="bottom"/>
            <w:gridSpan w:val="2"/>
          </w:tcPr>
          <w:p>
            <w:pPr>
              <w:ind w:left="200"/>
              <w:spacing w:after="0" w:line="152" w:lineRule="exact"/>
              <w:rPr>
                <w:sz w:val="20"/>
                <w:szCs w:val="20"/>
                <w:color w:val="auto"/>
              </w:rPr>
            </w:pPr>
            <w:r>
              <w:rPr>
                <w:rFonts w:ascii="Times New Roman" w:cs="Times New Roman" w:eastAsia="Times New Roman" w:hAnsi="Times New Roman"/>
                <w:sz w:val="14"/>
                <w:szCs w:val="14"/>
                <w:b w:val="1"/>
                <w:bCs w:val="1"/>
                <w:color w:val="auto"/>
              </w:rPr>
              <w:t>Existing contracts</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2,000</w:t>
            </w:r>
          </w:p>
        </w:tc>
        <w:tc>
          <w:tcPr>
            <w:tcW w:w="540" w:type="dxa"/>
            <w:vAlign w:val="bottom"/>
          </w:tcPr>
          <w:p>
            <w:pPr>
              <w:ind w:left="80"/>
              <w:spacing w:after="0" w:line="152" w:lineRule="exact"/>
              <w:rPr>
                <w:sz w:val="20"/>
                <w:szCs w:val="20"/>
                <w:color w:val="auto"/>
              </w:rPr>
            </w:pPr>
            <w:r>
              <w:rPr>
                <w:rFonts w:ascii="Times New Roman" w:cs="Times New Roman" w:eastAsia="Times New Roman" w:hAnsi="Times New Roman"/>
                <w:sz w:val="14"/>
                <w:szCs w:val="14"/>
                <w:color w:val="auto"/>
              </w:rPr>
              <w:t>million</w:t>
            </w:r>
          </w:p>
        </w:tc>
        <w:tc>
          <w:tcPr>
            <w:tcW w:w="14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2,000</w:t>
            </w:r>
          </w:p>
        </w:tc>
        <w:tc>
          <w:tcPr>
            <w:tcW w:w="540" w:type="dxa"/>
            <w:vAlign w:val="bottom"/>
          </w:tcPr>
          <w:p>
            <w:pPr>
              <w:ind w:left="80"/>
              <w:spacing w:after="0" w:line="152" w:lineRule="exact"/>
              <w:rPr>
                <w:sz w:val="20"/>
                <w:szCs w:val="20"/>
                <w:color w:val="auto"/>
              </w:rPr>
            </w:pPr>
            <w:r>
              <w:rPr>
                <w:rFonts w:ascii="Times New Roman" w:cs="Times New Roman" w:eastAsia="Times New Roman" w:hAnsi="Times New Roman"/>
                <w:sz w:val="14"/>
                <w:szCs w:val="14"/>
                <w:color w:val="auto"/>
              </w:rPr>
              <w:t>million</w:t>
            </w: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restart"/>
          </w:tcPr>
          <w:p>
            <w:pPr>
              <w:spacing w:after="0"/>
              <w:rPr>
                <w:sz w:val="11"/>
                <w:szCs w:val="11"/>
                <w:color w:val="auto"/>
              </w:rPr>
            </w:pPr>
          </w:p>
        </w:tc>
        <w:tc>
          <w:tcPr>
            <w:tcW w:w="28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90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Credit Agricole Corporate and Investment Bank</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500</w:t>
            </w:r>
          </w:p>
        </w:tc>
        <w:tc>
          <w:tcPr>
            <w:tcW w:w="540" w:type="dxa"/>
            <w:vAlign w:val="bottom"/>
          </w:tcPr>
          <w:p>
            <w:pPr>
              <w:ind w:left="80"/>
              <w:spacing w:after="0" w:line="144" w:lineRule="exact"/>
              <w:rPr>
                <w:sz w:val="20"/>
                <w:szCs w:val="20"/>
                <w:color w:val="auto"/>
              </w:rPr>
            </w:pPr>
            <w:r>
              <w:rPr>
                <w:rFonts w:ascii="Times New Roman" w:cs="Times New Roman" w:eastAsia="Times New Roman" w:hAnsi="Times New Roman"/>
                <w:sz w:val="14"/>
                <w:szCs w:val="14"/>
                <w:color w:val="auto"/>
              </w:rPr>
              <w:t>million</w:t>
            </w:r>
          </w:p>
        </w:tc>
        <w:tc>
          <w:tcPr>
            <w:tcW w:w="1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7"/>
              </w:rPr>
              <w:t>1-year period ending</w:t>
            </w:r>
          </w:p>
        </w:tc>
        <w:tc>
          <w:tcPr>
            <w:tcW w:w="920" w:type="dxa"/>
            <w:vAlign w:val="bottom"/>
            <w:gridSpan w:val="3"/>
          </w:tcPr>
          <w:p>
            <w:pPr>
              <w:jc w:val="right"/>
              <w:ind w:right="20"/>
              <w:spacing w:after="0" w:line="144" w:lineRule="exact"/>
              <w:rPr>
                <w:sz w:val="20"/>
                <w:szCs w:val="20"/>
                <w:color w:val="auto"/>
              </w:rPr>
            </w:pPr>
            <w:r>
              <w:rPr>
                <w:rFonts w:ascii="Times New Roman" w:cs="Times New Roman" w:eastAsia="Times New Roman" w:hAnsi="Times New Roman"/>
                <w:sz w:val="14"/>
                <w:szCs w:val="14"/>
                <w:color w:val="auto"/>
              </w:rPr>
              <w:t>3.72500%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September 30, 2026</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Mizuho Capital Markets</w:t>
            </w: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5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million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1-year period ending</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3.61121%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xml:space="preserve">Forward starting contracts </w:t>
            </w:r>
            <w:r>
              <w:rPr>
                <w:rFonts w:ascii="Times New Roman" w:cs="Times New Roman" w:eastAsia="Times New Roman" w:hAnsi="Times New Roman"/>
                <w:sz w:val="18"/>
                <w:szCs w:val="18"/>
                <w:b w:val="1"/>
                <w:bCs w:val="1"/>
                <w:color w:val="auto"/>
                <w:vertAlign w:val="superscript"/>
              </w:rPr>
              <w:t>(1)</w:t>
            </w: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4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million</w:t>
            </w: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September 30, 2026</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900" w:type="dxa"/>
            <w:vAlign w:val="bottom"/>
            <w:gridSpan w:val="2"/>
            <w:vMerge w:val="continue"/>
          </w:tcPr>
          <w:p>
            <w:pPr>
              <w:spacing w:after="0"/>
              <w:rPr>
                <w:sz w:val="13"/>
                <w:szCs w:val="13"/>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1,000</w:t>
            </w:r>
          </w:p>
        </w:tc>
        <w:tc>
          <w:tcPr>
            <w:tcW w:w="5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2600960</wp:posOffset>
            </wp:positionH>
            <wp:positionV relativeFrom="paragraph">
              <wp:posOffset>-763270</wp:posOffset>
            </wp:positionV>
            <wp:extent cx="47625"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-763270</wp:posOffset>
            </wp:positionV>
            <wp:extent cx="47625"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-326390</wp:posOffset>
            </wp:positionV>
            <wp:extent cx="4909820" cy="2044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909820" cy="204470"/>
                    </a:xfrm>
                    <a:prstGeom prst="rect">
                      <a:avLst/>
                    </a:prstGeom>
                    <a:noFill/>
                  </pic:spPr>
                </pic:pic>
              </a:graphicData>
            </a:graphic>
          </wp:anchor>
        </w:drawing>
      </w:r>
    </w:p>
    <w:p>
      <w:pPr>
        <w:spacing w:after="0" w:line="137" w:lineRule="exact"/>
        <w:rPr>
          <w:sz w:val="20"/>
          <w:szCs w:val="20"/>
          <w:color w:val="auto"/>
        </w:rPr>
      </w:pPr>
    </w:p>
    <w:p>
      <w:pPr>
        <w:ind w:left="980" w:right="759" w:hanging="342"/>
        <w:spacing w:after="0" w:line="268" w:lineRule="auto"/>
        <w:tabs>
          <w:tab w:leader="none" w:pos="9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first fiscal quarter of 2025, we entered into two forward starting interest rate swap agreements, each with a $500 million notional amount, to hedge the cash flow risk of variability in interest payment on our variable rate borrowings. The effective date of the forward starting interest rate swap agreements is September 30, 2025. As of June 30, 2025, these contracts meet the criteria of a cash flow hedge.</w:t>
      </w:r>
    </w:p>
    <w:p>
      <w:pPr>
        <w:spacing w:after="0" w:line="140" w:lineRule="exact"/>
        <w:rPr>
          <w:sz w:val="20"/>
          <w:szCs w:val="20"/>
          <w:color w:val="auto"/>
        </w:rPr>
      </w:pPr>
    </w:p>
    <w:p>
      <w:pPr>
        <w:ind w:left="640" w:right="799"/>
        <w:spacing w:after="0" w:line="274" w:lineRule="auto"/>
        <w:rPr>
          <w:sz w:val="20"/>
          <w:szCs w:val="20"/>
          <w:color w:val="auto"/>
        </w:rPr>
      </w:pPr>
      <w:r>
        <w:rPr>
          <w:rFonts w:ascii="Times New Roman" w:cs="Times New Roman" w:eastAsia="Times New Roman" w:hAnsi="Times New Roman"/>
          <w:sz w:val="14"/>
          <w:szCs w:val="14"/>
          <w:color w:val="auto"/>
        </w:rPr>
        <w:t>The fair value of the cash flow hedges as of June 30, 2025 and December 31, 2024 was $2.7 million and $10.6 million, respectively, and is reflected in prepaid expenses and other current assets, other assets, and long-term liabilities in the unaudited condensed consolidated balance sheets.</w:t>
      </w:r>
    </w:p>
    <w:p>
      <w:pPr>
        <w:spacing w:after="0" w:line="50" w:lineRule="exact"/>
        <w:rPr>
          <w:sz w:val="20"/>
          <w:szCs w:val="20"/>
          <w:color w:val="auto"/>
        </w:rPr>
      </w:pPr>
    </w:p>
    <w:p>
      <w:pPr>
        <w:ind w:left="640" w:right="679"/>
        <w:spacing w:after="0" w:line="265" w:lineRule="auto"/>
        <w:rPr>
          <w:sz w:val="20"/>
          <w:szCs w:val="20"/>
          <w:color w:val="auto"/>
        </w:rPr>
      </w:pPr>
      <w:r>
        <w:rPr>
          <w:rFonts w:ascii="Times New Roman" w:cs="Times New Roman" w:eastAsia="Times New Roman" w:hAnsi="Times New Roman"/>
          <w:sz w:val="14"/>
          <w:szCs w:val="14"/>
          <w:color w:val="auto"/>
        </w:rPr>
        <w:t>Amounts reported in accumulated other comprehensive income (“AOCI”) related to derivatives will be reclassified to interest expense as interest payments are made on the Company’s variable-rate debt. Interest received, including payments made or received under the cash flow hedges, was $4.4 million and $8.8 million for the three and six months ended June 30, 2025, respectively, as compared to $9.5 million and $19.1 million for the three and six months ended June 30, 2024, respectively. The Company expects approximately $4.2 million of pre-tax gains to be reclassified out of AOCI into earnings within the next twelve months.</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7. Tangible Equity Units</w:t>
      </w:r>
    </w:p>
    <w:p>
      <w:pPr>
        <w:spacing w:after="0" w:line="185" w:lineRule="exact"/>
        <w:rPr>
          <w:sz w:val="20"/>
          <w:szCs w:val="20"/>
          <w:color w:val="auto"/>
        </w:rPr>
      </w:pPr>
    </w:p>
    <w:p>
      <w:pPr>
        <w:ind w:left="640" w:right="659"/>
        <w:spacing w:after="0" w:line="265" w:lineRule="auto"/>
        <w:rPr>
          <w:sz w:val="20"/>
          <w:szCs w:val="20"/>
          <w:color w:val="auto"/>
        </w:rPr>
      </w:pPr>
      <w:r>
        <w:rPr>
          <w:rFonts w:ascii="Times New Roman" w:cs="Times New Roman" w:eastAsia="Times New Roman" w:hAnsi="Times New Roman"/>
          <w:sz w:val="14"/>
          <w:szCs w:val="14"/>
          <w:color w:val="auto"/>
        </w:rPr>
        <w:t>Concurrently with the IPO, we issued 8,000,000 TEUs, which have a stated amount of $50.00 per unit. Each TEU is comprised of a prepaid stock purchase contract (“Purchase Contract”) and a senior amortizing note (“Amortizing Note”) due February 1, 2027, each issued by the Company. Each TEU may be separated by a holder into its constituent Purchase Contract and Amortizing Note, each of which is considered a freestanding financial instrument. The proceeds from the issuance were allocated to equity and debt based on the relative fair value of the respective components of each TEU as follows (in thousands):</w:t>
      </w:r>
    </w:p>
    <w:p>
      <w:pPr>
        <w:spacing w:after="0" w:line="230"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Equity Component</w:t>
            </w:r>
          </w:p>
        </w:tc>
        <w:tc>
          <w:tcPr>
            <w:tcW w:w="180" w:type="dxa"/>
            <w:vAlign w:val="bottom"/>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Debt Component</w:t>
            </w:r>
          </w:p>
        </w:tc>
        <w:tc>
          <w:tcPr>
            <w:tcW w:w="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Fair value per unit</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41.3382</w:t>
            </w:r>
          </w:p>
        </w:tc>
        <w:tc>
          <w:tcPr>
            <w:tcW w:w="1540" w:type="dxa"/>
            <w:vAlign w:val="bottom"/>
            <w:gridSpan w:val="2"/>
            <w:shd w:val="clear" w:color="auto" w:fill="CFF0FC"/>
          </w:tcPr>
          <w:p>
            <w:pPr>
              <w:jc w:val="right"/>
              <w:ind w:right="121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3"/>
              </w:rPr>
              <w:t>8.6618</w:t>
            </w:r>
          </w:p>
        </w:tc>
        <w:tc>
          <w:tcPr>
            <w:tcW w:w="4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proceeds</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330,706</w:t>
            </w:r>
          </w:p>
        </w:tc>
        <w:tc>
          <w:tcPr>
            <w:tcW w:w="1540" w:type="dxa"/>
            <w:vAlign w:val="bottom"/>
            <w:gridSpan w:val="2"/>
            <w:shd w:val="clear" w:color="auto" w:fill="CFF0FC"/>
          </w:tcPr>
          <w:p>
            <w:pPr>
              <w:jc w:val="right"/>
              <w:ind w:right="121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3"/>
              </w:rPr>
              <w:t>69,294</w:t>
            </w:r>
          </w:p>
        </w:tc>
        <w:tc>
          <w:tcPr>
            <w:tcW w:w="4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Less: issuance costs</w:t>
            </w: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9,095</w:t>
            </w:r>
          </w:p>
        </w:tc>
        <w:tc>
          <w:tcPr>
            <w:tcW w:w="18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1,905</w:t>
            </w: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proceeds</w:t>
            </w:r>
          </w:p>
        </w:tc>
        <w:tc>
          <w:tcPr>
            <w:tcW w:w="14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321,611</w:t>
            </w:r>
          </w:p>
        </w:tc>
        <w:tc>
          <w:tcPr>
            <w:tcW w:w="18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1212"/>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3"/>
              </w:rPr>
              <w:t>67,389</w:t>
            </w:r>
          </w:p>
        </w:tc>
        <w:tc>
          <w:tcPr>
            <w:tcW w:w="1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389,000</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-19685</wp:posOffset>
            </wp:positionV>
            <wp:extent cx="47625"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-6350</wp:posOffset>
            </wp:positionV>
            <wp:extent cx="47625"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4291965</wp:posOffset>
            </wp:positionH>
            <wp:positionV relativeFrom="paragraph">
              <wp:posOffset>-19685</wp:posOffset>
            </wp:positionV>
            <wp:extent cx="47625"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4291965</wp:posOffset>
            </wp:positionH>
            <wp:positionV relativeFrom="paragraph">
              <wp:posOffset>-6350</wp:posOffset>
            </wp:positionV>
            <wp:extent cx="47625"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right="659"/>
        <w:spacing w:after="0" w:line="262" w:lineRule="auto"/>
        <w:rPr>
          <w:sz w:val="20"/>
          <w:szCs w:val="20"/>
          <w:color w:val="auto"/>
        </w:rPr>
      </w:pPr>
      <w:r>
        <w:rPr>
          <w:rFonts w:ascii="Times New Roman" w:cs="Times New Roman" w:eastAsia="Times New Roman" w:hAnsi="Times New Roman"/>
          <w:sz w:val="14"/>
          <w:szCs w:val="14"/>
          <w:color w:val="auto"/>
        </w:rPr>
        <w:t>The value allocated to the Purchase Contract is reflected net of issuance costs in additional paid-in capital. The value allocated to the Amortizing Notes is reflected in long-term debt in the unaudited condensed consolidated balance sheet, with payments expected in the next twelve months reflected in current portion of long-term debt. The long-term portion of the Amortizing Notes as of June 30, 2025 and December 31, 2024 was $19.9 million and $32.9 million, respectively. The short-term portion of the Amortizing Notes as of June 30, 2025 and December 31, 2024 was $23.0 million and $20.9 million, respectively. Issuance costs related to the Amortizing Notes are reflected as a reduction of the carrying amount and will be amortized through the maturity date using the effective interest rate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47" w:right="1440" w:bottom="1440" w:gutter="0" w:footer="0" w:header="0"/>
        </w:sectPr>
      </w:pPr>
    </w:p>
    <w:bookmarkStart w:id="20" w:name="page21"/>
    <w:bookmarkEnd w:id="20"/>
    <w:p>
      <w:pPr>
        <w:ind w:left="640"/>
        <w:spacing w:after="0"/>
        <w:rPr>
          <w:sz w:val="20"/>
          <w:szCs w:val="20"/>
          <w:color w:val="auto"/>
        </w:rPr>
      </w:pPr>
      <w:r>
        <w:rPr>
          <w:rFonts w:ascii="Times New Roman" w:cs="Times New Roman" w:eastAsia="Times New Roman" w:hAnsi="Times New Roman"/>
          <w:sz w:val="14"/>
          <w:szCs w:val="14"/>
          <w:i w:val="1"/>
          <w:iCs w:val="1"/>
          <w:color w:val="auto"/>
        </w:rPr>
        <w:t>Amortizing Notes</w:t>
      </w:r>
    </w:p>
    <w:p>
      <w:pPr>
        <w:spacing w:after="0" w:line="185" w:lineRule="exact"/>
        <w:rPr>
          <w:sz w:val="20"/>
          <w:szCs w:val="20"/>
          <w:color w:val="auto"/>
        </w:rPr>
      </w:pPr>
    </w:p>
    <w:p>
      <w:pPr>
        <w:ind w:left="640" w:right="719"/>
        <w:spacing w:after="0" w:line="262" w:lineRule="auto"/>
        <w:rPr>
          <w:sz w:val="20"/>
          <w:szCs w:val="20"/>
          <w:color w:val="auto"/>
        </w:rPr>
      </w:pPr>
      <w:r>
        <w:rPr>
          <w:rFonts w:ascii="Times New Roman" w:cs="Times New Roman" w:eastAsia="Times New Roman" w:hAnsi="Times New Roman"/>
          <w:sz w:val="14"/>
          <w:szCs w:val="14"/>
          <w:color w:val="auto"/>
        </w:rPr>
        <w:t>The Company pays equal quarterly cash installments of $0.8438 per Amortizing Note on February 1, May 1, August 1 and November 1, commencing on May 1, 2024, except for the May 1, 2024 installment payment, which was $0.8531 per Amortizing Note, with a final installment payment date of February 1, 2027. In the aggregate, the annual quarterly cash installments are the equivalent of</w:t>
      </w:r>
    </w:p>
    <w:p>
      <w:pPr>
        <w:spacing w:after="0" w:line="2" w:lineRule="exact"/>
        <w:rPr>
          <w:sz w:val="20"/>
          <w:szCs w:val="20"/>
          <w:color w:val="auto"/>
        </w:rPr>
      </w:pPr>
    </w:p>
    <w:p>
      <w:pPr>
        <w:ind w:left="640" w:right="659"/>
        <w:spacing w:after="0" w:line="260" w:lineRule="auto"/>
        <w:rPr>
          <w:sz w:val="20"/>
          <w:szCs w:val="20"/>
          <w:color w:val="auto"/>
        </w:rPr>
      </w:pPr>
      <w:r>
        <w:rPr>
          <w:rFonts w:ascii="Times New Roman" w:cs="Times New Roman" w:eastAsia="Times New Roman" w:hAnsi="Times New Roman"/>
          <w:sz w:val="14"/>
          <w:szCs w:val="14"/>
          <w:color w:val="auto"/>
        </w:rPr>
        <w:t>6.75% per year. Each installment payment constitutes a payment of interest and a partial repayment of principal. The Company paid $6.7 million and $13.5 million in TEU installment payments during the three and six months ended June 30, 2025, respectively, as compared to $6.8 million during the three and six months ended June 30, 2024. The Amortizing Notes rank equally in right of payment with all other existing and future unsecured senior indebtedness and rank senior to all of our existing and future indebtedness, if any, that is subordinated to the Amortizing Notes.</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Purchase Contracts</w:t>
      </w:r>
    </w:p>
    <w:p>
      <w:pPr>
        <w:spacing w:after="0" w:line="185" w:lineRule="exact"/>
        <w:rPr>
          <w:sz w:val="20"/>
          <w:szCs w:val="20"/>
          <w:color w:val="auto"/>
        </w:rPr>
      </w:pPr>
    </w:p>
    <w:p>
      <w:pPr>
        <w:ind w:left="640" w:right="719"/>
        <w:spacing w:after="0" w:line="265" w:lineRule="auto"/>
        <w:rPr>
          <w:sz w:val="20"/>
          <w:szCs w:val="20"/>
          <w:color w:val="auto"/>
        </w:rPr>
      </w:pPr>
      <w:r>
        <w:rPr>
          <w:rFonts w:ascii="Times New Roman" w:cs="Times New Roman" w:eastAsia="Times New Roman" w:hAnsi="Times New Roman"/>
          <w:sz w:val="14"/>
          <w:szCs w:val="14"/>
          <w:color w:val="auto"/>
        </w:rPr>
        <w:t>At any time prior to the second scheduled trading day immediately preceding February 1, 2027, a holder may elect to settle its Purchase Contract early, in whole or in part, at an early settlement rate equal to the minimum settlement rate. The Company has the right to settle the Purchase Contracts on or after November 1, 2024, in whole but not in part, on a date fixed by it at an early mandatory settlement rate equal to the maximum settlement rate, subject to certain exceptions. During the three and six months ended June 30, 2025 and 2024, respectively, no TEUs were converted at the holder's option.</w:t>
      </w:r>
    </w:p>
    <w:p>
      <w:pPr>
        <w:spacing w:after="0" w:line="142" w:lineRule="exact"/>
        <w:rPr>
          <w:sz w:val="20"/>
          <w:szCs w:val="20"/>
          <w:color w:val="auto"/>
        </w:rPr>
      </w:pPr>
    </w:p>
    <w:p>
      <w:pPr>
        <w:ind w:left="640" w:right="699"/>
        <w:spacing w:after="0" w:line="274" w:lineRule="auto"/>
        <w:rPr>
          <w:sz w:val="20"/>
          <w:szCs w:val="20"/>
          <w:color w:val="auto"/>
        </w:rPr>
      </w:pPr>
      <w:r>
        <w:rPr>
          <w:rFonts w:ascii="Times New Roman" w:cs="Times New Roman" w:eastAsia="Times New Roman" w:hAnsi="Times New Roman"/>
          <w:sz w:val="14"/>
          <w:szCs w:val="14"/>
          <w:color w:val="auto"/>
        </w:rPr>
        <w:t>Unless settled earlier at the holder’s option or at the Company's election, each Purchase Contract will, subject to postponement in certain limited circumstances, automatically settle on February 1, 2027 for a number of shares of our common stock, subject to certain anti-dilution adjustments, based upon the 20-day volume-weighted average price (“VWAP”) of our common stock as follows:</w:t>
      </w:r>
    </w:p>
    <w:p>
      <w:pPr>
        <w:spacing w:after="0" w:line="138"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3"/>
                <w:szCs w:val="13"/>
                <w:b w:val="1"/>
                <w:bCs w:val="1"/>
                <w:color w:val="auto"/>
              </w:rPr>
              <w:t>VWAP of BTSG Common Stock</w:t>
            </w:r>
          </w:p>
        </w:tc>
        <w:tc>
          <w:tcPr>
            <w:tcW w:w="80" w:type="dxa"/>
            <w:vAlign w:val="bottom"/>
          </w:tcPr>
          <w:p>
            <w:pPr>
              <w:spacing w:after="0"/>
              <w:rPr>
                <w:sz w:val="14"/>
                <w:szCs w:val="14"/>
                <w:color w:val="auto"/>
              </w:rPr>
            </w:pPr>
          </w:p>
        </w:tc>
        <w:tc>
          <w:tcPr>
            <w:tcW w:w="32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3"/>
                <w:szCs w:val="13"/>
                <w:b w:val="1"/>
                <w:bCs w:val="1"/>
                <w:color w:val="auto"/>
              </w:rPr>
              <w:t>Common Stock Issued</w:t>
            </w:r>
          </w:p>
        </w:tc>
      </w:tr>
      <w:tr>
        <w:trPr>
          <w:trHeight w:val="165"/>
        </w:trPr>
        <w:tc>
          <w:tcPr>
            <w:tcW w:w="20" w:type="dxa"/>
            <w:vAlign w:val="bottom"/>
          </w:tcPr>
          <w:p>
            <w:pPr>
              <w:spacing w:after="0"/>
              <w:rPr>
                <w:sz w:val="14"/>
                <w:szCs w:val="14"/>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Greater than $15.28</w:t>
            </w:r>
          </w:p>
        </w:tc>
        <w:tc>
          <w:tcPr>
            <w:tcW w:w="80" w:type="dxa"/>
            <w:vAlign w:val="bottom"/>
            <w:shd w:val="clear" w:color="auto" w:fill="CFF0FC"/>
          </w:tcPr>
          <w:p>
            <w:pPr>
              <w:spacing w:after="0"/>
              <w:rPr>
                <w:sz w:val="14"/>
                <w:szCs w:val="14"/>
                <w:color w:val="auto"/>
              </w:rPr>
            </w:pPr>
          </w:p>
        </w:tc>
        <w:tc>
          <w:tcPr>
            <w:tcW w:w="3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3.2733 shares (minimum settlement rate)</w:t>
            </w:r>
          </w:p>
        </w:tc>
      </w:tr>
      <w:tr>
        <w:trPr>
          <w:trHeight w:val="172"/>
        </w:trPr>
        <w:tc>
          <w:tcPr>
            <w:tcW w:w="20" w:type="dxa"/>
            <w:vAlign w:val="bottom"/>
          </w:tcPr>
          <w:p>
            <w:pPr>
              <w:spacing w:after="0"/>
              <w:rPr>
                <w:sz w:val="14"/>
                <w:szCs w:val="14"/>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Equal to or less than $15.28 but greater than or equal to $13.00</w:t>
            </w:r>
          </w:p>
        </w:tc>
        <w:tc>
          <w:tcPr>
            <w:tcW w:w="80" w:type="dxa"/>
            <w:vAlign w:val="bottom"/>
          </w:tcPr>
          <w:p>
            <w:pPr>
              <w:spacing w:after="0"/>
              <w:rPr>
                <w:sz w:val="14"/>
                <w:szCs w:val="14"/>
                <w:color w:val="auto"/>
              </w:rPr>
            </w:pPr>
          </w:p>
        </w:tc>
        <w:tc>
          <w:tcPr>
            <w:tcW w:w="3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$50 divided by VWAP</w:t>
            </w:r>
          </w:p>
        </w:tc>
      </w:tr>
      <w:tr>
        <w:trPr>
          <w:trHeight w:val="172"/>
        </w:trPr>
        <w:tc>
          <w:tcPr>
            <w:tcW w:w="20" w:type="dxa"/>
            <w:vAlign w:val="bottom"/>
          </w:tcPr>
          <w:p>
            <w:pPr>
              <w:spacing w:after="0"/>
              <w:rPr>
                <w:sz w:val="14"/>
                <w:szCs w:val="14"/>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than $13.00</w:t>
            </w:r>
          </w:p>
        </w:tc>
        <w:tc>
          <w:tcPr>
            <w:tcW w:w="80" w:type="dxa"/>
            <w:vAlign w:val="bottom"/>
            <w:shd w:val="clear" w:color="auto" w:fill="CFF0FC"/>
          </w:tcPr>
          <w:p>
            <w:pPr>
              <w:spacing w:after="0"/>
              <w:rPr>
                <w:sz w:val="14"/>
                <w:szCs w:val="14"/>
                <w:color w:val="auto"/>
              </w:rPr>
            </w:pPr>
          </w:p>
        </w:tc>
        <w:tc>
          <w:tcPr>
            <w:tcW w:w="3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3.8461 shares (maximum settlement rate)</w:t>
            </w:r>
          </w:p>
        </w:tc>
      </w:tr>
    </w:tbl>
    <w:p>
      <w:pPr>
        <w:spacing w:after="0" w:line="157" w:lineRule="exact"/>
        <w:rPr>
          <w:sz w:val="20"/>
          <w:szCs w:val="20"/>
          <w:color w:val="auto"/>
        </w:rPr>
      </w:pPr>
    </w:p>
    <w:p>
      <w:pPr>
        <w:ind w:left="640" w:right="799"/>
        <w:spacing w:after="0" w:line="263" w:lineRule="auto"/>
        <w:rPr>
          <w:sz w:val="20"/>
          <w:szCs w:val="20"/>
          <w:color w:val="auto"/>
        </w:rPr>
      </w:pPr>
      <w:r>
        <w:rPr>
          <w:rFonts w:ascii="Times New Roman" w:cs="Times New Roman" w:eastAsia="Times New Roman" w:hAnsi="Times New Roman"/>
          <w:sz w:val="14"/>
          <w:szCs w:val="14"/>
          <w:color w:val="auto"/>
        </w:rPr>
        <w:t>The Purchase Contracts are mandatorily convertible into a minimum of 26.2 million shares or a maximum of 30.8 million shares of our common stock on the mandatory settlement date (unless redeemed by us or settled earlier at the unit holder's option). The 26.2 million minimum shares are included in the calculation of basic weighted average shares outstanding. The difference between the minimum and maximum shares represents potentially dilutive securities, which are included in the calculation of diluted weighted average shares outstanding to the extent that the average applicable market value is equal to or greater than $13.00 but is less than or equal to $15.28 during the period (see Note 10).</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8. Income Taxes</w:t>
      </w:r>
    </w:p>
    <w:p>
      <w:pPr>
        <w:spacing w:after="0" w:line="185" w:lineRule="exact"/>
        <w:rPr>
          <w:sz w:val="20"/>
          <w:szCs w:val="20"/>
          <w:color w:val="auto"/>
        </w:rPr>
      </w:pPr>
    </w:p>
    <w:p>
      <w:pPr>
        <w:ind w:left="640" w:right="799"/>
        <w:spacing w:after="0" w:line="274" w:lineRule="auto"/>
        <w:rPr>
          <w:sz w:val="20"/>
          <w:szCs w:val="20"/>
          <w:color w:val="auto"/>
        </w:rPr>
      </w:pPr>
      <w:r>
        <w:rPr>
          <w:rFonts w:ascii="Times New Roman" w:cs="Times New Roman" w:eastAsia="Times New Roman" w:hAnsi="Times New Roman"/>
          <w:sz w:val="14"/>
          <w:szCs w:val="14"/>
          <w:color w:val="auto"/>
        </w:rPr>
        <w:t>The provision for income taxes is attributable to U.S federal, state, and foreign income taxes. The Company’s effective tax rate used for interim periods is based on an estimated annual effective tax rate and includes the tax effect of items required to be recorded discretely in the interim periods in which those items occur.</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A reconciliation of the Company’s effective tax rate is as follows:</w:t>
      </w:r>
    </w:p>
    <w:p>
      <w:pPr>
        <w:spacing w:after="0" w:line="170"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3740" w:type="dxa"/>
            <w:vAlign w:val="bottom"/>
          </w:tcPr>
          <w:p>
            <w:pPr>
              <w:spacing w:after="0"/>
              <w:rPr>
                <w:sz w:val="10"/>
                <w:szCs w:val="10"/>
                <w:color w:val="auto"/>
              </w:rPr>
            </w:pPr>
          </w:p>
        </w:tc>
        <w:tc>
          <w:tcPr>
            <w:tcW w:w="2040" w:type="dxa"/>
            <w:vAlign w:val="bottom"/>
            <w:gridSpan w:val="5"/>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1960" w:type="dxa"/>
            <w:vAlign w:val="bottom"/>
            <w:gridSpan w:val="5"/>
          </w:tcPr>
          <w:p>
            <w:pPr>
              <w:ind w:left="260"/>
              <w:spacing w:after="0"/>
              <w:rPr>
                <w:sz w:val="20"/>
                <w:szCs w:val="20"/>
                <w:color w:val="auto"/>
              </w:rPr>
            </w:pPr>
            <w:r>
              <w:rPr>
                <w:rFonts w:ascii="Times New Roman" w:cs="Times New Roman" w:eastAsia="Times New Roman" w:hAnsi="Times New Roman"/>
                <w:sz w:val="11"/>
                <w:szCs w:val="11"/>
                <w:b w:val="1"/>
                <w:bCs w:val="1"/>
                <w:color w:val="auto"/>
              </w:rPr>
              <w:t>For the Six Months Ended</w:t>
            </w:r>
          </w:p>
        </w:tc>
      </w:tr>
      <w:tr>
        <w:trPr>
          <w:trHeight w:val="137"/>
        </w:trPr>
        <w:tc>
          <w:tcPr>
            <w:tcW w:w="3740" w:type="dxa"/>
            <w:vAlign w:val="bottom"/>
          </w:tcPr>
          <w:p>
            <w:pPr>
              <w:spacing w:after="0"/>
              <w:rPr>
                <w:sz w:val="11"/>
                <w:szCs w:val="11"/>
                <w:color w:val="auto"/>
              </w:rPr>
            </w:pPr>
          </w:p>
        </w:tc>
        <w:tc>
          <w:tcPr>
            <w:tcW w:w="1200" w:type="dxa"/>
            <w:vAlign w:val="bottom"/>
            <w:tcBorders>
              <w:bottom w:val="single" w:sz="8" w:color="auto"/>
            </w:tcBorders>
            <w:gridSpan w:val="3"/>
          </w:tcPr>
          <w:p>
            <w:pPr>
              <w:jc w:val="center"/>
              <w:ind w:left="516"/>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09"/>
        </w:trPr>
        <w:tc>
          <w:tcPr>
            <w:tcW w:w="3740" w:type="dxa"/>
            <w:vAlign w:val="bottom"/>
          </w:tcPr>
          <w:p>
            <w:pPr>
              <w:spacing w:after="0"/>
              <w:rPr>
                <w:sz w:val="9"/>
                <w:szCs w:val="9"/>
                <w:color w:val="auto"/>
              </w:rPr>
            </w:pPr>
          </w:p>
        </w:tc>
        <w:tc>
          <w:tcPr>
            <w:tcW w:w="760" w:type="dxa"/>
            <w:vAlign w:val="bottom"/>
            <w:tcBorders>
              <w:bottom w:val="single" w:sz="8" w:color="auto"/>
            </w:tcBorders>
          </w:tcPr>
          <w:p>
            <w:pPr>
              <w:jc w:val="right"/>
              <w:ind w:right="196"/>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192"/>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260" w:type="dxa"/>
            <w:vAlign w:val="bottom"/>
          </w:tcPr>
          <w:p>
            <w:pPr>
              <w:spacing w:after="0"/>
              <w:rPr>
                <w:sz w:val="9"/>
                <w:szCs w:val="9"/>
                <w:color w:val="auto"/>
              </w:rPr>
            </w:pPr>
          </w:p>
        </w:tc>
        <w:tc>
          <w:tcPr>
            <w:tcW w:w="760" w:type="dxa"/>
            <w:vAlign w:val="bottom"/>
            <w:tcBorders>
              <w:bottom w:val="single" w:sz="8" w:color="auto"/>
            </w:tcBorders>
          </w:tcPr>
          <w:p>
            <w:pPr>
              <w:ind w:left="26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32"/>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Pr>
          <w:p>
            <w:pPr>
              <w:spacing w:after="0"/>
              <w:rPr>
                <w:sz w:val="9"/>
                <w:szCs w:val="9"/>
                <w:color w:val="auto"/>
              </w:rPr>
            </w:pPr>
          </w:p>
        </w:tc>
      </w:tr>
      <w:tr>
        <w:trPr>
          <w:trHeight w:val="163"/>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Estimated annual effective tax rate before discrete items</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27.1%</w:t>
            </w: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(102.7)%</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26.4%</w:t>
            </w:r>
          </w:p>
        </w:tc>
        <w:tc>
          <w:tcPr>
            <w:tcW w:w="1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30.5%</w:t>
            </w:r>
          </w:p>
        </w:tc>
      </w:tr>
      <w:tr>
        <w:trPr>
          <w:trHeight w:val="172"/>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Discrete items recognized</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(14.4)%</w:t>
            </w:r>
          </w:p>
        </w:tc>
        <w:tc>
          <w:tcPr>
            <w:tcW w:w="1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386.0%</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(21.1)%</w:t>
            </w:r>
          </w:p>
        </w:tc>
        <w:tc>
          <w:tcPr>
            <w:tcW w:w="18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15.0%</w:t>
            </w:r>
          </w:p>
        </w:tc>
      </w:tr>
      <w:tr>
        <w:trPr>
          <w:trHeight w:val="20"/>
        </w:trPr>
        <w:tc>
          <w:tcPr>
            <w:tcW w:w="37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Effective tax rate recognized in the statements of operations</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12.7%</w:t>
            </w:r>
          </w:p>
        </w:tc>
        <w:tc>
          <w:tcPr>
            <w:tcW w:w="1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283.3%</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5.3%</w:t>
            </w:r>
          </w:p>
        </w:tc>
        <w:tc>
          <w:tcPr>
            <w:tcW w:w="1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45.5%</w:t>
            </w:r>
          </w:p>
        </w:tc>
      </w:tr>
      <w:tr>
        <w:trPr>
          <w:trHeight w:val="20"/>
        </w:trPr>
        <w:tc>
          <w:tcPr>
            <w:tcW w:w="37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3268980</wp:posOffset>
            </wp:positionH>
            <wp:positionV relativeFrom="paragraph">
              <wp:posOffset>-19685</wp:posOffset>
            </wp:positionV>
            <wp:extent cx="116205"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3268980</wp:posOffset>
            </wp:positionH>
            <wp:positionV relativeFrom="paragraph">
              <wp:posOffset>-6350</wp:posOffset>
            </wp:positionV>
            <wp:extent cx="116205"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3917315</wp:posOffset>
            </wp:positionH>
            <wp:positionV relativeFrom="paragraph">
              <wp:posOffset>-19685</wp:posOffset>
            </wp:positionV>
            <wp:extent cx="116205"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3917315</wp:posOffset>
            </wp:positionH>
            <wp:positionV relativeFrom="paragraph">
              <wp:posOffset>-6350</wp:posOffset>
            </wp:positionV>
            <wp:extent cx="116205"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4565015</wp:posOffset>
            </wp:positionH>
            <wp:positionV relativeFrom="paragraph">
              <wp:posOffset>-19685</wp:posOffset>
            </wp:positionV>
            <wp:extent cx="116205"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4565015</wp:posOffset>
            </wp:positionH>
            <wp:positionV relativeFrom="paragraph">
              <wp:posOffset>-6350</wp:posOffset>
            </wp:positionV>
            <wp:extent cx="116205"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-19685</wp:posOffset>
            </wp:positionV>
            <wp:extent cx="88900"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-6350</wp:posOffset>
            </wp:positionV>
            <wp:extent cx="88900"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0" cy="6985"/>
                    </a:xfrm>
                    <a:prstGeom prst="rect">
                      <a:avLst/>
                    </a:prstGeom>
                    <a:noFill/>
                  </pic:spPr>
                </pic:pic>
              </a:graphicData>
            </a:graphic>
          </wp:anchor>
        </w:drawing>
      </w:r>
    </w:p>
    <w:p>
      <w:pPr>
        <w:spacing w:after="0" w:line="137" w:lineRule="exact"/>
        <w:rPr>
          <w:sz w:val="20"/>
          <w:szCs w:val="20"/>
          <w:color w:val="auto"/>
        </w:rPr>
      </w:pPr>
    </w:p>
    <w:p>
      <w:pPr>
        <w:ind w:left="640" w:right="659"/>
        <w:spacing w:after="0" w:line="265" w:lineRule="auto"/>
        <w:rPr>
          <w:sz w:val="20"/>
          <w:szCs w:val="20"/>
          <w:color w:val="auto"/>
        </w:rPr>
      </w:pPr>
      <w:r>
        <w:rPr>
          <w:rFonts w:ascii="Times New Roman" w:cs="Times New Roman" w:eastAsia="Times New Roman" w:hAnsi="Times New Roman"/>
          <w:sz w:val="14"/>
          <w:szCs w:val="14"/>
          <w:color w:val="auto"/>
        </w:rPr>
        <w:t>During the three months ended June 30, 2025, the Company’s effective tax rate was lower than the U.S. federal income tax rate, primarily as a result of including $1.4 million in tax benefits resulting from the recognition of excess tax benefits from share-based compensation. During the three months ended June 30, 2024, the Company's effective tax rate was higher than the U.S. federal income tax rate, primarily as a result of the discrete tax benefit on pre-tax book losses related to the Silver matter which was determined to be partially deductible upon finalization of the agreement.</w:t>
      </w:r>
    </w:p>
    <w:p>
      <w:pPr>
        <w:spacing w:after="0" w:line="142" w:lineRule="exact"/>
        <w:rPr>
          <w:sz w:val="20"/>
          <w:szCs w:val="20"/>
          <w:color w:val="auto"/>
        </w:rPr>
      </w:pPr>
    </w:p>
    <w:p>
      <w:pPr>
        <w:ind w:left="640" w:right="879"/>
        <w:spacing w:after="0" w:line="292" w:lineRule="auto"/>
        <w:rPr>
          <w:sz w:val="20"/>
          <w:szCs w:val="20"/>
          <w:color w:val="auto"/>
        </w:rPr>
      </w:pPr>
      <w:r>
        <w:rPr>
          <w:rFonts w:ascii="Times New Roman" w:cs="Times New Roman" w:eastAsia="Times New Roman" w:hAnsi="Times New Roman"/>
          <w:sz w:val="14"/>
          <w:szCs w:val="14"/>
          <w:color w:val="auto"/>
        </w:rPr>
        <w:t>During the six months ended June 30, 2025, the Company's effective tax rate was lower than the U.S. federal income tax rate, primarily as a result of including $3.7 million in tax benefits resulting from the recognition of excess tax benefits from share-based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21" w:name="page22"/>
    <w:bookmarkEnd w:id="21"/>
    <w:p>
      <w:pPr>
        <w:ind w:left="640" w:right="659"/>
        <w:spacing w:after="0" w:line="268" w:lineRule="auto"/>
        <w:rPr>
          <w:sz w:val="20"/>
          <w:szCs w:val="20"/>
          <w:color w:val="auto"/>
        </w:rPr>
      </w:pPr>
      <w:r>
        <w:rPr>
          <w:rFonts w:ascii="Times New Roman" w:cs="Times New Roman" w:eastAsia="Times New Roman" w:hAnsi="Times New Roman"/>
          <w:sz w:val="14"/>
          <w:szCs w:val="14"/>
          <w:color w:val="auto"/>
        </w:rPr>
        <w:t>compensation. During the six months ended June 30, 2024, the Company’s effective tax rate was higher than the U.S. federal income tax rate, primarily as a result of limitations on the deductibility of certain executive compensation that now apply to the Company after the IPO Offerings, which were completed in January 2024. In addition, the discrete tax benefit related to the Silver matter increased the effective tax rate on pre-tax book losses to date.</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See Note 13 for further discussion of the Silver matter.</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9. Detail of Certain Balance Sheet Accounts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Prepaid expenses and other current assets consist of the following (in thousands):</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5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June 30, 2025</w:t>
            </w: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6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Rebate receivable</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41,397</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49,538</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Non-trade receivables</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27,324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45,428</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tax receivable</w:t>
            </w:r>
          </w:p>
        </w:tc>
        <w:tc>
          <w:tcPr>
            <w:tcW w:w="13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16,216</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13,468</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Inventory returns receivable</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11,245</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Prepaid maintenance</w:t>
            </w:r>
          </w:p>
        </w:tc>
        <w:tc>
          <w:tcPr>
            <w:tcW w:w="13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5,161</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3,644</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Prepaid insurance</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13,892</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rate swaps</w:t>
            </w:r>
          </w:p>
        </w:tc>
        <w:tc>
          <w:tcPr>
            <w:tcW w:w="13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4,311</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10,633</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Other prepaid expenses and current assets</w:t>
            </w:r>
          </w:p>
        </w:tc>
        <w:tc>
          <w:tcPr>
            <w:tcW w:w="1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17,614</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13,462</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prepaid expenses and other current assets</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129,248</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161,310</w:t>
            </w:r>
          </w:p>
        </w:tc>
        <w:tc>
          <w:tcPr>
            <w:tcW w:w="8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56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40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Other assets consist of the following (in thousands):</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June 30, 2025</w:t>
            </w: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6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Notes receivable</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8,457</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8,577</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Insurance recoveries</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7,564</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Cloud computing</w:t>
            </w:r>
          </w:p>
        </w:tc>
        <w:tc>
          <w:tcPr>
            <w:tcW w:w="13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6,313</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7,362</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Deposits</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6,733</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Deferred debt issuance costs</w:t>
            </w:r>
          </w:p>
        </w:tc>
        <w:tc>
          <w:tcPr>
            <w:tcW w:w="13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2,117</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2,470</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Equity method investments</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3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5,232</w:t>
            </w: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5,752</w:t>
            </w:r>
          </w:p>
        </w:tc>
        <w:tc>
          <w:tcPr>
            <w:tcW w:w="80" w:type="dxa"/>
            <w:vAlign w:val="bottom"/>
            <w:tcBorders>
              <w:bottom w:val="single" w:sz="8" w:color="CFF0FC"/>
            </w:tcBorders>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Total other assets</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36,162</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39,128</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Accrued expenses consist of the following (in thousands):</w:t>
            </w:r>
          </w:p>
        </w:tc>
        <w:tc>
          <w:tcPr>
            <w:tcW w:w="1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408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June 30, 2025</w:t>
            </w: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6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Wages and payroll taxes</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86,600</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98,245</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Compensated absences</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26,692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24,360</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Workers compensation insurance reserves</w:t>
            </w:r>
          </w:p>
        </w:tc>
        <w:tc>
          <w:tcPr>
            <w:tcW w:w="13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23,963</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19,966</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Health insurance reserves</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14,934</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Checks in excess of cash balance</w:t>
            </w:r>
          </w:p>
        </w:tc>
        <w:tc>
          <w:tcPr>
            <w:tcW w:w="13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19,060</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27,643</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Property insurance reserves</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9,879</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Deferred revenue</w:t>
            </w:r>
          </w:p>
        </w:tc>
        <w:tc>
          <w:tcPr>
            <w:tcW w:w="13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8,232</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10,196</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General and professional liability insurance reserves</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8,328</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Contingent consideration</w:t>
            </w:r>
          </w:p>
        </w:tc>
        <w:tc>
          <w:tcPr>
            <w:tcW w:w="13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4,139</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3,136</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Automobile insurance reserves</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21,353</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Legal settlements and professional fees</w:t>
            </w:r>
          </w:p>
        </w:tc>
        <w:tc>
          <w:tcPr>
            <w:tcW w:w="13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3,185</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13,982</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Taxes other than income taxes</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1,985</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w:t>
            </w:r>
          </w:p>
        </w:tc>
        <w:tc>
          <w:tcPr>
            <w:tcW w:w="13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1,722</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8,779</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35,150</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32,960</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accrued expenses</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252,828</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295,746</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7"/>
        </w:trPr>
        <w:tc>
          <w:tcPr>
            <w:tcW w:w="520" w:type="dxa"/>
            <w:vAlign w:val="bottom"/>
          </w:tcPr>
          <w:p>
            <w:pPr>
              <w:spacing w:after="0"/>
              <w:rPr>
                <w:sz w:val="24"/>
                <w:szCs w:val="24"/>
                <w:color w:val="auto"/>
              </w:rPr>
            </w:pPr>
          </w:p>
        </w:tc>
        <w:tc>
          <w:tcPr>
            <w:tcW w:w="3560" w:type="dxa"/>
            <w:vAlign w:val="bottom"/>
            <w:tcBorders>
              <w:top w:val="single" w:sz="8" w:color="CFF0FC"/>
            </w:tcBorders>
          </w:tcPr>
          <w:p>
            <w:pPr>
              <w:spacing w:after="0"/>
              <w:rPr>
                <w:sz w:val="24"/>
                <w:szCs w:val="24"/>
                <w:color w:val="auto"/>
              </w:rPr>
            </w:pPr>
          </w:p>
        </w:tc>
        <w:tc>
          <w:tcPr>
            <w:tcW w:w="1360" w:type="dxa"/>
            <w:vAlign w:val="bottom"/>
            <w:tcBorders>
              <w:top w:val="single" w:sz="8" w:color="CFF0FC"/>
            </w:tcBorders>
          </w:tcPr>
          <w:p>
            <w:pPr>
              <w:jc w:val="right"/>
              <w:ind w:right="908"/>
              <w:spacing w:after="0"/>
              <w:rPr>
                <w:sz w:val="20"/>
                <w:szCs w:val="20"/>
                <w:color w:val="auto"/>
              </w:rPr>
            </w:pPr>
            <w:r>
              <w:rPr>
                <w:rFonts w:ascii="Times New Roman" w:cs="Times New Roman" w:eastAsia="Times New Roman" w:hAnsi="Times New Roman"/>
                <w:sz w:val="14"/>
                <w:szCs w:val="14"/>
                <w:color w:val="auto"/>
              </w:rPr>
              <w:t>20</w:t>
            </w: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4339590</wp:posOffset>
            </wp:positionH>
            <wp:positionV relativeFrom="paragraph">
              <wp:posOffset>-4124960</wp:posOffset>
            </wp:positionV>
            <wp:extent cx="47625"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4339590</wp:posOffset>
            </wp:positionH>
            <wp:positionV relativeFrom="paragraph">
              <wp:posOffset>-4111625</wp:posOffset>
            </wp:positionV>
            <wp:extent cx="47625"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-4124960</wp:posOffset>
            </wp:positionV>
            <wp:extent cx="47625"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-4111625</wp:posOffset>
            </wp:positionV>
            <wp:extent cx="47625"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4339590</wp:posOffset>
            </wp:positionH>
            <wp:positionV relativeFrom="paragraph">
              <wp:posOffset>-2931795</wp:posOffset>
            </wp:positionV>
            <wp:extent cx="47625"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-2931795</wp:posOffset>
            </wp:positionV>
            <wp:extent cx="47625"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4339590</wp:posOffset>
            </wp:positionH>
            <wp:positionV relativeFrom="paragraph">
              <wp:posOffset>-742950</wp:posOffset>
            </wp:positionV>
            <wp:extent cx="47625"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4339590</wp:posOffset>
            </wp:positionH>
            <wp:positionV relativeFrom="paragraph">
              <wp:posOffset>-728980</wp:posOffset>
            </wp:positionV>
            <wp:extent cx="47625"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-742950</wp:posOffset>
            </wp:positionV>
            <wp:extent cx="47625"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-728980</wp:posOffset>
            </wp:positionV>
            <wp:extent cx="47625"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22" w:name="page23"/>
    <w:bookmarkEnd w:id="22"/>
    <w:p>
      <w:pPr>
        <w:ind w:left="640"/>
        <w:spacing w:after="0"/>
        <w:rPr>
          <w:sz w:val="20"/>
          <w:szCs w:val="20"/>
          <w:color w:val="auto"/>
        </w:rPr>
      </w:pPr>
      <w:r>
        <w:rPr>
          <w:rFonts w:ascii="Times New Roman" w:cs="Times New Roman" w:eastAsia="Times New Roman" w:hAnsi="Times New Roman"/>
          <w:sz w:val="14"/>
          <w:szCs w:val="14"/>
          <w:color w:val="auto"/>
        </w:rPr>
        <w:t>Long-term liabilities consist of the following (in thousands):</w:t>
      </w:r>
    </w:p>
    <w:p>
      <w:pPr>
        <w:spacing w:after="0" w:line="199"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June 30, 2025</w:t>
            </w: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80" w:type="dxa"/>
            <w:vAlign w:val="bottom"/>
          </w:tcPr>
          <w:p>
            <w:pPr>
              <w:spacing w:after="0"/>
              <w:rPr>
                <w:sz w:val="11"/>
                <w:szCs w:val="11"/>
                <w:color w:val="auto"/>
              </w:rPr>
            </w:pPr>
          </w:p>
        </w:tc>
      </w:tr>
      <w:tr>
        <w:trPr>
          <w:trHeight w:val="163"/>
        </w:trPr>
        <w:tc>
          <w:tcPr>
            <w:tcW w:w="20" w:type="dxa"/>
            <w:vAlign w:val="bottom"/>
          </w:tcPr>
          <w:p>
            <w:pPr>
              <w:spacing w:after="0"/>
              <w:rPr>
                <w:sz w:val="14"/>
                <w:szCs w:val="14"/>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Workers compensation insurance reserves</w:t>
            </w:r>
          </w:p>
        </w:tc>
        <w:tc>
          <w:tcPr>
            <w:tcW w:w="1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25,326</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25,360</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General and professional liability insurance reserves</w:t>
            </w: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23,283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21,182</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Automobile insurance reserves</w:t>
            </w: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8,815</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9,034</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Contingent consideration</w:t>
            </w: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5,250</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Employee incentives</w:t>
            </w: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3,493</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3,993</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Interest rate swaps</w:t>
            </w: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0" w:type="dxa"/>
            <w:vAlign w:val="bottom"/>
          </w:tcPr>
          <w:p>
            <w:pPr>
              <w:spacing w:after="0"/>
              <w:rPr>
                <w:sz w:val="14"/>
                <w:szCs w:val="14"/>
                <w:color w:val="auto"/>
              </w:rPr>
            </w:pPr>
          </w:p>
        </w:tc>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6,873</w:t>
            </w: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6,371</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74,107</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71,190</w:t>
            </w:r>
          </w:p>
        </w:tc>
        <w:tc>
          <w:tcPr>
            <w:tcW w:w="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4339590</wp:posOffset>
            </wp:positionH>
            <wp:positionV relativeFrom="paragraph">
              <wp:posOffset>-135890</wp:posOffset>
            </wp:positionV>
            <wp:extent cx="47625"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3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10. Earnings Per Share (“EPS”)</w:t>
      </w:r>
    </w:p>
    <w:p>
      <w:pPr>
        <w:spacing w:after="0" w:line="185" w:lineRule="exact"/>
        <w:rPr>
          <w:sz w:val="20"/>
          <w:szCs w:val="20"/>
          <w:color w:val="auto"/>
        </w:rPr>
      </w:pPr>
    </w:p>
    <w:p>
      <w:pPr>
        <w:ind w:left="640" w:right="679"/>
        <w:spacing w:after="0" w:line="263" w:lineRule="auto"/>
        <w:rPr>
          <w:sz w:val="20"/>
          <w:szCs w:val="20"/>
          <w:color w:val="auto"/>
        </w:rPr>
      </w:pPr>
      <w:r>
        <w:rPr>
          <w:rFonts w:ascii="Times New Roman" w:cs="Times New Roman" w:eastAsia="Times New Roman" w:hAnsi="Times New Roman"/>
          <w:sz w:val="14"/>
          <w:szCs w:val="14"/>
          <w:color w:val="auto"/>
        </w:rPr>
        <w:t>Basic net income (loss) per share excludes dilution and is reported separately for continuing operations and discontinued operations. Basic net income (loss) per share of common stock for continuing operations and discontinued operations is calculated by dividing net income (loss) from continuing operations and discontinued operations attributable to common shareholders by the weighted average number of shares outstanding for the reporting period. Diluted net income (loss) per share of common stock is computed by giving effect to all potential weighted average dilutive common stock. In periods of net loss, no potentially dilutive common shares are included in the diluted shares outstanding as the effect is anti-dilutive.</w:t>
      </w:r>
    </w:p>
    <w:p>
      <w:pPr>
        <w:spacing w:after="0" w:line="58" w:lineRule="exact"/>
        <w:rPr>
          <w:sz w:val="20"/>
          <w:szCs w:val="20"/>
          <w:color w:val="auto"/>
        </w:rPr>
      </w:pPr>
    </w:p>
    <w:p>
      <w:pPr>
        <w:ind w:left="640" w:right="939"/>
        <w:spacing w:after="0" w:line="292" w:lineRule="auto"/>
        <w:rPr>
          <w:sz w:val="20"/>
          <w:szCs w:val="20"/>
          <w:color w:val="auto"/>
        </w:rPr>
      </w:pPr>
      <w:r>
        <w:rPr>
          <w:rFonts w:ascii="Times New Roman" w:cs="Times New Roman" w:eastAsia="Times New Roman" w:hAnsi="Times New Roman"/>
          <w:sz w:val="14"/>
          <w:szCs w:val="14"/>
          <w:color w:val="auto"/>
        </w:rPr>
        <w:t>The number of additional shares of common stock related to restricted stock units (“RSUs”) and stock option awards is calculated using the treasury stock method, if dilutive.</w:t>
      </w:r>
    </w:p>
    <w:p>
      <w:pPr>
        <w:spacing w:after="0" w:line="38" w:lineRule="exact"/>
        <w:rPr>
          <w:sz w:val="20"/>
          <w:szCs w:val="20"/>
          <w:color w:val="auto"/>
        </w:rPr>
      </w:pPr>
    </w:p>
    <w:p>
      <w:pPr>
        <w:ind w:left="640" w:right="699"/>
        <w:spacing w:after="0" w:line="263" w:lineRule="auto"/>
        <w:rPr>
          <w:sz w:val="20"/>
          <w:szCs w:val="20"/>
          <w:color w:val="auto"/>
        </w:rPr>
      </w:pPr>
      <w:r>
        <w:rPr>
          <w:rFonts w:ascii="Times New Roman" w:cs="Times New Roman" w:eastAsia="Times New Roman" w:hAnsi="Times New Roman"/>
          <w:sz w:val="14"/>
          <w:szCs w:val="14"/>
          <w:color w:val="auto"/>
        </w:rPr>
        <w:t>For the three and six months ended June 30, 2025 and 2024, the TEUs were assumed to be outstanding at the minimum settlement amount for weighted-average shares for basic EPS. For the three and six months ended June 30, 2025, the Company's average applicable market value was greater than $15.28, resulting in no dilutive impact to EPS for TEUs. For the three and six months ended June 30, 2024, the Company's average applicable market value was less than $13.00. Thus, the TEUs were assumed to be settled at a conversion factor based on the maximum settlement amount of 3.8461 shares per Purchase Contract, if dilutive. See Note 7 for further discussion of TEUs.</w:t>
      </w:r>
    </w:p>
    <w:p>
      <w:pPr>
        <w:spacing w:after="0" w:line="58" w:lineRule="exact"/>
        <w:rPr>
          <w:sz w:val="20"/>
          <w:szCs w:val="20"/>
          <w:color w:val="auto"/>
        </w:rPr>
      </w:pPr>
    </w:p>
    <w:p>
      <w:pPr>
        <w:ind w:left="640" w:right="659"/>
        <w:spacing w:after="0" w:line="292" w:lineRule="auto"/>
        <w:rPr>
          <w:sz w:val="20"/>
          <w:szCs w:val="20"/>
          <w:color w:val="auto"/>
        </w:rPr>
      </w:pPr>
      <w:r>
        <w:rPr>
          <w:rFonts w:ascii="Times New Roman" w:cs="Times New Roman" w:eastAsia="Times New Roman" w:hAnsi="Times New Roman"/>
          <w:sz w:val="14"/>
          <w:szCs w:val="14"/>
          <w:color w:val="auto"/>
        </w:rPr>
        <w:t>The following table sets forth the computation of basic and diluted net income (loss) per share attributable to common shareholders (in thousands, except per share amounts):</w:t>
      </w:r>
    </w:p>
    <w:p>
      <w:pPr>
        <w:spacing w:after="0" w:line="111"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5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40" w:type="dxa"/>
            <w:vAlign w:val="bottom"/>
            <w:gridSpan w:val="6"/>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0" w:type="dxa"/>
            <w:vAlign w:val="bottom"/>
            <w:gridSpan w:val="7"/>
          </w:tcPr>
          <w:p>
            <w:pPr>
              <w:ind w:left="60"/>
              <w:spacing w:after="0"/>
              <w:rPr>
                <w:sz w:val="20"/>
                <w:szCs w:val="20"/>
                <w:color w:val="auto"/>
              </w:rPr>
            </w:pPr>
            <w:r>
              <w:rPr>
                <w:rFonts w:ascii="Times New Roman" w:cs="Times New Roman" w:eastAsia="Times New Roman" w:hAnsi="Times New Roman"/>
                <w:sz w:val="11"/>
                <w:szCs w:val="11"/>
                <w:b w:val="1"/>
                <w:bCs w:val="1"/>
                <w:color w:val="auto"/>
              </w:rPr>
              <w:t>For the Six Months Ended</w:t>
            </w:r>
          </w:p>
        </w:tc>
        <w:tc>
          <w:tcPr>
            <w:tcW w:w="0" w:type="dxa"/>
            <w:vAlign w:val="bottom"/>
          </w:tcPr>
          <w:p>
            <w:pPr>
              <w:spacing w:after="0"/>
              <w:rPr>
                <w:sz w:val="1"/>
                <w:szCs w:val="1"/>
                <w:color w:val="auto"/>
              </w:rPr>
            </w:pPr>
          </w:p>
        </w:tc>
      </w:tr>
      <w:tr>
        <w:trPr>
          <w:trHeight w:val="137"/>
        </w:trPr>
        <w:tc>
          <w:tcPr>
            <w:tcW w:w="5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5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1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21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1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23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i w:val="1"/>
                <w:iCs w:val="1"/>
                <w:color w:val="auto"/>
              </w:rPr>
              <w:t>Numerator:</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 from continuing operations</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8,541</w:t>
            </w:r>
          </w:p>
        </w:tc>
        <w:tc>
          <w:tcPr>
            <w:tcW w:w="120" w:type="dxa"/>
            <w:vAlign w:val="bottom"/>
          </w:tcPr>
          <w:p>
            <w:pPr>
              <w:spacing w:after="0"/>
              <w:rPr>
                <w:sz w:val="14"/>
                <w:szCs w:val="14"/>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8,486</w:t>
            </w:r>
          </w:p>
        </w:tc>
        <w:tc>
          <w:tcPr>
            <w:tcW w:w="100" w:type="dxa"/>
            <w:vAlign w:val="bottom"/>
          </w:tcPr>
          <w:p>
            <w:pPr>
              <w:spacing w:after="0"/>
              <w:rPr>
                <w:sz w:val="14"/>
                <w:szCs w:val="14"/>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17,757</w:t>
            </w:r>
          </w:p>
        </w:tc>
        <w:tc>
          <w:tcPr>
            <w:tcW w:w="10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(47,541)</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Less: Net loss attributable to noncontrolling interests</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(666)</w:t>
            </w:r>
          </w:p>
        </w:tc>
        <w:tc>
          <w:tcPr>
            <w:tcW w:w="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(478)</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(1,198)</w:t>
            </w: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(1,113)</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3680" w:type="dxa"/>
            <w:vAlign w:val="bottom"/>
            <w:tcBorders>
              <w:top w:val="single" w:sz="8" w:color="CFF0FC"/>
            </w:tcBorders>
          </w:tcPr>
          <w:p>
            <w:pPr>
              <w:ind w:left="140"/>
              <w:spacing w:after="0" w:line="148" w:lineRule="exact"/>
              <w:rPr>
                <w:sz w:val="20"/>
                <w:szCs w:val="20"/>
                <w:color w:val="auto"/>
              </w:rPr>
            </w:pPr>
            <w:r>
              <w:rPr>
                <w:rFonts w:ascii="Times New Roman" w:cs="Times New Roman" w:eastAsia="Times New Roman" w:hAnsi="Times New Roman"/>
                <w:sz w:val="14"/>
                <w:szCs w:val="14"/>
                <w:color w:val="auto"/>
              </w:rPr>
              <w:t>Net income (loss) from continuing operations attributable to</w:t>
            </w:r>
          </w:p>
        </w:tc>
        <w:tc>
          <w:tcPr>
            <w:tcW w:w="3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4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6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6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20" w:type="dxa"/>
            <w:vAlign w:val="bottom"/>
          </w:tcPr>
          <w:p>
            <w:pPr>
              <w:spacing w:after="0"/>
              <w:rPr>
                <w:sz w:val="16"/>
                <w:szCs w:val="16"/>
                <w:color w:val="auto"/>
              </w:rPr>
            </w:pPr>
          </w:p>
        </w:tc>
        <w:tc>
          <w:tcPr>
            <w:tcW w:w="3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common shareholders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9,207</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8,964</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18,955</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(46,428)</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6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Net income from discontinued operations</w:t>
            </w:r>
          </w:p>
        </w:tc>
        <w:tc>
          <w:tcPr>
            <w:tcW w:w="3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19,001</w:t>
            </w:r>
          </w:p>
        </w:tc>
        <w:tc>
          <w:tcPr>
            <w:tcW w:w="12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10,955</w:t>
            </w:r>
          </w:p>
        </w:tc>
        <w:tc>
          <w:tcPr>
            <w:tcW w:w="1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38,795</w:t>
            </w:r>
          </w:p>
        </w:tc>
        <w:tc>
          <w:tcPr>
            <w:tcW w:w="1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20,597</w:t>
            </w:r>
          </w:p>
        </w:tc>
        <w:tc>
          <w:tcPr>
            <w:tcW w:w="80" w:type="dxa"/>
            <w:vAlign w:val="bottom"/>
            <w:tcBorders>
              <w:bottom w:val="single" w:sz="8" w:color="CFF0FC"/>
            </w:tcBorders>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 attributable to common shareholders</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28,208</w:t>
            </w:r>
          </w:p>
        </w:tc>
        <w:tc>
          <w:tcPr>
            <w:tcW w:w="120" w:type="dxa"/>
            <w:vAlign w:val="bottom"/>
          </w:tcPr>
          <w:p>
            <w:pPr>
              <w:spacing w:after="0"/>
              <w:rPr>
                <w:sz w:val="14"/>
                <w:szCs w:val="14"/>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19,919</w:t>
            </w:r>
          </w:p>
        </w:tc>
        <w:tc>
          <w:tcPr>
            <w:tcW w:w="100" w:type="dxa"/>
            <w:vAlign w:val="bottom"/>
          </w:tcPr>
          <w:p>
            <w:pPr>
              <w:spacing w:after="0"/>
              <w:rPr>
                <w:sz w:val="14"/>
                <w:szCs w:val="14"/>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57,750</w:t>
            </w:r>
          </w:p>
        </w:tc>
        <w:tc>
          <w:tcPr>
            <w:tcW w:w="10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(25,831)</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20" w:type="dxa"/>
            <w:vAlign w:val="bottom"/>
            <w:vMerge w:val="restart"/>
          </w:tcPr>
          <w:p>
            <w:pPr>
              <w:spacing w:after="0"/>
              <w:rPr>
                <w:sz w:val="12"/>
                <w:szCs w:val="12"/>
                <w:color w:val="auto"/>
              </w:rPr>
            </w:pPr>
          </w:p>
        </w:tc>
        <w:tc>
          <w:tcPr>
            <w:tcW w:w="36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20" w:type="dxa"/>
            <w:vAlign w:val="bottom"/>
            <w:vMerge w:val="continue"/>
          </w:tcPr>
          <w:p>
            <w:pPr>
              <w:spacing w:after="0"/>
              <w:rPr>
                <w:sz w:val="14"/>
                <w:szCs w:val="1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Denominator: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20" w:type="dxa"/>
            <w:vAlign w:val="bottom"/>
          </w:tcPr>
          <w:p>
            <w:pPr>
              <w:spacing w:after="0"/>
              <w:rPr>
                <w:sz w:val="18"/>
                <w:szCs w:val="18"/>
                <w:color w:val="auto"/>
              </w:rPr>
            </w:pPr>
          </w:p>
        </w:tc>
        <w:tc>
          <w:tcPr>
            <w:tcW w:w="36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Weighted-average shares outstanding - basic</w:t>
            </w:r>
          </w:p>
        </w:tc>
        <w:tc>
          <w:tcPr>
            <w:tcW w:w="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201,807</w:t>
            </w:r>
          </w:p>
        </w:tc>
        <w:tc>
          <w:tcPr>
            <w:tcW w:w="1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197,515</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200,516</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186,523</w:t>
            </w:r>
          </w:p>
        </w:tc>
        <w:tc>
          <w:tcPr>
            <w:tcW w:w="80" w:type="dxa"/>
            <w:vAlign w:val="bottom"/>
            <w:tcBorders>
              <w:bottom w:val="single" w:sz="8" w:color="CFF0FC"/>
            </w:tcBorders>
            <w:shd w:val="clear" w:color="auto" w:fill="CFF0FC"/>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5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Effect of dilutive securities:</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 options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8,098</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RSUs</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6,431</w:t>
            </w: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2,095</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6,280</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TEUs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3680" w:type="dxa"/>
            <w:vAlign w:val="bottom"/>
            <w:tcBorders>
              <w:top w:val="single" w:sz="8" w:color="CFF0FC"/>
            </w:tcBorders>
          </w:tcPr>
          <w:p>
            <w:pPr>
              <w:ind w:left="420"/>
              <w:spacing w:after="0"/>
              <w:rPr>
                <w:sz w:val="20"/>
                <w:szCs w:val="20"/>
                <w:color w:val="auto"/>
              </w:rPr>
            </w:pPr>
            <w:r>
              <w:rPr>
                <w:rFonts w:ascii="Times New Roman" w:cs="Times New Roman" w:eastAsia="Times New Roman" w:hAnsi="Times New Roman"/>
                <w:sz w:val="14"/>
                <w:szCs w:val="14"/>
                <w:color w:val="auto"/>
              </w:rPr>
              <w:t>Weighted-average shares outstanding - diluted</w:t>
            </w:r>
          </w:p>
        </w:tc>
        <w:tc>
          <w:tcPr>
            <w:tcW w:w="320" w:type="dxa"/>
            <w:vAlign w:val="bottom"/>
            <w:tcBorders>
              <w:top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216,336</w:t>
            </w:r>
          </w:p>
        </w:tc>
        <w:tc>
          <w:tcPr>
            <w:tcW w:w="120" w:type="dxa"/>
            <w:vAlign w:val="bottom"/>
            <w:tcBorders>
              <w:top w:val="single" w:sz="8" w:color="CFF0FC"/>
            </w:tcBorders>
          </w:tcPr>
          <w:p>
            <w:pPr>
              <w:spacing w:after="0"/>
              <w:rPr>
                <w:sz w:val="14"/>
                <w:szCs w:val="14"/>
                <w:color w:val="auto"/>
              </w:rPr>
            </w:pPr>
          </w:p>
        </w:tc>
        <w:tc>
          <w:tcPr>
            <w:tcW w:w="40" w:type="dxa"/>
            <w:vAlign w:val="bottom"/>
            <w:tcBorders>
              <w:top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208,987</w:t>
            </w:r>
          </w:p>
        </w:tc>
        <w:tc>
          <w:tcPr>
            <w:tcW w:w="100" w:type="dxa"/>
            <w:vAlign w:val="bottom"/>
            <w:tcBorders>
              <w:top w:val="single" w:sz="8" w:color="CFF0FC"/>
            </w:tcBorders>
          </w:tcPr>
          <w:p>
            <w:pPr>
              <w:spacing w:after="0"/>
              <w:rPr>
                <w:sz w:val="14"/>
                <w:szCs w:val="14"/>
                <w:color w:val="auto"/>
              </w:rPr>
            </w:pPr>
          </w:p>
        </w:tc>
        <w:tc>
          <w:tcPr>
            <w:tcW w:w="6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214,963</w:t>
            </w:r>
          </w:p>
        </w:tc>
        <w:tc>
          <w:tcPr>
            <w:tcW w:w="100" w:type="dxa"/>
            <w:vAlign w:val="bottom"/>
            <w:tcBorders>
              <w:top w:val="single" w:sz="8" w:color="CFF0FC"/>
            </w:tcBorders>
          </w:tcPr>
          <w:p>
            <w:pPr>
              <w:spacing w:after="0"/>
              <w:rPr>
                <w:sz w:val="14"/>
                <w:szCs w:val="14"/>
                <w:color w:val="auto"/>
              </w:rPr>
            </w:pPr>
          </w:p>
        </w:tc>
        <w:tc>
          <w:tcPr>
            <w:tcW w:w="60" w:type="dxa"/>
            <w:vAlign w:val="bottom"/>
            <w:tcBorders>
              <w:top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186,523</w:t>
            </w:r>
          </w:p>
        </w:tc>
        <w:tc>
          <w:tcPr>
            <w:tcW w:w="80" w:type="dxa"/>
            <w:vAlign w:val="bottom"/>
            <w:tcBorders>
              <w:top w:val="single" w:sz="8" w:color="CFF0FC"/>
            </w:tcBorders>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9"/>
        </w:trPr>
        <w:tc>
          <w:tcPr>
            <w:tcW w:w="5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-2440940</wp:posOffset>
            </wp:positionV>
            <wp:extent cx="47625"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-2440940</wp:posOffset>
            </wp:positionV>
            <wp:extent cx="47625"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-2440940</wp:posOffset>
            </wp:positionV>
            <wp:extent cx="47625"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-2440940</wp:posOffset>
            </wp:positionV>
            <wp:extent cx="47625"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-2106295</wp:posOffset>
            </wp:positionV>
            <wp:extent cx="47625"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-2106295</wp:posOffset>
            </wp:positionV>
            <wp:extent cx="47625"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-2106295</wp:posOffset>
            </wp:positionV>
            <wp:extent cx="47625"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-2106295</wp:posOffset>
            </wp:positionV>
            <wp:extent cx="47625"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-1642745</wp:posOffset>
            </wp:positionV>
            <wp:extent cx="47625"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-1629410</wp:posOffset>
            </wp:positionV>
            <wp:extent cx="47625"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-1642745</wp:posOffset>
            </wp:positionV>
            <wp:extent cx="47625"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-1629410</wp:posOffset>
            </wp:positionV>
            <wp:extent cx="47625"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-1642745</wp:posOffset>
            </wp:positionV>
            <wp:extent cx="47625" cy="69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-1629410</wp:posOffset>
            </wp:positionV>
            <wp:extent cx="47625"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-1642745</wp:posOffset>
            </wp:positionV>
            <wp:extent cx="47625" cy="69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-1629410</wp:posOffset>
            </wp:positionV>
            <wp:extent cx="47625" cy="69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-967740</wp:posOffset>
            </wp:positionV>
            <wp:extent cx="47625" cy="69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-967740</wp:posOffset>
            </wp:positionV>
            <wp:extent cx="47625" cy="69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-967740</wp:posOffset>
            </wp:positionV>
            <wp:extent cx="47625" cy="69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-967740</wp:posOffset>
            </wp:positionV>
            <wp:extent cx="47625" cy="69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23" w:name="page24"/>
    <w:bookmarkEnd w:id="23"/>
    <w:tbl>
      <w:tblPr>
        <w:tblLayout w:type="fixed"/>
        <w:tblInd w:w="6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gridSpan w:val="5"/>
          </w:tcPr>
          <w:p>
            <w:pPr>
              <w:jc w:val="right"/>
              <w:ind w:right="1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5"/>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For the Six Months Ended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2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15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173"/>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15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i w:val="1"/>
                <w:iCs w:val="1"/>
                <w:color w:val="auto"/>
              </w:rPr>
              <w:t>Basic income (loss) per share attributable to common shareholders:</w:t>
            </w: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Continuing operations</w:t>
            </w:r>
          </w:p>
        </w:tc>
        <w:tc>
          <w:tcPr>
            <w:tcW w:w="720" w:type="dxa"/>
            <w:vAlign w:val="bottom"/>
            <w:gridSpan w:val="2"/>
          </w:tcPr>
          <w:p>
            <w:pPr>
              <w:jc w:val="right"/>
              <w:ind w:right="354"/>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9"/>
              </w:rPr>
              <w:t>0.05</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(0.25)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Discontinued operations</w:t>
            </w:r>
          </w:p>
        </w:tc>
        <w:tc>
          <w:tcPr>
            <w:tcW w:w="22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ind w:right="354"/>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9"/>
              </w:rPr>
              <w:t>0.09</w:t>
            </w:r>
          </w:p>
        </w:tc>
        <w:tc>
          <w:tcPr>
            <w:tcW w:w="1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1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 (loss)</w:t>
            </w:r>
          </w:p>
        </w:tc>
        <w:tc>
          <w:tcPr>
            <w:tcW w:w="720" w:type="dxa"/>
            <w:vAlign w:val="bottom"/>
            <w:gridSpan w:val="2"/>
          </w:tcPr>
          <w:p>
            <w:pPr>
              <w:jc w:val="right"/>
              <w:ind w:right="354"/>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9"/>
              </w:rPr>
              <w:t>0.14</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4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Diluted income (loss) per share attributable to common shareholders:</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Continuing operations</w:t>
            </w:r>
          </w:p>
        </w:tc>
        <w:tc>
          <w:tcPr>
            <w:tcW w:w="720" w:type="dxa"/>
            <w:vAlign w:val="bottom"/>
            <w:gridSpan w:val="2"/>
            <w:shd w:val="clear" w:color="auto" w:fill="CFF0FC"/>
          </w:tcPr>
          <w:p>
            <w:pPr>
              <w:jc w:val="right"/>
              <w:ind w:right="354"/>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9"/>
              </w:rPr>
              <w:t>0.04</w:t>
            </w:r>
          </w:p>
        </w:tc>
        <w:tc>
          <w:tcPr>
            <w:tcW w:w="3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3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(0.25)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Discontinued operations</w:t>
            </w:r>
          </w:p>
        </w:tc>
        <w:tc>
          <w:tcPr>
            <w:tcW w:w="220" w:type="dxa"/>
            <w:vAlign w:val="bottom"/>
          </w:tcPr>
          <w:p>
            <w:pPr>
              <w:spacing w:after="0"/>
              <w:rPr>
                <w:sz w:val="14"/>
                <w:szCs w:val="14"/>
                <w:color w:val="auto"/>
              </w:rPr>
            </w:pPr>
          </w:p>
        </w:tc>
        <w:tc>
          <w:tcPr>
            <w:tcW w:w="5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9"/>
              </w:rPr>
              <w:t>0.09</w:t>
            </w:r>
          </w:p>
        </w:tc>
        <w:tc>
          <w:tcPr>
            <w:tcW w:w="140" w:type="dxa"/>
            <w:vAlign w:val="bottom"/>
          </w:tcPr>
          <w:p>
            <w:pPr>
              <w:spacing w:after="0"/>
              <w:rPr>
                <w:sz w:val="14"/>
                <w:szCs w:val="14"/>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140" w:type="dxa"/>
            <w:vAlign w:val="bottom"/>
          </w:tcPr>
          <w:p>
            <w:pPr>
              <w:spacing w:after="0"/>
              <w:rPr>
                <w:sz w:val="14"/>
                <w:szCs w:val="14"/>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income (loss)</w:t>
            </w:r>
          </w:p>
        </w:tc>
        <w:tc>
          <w:tcPr>
            <w:tcW w:w="220" w:type="dxa"/>
            <w:vAlign w:val="bottom"/>
            <w:shd w:val="clear" w:color="auto" w:fill="CFF0FC"/>
          </w:tcPr>
          <w:p>
            <w:pPr>
              <w:spacing w:after="0"/>
              <w:rPr>
                <w:sz w:val="15"/>
                <w:szCs w:val="15"/>
                <w:color w:val="auto"/>
              </w:rPr>
            </w:pPr>
          </w:p>
        </w:tc>
        <w:tc>
          <w:tcPr>
            <w:tcW w:w="500" w:type="dxa"/>
            <w:vAlign w:val="bottom"/>
            <w:shd w:val="clear" w:color="auto" w:fill="CFF0FC"/>
          </w:tcPr>
          <w:p>
            <w:pPr>
              <w:jc w:val="right"/>
              <w:ind w:right="354"/>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9"/>
              </w:rPr>
              <w:t>0.13</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3733165</wp:posOffset>
            </wp:positionH>
            <wp:positionV relativeFrom="paragraph">
              <wp:posOffset>-708660</wp:posOffset>
            </wp:positionV>
            <wp:extent cx="47625" cy="69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4251325</wp:posOffset>
            </wp:positionH>
            <wp:positionV relativeFrom="paragraph">
              <wp:posOffset>-708660</wp:posOffset>
            </wp:positionV>
            <wp:extent cx="47625"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-708660</wp:posOffset>
            </wp:positionV>
            <wp:extent cx="47625" cy="69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-708660</wp:posOffset>
            </wp:positionV>
            <wp:extent cx="47625" cy="6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3733165</wp:posOffset>
            </wp:positionH>
            <wp:positionV relativeFrom="paragraph">
              <wp:posOffset>-19685</wp:posOffset>
            </wp:positionV>
            <wp:extent cx="47625" cy="69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3733165</wp:posOffset>
            </wp:positionH>
            <wp:positionV relativeFrom="paragraph">
              <wp:posOffset>-6350</wp:posOffset>
            </wp:positionV>
            <wp:extent cx="47625" cy="69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4251325</wp:posOffset>
            </wp:positionH>
            <wp:positionV relativeFrom="paragraph">
              <wp:posOffset>-19685</wp:posOffset>
            </wp:positionV>
            <wp:extent cx="47625" cy="69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4251325</wp:posOffset>
            </wp:positionH>
            <wp:positionV relativeFrom="paragraph">
              <wp:posOffset>-6350</wp:posOffset>
            </wp:positionV>
            <wp:extent cx="47625" cy="69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-19685</wp:posOffset>
            </wp:positionV>
            <wp:extent cx="47625" cy="69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-6350</wp:posOffset>
            </wp:positionV>
            <wp:extent cx="47625" cy="69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right="1039"/>
        <w:spacing w:after="0" w:line="292" w:lineRule="auto"/>
        <w:rPr>
          <w:sz w:val="20"/>
          <w:szCs w:val="20"/>
          <w:color w:val="auto"/>
        </w:rPr>
      </w:pPr>
      <w:r>
        <w:rPr>
          <w:rFonts w:ascii="Times New Roman" w:cs="Times New Roman" w:eastAsia="Times New Roman" w:hAnsi="Times New Roman"/>
          <w:sz w:val="14"/>
          <w:szCs w:val="14"/>
          <w:color w:val="auto"/>
        </w:rPr>
        <w:t>The following potentially common share equivalents were excluded from the computation of diluted net income (loss) per share because their effect would have been anti-dilutive for the periods presented (in thousands):</w:t>
      </w:r>
    </w:p>
    <w:p>
      <w:pPr>
        <w:spacing w:after="0" w:line="111"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3980" w:type="dxa"/>
            <w:vAlign w:val="bottom"/>
          </w:tcPr>
          <w:p>
            <w:pPr>
              <w:spacing w:after="0"/>
              <w:rPr>
                <w:sz w:val="11"/>
                <w:szCs w:val="11"/>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160" w:type="dxa"/>
            <w:vAlign w:val="bottom"/>
          </w:tcPr>
          <w:p>
            <w:pPr>
              <w:spacing w:after="0"/>
              <w:rPr>
                <w:sz w:val="11"/>
                <w:szCs w:val="11"/>
                <w:color w:val="auto"/>
              </w:rPr>
            </w:pPr>
          </w:p>
        </w:tc>
        <w:tc>
          <w:tcPr>
            <w:tcW w:w="1840" w:type="dxa"/>
            <w:vAlign w:val="bottom"/>
            <w:gridSpan w:val="5"/>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For the Six Months Ended</w:t>
            </w:r>
          </w:p>
        </w:tc>
      </w:tr>
      <w:tr>
        <w:trPr>
          <w:trHeight w:val="137"/>
        </w:trPr>
        <w:tc>
          <w:tcPr>
            <w:tcW w:w="3980" w:type="dxa"/>
            <w:vAlign w:val="bottom"/>
          </w:tcPr>
          <w:p>
            <w:pPr>
              <w:spacing w:after="0"/>
              <w:rPr>
                <w:sz w:val="11"/>
                <w:szCs w:val="11"/>
                <w:color w:val="auto"/>
              </w:rPr>
            </w:pPr>
          </w:p>
        </w:tc>
        <w:tc>
          <w:tcPr>
            <w:tcW w:w="1160" w:type="dxa"/>
            <w:vAlign w:val="bottom"/>
            <w:tcBorders>
              <w:bottom w:val="single" w:sz="8" w:color="auto"/>
            </w:tcBorders>
            <w:gridSpan w:val="3"/>
          </w:tcPr>
          <w:p>
            <w:pPr>
              <w:jc w:val="center"/>
              <w:ind w:left="534"/>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Borders>
              <w:bottom w:val="single" w:sz="8" w:color="auto"/>
            </w:tcBorders>
            <w:gridSpan w:val="3"/>
          </w:tcPr>
          <w:p>
            <w:pPr>
              <w:jc w:val="center"/>
              <w:ind w:left="515"/>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9"/>
        </w:trPr>
        <w:tc>
          <w:tcPr>
            <w:tcW w:w="3980" w:type="dxa"/>
            <w:vAlign w:val="bottom"/>
          </w:tcPr>
          <w:p>
            <w:pPr>
              <w:spacing w:after="0"/>
              <w:rPr>
                <w:sz w:val="9"/>
                <w:szCs w:val="9"/>
                <w:color w:val="auto"/>
              </w:rPr>
            </w:pPr>
          </w:p>
        </w:tc>
        <w:tc>
          <w:tcPr>
            <w:tcW w:w="820" w:type="dxa"/>
            <w:vAlign w:val="bottom"/>
            <w:tcBorders>
              <w:bottom w:val="single" w:sz="8" w:color="auto"/>
            </w:tcBorders>
          </w:tcPr>
          <w:p>
            <w:pPr>
              <w:jc w:val="right"/>
              <w:ind w:right="234"/>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211"/>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9"/>
                <w:szCs w:val="9"/>
                <w:color w:val="auto"/>
              </w:rPr>
            </w:pPr>
          </w:p>
        </w:tc>
        <w:tc>
          <w:tcPr>
            <w:tcW w:w="780" w:type="dxa"/>
            <w:vAlign w:val="bottom"/>
            <w:tcBorders>
              <w:bottom w:val="single" w:sz="8" w:color="auto"/>
            </w:tcBorders>
          </w:tcPr>
          <w:p>
            <w:pPr>
              <w:jc w:val="right"/>
              <w:ind w:right="215"/>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231"/>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r>
      <w:tr>
        <w:trPr>
          <w:trHeight w:val="163"/>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3,280</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15,300</w:t>
            </w:r>
          </w:p>
        </w:tc>
        <w:tc>
          <w:tcPr>
            <w:tcW w:w="80" w:type="dxa"/>
            <w:vAlign w:val="bottom"/>
            <w:shd w:val="clear" w:color="auto" w:fill="CFF0FC"/>
          </w:tcPr>
          <w:p>
            <w:pPr>
              <w:spacing w:after="0"/>
              <w:rPr>
                <w:sz w:val="14"/>
                <w:szCs w:val="14"/>
                <w:color w:val="auto"/>
              </w:rPr>
            </w:pPr>
          </w:p>
        </w:tc>
      </w:tr>
      <w:tr>
        <w:trPr>
          <w:trHeight w:val="172"/>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RSUs</w:t>
            </w:r>
          </w:p>
        </w:tc>
        <w:tc>
          <w:tcPr>
            <w:tcW w:w="116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16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11,526</w:t>
            </w:r>
          </w:p>
        </w:tc>
        <w:tc>
          <w:tcPr>
            <w:tcW w:w="80" w:type="dxa"/>
            <w:vAlign w:val="bottom"/>
          </w:tcPr>
          <w:p>
            <w:pPr>
              <w:spacing w:after="0"/>
              <w:rPr>
                <w:sz w:val="14"/>
                <w:szCs w:val="14"/>
                <w:color w:val="auto"/>
              </w:rPr>
            </w:pPr>
          </w:p>
        </w:tc>
      </w:tr>
      <w:tr>
        <w:trPr>
          <w:trHeight w:val="172"/>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TEUs</w:t>
            </w:r>
          </w:p>
        </w:tc>
        <w:tc>
          <w:tcPr>
            <w:tcW w:w="116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116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4,582</w:t>
            </w:r>
          </w:p>
        </w:tc>
        <w:tc>
          <w:tcPr>
            <w:tcW w:w="80" w:type="dxa"/>
            <w:vAlign w:val="bottom"/>
            <w:shd w:val="clear" w:color="auto" w:fill="CFF0FC"/>
          </w:tcPr>
          <w:p>
            <w:pPr>
              <w:spacing w:after="0"/>
              <w:rPr>
                <w:sz w:val="14"/>
                <w:szCs w:val="14"/>
                <w:color w:val="auto"/>
              </w:rPr>
            </w:pPr>
          </w:p>
        </w:tc>
      </w:tr>
      <w:tr>
        <w:trPr>
          <w:trHeight w:val="172"/>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4"/>
                <w:szCs w:val="14"/>
                <w:color w:val="auto"/>
              </w:rPr>
            </w:pPr>
          </w:p>
        </w:tc>
      </w:tr>
      <w:tr>
        <w:trPr>
          <w:trHeight w:val="203"/>
        </w:trPr>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3,280</w:t>
            </w:r>
          </w:p>
        </w:tc>
        <w:tc>
          <w:tcPr>
            <w:tcW w:w="16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1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31,439</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3453130</wp:posOffset>
            </wp:positionH>
            <wp:positionV relativeFrom="paragraph">
              <wp:posOffset>-19685</wp:posOffset>
            </wp:positionV>
            <wp:extent cx="47625" cy="69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3453130</wp:posOffset>
            </wp:positionH>
            <wp:positionV relativeFrom="paragraph">
              <wp:posOffset>-6350</wp:posOffset>
            </wp:positionV>
            <wp:extent cx="47625" cy="69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-19685</wp:posOffset>
            </wp:positionV>
            <wp:extent cx="47625" cy="69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-6350</wp:posOffset>
            </wp:positionV>
            <wp:extent cx="47625" cy="69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-19685</wp:posOffset>
            </wp:positionV>
            <wp:extent cx="47625" cy="69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-6350</wp:posOffset>
            </wp:positionV>
            <wp:extent cx="47625" cy="69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11. Common Stock, Preferred Stock, and Share-Based Compensation</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Common Stock and Preferred Stock</w:t>
      </w:r>
    </w:p>
    <w:p>
      <w:pPr>
        <w:spacing w:after="0" w:line="99" w:lineRule="exact"/>
        <w:rPr>
          <w:sz w:val="20"/>
          <w:szCs w:val="20"/>
          <w:color w:val="auto"/>
        </w:rPr>
      </w:pPr>
    </w:p>
    <w:p>
      <w:pPr>
        <w:ind w:left="640" w:right="679"/>
        <w:spacing w:after="0" w:line="264" w:lineRule="auto"/>
        <w:rPr>
          <w:sz w:val="20"/>
          <w:szCs w:val="20"/>
          <w:color w:val="auto"/>
        </w:rPr>
      </w:pPr>
      <w:r>
        <w:rPr>
          <w:rFonts w:ascii="Times New Roman" w:cs="Times New Roman" w:eastAsia="Times New Roman" w:hAnsi="Times New Roman"/>
          <w:sz w:val="14"/>
          <w:szCs w:val="14"/>
          <w:color w:val="auto"/>
        </w:rPr>
        <w:t>The Company’s Board of Directors approved a 15.7027-for-one stock split of the Company’s common stock on January 24, 2024. The stock split became effective on January 25, 2024. The par value per share of the Company’s common stock remained unchanged at $0.01 per share, and the authorized shares of the Company’s common stock increased from 8,750,000 to 137,398,625. Upon completion of the IPO Offerings in January 2024, the Company's Board of Directors approved an amendment to our articles of incorporation to authorize 1,500,000,000 and 250,000,000 shares of common stock and preferred stock, respectively, each with a par value of $0.01 per share.</w:t>
      </w:r>
    </w:p>
    <w:p>
      <w:pPr>
        <w:spacing w:after="0" w:line="3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Share-Based Compensation</w:t>
      </w:r>
    </w:p>
    <w:p>
      <w:pPr>
        <w:spacing w:after="0" w:line="99" w:lineRule="exact"/>
        <w:rPr>
          <w:sz w:val="20"/>
          <w:szCs w:val="20"/>
          <w:color w:val="auto"/>
        </w:rPr>
      </w:pPr>
    </w:p>
    <w:p>
      <w:pPr>
        <w:ind w:left="640" w:right="1159"/>
        <w:spacing w:after="0" w:line="274" w:lineRule="auto"/>
        <w:rPr>
          <w:sz w:val="20"/>
          <w:szCs w:val="20"/>
          <w:color w:val="auto"/>
        </w:rPr>
      </w:pPr>
      <w:r>
        <w:rPr>
          <w:rFonts w:ascii="Times New Roman" w:cs="Times New Roman" w:eastAsia="Times New Roman" w:hAnsi="Times New Roman"/>
          <w:sz w:val="14"/>
          <w:szCs w:val="14"/>
          <w:color w:val="auto"/>
        </w:rPr>
        <w:t>In January 2025, the Company's Board of Directors approved the modification of certain equity awards in connection with the divestiture of the Community Living business, which resulted in $1.7 million and $3.1 million of incremental share-based compensation expense recognized during the three and six months ended June 30, 2025, respectively.</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12. Fair Value</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231F20"/>
        </w:rPr>
        <w:t>Assets and liabilities measured at fair value are based on one or more of the following three valuation techniques:</w:t>
      </w:r>
    </w:p>
    <w:p>
      <w:pPr>
        <w:spacing w:after="0" w:line="95" w:lineRule="exact"/>
        <w:rPr>
          <w:sz w:val="20"/>
          <w:szCs w:val="20"/>
          <w:color w:val="auto"/>
        </w:rPr>
      </w:pPr>
    </w:p>
    <w:p>
      <w:pPr>
        <w:ind w:left="1340" w:right="1279" w:hanging="352"/>
        <w:spacing w:after="0" w:line="295" w:lineRule="auto"/>
        <w:tabs>
          <w:tab w:leader="none" w:pos="1340" w:val="left"/>
        </w:tabs>
        <w:numPr>
          <w:ilvl w:val="0"/>
          <w:numId w:val="11"/>
        </w:numPr>
        <w:rPr>
          <w:rFonts w:ascii="Times New Roman" w:cs="Times New Roman" w:eastAsia="Times New Roman" w:hAnsi="Times New Roman"/>
          <w:sz w:val="14"/>
          <w:szCs w:val="14"/>
          <w:i w:val="1"/>
          <w:iCs w:val="1"/>
          <w:color w:val="231F20"/>
        </w:rPr>
      </w:pPr>
      <w:r>
        <w:rPr>
          <w:rFonts w:ascii="Times New Roman" w:cs="Times New Roman" w:eastAsia="Times New Roman" w:hAnsi="Times New Roman"/>
          <w:sz w:val="14"/>
          <w:szCs w:val="14"/>
          <w:i w:val="1"/>
          <w:iCs w:val="1"/>
          <w:color w:val="231F20"/>
        </w:rPr>
        <w:t xml:space="preserve">Market approach: </w:t>
      </w:r>
      <w:r>
        <w:rPr>
          <w:rFonts w:ascii="Times New Roman" w:cs="Times New Roman" w:eastAsia="Times New Roman" w:hAnsi="Times New Roman"/>
          <w:sz w:val="14"/>
          <w:szCs w:val="14"/>
          <w:color w:val="231F20"/>
        </w:rPr>
        <w:t>Prices and other relevant information generated by market transactions involving identical or</w:t>
      </w:r>
      <w:r>
        <w:rPr>
          <w:rFonts w:ascii="Times New Roman" w:cs="Times New Roman" w:eastAsia="Times New Roman" w:hAnsi="Times New Roman"/>
          <w:sz w:val="14"/>
          <w:szCs w:val="14"/>
          <w:i w:val="1"/>
          <w:iCs w:val="1"/>
          <w:color w:val="231F20"/>
        </w:rPr>
        <w:t xml:space="preserve"> </w:t>
      </w:r>
      <w:r>
        <w:rPr>
          <w:rFonts w:ascii="Times New Roman" w:cs="Times New Roman" w:eastAsia="Times New Roman" w:hAnsi="Times New Roman"/>
          <w:sz w:val="14"/>
          <w:szCs w:val="14"/>
          <w:color w:val="231F20"/>
        </w:rPr>
        <w:t>comparable assets or liabilities.</w:t>
      </w:r>
    </w:p>
    <w:p>
      <w:pPr>
        <w:spacing w:after="0" w:line="33" w:lineRule="exact"/>
        <w:rPr>
          <w:rFonts w:ascii="Times New Roman" w:cs="Times New Roman" w:eastAsia="Times New Roman" w:hAnsi="Times New Roman"/>
          <w:sz w:val="14"/>
          <w:szCs w:val="14"/>
          <w:i w:val="1"/>
          <w:iCs w:val="1"/>
          <w:color w:val="231F20"/>
        </w:rPr>
      </w:pPr>
    </w:p>
    <w:p>
      <w:pPr>
        <w:ind w:left="1340" w:hanging="352"/>
        <w:spacing w:after="0"/>
        <w:tabs>
          <w:tab w:leader="none" w:pos="1340" w:val="left"/>
        </w:tabs>
        <w:numPr>
          <w:ilvl w:val="0"/>
          <w:numId w:val="11"/>
        </w:numPr>
        <w:rPr>
          <w:rFonts w:ascii="Times New Roman" w:cs="Times New Roman" w:eastAsia="Times New Roman" w:hAnsi="Times New Roman"/>
          <w:sz w:val="14"/>
          <w:szCs w:val="14"/>
          <w:i w:val="1"/>
          <w:iCs w:val="1"/>
          <w:color w:val="231F20"/>
        </w:rPr>
      </w:pPr>
      <w:r>
        <w:rPr>
          <w:rFonts w:ascii="Times New Roman" w:cs="Times New Roman" w:eastAsia="Times New Roman" w:hAnsi="Times New Roman"/>
          <w:sz w:val="14"/>
          <w:szCs w:val="14"/>
          <w:i w:val="1"/>
          <w:iCs w:val="1"/>
          <w:color w:val="231F20"/>
        </w:rPr>
        <w:t xml:space="preserve">Cost approach: </w:t>
      </w:r>
      <w:r>
        <w:rPr>
          <w:rFonts w:ascii="Times New Roman" w:cs="Times New Roman" w:eastAsia="Times New Roman" w:hAnsi="Times New Roman"/>
          <w:sz w:val="14"/>
          <w:szCs w:val="14"/>
          <w:color w:val="231F20"/>
        </w:rPr>
        <w:t>Amount that would be required to replace the service capacity of an asset (replacement cost).</w:t>
      </w:r>
    </w:p>
    <w:p>
      <w:pPr>
        <w:spacing w:after="0" w:line="96" w:lineRule="exact"/>
        <w:rPr>
          <w:rFonts w:ascii="Times New Roman" w:cs="Times New Roman" w:eastAsia="Times New Roman" w:hAnsi="Times New Roman"/>
          <w:sz w:val="14"/>
          <w:szCs w:val="14"/>
          <w:i w:val="1"/>
          <w:iCs w:val="1"/>
          <w:color w:val="231F20"/>
        </w:rPr>
      </w:pPr>
    </w:p>
    <w:p>
      <w:pPr>
        <w:ind w:left="1340" w:right="1019" w:hanging="352"/>
        <w:spacing w:after="0" w:line="295" w:lineRule="auto"/>
        <w:tabs>
          <w:tab w:leader="none" w:pos="1340" w:val="left"/>
        </w:tabs>
        <w:numPr>
          <w:ilvl w:val="0"/>
          <w:numId w:val="11"/>
        </w:numPr>
        <w:rPr>
          <w:rFonts w:ascii="Times New Roman" w:cs="Times New Roman" w:eastAsia="Times New Roman" w:hAnsi="Times New Roman"/>
          <w:sz w:val="14"/>
          <w:szCs w:val="14"/>
          <w:i w:val="1"/>
          <w:iCs w:val="1"/>
          <w:color w:val="231F20"/>
        </w:rPr>
      </w:pPr>
      <w:r>
        <w:rPr>
          <w:rFonts w:ascii="Times New Roman" w:cs="Times New Roman" w:eastAsia="Times New Roman" w:hAnsi="Times New Roman"/>
          <w:sz w:val="14"/>
          <w:szCs w:val="14"/>
          <w:i w:val="1"/>
          <w:iCs w:val="1"/>
          <w:color w:val="231F20"/>
        </w:rPr>
        <w:t xml:space="preserve">Income approach: </w:t>
      </w:r>
      <w:r>
        <w:rPr>
          <w:rFonts w:ascii="Times New Roman" w:cs="Times New Roman" w:eastAsia="Times New Roman" w:hAnsi="Times New Roman"/>
          <w:sz w:val="14"/>
          <w:szCs w:val="14"/>
          <w:color w:val="231F20"/>
        </w:rPr>
        <w:t>Techniques to convert future amounts to a single present amount based upon market expectations</w:t>
      </w:r>
      <w:r>
        <w:rPr>
          <w:rFonts w:ascii="Times New Roman" w:cs="Times New Roman" w:eastAsia="Times New Roman" w:hAnsi="Times New Roman"/>
          <w:sz w:val="14"/>
          <w:szCs w:val="14"/>
          <w:i w:val="1"/>
          <w:iCs w:val="1"/>
          <w:color w:val="231F20"/>
        </w:rPr>
        <w:t xml:space="preserve"> </w:t>
      </w:r>
      <w:r>
        <w:rPr>
          <w:rFonts w:ascii="Times New Roman" w:cs="Times New Roman" w:eastAsia="Times New Roman" w:hAnsi="Times New Roman"/>
          <w:sz w:val="14"/>
          <w:szCs w:val="14"/>
          <w:color w:val="231F20"/>
        </w:rPr>
        <w:t>(including present value techniques, option-pricing and excess earnings models).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85" w:right="1440" w:bottom="1440" w:gutter="0" w:footer="0" w:header="0"/>
        </w:sectPr>
      </w:pPr>
    </w:p>
    <w:bookmarkStart w:id="24" w:name="page25"/>
    <w:bookmarkEnd w:id="24"/>
    <w:p>
      <w:pPr>
        <w:ind w:left="640"/>
        <w:spacing w:after="0"/>
        <w:rPr>
          <w:sz w:val="20"/>
          <w:szCs w:val="20"/>
          <w:color w:val="auto"/>
        </w:rPr>
      </w:pPr>
      <w:r>
        <w:rPr>
          <w:rFonts w:ascii="Times New Roman" w:cs="Times New Roman" w:eastAsia="Times New Roman" w:hAnsi="Times New Roman"/>
          <w:sz w:val="14"/>
          <w:szCs w:val="14"/>
          <w:i w:val="1"/>
          <w:iCs w:val="1"/>
          <w:color w:val="auto"/>
        </w:rPr>
        <w:t>Assets and Liabilities Measured at Fair Value on a Recurring Basis</w:t>
      </w:r>
    </w:p>
    <w:p>
      <w:pPr>
        <w:spacing w:after="0" w:line="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The financial assets or liabilities recorded at fair value on a recurring basis are set forth in the table below (in thousands):</w:t>
      </w:r>
    </w:p>
    <w:p>
      <w:pPr>
        <w:spacing w:after="0" w:line="170"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ind w:right="51"/>
              <w:spacing w:after="0"/>
              <w:rPr>
                <w:sz w:val="20"/>
                <w:szCs w:val="20"/>
                <w:color w:val="auto"/>
              </w:rPr>
            </w:pPr>
            <w:r>
              <w:rPr>
                <w:rFonts w:ascii="Times New Roman" w:cs="Times New Roman" w:eastAsia="Times New Roman" w:hAnsi="Times New Roman"/>
                <w:sz w:val="11"/>
                <w:szCs w:val="11"/>
                <w:b w:val="1"/>
                <w:bCs w:val="1"/>
                <w:color w:val="auto"/>
              </w:rPr>
              <w:t>June 30, 2025</w:t>
            </w:r>
          </w:p>
        </w:tc>
        <w:tc>
          <w:tcPr>
            <w:tcW w:w="160" w:type="dxa"/>
            <w:vAlign w:val="bottom"/>
          </w:tcPr>
          <w:p>
            <w:pPr>
              <w:spacing w:after="0"/>
              <w:rPr>
                <w:sz w:val="11"/>
                <w:szCs w:val="11"/>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6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Valuation</w:t>
            </w:r>
          </w:p>
        </w:tc>
        <w:tc>
          <w:tcPr>
            <w:tcW w:w="0" w:type="dxa"/>
            <w:vAlign w:val="bottom"/>
          </w:tcPr>
          <w:p>
            <w:pPr>
              <w:spacing w:after="0"/>
              <w:rPr>
                <w:sz w:val="1"/>
                <w:szCs w:val="1"/>
                <w:color w:val="auto"/>
              </w:rPr>
            </w:pPr>
          </w:p>
        </w:tc>
      </w:tr>
      <w:tr>
        <w:trPr>
          <w:trHeight w:val="137"/>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Assets:</w:t>
            </w: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Borders>
              <w:bottom w:val="single" w:sz="8" w:color="auto"/>
            </w:tcBorders>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Technique</w:t>
            </w:r>
          </w:p>
        </w:tc>
        <w:tc>
          <w:tcPr>
            <w:tcW w:w="0" w:type="dxa"/>
            <w:vAlign w:val="bottom"/>
          </w:tcPr>
          <w:p>
            <w:pPr>
              <w:spacing w:after="0"/>
              <w:rPr>
                <w:sz w:val="1"/>
                <w:szCs w:val="1"/>
                <w:color w:val="auto"/>
              </w:rPr>
            </w:pPr>
          </w:p>
        </w:tc>
      </w:tr>
      <w:tr>
        <w:trPr>
          <w:trHeight w:val="162"/>
        </w:trPr>
        <w:tc>
          <w:tcPr>
            <w:tcW w:w="4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Interest rate swaps (Level 2)</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2,744</w:t>
            </w:r>
          </w:p>
        </w:tc>
        <w:tc>
          <w:tcPr>
            <w:tcW w:w="16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10,633</w:t>
            </w:r>
          </w:p>
        </w:tc>
        <w:tc>
          <w:tcPr>
            <w:tcW w:w="26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A</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2,744</w:t>
            </w: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10,633</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4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Liabilities:</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Contingent consideration (Level 3)</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8,889</w:t>
            </w:r>
          </w:p>
        </w:tc>
        <w:tc>
          <w:tcPr>
            <w:tcW w:w="16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8,386</w:t>
            </w:r>
          </w:p>
        </w:tc>
        <w:tc>
          <w:tcPr>
            <w:tcW w:w="26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85"/>
              </w:rPr>
              <w:t>C</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8,889</w:t>
            </w: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8,386</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3808095</wp:posOffset>
            </wp:positionH>
            <wp:positionV relativeFrom="paragraph">
              <wp:posOffset>-599440</wp:posOffset>
            </wp:positionV>
            <wp:extent cx="47625" cy="69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-599440</wp:posOffset>
            </wp:positionV>
            <wp:extent cx="47625" cy="69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3808095</wp:posOffset>
            </wp:positionH>
            <wp:positionV relativeFrom="paragraph">
              <wp:posOffset>-135890</wp:posOffset>
            </wp:positionV>
            <wp:extent cx="47625" cy="69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-135890</wp:posOffset>
            </wp:positionV>
            <wp:extent cx="47625" cy="69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right="679"/>
        <w:spacing w:after="0" w:line="268" w:lineRule="auto"/>
        <w:rPr>
          <w:sz w:val="20"/>
          <w:szCs w:val="20"/>
          <w:color w:val="auto"/>
        </w:rPr>
      </w:pPr>
      <w:r>
        <w:rPr>
          <w:rFonts w:ascii="Times New Roman" w:cs="Times New Roman" w:eastAsia="Times New Roman" w:hAnsi="Times New Roman"/>
          <w:sz w:val="14"/>
          <w:szCs w:val="14"/>
          <w:color w:val="auto"/>
        </w:rPr>
        <w:t>The fair values of our interest rate swaps are based upon Level 2 inputs, which include valuation models. The key inputs for the valuation models are quoted market prices, interest rates, forward yield curves, and credit risk adjustments that are necessary to reflect the probability of default by the counterparty or us. For disclosures about the fair value measurements of our derivative instruments, refer to Note 6.</w:t>
      </w:r>
    </w:p>
    <w:p>
      <w:pPr>
        <w:spacing w:after="0" w:line="54" w:lineRule="exact"/>
        <w:rPr>
          <w:sz w:val="20"/>
          <w:szCs w:val="20"/>
          <w:color w:val="auto"/>
        </w:rPr>
      </w:pPr>
    </w:p>
    <w:p>
      <w:pPr>
        <w:ind w:left="640" w:right="739"/>
        <w:spacing w:after="0" w:line="271" w:lineRule="auto"/>
        <w:rPr>
          <w:sz w:val="20"/>
          <w:szCs w:val="20"/>
          <w:color w:val="auto"/>
        </w:rPr>
      </w:pPr>
      <w:r>
        <w:rPr>
          <w:rFonts w:ascii="Times New Roman" w:cs="Times New Roman" w:eastAsia="Times New Roman" w:hAnsi="Times New Roman"/>
          <w:sz w:val="14"/>
          <w:szCs w:val="14"/>
          <w:color w:val="auto"/>
        </w:rPr>
        <w:t>The contingent consideration represents future earn-outs and a post-closing equity adjustment feature, both associated with acquisitions, which are recognized as a component of the purchase price at the estimated fair value on the acquisition date. These liabilities are classified as accrued expenses and long-term liabilities in our accompanying unaudited condensed consolidated balance sheets.</w:t>
      </w:r>
    </w:p>
    <w:p>
      <w:pPr>
        <w:spacing w:after="0" w:line="228" w:lineRule="exact"/>
        <w:rPr>
          <w:sz w:val="20"/>
          <w:szCs w:val="20"/>
          <w:color w:val="auto"/>
        </w:rPr>
      </w:pPr>
    </w:p>
    <w:p>
      <w:pPr>
        <w:ind w:left="640" w:right="719"/>
        <w:spacing w:after="0" w:line="274" w:lineRule="auto"/>
        <w:rPr>
          <w:sz w:val="20"/>
          <w:szCs w:val="20"/>
          <w:color w:val="auto"/>
        </w:rPr>
      </w:pPr>
      <w:r>
        <w:rPr>
          <w:rFonts w:ascii="Times New Roman" w:cs="Times New Roman" w:eastAsia="Times New Roman" w:hAnsi="Times New Roman"/>
          <w:sz w:val="14"/>
          <w:szCs w:val="14"/>
          <w:color w:val="auto"/>
        </w:rPr>
        <w:t>The fair values of the liabilities associated with future earn outs were derived using the income approach with unobservable inputs, including future earnings forecasts and present value assumptions, and there was little or no market data (Level 3). The Company will re-assess the fair values on each reporting period thereafter until settlement.</w:t>
      </w:r>
    </w:p>
    <w:p>
      <w:pPr>
        <w:spacing w:after="0" w:line="50" w:lineRule="exact"/>
        <w:rPr>
          <w:sz w:val="20"/>
          <w:szCs w:val="20"/>
          <w:color w:val="auto"/>
        </w:rPr>
      </w:pPr>
    </w:p>
    <w:p>
      <w:pPr>
        <w:ind w:left="640" w:right="659"/>
        <w:spacing w:after="0" w:line="261" w:lineRule="auto"/>
        <w:rPr>
          <w:sz w:val="20"/>
          <w:szCs w:val="20"/>
          <w:color w:val="auto"/>
        </w:rPr>
      </w:pPr>
      <w:r>
        <w:rPr>
          <w:rFonts w:ascii="Times New Roman" w:cs="Times New Roman" w:eastAsia="Times New Roman" w:hAnsi="Times New Roman"/>
          <w:sz w:val="14"/>
          <w:szCs w:val="14"/>
          <w:color w:val="auto"/>
        </w:rPr>
        <w:t>The fair value of the liability associated with post-closing equity adjustment feature related to the Haven Hospice acquisition was derived with unobservable inputs using a Monte Carlo simulation, where the common stock price of the Company was evolved using a Geometric Brownian Motion of a period from the valuation date to the end of the fourth anniversary of closing. Estimated equity volatility was based on historical volatility, implied volatility, and peer group volatility over various periods. The Company will re-assess the fair value at each reporting period with changes in value being recorded through the statement of operations. The ultimate settlement of the liability will be through either issuance of additional equity shares and/or additional cash paid in case of net realized losses on sales; or reduction of the outstanding balance of the seller note, in the case of net aggregate realized gain on sales up to the amounts previously paid.</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13. Commitments and Contingencies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Legal Proceedings</w:t>
      </w:r>
    </w:p>
    <w:p>
      <w:pPr>
        <w:spacing w:after="0" w:line="99" w:lineRule="exact"/>
        <w:rPr>
          <w:sz w:val="20"/>
          <w:szCs w:val="20"/>
          <w:color w:val="auto"/>
        </w:rPr>
      </w:pPr>
    </w:p>
    <w:p>
      <w:pPr>
        <w:ind w:left="640" w:right="699"/>
        <w:spacing w:after="0" w:line="261" w:lineRule="auto"/>
        <w:rPr>
          <w:sz w:val="20"/>
          <w:szCs w:val="20"/>
          <w:color w:val="auto"/>
        </w:rPr>
      </w:pPr>
      <w:r>
        <w:rPr>
          <w:rFonts w:ascii="Times New Roman" w:cs="Times New Roman" w:eastAsia="Times New Roman" w:hAnsi="Times New Roman"/>
          <w:sz w:val="14"/>
          <w:szCs w:val="14"/>
          <w:color w:val="auto"/>
        </w:rPr>
        <w:t>On March 4, 2011, Relator Marc Silver, on behalf of the U.S. Government and various state governments, filed a complaint in the United States District Court for the District of New Jersey (“the District Court”) against PharMerica, seeking relief, with respect to alleged violations of the federal False Claims Act and state false claims acts. The U.S. Government and state governments declined to intervene in the case. The District Court issued an order dismissing the case in full in 2016. In 2018, however, the Third Circuit Court of Appeals issued an order reinstating the case. In June 2023, the District Court issued an order setting a trial date of December 4, 2023. In November 2023, the District Court denied our motion for summary judgment and the Company subsequently agreed to settle the matter without admitting liability. On May 29, 2024, the parties entered into a final settlement agreement, which was approved by both the United States Department of Justice and the District Court.</w:t>
      </w:r>
    </w:p>
    <w:p>
      <w:pPr>
        <w:spacing w:after="0" w:line="60" w:lineRule="exact"/>
        <w:rPr>
          <w:sz w:val="20"/>
          <w:szCs w:val="20"/>
          <w:color w:val="auto"/>
        </w:rPr>
      </w:pPr>
    </w:p>
    <w:p>
      <w:pPr>
        <w:jc w:val="both"/>
        <w:ind w:left="640" w:right="799"/>
        <w:spacing w:after="0" w:line="274" w:lineRule="auto"/>
        <w:rPr>
          <w:sz w:val="20"/>
          <w:szCs w:val="20"/>
          <w:color w:val="auto"/>
        </w:rPr>
      </w:pPr>
      <w:r>
        <w:rPr>
          <w:rFonts w:ascii="Times New Roman" w:cs="Times New Roman" w:eastAsia="Times New Roman" w:hAnsi="Times New Roman"/>
          <w:sz w:val="14"/>
          <w:szCs w:val="14"/>
          <w:color w:val="auto"/>
        </w:rPr>
        <w:t>The total financial impact of the settlement was $120.0 million; $90.0 million was paid in June 2024, $20.0 million was paid in July 2024, and the remaining $10.0 million was paid in April 2025. The District Court entered an order dismissing the Silver action in its entirety, with prejudice, on July 3, 2024.</w:t>
      </w:r>
    </w:p>
    <w:p>
      <w:pPr>
        <w:spacing w:after="0" w:line="50" w:lineRule="exact"/>
        <w:rPr>
          <w:sz w:val="20"/>
          <w:szCs w:val="20"/>
          <w:color w:val="auto"/>
        </w:rPr>
      </w:pPr>
    </w:p>
    <w:p>
      <w:pPr>
        <w:ind w:left="640" w:right="719"/>
        <w:spacing w:after="0" w:line="263" w:lineRule="auto"/>
        <w:rPr>
          <w:sz w:val="20"/>
          <w:szCs w:val="20"/>
          <w:color w:val="auto"/>
        </w:rPr>
      </w:pPr>
      <w:r>
        <w:rPr>
          <w:rFonts w:ascii="Times New Roman" w:cs="Times New Roman" w:eastAsia="Times New Roman" w:hAnsi="Times New Roman"/>
          <w:sz w:val="14"/>
          <w:szCs w:val="14"/>
          <w:color w:val="auto"/>
        </w:rPr>
        <w:t>The Company is also party to various legal and/or administrative proceedings arising out of the operation of our programs and arising in the ordinary course of business. We record accruals for such contingencies to the extent that we conclude it is probable that a liability has been incurred and the amount of the loss can be reasonably estimated. We do not believe the ultimate liability, if any, for outstanding proceedings or claims, individually or in the aggregate, in excess of amounts already provided, will have a material adverse effect on our consolidated financial condition, results of operations, or cash flows. It is reasonably possible that an adverse determination might have an impact on a particular period. While we believe our provision for legal contingencies is adequate, the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25" w:name="page26"/>
    <w:bookmarkEnd w:id="25"/>
    <w:p>
      <w:pPr>
        <w:ind w:left="640" w:right="699"/>
        <w:spacing w:after="0" w:line="292" w:lineRule="auto"/>
        <w:rPr>
          <w:sz w:val="20"/>
          <w:szCs w:val="20"/>
          <w:color w:val="auto"/>
        </w:rPr>
      </w:pPr>
      <w:r>
        <w:rPr>
          <w:rFonts w:ascii="Times New Roman" w:cs="Times New Roman" w:eastAsia="Times New Roman" w:hAnsi="Times New Roman"/>
          <w:sz w:val="14"/>
          <w:szCs w:val="14"/>
          <w:color w:val="auto"/>
        </w:rPr>
        <w:t>outcome of legal proceedings is difficult to predict, and we may settle legal claims or be subject to judgments for amounts that exceed our estimates.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14. Related Party Transactions</w:t>
      </w:r>
    </w:p>
    <w:p>
      <w:pPr>
        <w:spacing w:after="0" w:line="185" w:lineRule="exact"/>
        <w:rPr>
          <w:sz w:val="20"/>
          <w:szCs w:val="20"/>
          <w:color w:val="auto"/>
        </w:rPr>
      </w:pPr>
    </w:p>
    <w:p>
      <w:pPr>
        <w:ind w:left="640" w:right="759"/>
        <w:spacing w:after="0" w:line="268" w:lineRule="auto"/>
        <w:rPr>
          <w:sz w:val="20"/>
          <w:szCs w:val="20"/>
          <w:color w:val="auto"/>
        </w:rPr>
      </w:pPr>
      <w:r>
        <w:rPr>
          <w:rFonts w:ascii="Times New Roman" w:cs="Times New Roman" w:eastAsia="Times New Roman" w:hAnsi="Times New Roman"/>
          <w:sz w:val="14"/>
          <w:szCs w:val="14"/>
          <w:color w:val="auto"/>
        </w:rPr>
        <w:t>The Company was party to a Monitoring Agreement with KKR and WBA, which required payment of an aggregate advisory fee equivalent to 1% of consolidated earnings before interest, taxes, depreciation, and amortization (“EBITDA”), payable in quarterly installments in arrears at the end of each quarter. The Monitoring Agreement terminated upon the completion of the IPO Offerings in January 2024.</w:t>
      </w:r>
    </w:p>
    <w:p>
      <w:pPr>
        <w:spacing w:after="0" w:line="54" w:lineRule="exact"/>
        <w:rPr>
          <w:sz w:val="20"/>
          <w:szCs w:val="20"/>
          <w:color w:val="auto"/>
        </w:rPr>
      </w:pPr>
    </w:p>
    <w:p>
      <w:pPr>
        <w:ind w:left="640" w:right="819"/>
        <w:spacing w:after="0" w:line="274" w:lineRule="auto"/>
        <w:rPr>
          <w:sz w:val="20"/>
          <w:szCs w:val="20"/>
          <w:color w:val="auto"/>
        </w:rPr>
      </w:pPr>
      <w:r>
        <w:rPr>
          <w:rFonts w:ascii="Times New Roman" w:cs="Times New Roman" w:eastAsia="Times New Roman" w:hAnsi="Times New Roman"/>
          <w:sz w:val="14"/>
          <w:szCs w:val="14"/>
          <w:color w:val="auto"/>
        </w:rPr>
        <w:t>Prior to the termination of the Monitoring Agreement, the Company recognized $0.7 million in monitoring and advisory fees during the first fiscal quarter of 2024 as a component of selling, general, and administrative expenses in our accompanying unaudited condensed consolidated statements of operations.</w:t>
      </w:r>
    </w:p>
    <w:p>
      <w:pPr>
        <w:spacing w:after="0" w:line="50" w:lineRule="exact"/>
        <w:rPr>
          <w:sz w:val="20"/>
          <w:szCs w:val="20"/>
          <w:color w:val="auto"/>
        </w:rPr>
      </w:pPr>
    </w:p>
    <w:p>
      <w:pPr>
        <w:jc w:val="both"/>
        <w:ind w:left="640" w:right="699"/>
        <w:spacing w:after="0" w:line="274" w:lineRule="auto"/>
        <w:rPr>
          <w:sz w:val="20"/>
          <w:szCs w:val="20"/>
          <w:color w:val="auto"/>
        </w:rPr>
      </w:pPr>
      <w:r>
        <w:rPr>
          <w:rFonts w:ascii="Times New Roman" w:cs="Times New Roman" w:eastAsia="Times New Roman" w:hAnsi="Times New Roman"/>
          <w:sz w:val="14"/>
          <w:szCs w:val="14"/>
          <w:color w:val="auto"/>
        </w:rPr>
        <w:t>As a result of the termination of the Monitoring Agreement and in accordance with the agreement, the Company paid $22.7 million in termination fees to KKR and WBA in the fourth fiscal quarter of 2024. The termination fees were recognized in the first fiscal quarter of 2024 as selling, general, and administrative expense in our unaudited condensed consolidated statement of operations.</w:t>
      </w:r>
    </w:p>
    <w:p>
      <w:pPr>
        <w:spacing w:after="0" w:line="50" w:lineRule="exact"/>
        <w:rPr>
          <w:sz w:val="20"/>
          <w:szCs w:val="20"/>
          <w:color w:val="auto"/>
        </w:rPr>
      </w:pPr>
    </w:p>
    <w:p>
      <w:pPr>
        <w:ind w:left="640" w:right="659"/>
        <w:spacing w:after="0" w:line="263" w:lineRule="auto"/>
        <w:rPr>
          <w:sz w:val="20"/>
          <w:szCs w:val="20"/>
          <w:color w:val="auto"/>
        </w:rPr>
      </w:pPr>
      <w:r>
        <w:rPr>
          <w:rFonts w:ascii="Times New Roman" w:cs="Times New Roman" w:eastAsia="Times New Roman" w:hAnsi="Times New Roman"/>
          <w:sz w:val="14"/>
          <w:szCs w:val="14"/>
          <w:color w:val="auto"/>
        </w:rPr>
        <w:t>KKR Capital Markets LLC (“KCM”), a wholly owned subsidiary of KKR, acted as an underwriter in the IPO Offerings during the first fiscal quarter of 2024 and received $7.4 million in underwriting discounts and commission. In connection with debt refinancing in the first fiscal quarter of 2024, the Company paid underwriter, arranger, and transaction fees to KCM of $1.9 million. These fees are included within selling, general, and administrative expenses in our unaudited condensed consolidated statement of operations for the six months ended June 30, 2024. There were no similar fees paid to KCM during the three months ended June 30, 2024, and the three or six months ended June 30, 2025.</w:t>
      </w:r>
    </w:p>
    <w:p>
      <w:pPr>
        <w:spacing w:after="0" w:line="58" w:lineRule="exact"/>
        <w:rPr>
          <w:sz w:val="20"/>
          <w:szCs w:val="20"/>
          <w:color w:val="auto"/>
        </w:rPr>
      </w:pPr>
    </w:p>
    <w:p>
      <w:pPr>
        <w:jc w:val="both"/>
        <w:ind w:left="640" w:right="899"/>
        <w:spacing w:after="0" w:line="292" w:lineRule="auto"/>
        <w:rPr>
          <w:sz w:val="20"/>
          <w:szCs w:val="20"/>
          <w:color w:val="auto"/>
        </w:rPr>
      </w:pPr>
      <w:r>
        <w:rPr>
          <w:rFonts w:ascii="Times New Roman" w:cs="Times New Roman" w:eastAsia="Times New Roman" w:hAnsi="Times New Roman"/>
          <w:sz w:val="14"/>
          <w:szCs w:val="14"/>
          <w:color w:val="auto"/>
        </w:rPr>
        <w:t>KKR has ownership interests in a broad range of portfolio companies, and we may enter into commercial transactions for goods or services in the ordinary course of business with these companies. We do not believe such transactions are material to our business.</w:t>
      </w:r>
    </w:p>
    <w:p>
      <w:pPr>
        <w:spacing w:after="0" w:line="38" w:lineRule="exact"/>
        <w:rPr>
          <w:sz w:val="20"/>
          <w:szCs w:val="20"/>
          <w:color w:val="auto"/>
        </w:rPr>
      </w:pPr>
    </w:p>
    <w:p>
      <w:pPr>
        <w:ind w:left="640" w:right="739"/>
        <w:spacing w:after="0" w:line="268" w:lineRule="auto"/>
        <w:rPr>
          <w:sz w:val="20"/>
          <w:szCs w:val="20"/>
          <w:color w:val="auto"/>
        </w:rPr>
      </w:pPr>
      <w:r>
        <w:rPr>
          <w:rFonts w:ascii="Times New Roman" w:cs="Times New Roman" w:eastAsia="Times New Roman" w:hAnsi="Times New Roman"/>
          <w:sz w:val="14"/>
          <w:szCs w:val="14"/>
          <w:color w:val="auto"/>
        </w:rPr>
        <w:t>The Company had an agreement with WBA and/or certain of its affiliates under which the Company purchased significant volume of inventory, including a Joinder Agreement to the Pharmaceutical Purchase and Distribution Agreement (the “WBAD Membership Agreement”) between WBA and AmerisourceBergen Drug Corporation (“ABDC”). The WBAD Membership Agreement was terminated in the first fiscal quarter of 2025, and we entered into a separate agreement with ABDC on February 1, 2025.</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15. Segment Information</w:t>
      </w:r>
    </w:p>
    <w:p>
      <w:pPr>
        <w:spacing w:after="0" w:line="185" w:lineRule="exact"/>
        <w:rPr>
          <w:sz w:val="20"/>
          <w:szCs w:val="20"/>
          <w:color w:val="auto"/>
        </w:rPr>
      </w:pPr>
    </w:p>
    <w:p>
      <w:pPr>
        <w:ind w:left="640" w:right="659"/>
        <w:spacing w:after="0" w:line="263" w:lineRule="auto"/>
        <w:rPr>
          <w:sz w:val="20"/>
          <w:szCs w:val="20"/>
          <w:color w:val="auto"/>
        </w:rPr>
      </w:pPr>
      <w:r>
        <w:rPr>
          <w:rFonts w:ascii="Times New Roman" w:cs="Times New Roman" w:eastAsia="Times New Roman" w:hAnsi="Times New Roman"/>
          <w:sz w:val="14"/>
          <w:szCs w:val="14"/>
          <w:color w:val="auto"/>
        </w:rPr>
        <w:t>The Company's Chief Operating Decision Maker (“CODM”) is its Chief Executive Officer, who evaluates the performance of our segments and allocates resources based on segment EBITDA. Segment EBITDA is used as the key profitability measure when we set our annual operating plan for each segment, is the metric with which our CODM assesses segment results, and is a key component of our annual variable compensation plans. Segment EBITDA is commonly used as an analytical indicator within the health care industry and is utilized in the evaluation of segment operating performance as it is a profit measure that is generally within the control of the operating segments.</w:t>
      </w:r>
    </w:p>
    <w:p>
      <w:pPr>
        <w:spacing w:after="0" w:line="58" w:lineRule="exact"/>
        <w:rPr>
          <w:sz w:val="20"/>
          <w:szCs w:val="20"/>
          <w:color w:val="auto"/>
        </w:rPr>
      </w:pPr>
    </w:p>
    <w:p>
      <w:pPr>
        <w:jc w:val="both"/>
        <w:ind w:left="640" w:right="739"/>
        <w:spacing w:after="0" w:line="274" w:lineRule="auto"/>
        <w:rPr>
          <w:sz w:val="20"/>
          <w:szCs w:val="20"/>
          <w:color w:val="auto"/>
        </w:rPr>
      </w:pPr>
      <w:r>
        <w:rPr>
          <w:rFonts w:ascii="Times New Roman" w:cs="Times New Roman" w:eastAsia="Times New Roman" w:hAnsi="Times New Roman"/>
          <w:sz w:val="14"/>
          <w:szCs w:val="14"/>
          <w:color w:val="231F20"/>
        </w:rPr>
        <w:t>For all segments, the CODM uses segment EBITDA in the annual budgeting and monthly forecasting process. The CODM considers actual-to budget and actual-to current forecast variances for segment EBITDA on a monthly basis for evaluating performance of each segment and making decisions about allocating capital and other resources to each segment.</w:t>
      </w:r>
    </w:p>
    <w:p>
      <w:pPr>
        <w:spacing w:after="0" w:line="50" w:lineRule="exact"/>
        <w:rPr>
          <w:sz w:val="20"/>
          <w:szCs w:val="20"/>
          <w:color w:val="auto"/>
        </w:rPr>
      </w:pPr>
    </w:p>
    <w:p>
      <w:pPr>
        <w:ind w:left="640" w:right="919"/>
        <w:spacing w:after="0" w:line="268" w:lineRule="auto"/>
        <w:rPr>
          <w:sz w:val="20"/>
          <w:szCs w:val="20"/>
          <w:color w:val="auto"/>
        </w:rPr>
      </w:pPr>
      <w:r>
        <w:rPr>
          <w:rFonts w:ascii="Times New Roman" w:cs="Times New Roman" w:eastAsia="Times New Roman" w:hAnsi="Times New Roman"/>
          <w:sz w:val="14"/>
          <w:szCs w:val="14"/>
          <w:color w:val="auto"/>
        </w:rPr>
        <w:t>Segment amounts exclude certain expenses not specifically identifiable to the segments for functions performed in a centralized manner, which include accounting, finance, human resources, legal, information technology, corporate office support, and overall corporate management. Segment assets and capital expenditures are not provided to the Company’s CODM and, therefore, are not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6" w:name="page27"/>
    <w:bookmarkEnd w:id="26"/>
    <w:p>
      <w:pPr>
        <w:ind w:left="640" w:right="679"/>
        <w:spacing w:after="0" w:line="274" w:lineRule="auto"/>
        <w:rPr>
          <w:sz w:val="20"/>
          <w:szCs w:val="20"/>
          <w:color w:val="auto"/>
        </w:rPr>
      </w:pPr>
      <w:r>
        <w:rPr>
          <w:rFonts w:ascii="Times New Roman" w:cs="Times New Roman" w:eastAsia="Times New Roman" w:hAnsi="Times New Roman"/>
          <w:sz w:val="14"/>
          <w:szCs w:val="14"/>
          <w:color w:val="auto"/>
        </w:rPr>
        <w:t>The following tables set forth information about the Company’s reportable segments, along with the items necessary to reconcile the segment information to the totals reported in the Company’s unaudited condensed consolidated statements of operations as follows (in thousands):</w:t>
      </w:r>
    </w:p>
    <w:p>
      <w:pPr>
        <w:spacing w:after="0" w:line="174"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3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80" w:type="dxa"/>
            <w:vAlign w:val="bottom"/>
            <w:tcBorders>
              <w:bottom w:val="single" w:sz="8" w:color="auto"/>
            </w:tcBorders>
            <w:gridSpan w:val="6"/>
          </w:tcPr>
          <w:p>
            <w:pPr>
              <w:jc w:val="center"/>
              <w:ind w:left="851"/>
              <w:spacing w:after="0"/>
              <w:rPr>
                <w:sz w:val="20"/>
                <w:szCs w:val="20"/>
                <w:color w:val="auto"/>
              </w:rPr>
            </w:pPr>
            <w:r>
              <w:rPr>
                <w:rFonts w:ascii="Times New Roman" w:cs="Times New Roman" w:eastAsia="Times New Roman" w:hAnsi="Times New Roman"/>
                <w:sz w:val="11"/>
                <w:szCs w:val="11"/>
                <w:b w:val="1"/>
                <w:bCs w:val="1"/>
                <w:color w:val="auto"/>
              </w:rPr>
              <w:t>For the Three Months Ended June 30, 2025</w:t>
            </w:r>
          </w:p>
        </w:tc>
        <w:tc>
          <w:tcPr>
            <w:tcW w:w="10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52"/>
        </w:trPr>
        <w:tc>
          <w:tcPr>
            <w:tcW w:w="3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Pharmacy Solutions</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1"/>
                <w:szCs w:val="11"/>
                <w:b w:val="1"/>
                <w:bCs w:val="1"/>
                <w:color w:val="auto"/>
              </w:rPr>
              <w:t>Provider Services</w:t>
            </w:r>
          </w:p>
        </w:tc>
        <w:tc>
          <w:tcPr>
            <w:tcW w:w="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Total Segments</w:t>
            </w:r>
          </w:p>
        </w:tc>
        <w:tc>
          <w:tcPr>
            <w:tcW w:w="80" w:type="dxa"/>
            <w:vAlign w:val="bottom"/>
          </w:tcPr>
          <w:p>
            <w:pPr>
              <w:spacing w:after="0"/>
              <w:rPr>
                <w:sz w:val="13"/>
                <w:szCs w:val="13"/>
                <w:color w:val="auto"/>
              </w:rPr>
            </w:pPr>
          </w:p>
        </w:tc>
      </w:tr>
      <w:tr>
        <w:trPr>
          <w:trHeight w:val="163"/>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Products revenue</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2,790,101</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2,790,101</w:t>
            </w:r>
          </w:p>
        </w:tc>
        <w:tc>
          <w:tcPr>
            <w:tcW w:w="80" w:type="dxa"/>
            <w:vAlign w:val="bottom"/>
            <w:shd w:val="clear" w:color="auto" w:fill="CFF0FC"/>
          </w:tcPr>
          <w:p>
            <w:pPr>
              <w:spacing w:after="0"/>
              <w:rPr>
                <w:sz w:val="14"/>
                <w:szCs w:val="14"/>
                <w:color w:val="auto"/>
              </w:rPr>
            </w:pPr>
          </w:p>
        </w:tc>
      </w:tr>
      <w:tr>
        <w:trPr>
          <w:trHeight w:val="172"/>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Services revenue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357,597</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357,597</w:t>
            </w:r>
          </w:p>
        </w:tc>
        <w:tc>
          <w:tcPr>
            <w:tcW w:w="80" w:type="dxa"/>
            <w:vAlign w:val="bottom"/>
          </w:tcPr>
          <w:p>
            <w:pPr>
              <w:spacing w:after="0"/>
              <w:rPr>
                <w:sz w:val="14"/>
                <w:szCs w:val="14"/>
                <w:color w:val="auto"/>
              </w:rPr>
            </w:pPr>
          </w:p>
        </w:tc>
      </w:tr>
      <w:tr>
        <w:trPr>
          <w:trHeight w:val="172"/>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drugs</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2,377,477</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2,377,477</w:t>
            </w:r>
          </w:p>
        </w:tc>
        <w:tc>
          <w:tcPr>
            <w:tcW w:w="80" w:type="dxa"/>
            <w:vAlign w:val="bottom"/>
            <w:shd w:val="clear" w:color="auto" w:fill="CFF0FC"/>
          </w:tcPr>
          <w:p>
            <w:pPr>
              <w:spacing w:after="0"/>
              <w:rPr>
                <w:sz w:val="14"/>
                <w:szCs w:val="14"/>
                <w:color w:val="auto"/>
              </w:rPr>
            </w:pPr>
          </w:p>
        </w:tc>
      </w:tr>
      <w:tr>
        <w:trPr>
          <w:trHeight w:val="172"/>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216,444</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216,444</w:t>
            </w:r>
          </w:p>
        </w:tc>
        <w:tc>
          <w:tcPr>
            <w:tcW w:w="80" w:type="dxa"/>
            <w:vAlign w:val="bottom"/>
          </w:tcPr>
          <w:p>
            <w:pPr>
              <w:spacing w:after="0"/>
              <w:rPr>
                <w:sz w:val="14"/>
                <w:szCs w:val="14"/>
                <w:color w:val="auto"/>
              </w:rPr>
            </w:pPr>
          </w:p>
        </w:tc>
      </w:tr>
      <w:tr>
        <w:trPr>
          <w:trHeight w:val="172"/>
        </w:trPr>
        <w:tc>
          <w:tcPr>
            <w:tcW w:w="334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 xml:space="preserve">Other direct costs </w:t>
            </w:r>
            <w:r>
              <w:rPr>
                <w:rFonts w:ascii="Times New Roman" w:cs="Times New Roman" w:eastAsia="Times New Roman" w:hAnsi="Times New Roman"/>
                <w:sz w:val="19"/>
                <w:szCs w:val="19"/>
                <w:color w:val="auto"/>
                <w:vertAlign w:val="superscript"/>
              </w:rPr>
              <w:t>(1)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178,925</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178,925</w:t>
            </w:r>
          </w:p>
        </w:tc>
        <w:tc>
          <w:tcPr>
            <w:tcW w:w="80" w:type="dxa"/>
            <w:vAlign w:val="bottom"/>
            <w:shd w:val="clear" w:color="auto" w:fill="CFF0FC"/>
          </w:tcPr>
          <w:p>
            <w:pPr>
              <w:spacing w:after="0"/>
              <w:rPr>
                <w:sz w:val="14"/>
                <w:szCs w:val="14"/>
                <w:color w:val="auto"/>
              </w:rPr>
            </w:pPr>
          </w:p>
        </w:tc>
      </w:tr>
      <w:tr>
        <w:trPr>
          <w:trHeight w:val="172"/>
        </w:trPr>
        <w:tc>
          <w:tcPr>
            <w:tcW w:w="3340" w:type="dxa"/>
            <w:vAlign w:val="bottom"/>
          </w:tcPr>
          <w:p>
            <w:pPr>
              <w:spacing w:after="0" w:line="172" w:lineRule="exact"/>
              <w:rPr>
                <w:sz w:val="20"/>
                <w:szCs w:val="20"/>
                <w:color w:val="auto"/>
              </w:rPr>
            </w:pPr>
            <w:r>
              <w:rPr>
                <w:rFonts w:ascii="Times New Roman" w:cs="Times New Roman" w:eastAsia="Times New Roman" w:hAnsi="Times New Roman"/>
                <w:sz w:val="14"/>
                <w:szCs w:val="14"/>
                <w:color w:val="auto"/>
              </w:rPr>
              <w:t xml:space="preserve">Segment selling, general, and administrative expenses </w:t>
            </w:r>
            <w:r>
              <w:rPr>
                <w:rFonts w:ascii="Times New Roman" w:cs="Times New Roman" w:eastAsia="Times New Roman" w:hAnsi="Times New Roman"/>
                <w:sz w:val="19"/>
                <w:szCs w:val="19"/>
                <w:color w:val="auto"/>
                <w:vertAlign w:val="superscript"/>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136,040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91,871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227,911</w:t>
            </w:r>
          </w:p>
        </w:tc>
        <w:tc>
          <w:tcPr>
            <w:tcW w:w="80" w:type="dxa"/>
            <w:vAlign w:val="bottom"/>
          </w:tcPr>
          <w:p>
            <w:pPr>
              <w:spacing w:after="0"/>
              <w:rPr>
                <w:sz w:val="14"/>
                <w:szCs w:val="14"/>
                <w:color w:val="auto"/>
              </w:rPr>
            </w:pPr>
          </w:p>
        </w:tc>
      </w:tr>
      <w:tr>
        <w:trPr>
          <w:trHeight w:val="172"/>
        </w:trPr>
        <w:tc>
          <w:tcPr>
            <w:tcW w:w="334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 xml:space="preserve">Segment depreciation and amortization expense </w:t>
            </w:r>
            <w:r>
              <w:rPr>
                <w:rFonts w:ascii="Times New Roman" w:cs="Times New Roman" w:eastAsia="Times New Roman" w:hAnsi="Times New Roman"/>
                <w:sz w:val="19"/>
                <w:szCs w:val="19"/>
                <w:color w:val="auto"/>
                <w:vertAlign w:val="superscript"/>
              </w:rPr>
              <w:t>(3)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27,033</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7,174</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34,207</w:t>
            </w:r>
          </w:p>
        </w:tc>
        <w:tc>
          <w:tcPr>
            <w:tcW w:w="80" w:type="dxa"/>
            <w:vAlign w:val="bottom"/>
            <w:shd w:val="clear" w:color="auto" w:fill="CFF0FC"/>
          </w:tcPr>
          <w:p>
            <w:pPr>
              <w:spacing w:after="0"/>
              <w:rPr>
                <w:sz w:val="14"/>
                <w:szCs w:val="14"/>
                <w:color w:val="auto"/>
              </w:rPr>
            </w:pPr>
          </w:p>
        </w:tc>
      </w:tr>
      <w:tr>
        <w:trPr>
          <w:trHeight w:val="188"/>
        </w:trPr>
        <w:tc>
          <w:tcPr>
            <w:tcW w:w="3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Segment EBITDA</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124,692</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56,456</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181,148</w:t>
            </w:r>
          </w:p>
        </w:tc>
        <w:tc>
          <w:tcPr>
            <w:tcW w:w="80" w:type="dxa"/>
            <w:vAlign w:val="bottom"/>
          </w:tcPr>
          <w:p>
            <w:pPr>
              <w:spacing w:after="0"/>
              <w:rPr>
                <w:sz w:val="16"/>
                <w:szCs w:val="16"/>
                <w:color w:val="auto"/>
              </w:rPr>
            </w:pPr>
          </w:p>
        </w:tc>
      </w:tr>
      <w:tr>
        <w:trPr>
          <w:trHeight w:val="317"/>
        </w:trPr>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center"/>
              <w:ind w:left="851"/>
              <w:spacing w:after="0"/>
              <w:rPr>
                <w:sz w:val="20"/>
                <w:szCs w:val="20"/>
                <w:color w:val="auto"/>
              </w:rPr>
            </w:pPr>
            <w:r>
              <w:rPr>
                <w:rFonts w:ascii="Times New Roman" w:cs="Times New Roman" w:eastAsia="Times New Roman" w:hAnsi="Times New Roman"/>
                <w:sz w:val="11"/>
                <w:szCs w:val="11"/>
                <w:b w:val="1"/>
                <w:bCs w:val="1"/>
                <w:color w:val="auto"/>
              </w:rPr>
              <w:t>For the Three Months Ended June 30, 2024</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52"/>
        </w:trPr>
        <w:tc>
          <w:tcPr>
            <w:tcW w:w="3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Pharmacy Solutions</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1"/>
                <w:szCs w:val="11"/>
                <w:b w:val="1"/>
                <w:bCs w:val="1"/>
                <w:color w:val="auto"/>
              </w:rPr>
              <w:t>Provider Services</w:t>
            </w:r>
          </w:p>
        </w:tc>
        <w:tc>
          <w:tcPr>
            <w:tcW w:w="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Total Segments</w:t>
            </w:r>
          </w:p>
        </w:tc>
        <w:tc>
          <w:tcPr>
            <w:tcW w:w="80" w:type="dxa"/>
            <w:vAlign w:val="bottom"/>
          </w:tcPr>
          <w:p>
            <w:pPr>
              <w:spacing w:after="0"/>
              <w:rPr>
                <w:sz w:val="13"/>
                <w:szCs w:val="13"/>
                <w:color w:val="auto"/>
              </w:rPr>
            </w:pPr>
          </w:p>
        </w:tc>
      </w:tr>
      <w:tr>
        <w:trPr>
          <w:trHeight w:val="163"/>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Products revenue</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2,114,491</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2,114,491</w:t>
            </w:r>
          </w:p>
        </w:tc>
        <w:tc>
          <w:tcPr>
            <w:tcW w:w="80" w:type="dxa"/>
            <w:vAlign w:val="bottom"/>
            <w:shd w:val="clear" w:color="auto" w:fill="CFF0FC"/>
          </w:tcPr>
          <w:p>
            <w:pPr>
              <w:spacing w:after="0"/>
              <w:rPr>
                <w:sz w:val="14"/>
                <w:szCs w:val="14"/>
                <w:color w:val="auto"/>
              </w:rPr>
            </w:pPr>
          </w:p>
        </w:tc>
      </w:tr>
      <w:tr>
        <w:trPr>
          <w:trHeight w:val="172"/>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Services revenue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323,763</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323,763</w:t>
            </w:r>
          </w:p>
        </w:tc>
        <w:tc>
          <w:tcPr>
            <w:tcW w:w="80" w:type="dxa"/>
            <w:vAlign w:val="bottom"/>
          </w:tcPr>
          <w:p>
            <w:pPr>
              <w:spacing w:after="0"/>
              <w:rPr>
                <w:sz w:val="14"/>
                <w:szCs w:val="14"/>
                <w:color w:val="auto"/>
              </w:rPr>
            </w:pPr>
          </w:p>
        </w:tc>
      </w:tr>
      <w:tr>
        <w:trPr>
          <w:trHeight w:val="172"/>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drugs</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1,778,358</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1,778,358</w:t>
            </w:r>
          </w:p>
        </w:tc>
        <w:tc>
          <w:tcPr>
            <w:tcW w:w="80" w:type="dxa"/>
            <w:vAlign w:val="bottom"/>
            <w:shd w:val="clear" w:color="auto" w:fill="CFF0FC"/>
          </w:tcPr>
          <w:p>
            <w:pPr>
              <w:spacing w:after="0"/>
              <w:rPr>
                <w:sz w:val="14"/>
                <w:szCs w:val="14"/>
                <w:color w:val="auto"/>
              </w:rPr>
            </w:pPr>
          </w:p>
        </w:tc>
      </w:tr>
      <w:tr>
        <w:trPr>
          <w:trHeight w:val="172"/>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194,318</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194,318</w:t>
            </w:r>
          </w:p>
        </w:tc>
        <w:tc>
          <w:tcPr>
            <w:tcW w:w="80" w:type="dxa"/>
            <w:vAlign w:val="bottom"/>
          </w:tcPr>
          <w:p>
            <w:pPr>
              <w:spacing w:after="0"/>
              <w:rPr>
                <w:sz w:val="14"/>
                <w:szCs w:val="14"/>
                <w:color w:val="auto"/>
              </w:rPr>
            </w:pPr>
          </w:p>
        </w:tc>
      </w:tr>
      <w:tr>
        <w:trPr>
          <w:trHeight w:val="172"/>
        </w:trPr>
        <w:tc>
          <w:tcPr>
            <w:tcW w:w="334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 xml:space="preserve">Other direct costs </w:t>
            </w:r>
            <w:r>
              <w:rPr>
                <w:rFonts w:ascii="Times New Roman" w:cs="Times New Roman" w:eastAsia="Times New Roman" w:hAnsi="Times New Roman"/>
                <w:sz w:val="19"/>
                <w:szCs w:val="19"/>
                <w:color w:val="auto"/>
                <w:vertAlign w:val="superscript"/>
              </w:rPr>
              <w:t>(1)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153,402</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153,402</w:t>
            </w:r>
          </w:p>
        </w:tc>
        <w:tc>
          <w:tcPr>
            <w:tcW w:w="80" w:type="dxa"/>
            <w:vAlign w:val="bottom"/>
            <w:shd w:val="clear" w:color="auto" w:fill="CFF0FC"/>
          </w:tcPr>
          <w:p>
            <w:pPr>
              <w:spacing w:after="0"/>
              <w:rPr>
                <w:sz w:val="14"/>
                <w:szCs w:val="14"/>
                <w:color w:val="auto"/>
              </w:rPr>
            </w:pPr>
          </w:p>
        </w:tc>
      </w:tr>
      <w:tr>
        <w:trPr>
          <w:trHeight w:val="172"/>
        </w:trPr>
        <w:tc>
          <w:tcPr>
            <w:tcW w:w="3340" w:type="dxa"/>
            <w:vAlign w:val="bottom"/>
          </w:tcPr>
          <w:p>
            <w:pPr>
              <w:spacing w:after="0" w:line="172" w:lineRule="exact"/>
              <w:rPr>
                <w:sz w:val="20"/>
                <w:szCs w:val="20"/>
                <w:color w:val="auto"/>
              </w:rPr>
            </w:pPr>
            <w:r>
              <w:rPr>
                <w:rFonts w:ascii="Times New Roman" w:cs="Times New Roman" w:eastAsia="Times New Roman" w:hAnsi="Times New Roman"/>
                <w:sz w:val="14"/>
                <w:szCs w:val="14"/>
                <w:color w:val="auto"/>
              </w:rPr>
              <w:t xml:space="preserve">Segment selling, general, and administrative expenses </w:t>
            </w:r>
            <w:r>
              <w:rPr>
                <w:rFonts w:ascii="Times New Roman" w:cs="Times New Roman" w:eastAsia="Times New Roman" w:hAnsi="Times New Roman"/>
                <w:sz w:val="19"/>
                <w:szCs w:val="19"/>
                <w:color w:val="auto"/>
                <w:vertAlign w:val="superscript"/>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115,457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84,728</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200,185</w:t>
            </w:r>
          </w:p>
        </w:tc>
        <w:tc>
          <w:tcPr>
            <w:tcW w:w="80" w:type="dxa"/>
            <w:vAlign w:val="bottom"/>
          </w:tcPr>
          <w:p>
            <w:pPr>
              <w:spacing w:after="0"/>
              <w:rPr>
                <w:sz w:val="14"/>
                <w:szCs w:val="14"/>
                <w:color w:val="auto"/>
              </w:rPr>
            </w:pPr>
          </w:p>
        </w:tc>
      </w:tr>
      <w:tr>
        <w:trPr>
          <w:trHeight w:val="172"/>
        </w:trPr>
        <w:tc>
          <w:tcPr>
            <w:tcW w:w="334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 xml:space="preserve">Segment depreciation and amortization expense </w:t>
            </w:r>
            <w:r>
              <w:rPr>
                <w:rFonts w:ascii="Times New Roman" w:cs="Times New Roman" w:eastAsia="Times New Roman" w:hAnsi="Times New Roman"/>
                <w:sz w:val="19"/>
                <w:szCs w:val="19"/>
                <w:color w:val="auto"/>
                <w:vertAlign w:val="superscript"/>
              </w:rPr>
              <w:t>(3)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27,222</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5,950</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33,172</w:t>
            </w:r>
          </w:p>
        </w:tc>
        <w:tc>
          <w:tcPr>
            <w:tcW w:w="80" w:type="dxa"/>
            <w:vAlign w:val="bottom"/>
            <w:shd w:val="clear" w:color="auto" w:fill="CFF0FC"/>
          </w:tcPr>
          <w:p>
            <w:pPr>
              <w:spacing w:after="0"/>
              <w:rPr>
                <w:sz w:val="14"/>
                <w:szCs w:val="14"/>
                <w:color w:val="auto"/>
              </w:rPr>
            </w:pPr>
          </w:p>
        </w:tc>
      </w:tr>
      <w:tr>
        <w:trPr>
          <w:trHeight w:val="188"/>
        </w:trPr>
        <w:tc>
          <w:tcPr>
            <w:tcW w:w="3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Segment EBITDA</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94,496</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50,667</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145,163</w:t>
            </w:r>
          </w:p>
        </w:tc>
        <w:tc>
          <w:tcPr>
            <w:tcW w:w="80" w:type="dxa"/>
            <w:vAlign w:val="bottom"/>
          </w:tcPr>
          <w:p>
            <w:pPr>
              <w:spacing w:after="0"/>
              <w:rPr>
                <w:sz w:val="16"/>
                <w:szCs w:val="16"/>
                <w:color w:val="auto"/>
              </w:rPr>
            </w:pPr>
          </w:p>
        </w:tc>
      </w:tr>
      <w:tr>
        <w:trPr>
          <w:trHeight w:val="317"/>
        </w:trPr>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center"/>
              <w:ind w:left="851"/>
              <w:spacing w:after="0"/>
              <w:rPr>
                <w:sz w:val="20"/>
                <w:szCs w:val="20"/>
                <w:color w:val="auto"/>
              </w:rPr>
            </w:pPr>
            <w:r>
              <w:rPr>
                <w:rFonts w:ascii="Times New Roman" w:cs="Times New Roman" w:eastAsia="Times New Roman" w:hAnsi="Times New Roman"/>
                <w:sz w:val="11"/>
                <w:szCs w:val="11"/>
                <w:b w:val="1"/>
                <w:bCs w:val="1"/>
                <w:color w:val="auto"/>
              </w:rPr>
              <w:t>For the Six Months Ended June 30, 2025</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52"/>
        </w:trPr>
        <w:tc>
          <w:tcPr>
            <w:tcW w:w="3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Pharmacy Solutions</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1"/>
                <w:szCs w:val="11"/>
                <w:b w:val="1"/>
                <w:bCs w:val="1"/>
                <w:color w:val="auto"/>
              </w:rPr>
              <w:t>Provider Services</w:t>
            </w:r>
          </w:p>
        </w:tc>
        <w:tc>
          <w:tcPr>
            <w:tcW w:w="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Total Segments</w:t>
            </w:r>
          </w:p>
        </w:tc>
        <w:tc>
          <w:tcPr>
            <w:tcW w:w="80" w:type="dxa"/>
            <w:vAlign w:val="bottom"/>
          </w:tcPr>
          <w:p>
            <w:pPr>
              <w:spacing w:after="0"/>
              <w:rPr>
                <w:sz w:val="13"/>
                <w:szCs w:val="13"/>
                <w:color w:val="auto"/>
              </w:rPr>
            </w:pPr>
          </w:p>
        </w:tc>
      </w:tr>
      <w:tr>
        <w:trPr>
          <w:trHeight w:val="163"/>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Products revenue</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5,322,272</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5,322,272</w:t>
            </w:r>
          </w:p>
        </w:tc>
        <w:tc>
          <w:tcPr>
            <w:tcW w:w="80" w:type="dxa"/>
            <w:vAlign w:val="bottom"/>
            <w:shd w:val="clear" w:color="auto" w:fill="CFF0FC"/>
          </w:tcPr>
          <w:p>
            <w:pPr>
              <w:spacing w:after="0"/>
              <w:rPr>
                <w:sz w:val="14"/>
                <w:szCs w:val="14"/>
                <w:color w:val="auto"/>
              </w:rPr>
            </w:pPr>
          </w:p>
        </w:tc>
      </w:tr>
      <w:tr>
        <w:trPr>
          <w:trHeight w:val="172"/>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Services revenue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703,555</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703,555</w:t>
            </w:r>
          </w:p>
        </w:tc>
        <w:tc>
          <w:tcPr>
            <w:tcW w:w="80" w:type="dxa"/>
            <w:vAlign w:val="bottom"/>
          </w:tcPr>
          <w:p>
            <w:pPr>
              <w:spacing w:after="0"/>
              <w:rPr>
                <w:sz w:val="14"/>
                <w:szCs w:val="14"/>
                <w:color w:val="auto"/>
              </w:rPr>
            </w:pPr>
          </w:p>
        </w:tc>
      </w:tr>
      <w:tr>
        <w:trPr>
          <w:trHeight w:val="172"/>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drugs</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4,525,053</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4,525,053</w:t>
            </w:r>
          </w:p>
        </w:tc>
        <w:tc>
          <w:tcPr>
            <w:tcW w:w="80" w:type="dxa"/>
            <w:vAlign w:val="bottom"/>
            <w:shd w:val="clear" w:color="auto" w:fill="CFF0FC"/>
          </w:tcPr>
          <w:p>
            <w:pPr>
              <w:spacing w:after="0"/>
              <w:rPr>
                <w:sz w:val="14"/>
                <w:szCs w:val="14"/>
                <w:color w:val="auto"/>
              </w:rPr>
            </w:pPr>
          </w:p>
        </w:tc>
      </w:tr>
      <w:tr>
        <w:trPr>
          <w:trHeight w:val="172"/>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427,989</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427,989</w:t>
            </w:r>
          </w:p>
        </w:tc>
        <w:tc>
          <w:tcPr>
            <w:tcW w:w="80" w:type="dxa"/>
            <w:vAlign w:val="bottom"/>
          </w:tcPr>
          <w:p>
            <w:pPr>
              <w:spacing w:after="0"/>
              <w:rPr>
                <w:sz w:val="14"/>
                <w:szCs w:val="14"/>
                <w:color w:val="auto"/>
              </w:rPr>
            </w:pPr>
          </w:p>
        </w:tc>
      </w:tr>
      <w:tr>
        <w:trPr>
          <w:trHeight w:val="172"/>
        </w:trPr>
        <w:tc>
          <w:tcPr>
            <w:tcW w:w="334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 xml:space="preserve">Other direct costs </w:t>
            </w:r>
            <w:r>
              <w:rPr>
                <w:rFonts w:ascii="Times New Roman" w:cs="Times New Roman" w:eastAsia="Times New Roman" w:hAnsi="Times New Roman"/>
                <w:sz w:val="19"/>
                <w:szCs w:val="19"/>
                <w:color w:val="auto"/>
                <w:vertAlign w:val="superscript"/>
              </w:rPr>
              <w:t>(1)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359,564</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359,564</w:t>
            </w:r>
          </w:p>
        </w:tc>
        <w:tc>
          <w:tcPr>
            <w:tcW w:w="80" w:type="dxa"/>
            <w:vAlign w:val="bottom"/>
            <w:shd w:val="clear" w:color="auto" w:fill="CFF0FC"/>
          </w:tcPr>
          <w:p>
            <w:pPr>
              <w:spacing w:after="0"/>
              <w:rPr>
                <w:sz w:val="14"/>
                <w:szCs w:val="14"/>
                <w:color w:val="auto"/>
              </w:rPr>
            </w:pPr>
          </w:p>
        </w:tc>
      </w:tr>
      <w:tr>
        <w:trPr>
          <w:trHeight w:val="172"/>
        </w:trPr>
        <w:tc>
          <w:tcPr>
            <w:tcW w:w="3340" w:type="dxa"/>
            <w:vAlign w:val="bottom"/>
          </w:tcPr>
          <w:p>
            <w:pPr>
              <w:spacing w:after="0" w:line="172" w:lineRule="exact"/>
              <w:rPr>
                <w:sz w:val="20"/>
                <w:szCs w:val="20"/>
                <w:color w:val="auto"/>
              </w:rPr>
            </w:pPr>
            <w:r>
              <w:rPr>
                <w:rFonts w:ascii="Times New Roman" w:cs="Times New Roman" w:eastAsia="Times New Roman" w:hAnsi="Times New Roman"/>
                <w:sz w:val="14"/>
                <w:szCs w:val="14"/>
                <w:color w:val="auto"/>
              </w:rPr>
              <w:t xml:space="preserve">Segment selling, general, and administrative expenses </w:t>
            </w:r>
            <w:r>
              <w:rPr>
                <w:rFonts w:ascii="Times New Roman" w:cs="Times New Roman" w:eastAsia="Times New Roman" w:hAnsi="Times New Roman"/>
                <w:sz w:val="19"/>
                <w:szCs w:val="19"/>
                <w:color w:val="auto"/>
                <w:vertAlign w:val="superscript"/>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251,778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181,973</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433,751</w:t>
            </w:r>
          </w:p>
        </w:tc>
        <w:tc>
          <w:tcPr>
            <w:tcW w:w="80" w:type="dxa"/>
            <w:vAlign w:val="bottom"/>
          </w:tcPr>
          <w:p>
            <w:pPr>
              <w:spacing w:after="0"/>
              <w:rPr>
                <w:sz w:val="14"/>
                <w:szCs w:val="14"/>
                <w:color w:val="auto"/>
              </w:rPr>
            </w:pPr>
          </w:p>
        </w:tc>
      </w:tr>
      <w:tr>
        <w:trPr>
          <w:trHeight w:val="172"/>
        </w:trPr>
        <w:tc>
          <w:tcPr>
            <w:tcW w:w="334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 xml:space="preserve">Segment depreciation and amortization expense </w:t>
            </w:r>
            <w:r>
              <w:rPr>
                <w:rFonts w:ascii="Times New Roman" w:cs="Times New Roman" w:eastAsia="Times New Roman" w:hAnsi="Times New Roman"/>
                <w:sz w:val="19"/>
                <w:szCs w:val="19"/>
                <w:color w:val="auto"/>
                <w:vertAlign w:val="superscript"/>
              </w:rPr>
              <w:t>(3)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54,541</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13,943</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68,484</w:t>
            </w:r>
          </w:p>
        </w:tc>
        <w:tc>
          <w:tcPr>
            <w:tcW w:w="80" w:type="dxa"/>
            <w:vAlign w:val="bottom"/>
            <w:shd w:val="clear" w:color="auto" w:fill="CFF0FC"/>
          </w:tcPr>
          <w:p>
            <w:pPr>
              <w:spacing w:after="0"/>
              <w:rPr>
                <w:sz w:val="14"/>
                <w:szCs w:val="14"/>
                <w:color w:val="auto"/>
              </w:rPr>
            </w:pPr>
          </w:p>
        </w:tc>
      </w:tr>
      <w:tr>
        <w:trPr>
          <w:trHeight w:val="188"/>
        </w:trPr>
        <w:tc>
          <w:tcPr>
            <w:tcW w:w="3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Segment EBITDA</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240,418</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107,536</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347,954</w:t>
            </w:r>
          </w:p>
        </w:tc>
        <w:tc>
          <w:tcPr>
            <w:tcW w:w="80" w:type="dxa"/>
            <w:vAlign w:val="bottom"/>
          </w:tcPr>
          <w:p>
            <w:pPr>
              <w:spacing w:after="0"/>
              <w:rPr>
                <w:sz w:val="16"/>
                <w:szCs w:val="16"/>
                <w:color w:val="auto"/>
              </w:rPr>
            </w:pPr>
          </w:p>
        </w:tc>
      </w:tr>
      <w:tr>
        <w:trPr>
          <w:trHeight w:val="317"/>
        </w:trPr>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center"/>
              <w:ind w:left="851"/>
              <w:spacing w:after="0"/>
              <w:rPr>
                <w:sz w:val="20"/>
                <w:szCs w:val="20"/>
                <w:color w:val="auto"/>
              </w:rPr>
            </w:pPr>
            <w:r>
              <w:rPr>
                <w:rFonts w:ascii="Times New Roman" w:cs="Times New Roman" w:eastAsia="Times New Roman" w:hAnsi="Times New Roman"/>
                <w:sz w:val="11"/>
                <w:szCs w:val="11"/>
                <w:b w:val="1"/>
                <w:bCs w:val="1"/>
                <w:color w:val="auto"/>
              </w:rPr>
              <w:t>For the Six Months Ended June 30, 2024</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52"/>
        </w:trPr>
        <w:tc>
          <w:tcPr>
            <w:tcW w:w="3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Pharmacy Solutions</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1"/>
                <w:szCs w:val="11"/>
                <w:b w:val="1"/>
                <w:bCs w:val="1"/>
                <w:color w:val="auto"/>
              </w:rPr>
              <w:t>Provider Services</w:t>
            </w:r>
          </w:p>
        </w:tc>
        <w:tc>
          <w:tcPr>
            <w:tcW w:w="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Total Segments</w:t>
            </w:r>
          </w:p>
        </w:tc>
        <w:tc>
          <w:tcPr>
            <w:tcW w:w="80" w:type="dxa"/>
            <w:vAlign w:val="bottom"/>
          </w:tcPr>
          <w:p>
            <w:pPr>
              <w:spacing w:after="0"/>
              <w:rPr>
                <w:sz w:val="13"/>
                <w:szCs w:val="13"/>
                <w:color w:val="auto"/>
              </w:rPr>
            </w:pPr>
          </w:p>
        </w:tc>
      </w:tr>
      <w:tr>
        <w:trPr>
          <w:trHeight w:val="163"/>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Products revenue</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4,091,526</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4,091,526</w:t>
            </w:r>
          </w:p>
        </w:tc>
        <w:tc>
          <w:tcPr>
            <w:tcW w:w="80" w:type="dxa"/>
            <w:vAlign w:val="bottom"/>
            <w:shd w:val="clear" w:color="auto" w:fill="CFF0FC"/>
          </w:tcPr>
          <w:p>
            <w:pPr>
              <w:spacing w:after="0"/>
              <w:rPr>
                <w:sz w:val="14"/>
                <w:szCs w:val="14"/>
                <w:color w:val="auto"/>
              </w:rPr>
            </w:pPr>
          </w:p>
        </w:tc>
      </w:tr>
      <w:tr>
        <w:trPr>
          <w:trHeight w:val="172"/>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Services revenue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632,494</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632,494</w:t>
            </w:r>
          </w:p>
        </w:tc>
        <w:tc>
          <w:tcPr>
            <w:tcW w:w="80" w:type="dxa"/>
            <w:vAlign w:val="bottom"/>
          </w:tcPr>
          <w:p>
            <w:pPr>
              <w:spacing w:after="0"/>
              <w:rPr>
                <w:sz w:val="14"/>
                <w:szCs w:val="14"/>
                <w:color w:val="auto"/>
              </w:rPr>
            </w:pPr>
          </w:p>
        </w:tc>
      </w:tr>
      <w:tr>
        <w:trPr>
          <w:trHeight w:val="172"/>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drugs</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3,436,117</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3,436,117</w:t>
            </w:r>
          </w:p>
        </w:tc>
        <w:tc>
          <w:tcPr>
            <w:tcW w:w="80" w:type="dxa"/>
            <w:vAlign w:val="bottom"/>
            <w:shd w:val="clear" w:color="auto" w:fill="CFF0FC"/>
          </w:tcPr>
          <w:p>
            <w:pPr>
              <w:spacing w:after="0"/>
              <w:rPr>
                <w:sz w:val="14"/>
                <w:szCs w:val="14"/>
                <w:color w:val="auto"/>
              </w:rPr>
            </w:pPr>
          </w:p>
        </w:tc>
      </w:tr>
      <w:tr>
        <w:trPr>
          <w:trHeight w:val="172"/>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380,493</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380,493</w:t>
            </w:r>
          </w:p>
        </w:tc>
        <w:tc>
          <w:tcPr>
            <w:tcW w:w="80" w:type="dxa"/>
            <w:vAlign w:val="bottom"/>
          </w:tcPr>
          <w:p>
            <w:pPr>
              <w:spacing w:after="0"/>
              <w:rPr>
                <w:sz w:val="14"/>
                <w:szCs w:val="14"/>
                <w:color w:val="auto"/>
              </w:rPr>
            </w:pPr>
          </w:p>
        </w:tc>
      </w:tr>
      <w:tr>
        <w:trPr>
          <w:trHeight w:val="172"/>
        </w:trPr>
        <w:tc>
          <w:tcPr>
            <w:tcW w:w="334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 xml:space="preserve">Other direct costs </w:t>
            </w:r>
            <w:r>
              <w:rPr>
                <w:rFonts w:ascii="Times New Roman" w:cs="Times New Roman" w:eastAsia="Times New Roman" w:hAnsi="Times New Roman"/>
                <w:sz w:val="19"/>
                <w:szCs w:val="19"/>
                <w:color w:val="auto"/>
                <w:vertAlign w:val="superscript"/>
              </w:rPr>
              <w:t>(1)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302,743</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302,743</w:t>
            </w:r>
          </w:p>
        </w:tc>
        <w:tc>
          <w:tcPr>
            <w:tcW w:w="80" w:type="dxa"/>
            <w:vAlign w:val="bottom"/>
            <w:shd w:val="clear" w:color="auto" w:fill="CFF0FC"/>
          </w:tcPr>
          <w:p>
            <w:pPr>
              <w:spacing w:after="0"/>
              <w:rPr>
                <w:sz w:val="14"/>
                <w:szCs w:val="14"/>
                <w:color w:val="auto"/>
              </w:rPr>
            </w:pPr>
          </w:p>
        </w:tc>
      </w:tr>
      <w:tr>
        <w:trPr>
          <w:trHeight w:val="172"/>
        </w:trPr>
        <w:tc>
          <w:tcPr>
            <w:tcW w:w="3340" w:type="dxa"/>
            <w:vAlign w:val="bottom"/>
          </w:tcPr>
          <w:p>
            <w:pPr>
              <w:spacing w:after="0" w:line="172" w:lineRule="exact"/>
              <w:rPr>
                <w:sz w:val="20"/>
                <w:szCs w:val="20"/>
                <w:color w:val="auto"/>
              </w:rPr>
            </w:pPr>
            <w:r>
              <w:rPr>
                <w:rFonts w:ascii="Times New Roman" w:cs="Times New Roman" w:eastAsia="Times New Roman" w:hAnsi="Times New Roman"/>
                <w:sz w:val="14"/>
                <w:szCs w:val="14"/>
                <w:color w:val="auto"/>
              </w:rPr>
              <w:t xml:space="preserve">Segment selling, general, and administrative expenses </w:t>
            </w:r>
            <w:r>
              <w:rPr>
                <w:rFonts w:ascii="Times New Roman" w:cs="Times New Roman" w:eastAsia="Times New Roman" w:hAnsi="Times New Roman"/>
                <w:sz w:val="19"/>
                <w:szCs w:val="19"/>
                <w:color w:val="auto"/>
                <w:vertAlign w:val="superscript"/>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224,467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166,272</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390,739</w:t>
            </w:r>
          </w:p>
        </w:tc>
        <w:tc>
          <w:tcPr>
            <w:tcW w:w="80" w:type="dxa"/>
            <w:vAlign w:val="bottom"/>
          </w:tcPr>
          <w:p>
            <w:pPr>
              <w:spacing w:after="0"/>
              <w:rPr>
                <w:sz w:val="14"/>
                <w:szCs w:val="14"/>
                <w:color w:val="auto"/>
              </w:rPr>
            </w:pPr>
          </w:p>
        </w:tc>
      </w:tr>
      <w:tr>
        <w:trPr>
          <w:trHeight w:val="172"/>
        </w:trPr>
        <w:tc>
          <w:tcPr>
            <w:tcW w:w="334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 xml:space="preserve">Segment depreciation and amortization expense </w:t>
            </w:r>
            <w:r>
              <w:rPr>
                <w:rFonts w:ascii="Times New Roman" w:cs="Times New Roman" w:eastAsia="Times New Roman" w:hAnsi="Times New Roman"/>
                <w:sz w:val="19"/>
                <w:szCs w:val="19"/>
                <w:color w:val="auto"/>
                <w:vertAlign w:val="superscript"/>
              </w:rPr>
              <w:t>(3)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54,471</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11,693</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66,164</w:t>
            </w:r>
          </w:p>
        </w:tc>
        <w:tc>
          <w:tcPr>
            <w:tcW w:w="80" w:type="dxa"/>
            <w:vAlign w:val="bottom"/>
            <w:shd w:val="clear" w:color="auto" w:fill="CFF0FC"/>
          </w:tcPr>
          <w:p>
            <w:pPr>
              <w:spacing w:after="0"/>
              <w:rPr>
                <w:sz w:val="14"/>
                <w:szCs w:val="14"/>
                <w:color w:val="auto"/>
              </w:rPr>
            </w:pPr>
          </w:p>
        </w:tc>
      </w:tr>
      <w:tr>
        <w:trPr>
          <w:trHeight w:val="188"/>
        </w:trPr>
        <w:tc>
          <w:tcPr>
            <w:tcW w:w="3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Segment EBITDA</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182,670</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97,422</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280,092</w:t>
            </w:r>
          </w:p>
        </w:tc>
        <w:tc>
          <w:tcPr>
            <w:tcW w:w="80" w:type="dxa"/>
            <w:vAlign w:val="bottom"/>
          </w:tcPr>
          <w:p>
            <w:pPr>
              <w:spacing w:after="0"/>
              <w:rPr>
                <w:sz w:val="16"/>
                <w:szCs w:val="16"/>
                <w:color w:val="auto"/>
              </w:rPr>
            </w:pPr>
          </w:p>
        </w:tc>
      </w:tr>
    </w:tbl>
    <w:p>
      <w:pPr>
        <w:spacing w:after="0" w:line="141" w:lineRule="exact"/>
        <w:rPr>
          <w:sz w:val="20"/>
          <w:szCs w:val="20"/>
          <w:color w:val="auto"/>
        </w:rPr>
      </w:pPr>
    </w:p>
    <w:p>
      <w:pPr>
        <w:ind w:left="980" w:right="679" w:hanging="342"/>
        <w:spacing w:after="0" w:line="266" w:lineRule="auto"/>
        <w:tabs>
          <w:tab w:leader="none" w:pos="9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direct costs primarily includes direct labor costs, delivery costs, insurance, and depreciation and amortization expense that relates to revenue-generating assets.</w:t>
      </w:r>
    </w:p>
    <w:p>
      <w:pPr>
        <w:ind w:left="980" w:right="739" w:hanging="342"/>
        <w:spacing w:after="0" w:line="256" w:lineRule="auto"/>
        <w:tabs>
          <w:tab w:leader="none" w:pos="9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selling, general, and administrative expense includes direct labor costs, depreciation and amortization, insurance, rent, lease, supplies, professional services, maintenance, repairs, utilities, and communications expense.</w:t>
      </w:r>
    </w:p>
    <w:p>
      <w:pPr>
        <w:ind w:left="980" w:right="839" w:hanging="342"/>
        <w:spacing w:after="0" w:line="272" w:lineRule="auto"/>
        <w:tabs>
          <w:tab w:leader="none" w:pos="9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segment depreciation and amortization expense is presented in other direct costs, costs of services, and segment general and administrative expenses, based on the associated asset.</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7" w:name="page28"/>
    <w:bookmarkEnd w:id="27"/>
    <w:tbl>
      <w:tblPr>
        <w:tblLayout w:type="fixed"/>
        <w:tblInd w:w="120" w:type="dxa"/>
        <w:tblCellMar>
          <w:top w:w="0" w:type="dxa"/>
          <w:left w:w="0" w:type="dxa"/>
          <w:bottom w:w="0" w:type="dxa"/>
          <w:right w:w="0" w:type="dxa"/>
        </w:tblCellMar>
      </w:tblPr>
      <w:tr>
        <w:trPr>
          <w:trHeight w:val="126"/>
        </w:trPr>
        <w:tc>
          <w:tcPr>
            <w:tcW w:w="5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gridSpan w:val="5"/>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160" w:type="dxa"/>
            <w:vAlign w:val="bottom"/>
          </w:tcPr>
          <w:p>
            <w:pPr>
              <w:spacing w:after="0"/>
              <w:rPr>
                <w:sz w:val="11"/>
                <w:szCs w:val="11"/>
                <w:color w:val="auto"/>
              </w:rPr>
            </w:pPr>
          </w:p>
        </w:tc>
        <w:tc>
          <w:tcPr>
            <w:tcW w:w="2200" w:type="dxa"/>
            <w:vAlign w:val="bottom"/>
            <w:gridSpan w:val="6"/>
          </w:tcPr>
          <w:p>
            <w:pPr>
              <w:ind w:left="60"/>
              <w:spacing w:after="0"/>
              <w:rPr>
                <w:sz w:val="20"/>
                <w:szCs w:val="20"/>
                <w:color w:val="auto"/>
              </w:rPr>
            </w:pPr>
            <w:r>
              <w:rPr>
                <w:rFonts w:ascii="Times New Roman" w:cs="Times New Roman" w:eastAsia="Times New Roman" w:hAnsi="Times New Roman"/>
                <w:sz w:val="11"/>
                <w:szCs w:val="11"/>
                <w:b w:val="1"/>
                <w:bCs w:val="1"/>
                <w:color w:val="auto"/>
              </w:rPr>
              <w:t>For the Six Months Ended</w:t>
            </w:r>
          </w:p>
        </w:tc>
        <w:tc>
          <w:tcPr>
            <w:tcW w:w="0" w:type="dxa"/>
            <w:vAlign w:val="bottom"/>
          </w:tcPr>
          <w:p>
            <w:pPr>
              <w:spacing w:after="0"/>
              <w:rPr>
                <w:sz w:val="1"/>
                <w:szCs w:val="1"/>
                <w:color w:val="auto"/>
              </w:rPr>
            </w:pPr>
          </w:p>
        </w:tc>
      </w:tr>
      <w:tr>
        <w:trPr>
          <w:trHeight w:val="137"/>
        </w:trPr>
        <w:tc>
          <w:tcPr>
            <w:tcW w:w="5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5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12"/>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21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12"/>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23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i w:val="1"/>
                <w:iCs w:val="1"/>
                <w:color w:val="auto"/>
              </w:rPr>
              <w:t>Reconciliation of income or loss:</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Total Segment EBITDA</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181,148</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145,163</w:t>
            </w:r>
          </w:p>
        </w:tc>
        <w:tc>
          <w:tcPr>
            <w:tcW w:w="16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347,954</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280,092</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Segment depreciation and amortization</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34,207</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33,172</w:t>
            </w:r>
          </w:p>
        </w:tc>
        <w:tc>
          <w:tcPr>
            <w:tcW w:w="1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68,484</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66,164</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Expenses not allocated at segment level:</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90,752</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66,810</w:t>
            </w:r>
          </w:p>
        </w:tc>
        <w:tc>
          <w:tcPr>
            <w:tcW w:w="1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165,987</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177,838</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6,528</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14,187</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12,772</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12,726</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 net</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38,778</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43,282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80,541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97,752</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1,238</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(13,115)</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(39,619)</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line="20" w:lineRule="exact"/>
              <w:rPr>
                <w:sz w:val="1"/>
                <w:szCs w:val="1"/>
                <w:color w:val="auto"/>
              </w:rPr>
            </w:pPr>
          </w:p>
        </w:tc>
        <w:tc>
          <w:tcPr>
            <w:tcW w:w="326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0" w:type="dxa"/>
            <w:vAlign w:val="bottom"/>
            <w:vMerge w:val="continue"/>
          </w:tcPr>
          <w:p>
            <w:pPr>
              <w:spacing w:after="0"/>
              <w:rPr>
                <w:sz w:val="14"/>
                <w:szCs w:val="1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 from continuing operations</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8,541</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8,486</w:t>
            </w:r>
          </w:p>
        </w:tc>
        <w:tc>
          <w:tcPr>
            <w:tcW w:w="16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17,757</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(47,541)</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-858520</wp:posOffset>
            </wp:positionV>
            <wp:extent cx="47625" cy="69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-858520</wp:posOffset>
            </wp:positionV>
            <wp:extent cx="47625" cy="69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-858520</wp:posOffset>
            </wp:positionV>
            <wp:extent cx="47625" cy="69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-858520</wp:posOffset>
            </wp:positionV>
            <wp:extent cx="47625" cy="69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ectPr>
          <w:pgSz w:w="11900" w:h="16838" w:orient="portrait"/>
          <w:cols w:equalWidth="0" w:num="1">
            <w:col w:w="9019"/>
          </w:cols>
          <w:pgMar w:left="1440" w:top="885" w:right="1440" w:bottom="1440" w:gutter="0" w:footer="0" w:header="0"/>
        </w:sectPr>
      </w:pPr>
    </w:p>
    <w:bookmarkStart w:id="28" w:name="page29"/>
    <w:bookmarkEnd w:id="28"/>
    <w:p>
      <w:pPr>
        <w:ind w:left="640"/>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97"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i w:val="1"/>
          <w:iCs w:val="1"/>
          <w:color w:val="auto"/>
        </w:rPr>
        <w:t>The following discussion analyzes our financial condition and results of operations and should be read in conjunction with our unaudited condensed consolidated financial statements and related notes included elsewhere in this Quarterly Report on Form 10-Q (our “Form 10-Q”). This discussion contains forward-looking statements that involve risks and uncertainties. See “Forward-Looking Statements.” When reviewing the discussion below, you should keep in mind the substantial risks and uncertainties that characterize our business. Known material factors that could affect our financial performance and actual results, and could cause actual results to differ materially from those expressed or implied in any forward-looking statements included in this discussion or otherwise made by our management, are described in Item 2 of Part I of this Form 10-Q, and in Item 1A, “Risk Factors” of Part I of our Annual Report on Form 10-K for the year ended December 31, 2024 (our “Form 10-K”). Factors that could cause or contribute to such difference are not limited to those identified in “Risk Factors.” When used in the following discussion, “Senior” patients and populations mean individuals who are aged 65 and older, “Specialty” patients and populations mean individuals who have unique, specialized and most often chronic/life-long health conditions and needs, and “Behavioral” patients and populations mean individuals with intellectual and developmental disabilities including mental illness.</w:t>
      </w:r>
    </w:p>
    <w:p>
      <w:pPr>
        <w:spacing w:after="0" w:line="2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9"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We are a leading home and community-based healthcare services platform, focused on delivering complementary pharmacy and provider services to complex patients. We have a differentiated approach to care delivery, with an integrated and scaled model that addresses critical services that the highest-need and highest-cost patients require. With a focus on Senior and Specialty patients, which includes Behavioral populations, our platform provides pharmacy and provider services (both clinical and supportive care in nature) in lower-cost home and community settings largely to Medicare, Medicaid, and commercially-insured populations. We are an essential part of our nation’s health delivery network as a front-line provider of high-quality and cost-effective care to a large and growing number of people, who increasingly require a combination of specialized solutions to enable holistic health care management. Our presence spans all 50 states, we serve over 460,000 patients daily through our approximately 10,000 clinical providers and pharmacists, and our services make a profound impact in the lives and communities of the people we serve.</w:t>
      </w:r>
    </w:p>
    <w:p>
      <w:pPr>
        <w:spacing w:after="0" w:line="63" w:lineRule="exact"/>
        <w:rPr>
          <w:sz w:val="20"/>
          <w:szCs w:val="20"/>
          <w:color w:val="auto"/>
        </w:rPr>
      </w:pPr>
    </w:p>
    <w:p>
      <w:pPr>
        <w:ind w:left="640" w:right="659" w:firstLine="516"/>
        <w:spacing w:after="0" w:line="260" w:lineRule="auto"/>
        <w:rPr>
          <w:sz w:val="20"/>
          <w:szCs w:val="20"/>
          <w:color w:val="auto"/>
        </w:rPr>
      </w:pPr>
      <w:r>
        <w:rPr>
          <w:rFonts w:ascii="Times New Roman" w:cs="Times New Roman" w:eastAsia="Times New Roman" w:hAnsi="Times New Roman"/>
          <w:sz w:val="14"/>
          <w:szCs w:val="14"/>
          <w:color w:val="auto"/>
        </w:rPr>
        <w:t>On January 17, 2025, the Company entered into a purchase agreement with National Mentor Holding, Inc. to divest our community living services, home and community based waiver programs, and intermediate care facilities (the “Community Living business”), for $835 million, subject to typical adjustments for working capital and other customary items. We expect the divestiture to close in late 2025, subject to customary closing conditions. This transaction provides for continuity of important intellectual and developmental disability services while BrightSpring focuses on a concentrated group of customers, patients and stakeholders in the future. We believe the Company’s streamlined service offerings will result in increased strategic focus, operational efficiencies, a refined payer mix, and greater clinical integration and business synergy across the Provider Services segment. The divestiture will also augment our expected Revenue and Adjusted EBITDA growth rates and maximize exposure to target growth markets that require BrightSpring’s needed and valuable solutions, such as home health, rehab, primary care, and hospice.</w:t>
      </w:r>
    </w:p>
    <w:p>
      <w:pPr>
        <w:spacing w:after="0" w:line="63" w:lineRule="exact"/>
        <w:rPr>
          <w:sz w:val="20"/>
          <w:szCs w:val="20"/>
          <w:color w:val="auto"/>
        </w:rPr>
      </w:pPr>
    </w:p>
    <w:p>
      <w:pPr>
        <w:ind w:left="640" w:right="739" w:firstLine="516"/>
        <w:spacing w:after="0" w:line="261" w:lineRule="auto"/>
        <w:rPr>
          <w:sz w:val="20"/>
          <w:szCs w:val="20"/>
          <w:color w:val="auto"/>
        </w:rPr>
      </w:pPr>
      <w:r>
        <w:rPr>
          <w:rFonts w:ascii="Times New Roman" w:cs="Times New Roman" w:eastAsia="Times New Roman" w:hAnsi="Times New Roman"/>
          <w:sz w:val="14"/>
          <w:szCs w:val="14"/>
          <w:color w:val="auto"/>
        </w:rPr>
        <w:t>The Company has determined the divestiture of the Community Living business represents a strategic shift that will have a major effect on its business and therefore met the criteria for classification as discontinued operations in the first fiscal quarter of 2025. As a result, in accordance with ASC 205-20, the financial results of the Community Living business, which were previously reported as part of our Provider Services segment, have been classified as discontinued operations in the unaudited condensed consolidated statements of operations, and the Community Living business's assets and liabilities have been classified as held for sale for all periods presented. Unless otherwise noted, amounts and disclosures throughout this Management’s Discussion and Analysis relate to our continuing operations. Refer to “PART I - Item 1. Note 2” of our Form 10-K for additional information regarding discontinued operations.</w:t>
      </w:r>
    </w:p>
    <w:p>
      <w:pPr>
        <w:spacing w:after="0" w:line="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For additional overview of our business, see “PART I - Item 1. Business” of our Form 10-K.</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Second Quarter of 2025 Key Highlights:</w:t>
      </w:r>
    </w:p>
    <w:p>
      <w:pPr>
        <w:spacing w:after="0" w:line="99" w:lineRule="exact"/>
        <w:rPr>
          <w:sz w:val="20"/>
          <w:szCs w:val="20"/>
          <w:color w:val="auto"/>
        </w:rPr>
      </w:pPr>
    </w:p>
    <w:p>
      <w:pPr>
        <w:ind w:left="1340" w:right="819" w:hanging="352"/>
        <w:spacing w:after="0" w:line="292" w:lineRule="auto"/>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 of definitive agreement to purchase home health and hospice care centers of Amedisys, Inc., and certain group care centers of UnitedHealth Group.</w:t>
      </w:r>
    </w:p>
    <w:p>
      <w:pPr>
        <w:spacing w:after="0" w:line="37" w:lineRule="exact"/>
        <w:rPr>
          <w:rFonts w:ascii="Times New Roman" w:cs="Times New Roman" w:eastAsia="Times New Roman" w:hAnsi="Times New Roman"/>
          <w:sz w:val="14"/>
          <w:szCs w:val="14"/>
          <w:color w:val="auto"/>
        </w:rPr>
      </w:pPr>
    </w:p>
    <w:p>
      <w:pPr>
        <w:ind w:left="1340" w:right="699" w:hanging="352"/>
        <w:spacing w:after="0" w:line="274" w:lineRule="auto"/>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Completion of underwritten secondary offering of our common stock by affiliates of Kohlberg Kravis Roberts &amp; Co. L.P. and certain members of management, which was completed in June 2025. As a result of this offering, we are no longer a “controlled company” within the meaning of the corporate governance standards of Nasdaq.</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29" w:name="page30"/>
    <w:bookmarkEnd w:id="29"/>
    <w:p>
      <w:pPr>
        <w:ind w:left="640"/>
        <w:spacing w:after="0"/>
        <w:rPr>
          <w:sz w:val="20"/>
          <w:szCs w:val="20"/>
          <w:color w:val="auto"/>
        </w:rPr>
      </w:pPr>
      <w:r>
        <w:rPr>
          <w:rFonts w:ascii="Times New Roman" w:cs="Times New Roman" w:eastAsia="Times New Roman" w:hAnsi="Times New Roman"/>
          <w:sz w:val="14"/>
          <w:szCs w:val="14"/>
          <w:b w:val="1"/>
          <w:bCs w:val="1"/>
          <w:color w:val="auto"/>
        </w:rPr>
        <w:t>Financial Performance Highlights: Second Quarter of 2025 Compared to Second Quarter of 2024</w:t>
      </w:r>
    </w:p>
    <w:p>
      <w:pPr>
        <w:spacing w:after="0" w:line="97" w:lineRule="exact"/>
        <w:rPr>
          <w:sz w:val="20"/>
          <w:szCs w:val="20"/>
          <w:color w:val="auto"/>
        </w:rPr>
      </w:pPr>
    </w:p>
    <w:p>
      <w:pPr>
        <w:ind w:left="1340" w:hanging="352"/>
        <w:spacing w:after="0"/>
        <w:tabs>
          <w:tab w:leader="none" w:pos="134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Revenue grew by $709.4 million, or 29.1%, to $3,147.7 million</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Pharmacy Solutions segment revenue grew by $675.6 million, or 32.0%, to $2,790.1 million</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Provider Services segment revenue grew by $33.8 million, or 10.5%, to $357.6 million</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Net income remained flat at $8.5 million</w:t>
      </w:r>
    </w:p>
    <w:p>
      <w:pPr>
        <w:spacing w:after="0" w:line="101"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Adjusted EBITDA</w:t>
      </w:r>
      <w:r>
        <w:rPr>
          <w:rFonts w:ascii="Times New Roman" w:cs="Times New Roman" w:eastAsia="Times New Roman" w:hAnsi="Times New Roman"/>
          <w:sz w:val="19"/>
          <w:szCs w:val="19"/>
          <w:i w:val="1"/>
          <w:iCs w:val="1"/>
          <w:color w:val="auto"/>
          <w:vertAlign w:val="superscript"/>
        </w:rPr>
        <w:t>(1)</w:t>
      </w:r>
      <w:r>
        <w:rPr>
          <w:rFonts w:ascii="Times New Roman" w:cs="Times New Roman" w:eastAsia="Times New Roman" w:hAnsi="Times New Roman"/>
          <w:sz w:val="14"/>
          <w:szCs w:val="14"/>
          <w:i w:val="1"/>
          <w:iCs w:val="1"/>
          <w:color w:val="auto"/>
        </w:rPr>
        <w:t xml:space="preserve"> increased by $31.9 million, or 28.8%, to $142.5 million</w:t>
      </w:r>
    </w:p>
    <w:p>
      <w:pPr>
        <w:spacing w:after="0" w:line="55"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Pharmacy Solutions segment EBITDA increased by $30.2 million, or 32.0%, to $124.7 million</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Provider Services segment EBITDA grew by $5.8 million, or 11.4%, to $56.5 million</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Basic and diluted earnings per share (EPS) remained flat at $0.05 and $0.04, respectively</w:t>
      </w:r>
    </w:p>
    <w:p>
      <w:pPr>
        <w:spacing w:after="0" w:line="101"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Adjusted EPS</w:t>
      </w:r>
      <w:r>
        <w:rPr>
          <w:rFonts w:ascii="Times New Roman" w:cs="Times New Roman" w:eastAsia="Times New Roman" w:hAnsi="Times New Roman"/>
          <w:sz w:val="19"/>
          <w:szCs w:val="19"/>
          <w:i w:val="1"/>
          <w:iCs w:val="1"/>
          <w:color w:val="auto"/>
          <w:vertAlign w:val="superscript"/>
        </w:rPr>
        <w:t>(1)</w:t>
      </w:r>
      <w:r>
        <w:rPr>
          <w:rFonts w:ascii="Times New Roman" w:cs="Times New Roman" w:eastAsia="Times New Roman" w:hAnsi="Times New Roman"/>
          <w:sz w:val="14"/>
          <w:szCs w:val="14"/>
          <w:i w:val="1"/>
          <w:iCs w:val="1"/>
          <w:color w:val="auto"/>
        </w:rPr>
        <w:t xml:space="preserve"> increased by $0.16 from $0.06 to $0.22</w:t>
      </w:r>
    </w:p>
    <w:p>
      <w:pPr>
        <w:spacing w:after="0" w:line="132" w:lineRule="exact"/>
        <w:rPr>
          <w:rFonts w:ascii="Times New Roman" w:cs="Times New Roman" w:eastAsia="Times New Roman" w:hAnsi="Times New Roman"/>
          <w:sz w:val="14"/>
          <w:szCs w:val="14"/>
          <w:color w:val="auto"/>
        </w:rPr>
      </w:pPr>
    </w:p>
    <w:p>
      <w:pPr>
        <w:ind w:left="780" w:hanging="142"/>
        <w:spacing w:after="0"/>
        <w:tabs>
          <w:tab w:leader="none" w:pos="780"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Reconciliation of GAAP to non-GAAP results is provided below under the section entitled “Non-GAAP Financial Measures.”</w:t>
      </w:r>
    </w:p>
    <w:p>
      <w:pPr>
        <w:spacing w:after="0" w:line="2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Our Service Offerings</w:t>
      </w:r>
    </w:p>
    <w:p>
      <w:pPr>
        <w:spacing w:after="0" w:line="99" w:lineRule="exact"/>
        <w:rPr>
          <w:sz w:val="20"/>
          <w:szCs w:val="20"/>
          <w:color w:val="auto"/>
        </w:rPr>
      </w:pPr>
    </w:p>
    <w:p>
      <w:pPr>
        <w:ind w:left="640" w:right="779" w:firstLine="351"/>
        <w:spacing w:after="0" w:line="261" w:lineRule="auto"/>
        <w:rPr>
          <w:sz w:val="20"/>
          <w:szCs w:val="20"/>
          <w:color w:val="auto"/>
        </w:rPr>
      </w:pPr>
      <w:r>
        <w:rPr>
          <w:rFonts w:ascii="Times New Roman" w:cs="Times New Roman" w:eastAsia="Times New Roman" w:hAnsi="Times New Roman"/>
          <w:sz w:val="14"/>
          <w:szCs w:val="14"/>
          <w:color w:val="auto"/>
        </w:rPr>
        <w:t>We are one of the largest independent providers of home and community-based health services in the United States, delivering both pharmacy and provider services. We believe our high-quality and complementary health services offerings address significant and important patient and stakeholder needs. We enhance patient outcomes through the delivery and coordination of high-quality services that high-need, high-cost patients require. Our services are principally delivered in patient-preferred and lower-cost settings and often over longer periods of time, given the chronic nature of the patient conditions that we address. We believe our breadth of service capabilities and proven outcomes position us as a provider of choice for patients, families, referral sources, customers, and payors. We deliver services through two reportable segments: Pharmacy Solutions and Provider Services. For additional details regarding our diversified service offerings within each reportable segment see “PART I - Item 1. Business” of our Form 10-K.</w:t>
      </w:r>
    </w:p>
    <w:p>
      <w:pPr>
        <w:spacing w:after="0" w:line="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summarizes the revenues generated by each of our reportable segments:</w:t>
      </w:r>
    </w:p>
    <w:p>
      <w:pPr>
        <w:spacing w:after="0" w:line="191"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gridSpan w:val="5"/>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80" w:type="dxa"/>
            <w:vAlign w:val="bottom"/>
            <w:gridSpan w:val="6"/>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For the Six Months Ended</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jc w:val="right"/>
              <w:ind w:right="4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gridSpan w:val="3"/>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6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jc w:val="center"/>
              <w:ind w:right="37"/>
              <w:spacing w:after="0" w:line="90" w:lineRule="exact"/>
              <w:rPr>
                <w:sz w:val="20"/>
                <w:szCs w:val="20"/>
                <w:color w:val="auto"/>
              </w:rPr>
            </w:pPr>
            <w:r>
              <w:rPr>
                <w:rFonts w:ascii="Times New Roman" w:cs="Times New Roman" w:eastAsia="Times New Roman" w:hAnsi="Times New Roman"/>
                <w:sz w:val="10"/>
                <w:szCs w:val="10"/>
                <w:b w:val="1"/>
                <w:bCs w:val="1"/>
                <w:color w:val="auto"/>
              </w:rPr>
              <w:t>% of</w:t>
            </w:r>
          </w:p>
        </w:tc>
        <w:tc>
          <w:tcPr>
            <w:tcW w:w="2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jc w:val="center"/>
              <w:ind w:right="15"/>
              <w:spacing w:after="0" w:line="90" w:lineRule="exact"/>
              <w:rPr>
                <w:sz w:val="20"/>
                <w:szCs w:val="20"/>
                <w:color w:val="auto"/>
              </w:rPr>
            </w:pPr>
            <w:r>
              <w:rPr>
                <w:rFonts w:ascii="Times New Roman" w:cs="Times New Roman" w:eastAsia="Times New Roman" w:hAnsi="Times New Roman"/>
                <w:sz w:val="10"/>
                <w:szCs w:val="10"/>
                <w:b w:val="1"/>
                <w:bCs w:val="1"/>
                <w:color w:val="auto"/>
              </w:rPr>
              <w:t>% of</w:t>
            </w:r>
          </w:p>
        </w:tc>
        <w:tc>
          <w:tcPr>
            <w:tcW w:w="2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auto"/>
              </w:rPr>
              <w:t>% of</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jc w:val="center"/>
              <w:ind w:right="35"/>
              <w:spacing w:after="0" w:line="90" w:lineRule="exact"/>
              <w:rPr>
                <w:sz w:val="20"/>
                <w:szCs w:val="20"/>
                <w:color w:val="auto"/>
              </w:rPr>
            </w:pPr>
            <w:r>
              <w:rPr>
                <w:rFonts w:ascii="Times New Roman" w:cs="Times New Roman" w:eastAsia="Times New Roman" w:hAnsi="Times New Roman"/>
                <w:sz w:val="10"/>
                <w:szCs w:val="10"/>
                <w:b w:val="1"/>
                <w:bCs w:val="1"/>
                <w:color w:val="auto"/>
              </w:rPr>
              <w:t>% of</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160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 in millions)</w:t>
            </w: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00" w:type="dxa"/>
            <w:vAlign w:val="bottom"/>
          </w:tcPr>
          <w:p>
            <w:pPr>
              <w:spacing w:after="0"/>
              <w:rPr>
                <w:sz w:val="11"/>
                <w:szCs w:val="11"/>
                <w:color w:val="auto"/>
              </w:rPr>
            </w:pPr>
          </w:p>
        </w:tc>
        <w:tc>
          <w:tcPr>
            <w:tcW w:w="5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00" w:type="dxa"/>
            <w:vAlign w:val="bottom"/>
          </w:tcPr>
          <w:p>
            <w:pPr>
              <w:spacing w:after="0"/>
              <w:rPr>
                <w:sz w:val="11"/>
                <w:szCs w:val="11"/>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w w:val="99"/>
              </w:rPr>
              <w:t>Revenue</w:t>
            </w:r>
          </w:p>
        </w:tc>
        <w:tc>
          <w:tcPr>
            <w:tcW w:w="160" w:type="dxa"/>
            <w:vAlign w:val="bottom"/>
          </w:tcPr>
          <w:p>
            <w:pPr>
              <w:spacing w:after="0"/>
              <w:rPr>
                <w:sz w:val="11"/>
                <w:szCs w:val="11"/>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00" w:type="dxa"/>
            <w:vAlign w:val="bottom"/>
          </w:tcPr>
          <w:p>
            <w:pPr>
              <w:spacing w:after="0"/>
              <w:rPr>
                <w:sz w:val="11"/>
                <w:szCs w:val="11"/>
                <w:color w:val="auto"/>
              </w:rPr>
            </w:pPr>
          </w:p>
        </w:tc>
        <w:tc>
          <w:tcPr>
            <w:tcW w:w="50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Pharmacy Solutions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2,790.1</w:t>
            </w:r>
          </w:p>
        </w:tc>
        <w:tc>
          <w:tcPr>
            <w:tcW w:w="200" w:type="dxa"/>
            <w:vAlign w:val="bottom"/>
            <w:tcBorders>
              <w:right w:val="single" w:sz="8" w:color="CFF0FC"/>
            </w:tcBorders>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88.6%</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2,114.5</w:t>
            </w:r>
          </w:p>
        </w:tc>
        <w:tc>
          <w:tcPr>
            <w:tcW w:w="200" w:type="dxa"/>
            <w:vAlign w:val="bottom"/>
            <w:tcBorders>
              <w:right w:val="single" w:sz="8" w:color="CFF0FC"/>
            </w:tcBorders>
            <w:shd w:val="clear" w:color="auto" w:fill="CFF0FC"/>
          </w:tcPr>
          <w:p>
            <w:pPr>
              <w:spacing w:after="0"/>
              <w:rPr>
                <w:sz w:val="14"/>
                <w:szCs w:val="14"/>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86.7%</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5,322.3</w:t>
            </w:r>
          </w:p>
        </w:tc>
        <w:tc>
          <w:tcPr>
            <w:tcW w:w="16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88.3%</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$ 4,091.5</w:t>
            </w:r>
          </w:p>
        </w:tc>
        <w:tc>
          <w:tcPr>
            <w:tcW w:w="200" w:type="dxa"/>
            <w:vAlign w:val="bottom"/>
            <w:tcBorders>
              <w:right w:val="single" w:sz="8" w:color="CFF0FC"/>
            </w:tcBorders>
            <w:shd w:val="clear" w:color="auto" w:fill="CFF0FC"/>
          </w:tcPr>
          <w:p>
            <w:pPr>
              <w:spacing w:after="0"/>
              <w:rPr>
                <w:sz w:val="14"/>
                <w:szCs w:val="14"/>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86.6%</w:t>
            </w:r>
          </w:p>
        </w:tc>
        <w:tc>
          <w:tcPr>
            <w:tcW w:w="0" w:type="dxa"/>
            <w:vAlign w:val="bottom"/>
          </w:tcPr>
          <w:p>
            <w:pPr>
              <w:spacing w:after="0"/>
              <w:rPr>
                <w:sz w:val="1"/>
                <w:szCs w:val="1"/>
                <w:color w:val="auto"/>
              </w:rPr>
            </w:pPr>
          </w:p>
        </w:tc>
      </w:tr>
      <w:tr>
        <w:trPr>
          <w:trHeight w:val="172"/>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Provider Services</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357.6</w:t>
            </w:r>
          </w:p>
        </w:tc>
        <w:tc>
          <w:tcPr>
            <w:tcW w:w="2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323.8</w:t>
            </w:r>
          </w:p>
        </w:tc>
        <w:tc>
          <w:tcPr>
            <w:tcW w:w="2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703.5</w:t>
            </w:r>
          </w:p>
        </w:tc>
        <w:tc>
          <w:tcPr>
            <w:tcW w:w="16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11.7%</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632.5</w:t>
            </w:r>
          </w:p>
        </w:tc>
        <w:tc>
          <w:tcPr>
            <w:tcW w:w="20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60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4"/>
                <w:szCs w:val="14"/>
                <w:color w:val="auto"/>
              </w:rPr>
              <w:t>Consolidated</w:t>
            </w: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3,147.7</w:t>
            </w:r>
          </w:p>
        </w:tc>
        <w:tc>
          <w:tcPr>
            <w:tcW w:w="200" w:type="dxa"/>
            <w:vAlign w:val="bottom"/>
            <w:tcBorders>
              <w:right w:val="single" w:sz="8" w:color="CFF0FC"/>
            </w:tcBorders>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2,438.3</w:t>
            </w:r>
          </w:p>
        </w:tc>
        <w:tc>
          <w:tcPr>
            <w:tcW w:w="200" w:type="dxa"/>
            <w:vAlign w:val="bottom"/>
            <w:tcBorders>
              <w:right w:val="single" w:sz="8" w:color="CFF0FC"/>
            </w:tcBorders>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6,025.8</w:t>
            </w:r>
          </w:p>
        </w:tc>
        <w:tc>
          <w:tcPr>
            <w:tcW w:w="160" w:type="dxa"/>
            <w:vAlign w:val="bottom"/>
            <w:shd w:val="clear" w:color="auto" w:fill="CFF0FC"/>
          </w:tcPr>
          <w:p>
            <w:pPr>
              <w:spacing w:after="0"/>
              <w:rPr>
                <w:sz w:val="12"/>
                <w:szCs w:val="12"/>
                <w:color w:val="auto"/>
              </w:rPr>
            </w:pPr>
          </w:p>
        </w:tc>
        <w:tc>
          <w:tcPr>
            <w:tcW w:w="7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100.0%</w:t>
            </w:r>
          </w:p>
        </w:tc>
        <w:tc>
          <w:tcPr>
            <w:tcW w:w="6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$ 4,724.0</w:t>
            </w:r>
          </w:p>
        </w:tc>
        <w:tc>
          <w:tcPr>
            <w:tcW w:w="200" w:type="dxa"/>
            <w:vAlign w:val="bottom"/>
            <w:tcBorders>
              <w:right w:val="single" w:sz="8" w:color="CFF0FC"/>
            </w:tcBorders>
            <w:shd w:val="clear" w:color="auto" w:fill="CFF0FC"/>
          </w:tcPr>
          <w:p>
            <w:pPr>
              <w:spacing w:after="0"/>
              <w:rPr>
                <w:sz w:val="12"/>
                <w:szCs w:val="12"/>
                <w:color w:val="auto"/>
              </w:rPr>
            </w:pPr>
          </w:p>
        </w:tc>
        <w:tc>
          <w:tcPr>
            <w:tcW w:w="6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74"/>
        </w:trPr>
        <w:tc>
          <w:tcPr>
            <w:tcW w:w="160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BrightSpring</w:t>
            </w:r>
          </w:p>
        </w:tc>
        <w:tc>
          <w:tcPr>
            <w:tcW w:w="80" w:type="dxa"/>
            <w:vAlign w:val="bottom"/>
            <w:vMerge w:val="continue"/>
            <w:shd w:val="clear" w:color="auto" w:fill="CFF0FC"/>
          </w:tcPr>
          <w:p>
            <w:pPr>
              <w:spacing w:after="0"/>
              <w:rPr>
                <w:sz w:val="15"/>
                <w:szCs w:val="15"/>
                <w:color w:val="auto"/>
              </w:rPr>
            </w:pPr>
          </w:p>
        </w:tc>
        <w:tc>
          <w:tcPr>
            <w:tcW w:w="540" w:type="dxa"/>
            <w:vAlign w:val="bottom"/>
            <w:vMerge w:val="continue"/>
            <w:shd w:val="clear" w:color="auto" w:fill="CFF0FC"/>
          </w:tcPr>
          <w:p>
            <w:pPr>
              <w:spacing w:after="0"/>
              <w:rPr>
                <w:sz w:val="15"/>
                <w:szCs w:val="15"/>
                <w:color w:val="auto"/>
              </w:rPr>
            </w:pPr>
          </w:p>
        </w:tc>
        <w:tc>
          <w:tcPr>
            <w:tcW w:w="200" w:type="dxa"/>
            <w:vAlign w:val="bottom"/>
            <w:tcBorders>
              <w:right w:val="single" w:sz="8" w:color="CFF0FC"/>
            </w:tcBorders>
            <w:shd w:val="clear" w:color="auto" w:fill="CFF0FC"/>
          </w:tcPr>
          <w:p>
            <w:pPr>
              <w:spacing w:after="0"/>
              <w:rPr>
                <w:sz w:val="15"/>
                <w:szCs w:val="15"/>
                <w:color w:val="auto"/>
              </w:rPr>
            </w:pPr>
          </w:p>
        </w:tc>
        <w:tc>
          <w:tcPr>
            <w:tcW w:w="820" w:type="dxa"/>
            <w:vAlign w:val="bottom"/>
            <w:gridSpan w:val="2"/>
            <w:vMerge w:val="continue"/>
            <w:shd w:val="clear" w:color="auto" w:fill="CFF0FC"/>
          </w:tcPr>
          <w:p>
            <w:pPr>
              <w:spacing w:after="0"/>
              <w:rPr>
                <w:sz w:val="15"/>
                <w:szCs w:val="15"/>
                <w:color w:val="auto"/>
              </w:rPr>
            </w:pPr>
          </w:p>
        </w:tc>
        <w:tc>
          <w:tcPr>
            <w:tcW w:w="80" w:type="dxa"/>
            <w:vAlign w:val="bottom"/>
            <w:vMerge w:val="continue"/>
            <w:shd w:val="clear" w:color="auto" w:fill="CFF0FC"/>
          </w:tcPr>
          <w:p>
            <w:pPr>
              <w:spacing w:after="0"/>
              <w:rPr>
                <w:sz w:val="15"/>
                <w:szCs w:val="15"/>
                <w:color w:val="auto"/>
              </w:rPr>
            </w:pPr>
          </w:p>
        </w:tc>
        <w:tc>
          <w:tcPr>
            <w:tcW w:w="540" w:type="dxa"/>
            <w:vAlign w:val="bottom"/>
            <w:vMerge w:val="continue"/>
            <w:shd w:val="clear" w:color="auto" w:fill="CFF0FC"/>
          </w:tcPr>
          <w:p>
            <w:pPr>
              <w:spacing w:after="0"/>
              <w:rPr>
                <w:sz w:val="15"/>
                <w:szCs w:val="15"/>
                <w:color w:val="auto"/>
              </w:rPr>
            </w:pPr>
          </w:p>
        </w:tc>
        <w:tc>
          <w:tcPr>
            <w:tcW w:w="200" w:type="dxa"/>
            <w:vAlign w:val="bottom"/>
            <w:tcBorders>
              <w:right w:val="single" w:sz="8" w:color="CFF0FC"/>
            </w:tcBorders>
            <w:shd w:val="clear" w:color="auto" w:fill="CFF0FC"/>
          </w:tcPr>
          <w:p>
            <w:pPr>
              <w:spacing w:after="0"/>
              <w:rPr>
                <w:sz w:val="15"/>
                <w:szCs w:val="15"/>
                <w:color w:val="auto"/>
              </w:rPr>
            </w:pPr>
          </w:p>
        </w:tc>
        <w:tc>
          <w:tcPr>
            <w:tcW w:w="760" w:type="dxa"/>
            <w:vAlign w:val="bottom"/>
            <w:gridSpan w:val="2"/>
            <w:vMerge w:val="continue"/>
            <w:shd w:val="clear" w:color="auto" w:fill="CFF0FC"/>
          </w:tcPr>
          <w:p>
            <w:pPr>
              <w:spacing w:after="0"/>
              <w:rPr>
                <w:sz w:val="15"/>
                <w:szCs w:val="15"/>
                <w:color w:val="auto"/>
              </w:rPr>
            </w:pPr>
          </w:p>
        </w:tc>
        <w:tc>
          <w:tcPr>
            <w:tcW w:w="80" w:type="dxa"/>
            <w:vAlign w:val="bottom"/>
            <w:vMerge w:val="continue"/>
            <w:shd w:val="clear" w:color="auto" w:fill="CFF0FC"/>
          </w:tcPr>
          <w:p>
            <w:pPr>
              <w:spacing w:after="0"/>
              <w:rPr>
                <w:sz w:val="15"/>
                <w:szCs w:val="15"/>
                <w:color w:val="auto"/>
              </w:rPr>
            </w:pPr>
          </w:p>
        </w:tc>
        <w:tc>
          <w:tcPr>
            <w:tcW w:w="52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gridSpan w:val="2"/>
            <w:vMerge w:val="continue"/>
            <w:shd w:val="clear" w:color="auto" w:fill="CFF0FC"/>
          </w:tcPr>
          <w:p>
            <w:pPr>
              <w:spacing w:after="0"/>
              <w:rPr>
                <w:sz w:val="15"/>
                <w:szCs w:val="15"/>
                <w:color w:val="auto"/>
              </w:rPr>
            </w:pPr>
          </w:p>
        </w:tc>
        <w:tc>
          <w:tcPr>
            <w:tcW w:w="620" w:type="dxa"/>
            <w:vAlign w:val="bottom"/>
            <w:gridSpan w:val="2"/>
            <w:vMerge w:val="continue"/>
            <w:shd w:val="clear" w:color="auto" w:fill="CFF0FC"/>
          </w:tcPr>
          <w:p>
            <w:pPr>
              <w:spacing w:after="0"/>
              <w:rPr>
                <w:sz w:val="15"/>
                <w:szCs w:val="15"/>
                <w:color w:val="auto"/>
              </w:rPr>
            </w:pPr>
          </w:p>
        </w:tc>
        <w:tc>
          <w:tcPr>
            <w:tcW w:w="200" w:type="dxa"/>
            <w:vAlign w:val="bottom"/>
            <w:tcBorders>
              <w:right w:val="single" w:sz="8" w:color="CFF0FC"/>
            </w:tcBorders>
            <w:shd w:val="clear" w:color="auto" w:fill="CFF0FC"/>
          </w:tcPr>
          <w:p>
            <w:pPr>
              <w:spacing w:after="0"/>
              <w:rPr>
                <w:sz w:val="15"/>
                <w:szCs w:val="15"/>
                <w:color w:val="auto"/>
              </w:rPr>
            </w:pPr>
          </w:p>
        </w:tc>
        <w:tc>
          <w:tcPr>
            <w:tcW w:w="64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1809750</wp:posOffset>
            </wp:positionH>
            <wp:positionV relativeFrom="paragraph">
              <wp:posOffset>-19685</wp:posOffset>
            </wp:positionV>
            <wp:extent cx="47625" cy="69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1809750</wp:posOffset>
            </wp:positionH>
            <wp:positionV relativeFrom="paragraph">
              <wp:posOffset>-6350</wp:posOffset>
            </wp:positionV>
            <wp:extent cx="47625" cy="69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-19685</wp:posOffset>
            </wp:positionV>
            <wp:extent cx="88900" cy="69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-6350</wp:posOffset>
            </wp:positionV>
            <wp:extent cx="88900" cy="69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2853055</wp:posOffset>
            </wp:positionH>
            <wp:positionV relativeFrom="paragraph">
              <wp:posOffset>-19685</wp:posOffset>
            </wp:positionV>
            <wp:extent cx="47625" cy="69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2853055</wp:posOffset>
            </wp:positionH>
            <wp:positionV relativeFrom="paragraph">
              <wp:posOffset>-6350</wp:posOffset>
            </wp:positionV>
            <wp:extent cx="47625" cy="69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-19685</wp:posOffset>
            </wp:positionV>
            <wp:extent cx="88900" cy="69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-6350</wp:posOffset>
            </wp:positionV>
            <wp:extent cx="88900" cy="69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3848735</wp:posOffset>
            </wp:positionH>
            <wp:positionV relativeFrom="paragraph">
              <wp:posOffset>-19685</wp:posOffset>
            </wp:positionV>
            <wp:extent cx="47625" cy="69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3848735</wp:posOffset>
            </wp:positionH>
            <wp:positionV relativeFrom="paragraph">
              <wp:posOffset>-6350</wp:posOffset>
            </wp:positionV>
            <wp:extent cx="47625" cy="69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4278630</wp:posOffset>
            </wp:positionH>
            <wp:positionV relativeFrom="paragraph">
              <wp:posOffset>-19685</wp:posOffset>
            </wp:positionV>
            <wp:extent cx="88900" cy="69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4278630</wp:posOffset>
            </wp:positionH>
            <wp:positionV relativeFrom="paragraph">
              <wp:posOffset>-6350</wp:posOffset>
            </wp:positionV>
            <wp:extent cx="88900" cy="69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4789805</wp:posOffset>
            </wp:positionH>
            <wp:positionV relativeFrom="paragraph">
              <wp:posOffset>-19685</wp:posOffset>
            </wp:positionV>
            <wp:extent cx="47625" cy="69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4789805</wp:posOffset>
            </wp:positionH>
            <wp:positionV relativeFrom="paragraph">
              <wp:posOffset>-6350</wp:posOffset>
            </wp:positionV>
            <wp:extent cx="47625" cy="69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-19685</wp:posOffset>
            </wp:positionV>
            <wp:extent cx="88900" cy="69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-6350</wp:posOffset>
            </wp:positionV>
            <wp:extent cx="88900" cy="698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0" cy="6985"/>
                    </a:xfrm>
                    <a:prstGeom prst="rect">
                      <a:avLst/>
                    </a:prstGeom>
                    <a:noFill/>
                  </pic:spPr>
                </pic:pic>
              </a:graphicData>
            </a:graphic>
          </wp:anchor>
        </w:drawing>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Payor Mix</w:t>
      </w:r>
    </w:p>
    <w:p>
      <w:pPr>
        <w:spacing w:after="0" w:line="99" w:lineRule="exact"/>
        <w:rPr>
          <w:sz w:val="20"/>
          <w:szCs w:val="20"/>
          <w:color w:val="auto"/>
        </w:rPr>
      </w:pPr>
    </w:p>
    <w:p>
      <w:pPr>
        <w:ind w:left="640" w:right="919" w:firstLine="351"/>
        <w:spacing w:after="0" w:line="268" w:lineRule="auto"/>
        <w:rPr>
          <w:sz w:val="20"/>
          <w:szCs w:val="20"/>
          <w:color w:val="auto"/>
        </w:rPr>
      </w:pPr>
      <w:r>
        <w:rPr>
          <w:rFonts w:ascii="Times New Roman" w:cs="Times New Roman" w:eastAsia="Times New Roman" w:hAnsi="Times New Roman"/>
          <w:sz w:val="14"/>
          <w:szCs w:val="14"/>
          <w:color w:val="auto"/>
        </w:rPr>
        <w:t>We are characterized by payor diversification across our platform. Our payors are principally federal, state, and local governmental agencies, commercial insurance, private, and other payors. Additionally, our Medicaid payors can be further broken down across each individual state with our top 10 Medicaid states representing 6% of total Company revenue for the three and six months ended June 30, 2025, compared to 7% for the three and six months ended June 30, 2024.</w:t>
      </w:r>
    </w:p>
    <w:p>
      <w:pPr>
        <w:spacing w:after="0" w:line="54" w:lineRule="exact"/>
        <w:rPr>
          <w:sz w:val="20"/>
          <w:szCs w:val="20"/>
          <w:color w:val="auto"/>
        </w:rPr>
      </w:pPr>
    </w:p>
    <w:p>
      <w:pPr>
        <w:ind w:left="640" w:right="839" w:firstLine="351"/>
        <w:spacing w:after="0" w:line="268" w:lineRule="auto"/>
        <w:rPr>
          <w:sz w:val="20"/>
          <w:szCs w:val="20"/>
          <w:color w:val="auto"/>
        </w:rPr>
      </w:pPr>
      <w:r>
        <w:rPr>
          <w:rFonts w:ascii="Times New Roman" w:cs="Times New Roman" w:eastAsia="Times New Roman" w:hAnsi="Times New Roman"/>
          <w:sz w:val="14"/>
          <w:szCs w:val="14"/>
          <w:color w:val="auto"/>
        </w:rPr>
        <w:t>We provide our services across all 50 states, Puerto Rico and Canada, with our top 10 states of operations comprising 53% of total Company revenues for the three and six months ended June 30, 2025, compared to 52% and 53% for the three and six months ended June 30, 2024, respectively. The federal, state, and local programs under which we operate are subject to legislative and budgetary changes that can influence reimbursement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30" w:name="page31"/>
    <w:bookmarkEnd w:id="30"/>
    <w:p>
      <w:pPr>
        <w:ind w:left="640" w:right="839" w:firstLine="351"/>
        <w:spacing w:after="0" w:line="292" w:lineRule="auto"/>
        <w:rPr>
          <w:sz w:val="20"/>
          <w:szCs w:val="20"/>
          <w:color w:val="auto"/>
        </w:rPr>
      </w:pPr>
      <w:r>
        <w:rPr>
          <w:rFonts w:ascii="Times New Roman" w:cs="Times New Roman" w:eastAsia="Times New Roman" w:hAnsi="Times New Roman"/>
          <w:sz w:val="14"/>
          <w:szCs w:val="14"/>
          <w:color w:val="auto"/>
        </w:rPr>
        <w:t>The following tables summarize the percentage of revenue generated by each payor type for each of our service offerings and reportable segments:</w:t>
      </w:r>
    </w:p>
    <w:p>
      <w:pPr>
        <w:spacing w:after="0" w:line="211" w:lineRule="exact"/>
        <w:rPr>
          <w:sz w:val="20"/>
          <w:szCs w:val="20"/>
          <w:color w:val="auto"/>
        </w:rPr>
      </w:pPr>
    </w:p>
    <w:tbl>
      <w:tblPr>
        <w:tblLayout w:type="fixed"/>
        <w:tblInd w:w="640" w:type="dxa"/>
        <w:tblCellMar>
          <w:top w:w="0" w:type="dxa"/>
          <w:left w:w="0" w:type="dxa"/>
          <w:bottom w:w="0" w:type="dxa"/>
          <w:right w:w="0" w:type="dxa"/>
        </w:tblCellMar>
      </w:tblPr>
      <w:tr>
        <w:trPr>
          <w:trHeight w:val="131"/>
        </w:trPr>
        <w:tc>
          <w:tcPr>
            <w:tcW w:w="174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gridSpan w:val="8"/>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For the Three Months Ended June 30, 2025</w:t>
            </w:r>
          </w:p>
        </w:tc>
        <w:tc>
          <w:tcPr>
            <w:tcW w:w="5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96"/>
        </w:trPr>
        <w:tc>
          <w:tcPr>
            <w:tcW w:w="1740" w:type="dxa"/>
            <w:vAlign w:val="bottom"/>
          </w:tcPr>
          <w:p>
            <w:pPr>
              <w:spacing w:after="0"/>
              <w:rPr>
                <w:sz w:val="8"/>
                <w:szCs w:val="8"/>
                <w:color w:val="auto"/>
              </w:rPr>
            </w:pPr>
          </w:p>
        </w:tc>
        <w:tc>
          <w:tcPr>
            <w:tcW w:w="920" w:type="dxa"/>
            <w:vAlign w:val="bottom"/>
            <w:gridSpan w:val="2"/>
          </w:tcPr>
          <w:p>
            <w:pPr>
              <w:jc w:val="right"/>
              <w:ind w:right="360"/>
              <w:spacing w:after="0" w:line="96" w:lineRule="exact"/>
              <w:rPr>
                <w:sz w:val="20"/>
                <w:szCs w:val="20"/>
                <w:color w:val="auto"/>
              </w:rPr>
            </w:pPr>
            <w:r>
              <w:rPr>
                <w:rFonts w:ascii="Times New Roman" w:cs="Times New Roman" w:eastAsia="Times New Roman" w:hAnsi="Times New Roman"/>
                <w:sz w:val="11"/>
                <w:szCs w:val="11"/>
                <w:b w:val="1"/>
                <w:bCs w:val="1"/>
                <w:color w:val="auto"/>
                <w:w w:val="92"/>
              </w:rPr>
              <w:t>Commercial</w:t>
            </w: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gridSpan w:val="2"/>
          </w:tcPr>
          <w:p>
            <w:pPr>
              <w:jc w:val="center"/>
              <w:ind w:right="300"/>
              <w:spacing w:after="0" w:line="96" w:lineRule="exact"/>
              <w:rPr>
                <w:sz w:val="20"/>
                <w:szCs w:val="20"/>
                <w:color w:val="auto"/>
              </w:rPr>
            </w:pPr>
            <w:r>
              <w:rPr>
                <w:rFonts w:ascii="Times New Roman" w:cs="Times New Roman" w:eastAsia="Times New Roman" w:hAnsi="Times New Roman"/>
                <w:sz w:val="11"/>
                <w:szCs w:val="11"/>
                <w:b w:val="1"/>
                <w:bCs w:val="1"/>
                <w:color w:val="auto"/>
                <w:w w:val="98"/>
              </w:rPr>
              <w:t>Medicare</w:t>
            </w:r>
          </w:p>
        </w:tc>
        <w:tc>
          <w:tcPr>
            <w:tcW w:w="740" w:type="dxa"/>
            <w:vAlign w:val="bottom"/>
            <w:gridSpan w:val="3"/>
          </w:tcPr>
          <w:p>
            <w:pPr>
              <w:jc w:val="center"/>
              <w:ind w:right="260"/>
              <w:spacing w:after="0" w:line="96" w:lineRule="exact"/>
              <w:rPr>
                <w:sz w:val="20"/>
                <w:szCs w:val="20"/>
                <w:color w:val="auto"/>
              </w:rPr>
            </w:pPr>
            <w:r>
              <w:rPr>
                <w:rFonts w:ascii="Times New Roman" w:cs="Times New Roman" w:eastAsia="Times New Roman" w:hAnsi="Times New Roman"/>
                <w:sz w:val="11"/>
                <w:szCs w:val="11"/>
                <w:b w:val="1"/>
                <w:bCs w:val="1"/>
                <w:color w:val="auto"/>
                <w:w w:val="98"/>
              </w:rPr>
              <w:t>Medicare</w:t>
            </w:r>
          </w:p>
        </w:tc>
        <w:tc>
          <w:tcPr>
            <w:tcW w:w="740" w:type="dxa"/>
            <w:vAlign w:val="bottom"/>
            <w:gridSpan w:val="3"/>
          </w:tcPr>
          <w:p>
            <w:pPr>
              <w:jc w:val="center"/>
              <w:ind w:right="300"/>
              <w:spacing w:after="0" w:line="96" w:lineRule="exact"/>
              <w:rPr>
                <w:sz w:val="20"/>
                <w:szCs w:val="20"/>
                <w:color w:val="auto"/>
              </w:rPr>
            </w:pPr>
            <w:r>
              <w:rPr>
                <w:rFonts w:ascii="Times New Roman" w:cs="Times New Roman" w:eastAsia="Times New Roman" w:hAnsi="Times New Roman"/>
                <w:sz w:val="11"/>
                <w:szCs w:val="11"/>
                <w:b w:val="1"/>
                <w:bCs w:val="1"/>
                <w:color w:val="auto"/>
                <w:w w:val="98"/>
              </w:rPr>
              <w:t>Medicare</w:t>
            </w:r>
          </w:p>
        </w:tc>
        <w:tc>
          <w:tcPr>
            <w:tcW w:w="780" w:type="dxa"/>
            <w:vAlign w:val="bottom"/>
            <w:gridSpan w:val="2"/>
          </w:tcPr>
          <w:p>
            <w:pPr>
              <w:jc w:val="center"/>
              <w:ind w:right="340"/>
              <w:spacing w:after="0" w:line="96" w:lineRule="exact"/>
              <w:rPr>
                <w:sz w:val="20"/>
                <w:szCs w:val="20"/>
                <w:color w:val="auto"/>
              </w:rPr>
            </w:pPr>
            <w:r>
              <w:rPr>
                <w:rFonts w:ascii="Times New Roman" w:cs="Times New Roman" w:eastAsia="Times New Roman" w:hAnsi="Times New Roman"/>
                <w:sz w:val="11"/>
                <w:szCs w:val="11"/>
                <w:b w:val="1"/>
                <w:bCs w:val="1"/>
                <w:color w:val="auto"/>
                <w:w w:val="98"/>
              </w:rPr>
              <w:t>Medicare</w:t>
            </w:r>
          </w:p>
        </w:tc>
        <w:tc>
          <w:tcPr>
            <w:tcW w:w="60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b w:val="1"/>
                <w:bCs w:val="1"/>
                <w:color w:val="auto"/>
              </w:rPr>
              <w:t>Private</w:t>
            </w: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1740" w:type="dxa"/>
            <w:vAlign w:val="bottom"/>
          </w:tcPr>
          <w:p>
            <w:pPr>
              <w:spacing w:after="0"/>
              <w:rPr>
                <w:sz w:val="11"/>
                <w:szCs w:val="11"/>
                <w:color w:val="auto"/>
              </w:rPr>
            </w:pPr>
          </w:p>
        </w:tc>
        <w:tc>
          <w:tcPr>
            <w:tcW w:w="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insurance</w:t>
            </w:r>
          </w:p>
        </w:tc>
        <w:tc>
          <w:tcPr>
            <w:tcW w:w="260" w:type="dxa"/>
            <w:vAlign w:val="bottom"/>
          </w:tcPr>
          <w:p>
            <w:pPr>
              <w:spacing w:after="0"/>
              <w:rPr>
                <w:sz w:val="11"/>
                <w:szCs w:val="11"/>
                <w:color w:val="auto"/>
              </w:rPr>
            </w:pPr>
          </w:p>
        </w:tc>
        <w:tc>
          <w:tcPr>
            <w:tcW w:w="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Medicaid</w:t>
            </w:r>
          </w:p>
        </w:tc>
        <w:tc>
          <w:tcPr>
            <w:tcW w:w="240" w:type="dxa"/>
            <w:vAlign w:val="bottom"/>
          </w:tcPr>
          <w:p>
            <w:pPr>
              <w:spacing w:after="0"/>
              <w:rPr>
                <w:sz w:val="11"/>
                <w:szCs w:val="11"/>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Part A</w:t>
            </w:r>
          </w:p>
        </w:tc>
        <w:tc>
          <w:tcPr>
            <w:tcW w:w="240" w:type="dxa"/>
            <w:vAlign w:val="bottom"/>
          </w:tcPr>
          <w:p>
            <w:pPr>
              <w:spacing w:after="0"/>
              <w:rPr>
                <w:sz w:val="11"/>
                <w:szCs w:val="11"/>
                <w:color w:val="auto"/>
              </w:rPr>
            </w:pPr>
          </w:p>
        </w:tc>
        <w:tc>
          <w:tcPr>
            <w:tcW w:w="56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Part B</w:t>
            </w:r>
          </w:p>
        </w:tc>
        <w:tc>
          <w:tcPr>
            <w:tcW w:w="180" w:type="dxa"/>
            <w:vAlign w:val="bottom"/>
          </w:tcPr>
          <w:p>
            <w:pPr>
              <w:spacing w:after="0"/>
              <w:rPr>
                <w:sz w:val="11"/>
                <w:szCs w:val="11"/>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Part C</w:t>
            </w:r>
          </w:p>
        </w:tc>
        <w:tc>
          <w:tcPr>
            <w:tcW w:w="280" w:type="dxa"/>
            <w:vAlign w:val="bottom"/>
            <w:gridSpan w:val="2"/>
          </w:tcPr>
          <w:p>
            <w:pPr>
              <w:spacing w:after="0"/>
              <w:rPr>
                <w:sz w:val="11"/>
                <w:szCs w:val="11"/>
                <w:color w:val="auto"/>
              </w:rPr>
            </w:pPr>
          </w:p>
        </w:tc>
        <w:tc>
          <w:tcPr>
            <w:tcW w:w="52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5"/>
              </w:rPr>
              <w:t>Part D</w:t>
            </w:r>
          </w:p>
        </w:tc>
        <w:tc>
          <w:tcPr>
            <w:tcW w:w="260" w:type="dxa"/>
            <w:vAlign w:val="bottom"/>
          </w:tcPr>
          <w:p>
            <w:pPr>
              <w:spacing w:after="0"/>
              <w:rPr>
                <w:sz w:val="11"/>
                <w:szCs w:val="11"/>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&amp; other</w:t>
            </w:r>
          </w:p>
        </w:tc>
        <w:tc>
          <w:tcPr>
            <w:tcW w:w="200" w:type="dxa"/>
            <w:vAlign w:val="bottom"/>
          </w:tcPr>
          <w:p>
            <w:pPr>
              <w:spacing w:after="0"/>
              <w:rPr>
                <w:sz w:val="11"/>
                <w:szCs w:val="11"/>
                <w:color w:val="auto"/>
              </w:rPr>
            </w:pPr>
          </w:p>
        </w:tc>
        <w:tc>
          <w:tcPr>
            <w:tcW w:w="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20" w:type="dxa"/>
            <w:vAlign w:val="bottom"/>
          </w:tcPr>
          <w:p>
            <w:pPr>
              <w:spacing w:after="0"/>
              <w:rPr>
                <w:sz w:val="11"/>
                <w:szCs w:val="11"/>
                <w:color w:val="auto"/>
              </w:rPr>
            </w:pPr>
          </w:p>
        </w:tc>
      </w:tr>
      <w:tr>
        <w:trPr>
          <w:trHeight w:val="109"/>
        </w:trPr>
        <w:tc>
          <w:tcPr>
            <w:tcW w:w="1740" w:type="dxa"/>
            <w:vAlign w:val="bottom"/>
            <w:tcBorders>
              <w:right w:val="single" w:sz="8" w:color="CFF0FC"/>
            </w:tcBorders>
            <w:shd w:val="clear" w:color="auto" w:fill="CFF0FC"/>
          </w:tcPr>
          <w:p>
            <w:pPr>
              <w:spacing w:after="0" w:line="109" w:lineRule="exact"/>
              <w:rPr>
                <w:sz w:val="20"/>
                <w:szCs w:val="20"/>
                <w:color w:val="auto"/>
              </w:rPr>
            </w:pPr>
            <w:r>
              <w:rPr>
                <w:rFonts w:ascii="Times New Roman" w:cs="Times New Roman" w:eastAsia="Times New Roman" w:hAnsi="Times New Roman"/>
                <w:sz w:val="11"/>
                <w:szCs w:val="11"/>
                <w:color w:val="auto"/>
              </w:rPr>
              <w:t>Infusion and Specialty Pharmacy</w:t>
            </w:r>
          </w:p>
        </w:tc>
        <w:tc>
          <w:tcPr>
            <w:tcW w:w="920" w:type="dxa"/>
            <w:vAlign w:val="bottom"/>
            <w:tcBorders>
              <w:right w:val="single" w:sz="8" w:color="CFF0FC"/>
            </w:tcBorders>
            <w:gridSpan w:val="2"/>
            <w:shd w:val="clear" w:color="auto" w:fill="CFF0FC"/>
          </w:tcPr>
          <w:p>
            <w:pPr>
              <w:jc w:val="right"/>
              <w:ind w:right="160"/>
              <w:spacing w:after="0" w:line="109" w:lineRule="exact"/>
              <w:rPr>
                <w:sz w:val="20"/>
                <w:szCs w:val="20"/>
                <w:color w:val="auto"/>
              </w:rPr>
            </w:pPr>
            <w:r>
              <w:rPr>
                <w:rFonts w:ascii="Times New Roman" w:cs="Times New Roman" w:eastAsia="Times New Roman" w:hAnsi="Times New Roman"/>
                <w:sz w:val="11"/>
                <w:szCs w:val="11"/>
                <w:color w:val="auto"/>
              </w:rPr>
              <w:t>20.9%</w:t>
            </w:r>
          </w:p>
        </w:tc>
        <w:tc>
          <w:tcPr>
            <w:tcW w:w="840" w:type="dxa"/>
            <w:vAlign w:val="bottom"/>
            <w:tcBorders>
              <w:right w:val="single" w:sz="8" w:color="CFF0FC"/>
            </w:tcBorders>
            <w:gridSpan w:val="2"/>
            <w:shd w:val="clear" w:color="auto" w:fill="CFF0FC"/>
          </w:tcPr>
          <w:p>
            <w:pPr>
              <w:jc w:val="right"/>
              <w:ind w:right="140"/>
              <w:spacing w:after="0" w:line="109" w:lineRule="exact"/>
              <w:rPr>
                <w:sz w:val="20"/>
                <w:szCs w:val="20"/>
                <w:color w:val="auto"/>
              </w:rPr>
            </w:pPr>
            <w:r>
              <w:rPr>
                <w:rFonts w:ascii="Times New Roman" w:cs="Times New Roman" w:eastAsia="Times New Roman" w:hAnsi="Times New Roman"/>
                <w:sz w:val="11"/>
                <w:szCs w:val="11"/>
                <w:color w:val="auto"/>
              </w:rPr>
              <w:t>6.5%</w:t>
            </w:r>
          </w:p>
        </w:tc>
        <w:tc>
          <w:tcPr>
            <w:tcW w:w="780" w:type="dxa"/>
            <w:vAlign w:val="bottom"/>
            <w:tcBorders>
              <w:right w:val="single" w:sz="8" w:color="CFF0FC"/>
            </w:tcBorders>
            <w:gridSpan w:val="2"/>
            <w:shd w:val="clear" w:color="auto" w:fill="CFF0FC"/>
          </w:tcPr>
          <w:p>
            <w:pPr>
              <w:jc w:val="right"/>
              <w:ind w:right="240"/>
              <w:spacing w:after="0" w:line="109"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right w:val="single" w:sz="8" w:color="CFF0FC"/>
            </w:tcBorders>
            <w:gridSpan w:val="3"/>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color w:val="auto"/>
              </w:rPr>
              <w:t>0.6%</w:t>
            </w:r>
          </w:p>
        </w:tc>
        <w:tc>
          <w:tcPr>
            <w:tcW w:w="740" w:type="dxa"/>
            <w:vAlign w:val="bottom"/>
            <w:tcBorders>
              <w:right w:val="single" w:sz="8" w:color="CFF0FC"/>
            </w:tcBorders>
            <w:gridSpan w:val="3"/>
            <w:shd w:val="clear" w:color="auto" w:fill="CFF0FC"/>
          </w:tcPr>
          <w:p>
            <w:pPr>
              <w:jc w:val="right"/>
              <w:ind w:right="160"/>
              <w:spacing w:after="0" w:line="109" w:lineRule="exact"/>
              <w:rPr>
                <w:sz w:val="20"/>
                <w:szCs w:val="20"/>
                <w:color w:val="auto"/>
              </w:rPr>
            </w:pPr>
            <w:r>
              <w:rPr>
                <w:rFonts w:ascii="Times New Roman" w:cs="Times New Roman" w:eastAsia="Times New Roman" w:hAnsi="Times New Roman"/>
                <w:sz w:val="11"/>
                <w:szCs w:val="11"/>
                <w:color w:val="auto"/>
              </w:rPr>
              <w:t>17.7%</w:t>
            </w:r>
          </w:p>
        </w:tc>
        <w:tc>
          <w:tcPr>
            <w:tcW w:w="780" w:type="dxa"/>
            <w:vAlign w:val="bottom"/>
            <w:tcBorders>
              <w:right w:val="single" w:sz="8" w:color="CFF0FC"/>
            </w:tcBorders>
            <w:gridSpan w:val="2"/>
            <w:shd w:val="clear" w:color="auto" w:fill="CFF0FC"/>
          </w:tcPr>
          <w:p>
            <w:pPr>
              <w:jc w:val="right"/>
              <w:ind w:right="140"/>
              <w:spacing w:after="0" w:line="109" w:lineRule="exact"/>
              <w:rPr>
                <w:sz w:val="20"/>
                <w:szCs w:val="20"/>
                <w:color w:val="auto"/>
              </w:rPr>
            </w:pPr>
            <w:r>
              <w:rPr>
                <w:rFonts w:ascii="Times New Roman" w:cs="Times New Roman" w:eastAsia="Times New Roman" w:hAnsi="Times New Roman"/>
                <w:sz w:val="11"/>
                <w:szCs w:val="11"/>
                <w:color w:val="auto"/>
              </w:rPr>
              <w:t>23.3%</w:t>
            </w:r>
          </w:p>
        </w:tc>
        <w:tc>
          <w:tcPr>
            <w:tcW w:w="600" w:type="dxa"/>
            <w:vAlign w:val="bottom"/>
            <w:tcBorders>
              <w:right w:val="single" w:sz="8" w:color="CFF0FC"/>
            </w:tcBorders>
            <w:gridSpan w:val="2"/>
            <w:shd w:val="clear" w:color="auto" w:fill="CFF0FC"/>
          </w:tcPr>
          <w:p>
            <w:pPr>
              <w:ind w:left="260"/>
              <w:spacing w:after="0" w:line="109" w:lineRule="exact"/>
              <w:rPr>
                <w:sz w:val="20"/>
                <w:szCs w:val="20"/>
                <w:color w:val="auto"/>
              </w:rPr>
            </w:pPr>
            <w:r>
              <w:rPr>
                <w:rFonts w:ascii="Times New Roman" w:cs="Times New Roman" w:eastAsia="Times New Roman" w:hAnsi="Times New Roman"/>
                <w:sz w:val="11"/>
                <w:szCs w:val="11"/>
                <w:color w:val="auto"/>
              </w:rPr>
              <w:t>1.0%</w:t>
            </w:r>
          </w:p>
        </w:tc>
        <w:tc>
          <w:tcPr>
            <w:tcW w:w="600" w:type="dxa"/>
            <w:vAlign w:val="bottom"/>
            <w:gridSpan w:val="2"/>
            <w:shd w:val="clear" w:color="auto" w:fill="CFF0FC"/>
          </w:tcPr>
          <w:p>
            <w:pPr>
              <w:jc w:val="right"/>
              <w:ind w:right="40"/>
              <w:spacing w:after="0" w:line="109" w:lineRule="exact"/>
              <w:rPr>
                <w:sz w:val="20"/>
                <w:szCs w:val="20"/>
                <w:color w:val="auto"/>
              </w:rPr>
            </w:pPr>
            <w:r>
              <w:rPr>
                <w:rFonts w:ascii="Times New Roman" w:cs="Times New Roman" w:eastAsia="Times New Roman" w:hAnsi="Times New Roman"/>
                <w:sz w:val="11"/>
                <w:szCs w:val="11"/>
                <w:color w:val="auto"/>
              </w:rPr>
              <w:t>70.0%</w:t>
            </w:r>
          </w:p>
        </w:tc>
      </w:tr>
      <w:tr>
        <w:trPr>
          <w:trHeight w:val="118"/>
        </w:trPr>
        <w:tc>
          <w:tcPr>
            <w:tcW w:w="17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Home and Community Pharmacy</w:t>
            </w:r>
          </w:p>
        </w:tc>
        <w:tc>
          <w:tcPr>
            <w:tcW w:w="920" w:type="dxa"/>
            <w:vAlign w:val="bottom"/>
            <w:gridSpan w:val="2"/>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2.7%</w:t>
            </w:r>
          </w:p>
        </w:tc>
        <w:tc>
          <w:tcPr>
            <w:tcW w:w="84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2.0%</w:t>
            </w:r>
          </w:p>
        </w:tc>
        <w:tc>
          <w:tcPr>
            <w:tcW w:w="7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4.4%</w:t>
            </w:r>
          </w:p>
        </w:tc>
        <w:tc>
          <w:tcPr>
            <w:tcW w:w="740" w:type="dxa"/>
            <w:vAlign w:val="bottom"/>
            <w:gridSpan w:val="3"/>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8.7%</w:t>
            </w:r>
          </w:p>
        </w:tc>
        <w:tc>
          <w:tcPr>
            <w:tcW w:w="600" w:type="dxa"/>
            <w:vAlign w:val="bottom"/>
            <w:gridSpan w:val="2"/>
          </w:tcPr>
          <w:p>
            <w:pPr>
              <w:ind w:left="260"/>
              <w:spacing w:after="0" w:line="119" w:lineRule="exact"/>
              <w:rPr>
                <w:sz w:val="20"/>
                <w:szCs w:val="20"/>
                <w:color w:val="auto"/>
              </w:rPr>
            </w:pPr>
            <w:r>
              <w:rPr>
                <w:rFonts w:ascii="Times New Roman" w:cs="Times New Roman" w:eastAsia="Times New Roman" w:hAnsi="Times New Roman"/>
                <w:sz w:val="11"/>
                <w:szCs w:val="11"/>
                <w:color w:val="auto"/>
              </w:rPr>
              <w:t>0.8%</w:t>
            </w:r>
          </w:p>
        </w:tc>
        <w:tc>
          <w:tcPr>
            <w:tcW w:w="60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18.6%</w:t>
            </w:r>
          </w:p>
        </w:tc>
      </w:tr>
      <w:tr>
        <w:trPr>
          <w:trHeight w:val="20"/>
        </w:trPr>
        <w:tc>
          <w:tcPr>
            <w:tcW w:w="174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9"/>
        </w:trPr>
        <w:tc>
          <w:tcPr>
            <w:tcW w:w="1740" w:type="dxa"/>
            <w:vAlign w:val="bottom"/>
            <w:tcBorders>
              <w:right w:val="single" w:sz="8" w:color="CFF0FC"/>
            </w:tcBorders>
            <w:shd w:val="clear" w:color="auto" w:fill="CFF0FC"/>
          </w:tcPr>
          <w:p>
            <w:pPr>
              <w:ind w:left="140"/>
              <w:spacing w:after="0" w:line="109" w:lineRule="exact"/>
              <w:rPr>
                <w:sz w:val="20"/>
                <w:szCs w:val="20"/>
                <w:color w:val="auto"/>
              </w:rPr>
            </w:pPr>
            <w:r>
              <w:rPr>
                <w:rFonts w:ascii="Times New Roman" w:cs="Times New Roman" w:eastAsia="Times New Roman" w:hAnsi="Times New Roman"/>
                <w:sz w:val="11"/>
                <w:szCs w:val="11"/>
                <w:b w:val="1"/>
                <w:bCs w:val="1"/>
                <w:color w:val="auto"/>
              </w:rPr>
              <w:t>Pharmacy Solutions</w:t>
            </w:r>
          </w:p>
        </w:tc>
        <w:tc>
          <w:tcPr>
            <w:tcW w:w="920" w:type="dxa"/>
            <w:vAlign w:val="bottom"/>
            <w:tcBorders>
              <w:right w:val="single" w:sz="8" w:color="CFF0FC"/>
            </w:tcBorders>
            <w:gridSpan w:val="2"/>
            <w:shd w:val="clear" w:color="auto" w:fill="CFF0FC"/>
          </w:tcPr>
          <w:p>
            <w:pPr>
              <w:jc w:val="right"/>
              <w:ind w:right="140"/>
              <w:spacing w:after="0" w:line="109" w:lineRule="exact"/>
              <w:rPr>
                <w:sz w:val="20"/>
                <w:szCs w:val="20"/>
                <w:color w:val="auto"/>
              </w:rPr>
            </w:pPr>
            <w:r>
              <w:rPr>
                <w:rFonts w:ascii="Times New Roman" w:cs="Times New Roman" w:eastAsia="Times New Roman" w:hAnsi="Times New Roman"/>
                <w:sz w:val="11"/>
                <w:szCs w:val="11"/>
                <w:b w:val="1"/>
                <w:bCs w:val="1"/>
                <w:color w:val="auto"/>
              </w:rPr>
              <w:t>23.6%</w:t>
            </w:r>
          </w:p>
        </w:tc>
        <w:tc>
          <w:tcPr>
            <w:tcW w:w="840" w:type="dxa"/>
            <w:vAlign w:val="bottom"/>
            <w:tcBorders>
              <w:right w:val="single" w:sz="8" w:color="CFF0FC"/>
            </w:tcBorders>
            <w:gridSpan w:val="2"/>
            <w:shd w:val="clear" w:color="auto" w:fill="CFF0FC"/>
          </w:tcPr>
          <w:p>
            <w:pPr>
              <w:jc w:val="right"/>
              <w:ind w:right="120"/>
              <w:spacing w:after="0" w:line="109" w:lineRule="exact"/>
              <w:rPr>
                <w:sz w:val="20"/>
                <w:szCs w:val="20"/>
                <w:color w:val="auto"/>
              </w:rPr>
            </w:pPr>
            <w:r>
              <w:rPr>
                <w:rFonts w:ascii="Times New Roman" w:cs="Times New Roman" w:eastAsia="Times New Roman" w:hAnsi="Times New Roman"/>
                <w:sz w:val="11"/>
                <w:szCs w:val="11"/>
                <w:b w:val="1"/>
                <w:bCs w:val="1"/>
                <w:color w:val="auto"/>
              </w:rPr>
              <w:t>8.5%</w:t>
            </w:r>
          </w:p>
        </w:tc>
        <w:tc>
          <w:tcPr>
            <w:tcW w:w="780" w:type="dxa"/>
            <w:vAlign w:val="bottom"/>
            <w:tcBorders>
              <w:right w:val="single" w:sz="8" w:color="CFF0FC"/>
            </w:tcBorders>
            <w:gridSpan w:val="2"/>
            <w:shd w:val="clear" w:color="auto" w:fill="CFF0FC"/>
          </w:tcPr>
          <w:p>
            <w:pPr>
              <w:jc w:val="right"/>
              <w:ind w:right="120"/>
              <w:spacing w:after="0" w:line="109" w:lineRule="exact"/>
              <w:rPr>
                <w:sz w:val="20"/>
                <w:szCs w:val="20"/>
                <w:color w:val="auto"/>
              </w:rPr>
            </w:pPr>
            <w:r>
              <w:rPr>
                <w:rFonts w:ascii="Times New Roman" w:cs="Times New Roman" w:eastAsia="Times New Roman" w:hAnsi="Times New Roman"/>
                <w:sz w:val="11"/>
                <w:szCs w:val="11"/>
                <w:b w:val="1"/>
                <w:bCs w:val="1"/>
                <w:color w:val="auto"/>
              </w:rPr>
              <w:t>4.4%</w:t>
            </w:r>
          </w:p>
        </w:tc>
        <w:tc>
          <w:tcPr>
            <w:tcW w:w="740" w:type="dxa"/>
            <w:vAlign w:val="bottom"/>
            <w:tcBorders>
              <w:right w:val="single" w:sz="8" w:color="CFF0FC"/>
            </w:tcBorders>
            <w:gridSpan w:val="3"/>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0.6%</w:t>
            </w:r>
          </w:p>
        </w:tc>
        <w:tc>
          <w:tcPr>
            <w:tcW w:w="740" w:type="dxa"/>
            <w:vAlign w:val="bottom"/>
            <w:tcBorders>
              <w:right w:val="single" w:sz="8" w:color="CFF0FC"/>
            </w:tcBorders>
            <w:gridSpan w:val="3"/>
            <w:shd w:val="clear" w:color="auto" w:fill="CFF0FC"/>
          </w:tcPr>
          <w:p>
            <w:pPr>
              <w:jc w:val="right"/>
              <w:ind w:right="140"/>
              <w:spacing w:after="0" w:line="109" w:lineRule="exact"/>
              <w:rPr>
                <w:sz w:val="20"/>
                <w:szCs w:val="20"/>
                <w:color w:val="auto"/>
              </w:rPr>
            </w:pPr>
            <w:r>
              <w:rPr>
                <w:rFonts w:ascii="Times New Roman" w:cs="Times New Roman" w:eastAsia="Times New Roman" w:hAnsi="Times New Roman"/>
                <w:sz w:val="11"/>
                <w:szCs w:val="11"/>
                <w:b w:val="1"/>
                <w:bCs w:val="1"/>
                <w:color w:val="auto"/>
              </w:rPr>
              <w:t>17.7%</w:t>
            </w:r>
          </w:p>
        </w:tc>
        <w:tc>
          <w:tcPr>
            <w:tcW w:w="780" w:type="dxa"/>
            <w:vAlign w:val="bottom"/>
            <w:tcBorders>
              <w:right w:val="single" w:sz="8" w:color="CFF0FC"/>
            </w:tcBorders>
            <w:gridSpan w:val="2"/>
            <w:shd w:val="clear" w:color="auto" w:fill="CFF0FC"/>
          </w:tcPr>
          <w:p>
            <w:pPr>
              <w:jc w:val="right"/>
              <w:ind w:right="140"/>
              <w:spacing w:after="0" w:line="109" w:lineRule="exact"/>
              <w:rPr>
                <w:sz w:val="20"/>
                <w:szCs w:val="20"/>
                <w:color w:val="auto"/>
              </w:rPr>
            </w:pPr>
            <w:r>
              <w:rPr>
                <w:rFonts w:ascii="Times New Roman" w:cs="Times New Roman" w:eastAsia="Times New Roman" w:hAnsi="Times New Roman"/>
                <w:sz w:val="11"/>
                <w:szCs w:val="11"/>
                <w:b w:val="1"/>
                <w:bCs w:val="1"/>
                <w:color w:val="auto"/>
              </w:rPr>
              <w:t>32.0%</w:t>
            </w:r>
          </w:p>
        </w:tc>
        <w:tc>
          <w:tcPr>
            <w:tcW w:w="600" w:type="dxa"/>
            <w:vAlign w:val="bottom"/>
            <w:tcBorders>
              <w:right w:val="single" w:sz="8" w:color="CFF0FC"/>
            </w:tcBorders>
            <w:gridSpan w:val="2"/>
            <w:shd w:val="clear" w:color="auto" w:fill="CFF0FC"/>
          </w:tcPr>
          <w:p>
            <w:pPr>
              <w:ind w:left="260"/>
              <w:spacing w:after="0" w:line="109" w:lineRule="exact"/>
              <w:rPr>
                <w:sz w:val="20"/>
                <w:szCs w:val="20"/>
                <w:color w:val="auto"/>
              </w:rPr>
            </w:pPr>
            <w:r>
              <w:rPr>
                <w:rFonts w:ascii="Times New Roman" w:cs="Times New Roman" w:eastAsia="Times New Roman" w:hAnsi="Times New Roman"/>
                <w:sz w:val="11"/>
                <w:szCs w:val="11"/>
                <w:b w:val="1"/>
                <w:bCs w:val="1"/>
                <w:color w:val="auto"/>
              </w:rPr>
              <w:t>1.8%</w:t>
            </w:r>
          </w:p>
        </w:tc>
        <w:tc>
          <w:tcPr>
            <w:tcW w:w="600" w:type="dxa"/>
            <w:vAlign w:val="bottom"/>
            <w:gridSpan w:val="2"/>
            <w:shd w:val="clear" w:color="auto" w:fill="CFF0FC"/>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88.6%</w:t>
            </w:r>
          </w:p>
        </w:tc>
      </w:tr>
      <w:tr>
        <w:trPr>
          <w:trHeight w:val="118"/>
        </w:trPr>
        <w:tc>
          <w:tcPr>
            <w:tcW w:w="17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Home Health Care</w:t>
            </w:r>
          </w:p>
        </w:tc>
        <w:tc>
          <w:tcPr>
            <w:tcW w:w="920" w:type="dxa"/>
            <w:vAlign w:val="bottom"/>
            <w:gridSpan w:val="2"/>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0.2%</w:t>
            </w:r>
          </w:p>
        </w:tc>
        <w:tc>
          <w:tcPr>
            <w:tcW w:w="84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0.3%</w:t>
            </w:r>
          </w:p>
        </w:tc>
        <w:tc>
          <w:tcPr>
            <w:tcW w:w="7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4.0%</w:t>
            </w:r>
          </w:p>
        </w:tc>
        <w:tc>
          <w:tcPr>
            <w:tcW w:w="740" w:type="dxa"/>
            <w:vAlign w:val="bottom"/>
            <w:gridSpan w:val="3"/>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40" w:type="dxa"/>
            <w:vAlign w:val="bottom"/>
            <w:gridSpan w:val="3"/>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1.1%</w:t>
            </w:r>
          </w:p>
        </w:tc>
        <w:tc>
          <w:tcPr>
            <w:tcW w:w="780" w:type="dxa"/>
            <w:vAlign w:val="bottom"/>
            <w:gridSpan w:val="2"/>
          </w:tcPr>
          <w:p>
            <w:pPr>
              <w:jc w:val="right"/>
              <w:ind w:right="2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ind w:left="260"/>
              <w:spacing w:after="0" w:line="119" w:lineRule="exact"/>
              <w:rPr>
                <w:sz w:val="20"/>
                <w:szCs w:val="20"/>
                <w:color w:val="auto"/>
              </w:rPr>
            </w:pPr>
            <w:r>
              <w:rPr>
                <w:rFonts w:ascii="Times New Roman" w:cs="Times New Roman" w:eastAsia="Times New Roman" w:hAnsi="Times New Roman"/>
                <w:sz w:val="11"/>
                <w:szCs w:val="11"/>
                <w:color w:val="auto"/>
              </w:rPr>
              <w:t>0.3%</w:t>
            </w:r>
          </w:p>
        </w:tc>
        <w:tc>
          <w:tcPr>
            <w:tcW w:w="60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5.9%</w:t>
            </w:r>
          </w:p>
        </w:tc>
      </w:tr>
      <w:tr>
        <w:trPr>
          <w:trHeight w:val="118"/>
        </w:trPr>
        <w:tc>
          <w:tcPr>
            <w:tcW w:w="1740" w:type="dxa"/>
            <w:vAlign w:val="bottom"/>
            <w:tcBorders>
              <w:right w:val="single" w:sz="8" w:color="CFF0FC"/>
            </w:tcBorders>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Rehab Care</w:t>
            </w:r>
          </w:p>
        </w:tc>
        <w:tc>
          <w:tcPr>
            <w:tcW w:w="920" w:type="dxa"/>
            <w:vAlign w:val="bottom"/>
            <w:tcBorders>
              <w:right w:val="single" w:sz="8" w:color="CFF0FC"/>
            </w:tcBorders>
            <w:gridSpan w:val="2"/>
            <w:shd w:val="clear" w:color="auto" w:fill="CFF0FC"/>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1.1%</w:t>
            </w:r>
          </w:p>
        </w:tc>
        <w:tc>
          <w:tcPr>
            <w:tcW w:w="840" w:type="dxa"/>
            <w:vAlign w:val="bottom"/>
            <w:tcBorders>
              <w:right w:val="single" w:sz="8" w:color="CFF0FC"/>
            </w:tcBorders>
            <w:gridSpan w:val="2"/>
            <w:shd w:val="clear" w:color="auto" w:fill="CFF0FC"/>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0.6%</w:t>
            </w:r>
          </w:p>
        </w:tc>
        <w:tc>
          <w:tcPr>
            <w:tcW w:w="780" w:type="dxa"/>
            <w:vAlign w:val="bottom"/>
            <w:tcBorders>
              <w:right w:val="single" w:sz="8" w:color="CFF0FC"/>
            </w:tcBorders>
            <w:gridSpan w:val="2"/>
            <w:shd w:val="clear" w:color="auto" w:fill="CFF0FC"/>
          </w:tcPr>
          <w:p>
            <w:pPr>
              <w:jc w:val="right"/>
              <w:ind w:right="2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right w:val="single" w:sz="8" w:color="CFF0FC"/>
            </w:tcBorders>
            <w:gridSpan w:val="3"/>
            <w:shd w:val="clear" w:color="auto" w:fill="CFF0FC"/>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40" w:type="dxa"/>
            <w:vAlign w:val="bottom"/>
            <w:tcBorders>
              <w:right w:val="single" w:sz="8" w:color="CFF0FC"/>
            </w:tcBorders>
            <w:gridSpan w:val="3"/>
            <w:shd w:val="clear" w:color="auto" w:fill="CFF0FC"/>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80" w:type="dxa"/>
            <w:vAlign w:val="bottom"/>
            <w:tcBorders>
              <w:right w:val="single" w:sz="8" w:color="CFF0FC"/>
            </w:tcBorders>
            <w:gridSpan w:val="2"/>
            <w:shd w:val="clear" w:color="auto" w:fill="CFF0FC"/>
          </w:tcPr>
          <w:p>
            <w:pPr>
              <w:jc w:val="right"/>
              <w:ind w:right="2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right w:val="single" w:sz="8" w:color="CFF0FC"/>
            </w:tcBorders>
            <w:gridSpan w:val="2"/>
            <w:shd w:val="clear" w:color="auto" w:fill="CFF0FC"/>
          </w:tcPr>
          <w:p>
            <w:pPr>
              <w:ind w:left="260"/>
              <w:spacing w:after="0" w:line="119" w:lineRule="exact"/>
              <w:rPr>
                <w:sz w:val="20"/>
                <w:szCs w:val="20"/>
                <w:color w:val="auto"/>
              </w:rPr>
            </w:pPr>
            <w:r>
              <w:rPr>
                <w:rFonts w:ascii="Times New Roman" w:cs="Times New Roman" w:eastAsia="Times New Roman" w:hAnsi="Times New Roman"/>
                <w:sz w:val="11"/>
                <w:szCs w:val="11"/>
                <w:color w:val="auto"/>
              </w:rPr>
              <w:t>0.6%</w:t>
            </w:r>
          </w:p>
        </w:tc>
        <w:tc>
          <w:tcPr>
            <w:tcW w:w="600" w:type="dxa"/>
            <w:vAlign w:val="bottom"/>
            <w:gridSpan w:val="2"/>
            <w:shd w:val="clear" w:color="auto" w:fill="CFF0FC"/>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2.3%</w:t>
            </w:r>
          </w:p>
        </w:tc>
      </w:tr>
      <w:tr>
        <w:trPr>
          <w:trHeight w:val="118"/>
        </w:trPr>
        <w:tc>
          <w:tcPr>
            <w:tcW w:w="17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Personal Care</w:t>
            </w:r>
          </w:p>
        </w:tc>
        <w:tc>
          <w:tcPr>
            <w:tcW w:w="920" w:type="dxa"/>
            <w:vAlign w:val="bottom"/>
            <w:gridSpan w:val="2"/>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0.1%</w:t>
            </w:r>
          </w:p>
        </w:tc>
        <w:tc>
          <w:tcPr>
            <w:tcW w:w="84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1.9%</w:t>
            </w:r>
          </w:p>
        </w:tc>
        <w:tc>
          <w:tcPr>
            <w:tcW w:w="780" w:type="dxa"/>
            <w:vAlign w:val="bottom"/>
            <w:gridSpan w:val="2"/>
          </w:tcPr>
          <w:p>
            <w:pPr>
              <w:jc w:val="right"/>
              <w:ind w:right="2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ind w:right="26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2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ind w:left="260"/>
              <w:spacing w:after="0" w:line="119" w:lineRule="exact"/>
              <w:rPr>
                <w:sz w:val="20"/>
                <w:szCs w:val="20"/>
                <w:color w:val="auto"/>
              </w:rPr>
            </w:pPr>
            <w:r>
              <w:rPr>
                <w:rFonts w:ascii="Times New Roman" w:cs="Times New Roman" w:eastAsia="Times New Roman" w:hAnsi="Times New Roman"/>
                <w:sz w:val="11"/>
                <w:szCs w:val="11"/>
                <w:color w:val="auto"/>
              </w:rPr>
              <w:t>1.2%</w:t>
            </w:r>
          </w:p>
        </w:tc>
        <w:tc>
          <w:tcPr>
            <w:tcW w:w="60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3.2%</w:t>
            </w:r>
          </w:p>
        </w:tc>
      </w:tr>
      <w:tr>
        <w:trPr>
          <w:trHeight w:val="20"/>
        </w:trPr>
        <w:tc>
          <w:tcPr>
            <w:tcW w:w="174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9"/>
        </w:trPr>
        <w:tc>
          <w:tcPr>
            <w:tcW w:w="1740" w:type="dxa"/>
            <w:vAlign w:val="bottom"/>
            <w:tcBorders>
              <w:right w:val="single" w:sz="8" w:color="CFF0FC"/>
            </w:tcBorders>
            <w:shd w:val="clear" w:color="auto" w:fill="CFF0FC"/>
          </w:tcPr>
          <w:p>
            <w:pPr>
              <w:ind w:left="140"/>
              <w:spacing w:after="0" w:line="109" w:lineRule="exact"/>
              <w:rPr>
                <w:sz w:val="20"/>
                <w:szCs w:val="20"/>
                <w:color w:val="auto"/>
              </w:rPr>
            </w:pPr>
            <w:r>
              <w:rPr>
                <w:rFonts w:ascii="Times New Roman" w:cs="Times New Roman" w:eastAsia="Times New Roman" w:hAnsi="Times New Roman"/>
                <w:sz w:val="11"/>
                <w:szCs w:val="11"/>
                <w:b w:val="1"/>
                <w:bCs w:val="1"/>
                <w:color w:val="auto"/>
              </w:rPr>
              <w:t>Provider Services</w:t>
            </w:r>
          </w:p>
        </w:tc>
        <w:tc>
          <w:tcPr>
            <w:tcW w:w="920" w:type="dxa"/>
            <w:vAlign w:val="bottom"/>
            <w:tcBorders>
              <w:right w:val="single" w:sz="8" w:color="CFF0FC"/>
            </w:tcBorders>
            <w:gridSpan w:val="2"/>
            <w:shd w:val="clear" w:color="auto" w:fill="CFF0FC"/>
          </w:tcPr>
          <w:p>
            <w:pPr>
              <w:jc w:val="right"/>
              <w:ind w:right="140"/>
              <w:spacing w:after="0" w:line="109" w:lineRule="exact"/>
              <w:rPr>
                <w:sz w:val="20"/>
                <w:szCs w:val="20"/>
                <w:color w:val="auto"/>
              </w:rPr>
            </w:pPr>
            <w:r>
              <w:rPr>
                <w:rFonts w:ascii="Times New Roman" w:cs="Times New Roman" w:eastAsia="Times New Roman" w:hAnsi="Times New Roman"/>
                <w:sz w:val="11"/>
                <w:szCs w:val="11"/>
                <w:b w:val="1"/>
                <w:bCs w:val="1"/>
                <w:color w:val="auto"/>
              </w:rPr>
              <w:t>1.4%</w:t>
            </w:r>
          </w:p>
        </w:tc>
        <w:tc>
          <w:tcPr>
            <w:tcW w:w="840" w:type="dxa"/>
            <w:vAlign w:val="bottom"/>
            <w:tcBorders>
              <w:right w:val="single" w:sz="8" w:color="CFF0FC"/>
            </w:tcBorders>
            <w:gridSpan w:val="2"/>
            <w:shd w:val="clear" w:color="auto" w:fill="CFF0FC"/>
          </w:tcPr>
          <w:p>
            <w:pPr>
              <w:jc w:val="right"/>
              <w:ind w:right="120"/>
              <w:spacing w:after="0" w:line="109" w:lineRule="exact"/>
              <w:rPr>
                <w:sz w:val="20"/>
                <w:szCs w:val="20"/>
                <w:color w:val="auto"/>
              </w:rPr>
            </w:pPr>
            <w:r>
              <w:rPr>
                <w:rFonts w:ascii="Times New Roman" w:cs="Times New Roman" w:eastAsia="Times New Roman" w:hAnsi="Times New Roman"/>
                <w:sz w:val="11"/>
                <w:szCs w:val="11"/>
                <w:b w:val="1"/>
                <w:bCs w:val="1"/>
                <w:color w:val="auto"/>
              </w:rPr>
              <w:t>2.8%</w:t>
            </w:r>
          </w:p>
        </w:tc>
        <w:tc>
          <w:tcPr>
            <w:tcW w:w="780" w:type="dxa"/>
            <w:vAlign w:val="bottom"/>
            <w:tcBorders>
              <w:right w:val="single" w:sz="8" w:color="CFF0FC"/>
            </w:tcBorders>
            <w:gridSpan w:val="2"/>
            <w:shd w:val="clear" w:color="auto" w:fill="CFF0FC"/>
          </w:tcPr>
          <w:p>
            <w:pPr>
              <w:jc w:val="right"/>
              <w:ind w:right="120"/>
              <w:spacing w:after="0" w:line="109" w:lineRule="exact"/>
              <w:rPr>
                <w:sz w:val="20"/>
                <w:szCs w:val="20"/>
                <w:color w:val="auto"/>
              </w:rPr>
            </w:pPr>
            <w:r>
              <w:rPr>
                <w:rFonts w:ascii="Times New Roman" w:cs="Times New Roman" w:eastAsia="Times New Roman" w:hAnsi="Times New Roman"/>
                <w:sz w:val="11"/>
                <w:szCs w:val="11"/>
                <w:b w:val="1"/>
                <w:bCs w:val="1"/>
                <w:color w:val="auto"/>
              </w:rPr>
              <w:t>4.0%</w:t>
            </w:r>
          </w:p>
        </w:tc>
        <w:tc>
          <w:tcPr>
            <w:tcW w:w="740" w:type="dxa"/>
            <w:vAlign w:val="bottom"/>
            <w:tcBorders>
              <w:right w:val="single" w:sz="8" w:color="CFF0FC"/>
            </w:tcBorders>
            <w:gridSpan w:val="3"/>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0.0%</w:t>
            </w:r>
          </w:p>
        </w:tc>
        <w:tc>
          <w:tcPr>
            <w:tcW w:w="740" w:type="dxa"/>
            <w:vAlign w:val="bottom"/>
            <w:tcBorders>
              <w:right w:val="single" w:sz="8" w:color="CFF0FC"/>
            </w:tcBorders>
            <w:gridSpan w:val="3"/>
            <w:shd w:val="clear" w:color="auto" w:fill="CFF0FC"/>
          </w:tcPr>
          <w:p>
            <w:pPr>
              <w:jc w:val="right"/>
              <w:ind w:right="140"/>
              <w:spacing w:after="0" w:line="109" w:lineRule="exact"/>
              <w:rPr>
                <w:sz w:val="20"/>
                <w:szCs w:val="20"/>
                <w:color w:val="auto"/>
              </w:rPr>
            </w:pPr>
            <w:r>
              <w:rPr>
                <w:rFonts w:ascii="Times New Roman" w:cs="Times New Roman" w:eastAsia="Times New Roman" w:hAnsi="Times New Roman"/>
                <w:sz w:val="11"/>
                <w:szCs w:val="11"/>
                <w:b w:val="1"/>
                <w:bCs w:val="1"/>
                <w:color w:val="auto"/>
              </w:rPr>
              <w:t>1.1%</w:t>
            </w:r>
          </w:p>
        </w:tc>
        <w:tc>
          <w:tcPr>
            <w:tcW w:w="780" w:type="dxa"/>
            <w:vAlign w:val="bottom"/>
            <w:tcBorders>
              <w:right w:val="single" w:sz="8" w:color="CFF0FC"/>
            </w:tcBorders>
            <w:gridSpan w:val="2"/>
            <w:shd w:val="clear" w:color="auto" w:fill="CFF0FC"/>
          </w:tcPr>
          <w:p>
            <w:pPr>
              <w:jc w:val="right"/>
              <w:ind w:right="240"/>
              <w:spacing w:after="0" w:line="109"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right w:val="single" w:sz="8" w:color="CFF0FC"/>
            </w:tcBorders>
            <w:gridSpan w:val="2"/>
            <w:shd w:val="clear" w:color="auto" w:fill="CFF0FC"/>
          </w:tcPr>
          <w:p>
            <w:pPr>
              <w:ind w:left="260"/>
              <w:spacing w:after="0" w:line="109" w:lineRule="exact"/>
              <w:rPr>
                <w:sz w:val="20"/>
                <w:szCs w:val="20"/>
                <w:color w:val="auto"/>
              </w:rPr>
            </w:pPr>
            <w:r>
              <w:rPr>
                <w:rFonts w:ascii="Times New Roman" w:cs="Times New Roman" w:eastAsia="Times New Roman" w:hAnsi="Times New Roman"/>
                <w:sz w:val="11"/>
                <w:szCs w:val="11"/>
                <w:b w:val="1"/>
                <w:bCs w:val="1"/>
                <w:color w:val="auto"/>
              </w:rPr>
              <w:t>2.1%</w:t>
            </w:r>
          </w:p>
        </w:tc>
        <w:tc>
          <w:tcPr>
            <w:tcW w:w="600" w:type="dxa"/>
            <w:vAlign w:val="bottom"/>
            <w:gridSpan w:val="2"/>
            <w:shd w:val="clear" w:color="auto" w:fill="CFF0FC"/>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11.4%</w:t>
            </w:r>
          </w:p>
        </w:tc>
      </w:tr>
      <w:tr>
        <w:trPr>
          <w:trHeight w:val="20"/>
        </w:trPr>
        <w:tc>
          <w:tcPr>
            <w:tcW w:w="1740" w:type="dxa"/>
            <w:vAlign w:val="bottom"/>
            <w:tcBorders>
              <w:right w:val="single" w:sz="8" w:color="auto"/>
            </w:tcBorders>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FF0FC"/>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09"/>
        </w:trPr>
        <w:tc>
          <w:tcPr>
            <w:tcW w:w="1740" w:type="dxa"/>
            <w:vAlign w:val="bottom"/>
          </w:tcPr>
          <w:p>
            <w:pPr>
              <w:ind w:left="280"/>
              <w:spacing w:after="0" w:line="109" w:lineRule="exact"/>
              <w:rPr>
                <w:sz w:val="20"/>
                <w:szCs w:val="20"/>
                <w:color w:val="auto"/>
              </w:rPr>
            </w:pPr>
            <w:r>
              <w:rPr>
                <w:rFonts w:ascii="Times New Roman" w:cs="Times New Roman" w:eastAsia="Times New Roman" w:hAnsi="Times New Roman"/>
                <w:sz w:val="11"/>
                <w:szCs w:val="11"/>
                <w:b w:val="1"/>
                <w:bCs w:val="1"/>
                <w:color w:val="auto"/>
              </w:rPr>
              <w:t>Consolidated BrightSpring</w:t>
            </w:r>
          </w:p>
        </w:tc>
        <w:tc>
          <w:tcPr>
            <w:tcW w:w="92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1"/>
                <w:szCs w:val="11"/>
                <w:b w:val="1"/>
                <w:bCs w:val="1"/>
                <w:color w:val="auto"/>
              </w:rPr>
              <w:t>25.0%</w:t>
            </w:r>
          </w:p>
        </w:tc>
        <w:tc>
          <w:tcPr>
            <w:tcW w:w="840" w:type="dxa"/>
            <w:vAlign w:val="bottom"/>
            <w:gridSpan w:val="2"/>
          </w:tcPr>
          <w:p>
            <w:pPr>
              <w:jc w:val="right"/>
              <w:ind w:right="120"/>
              <w:spacing w:after="0" w:line="109" w:lineRule="exact"/>
              <w:rPr>
                <w:sz w:val="20"/>
                <w:szCs w:val="20"/>
                <w:color w:val="auto"/>
              </w:rPr>
            </w:pPr>
            <w:r>
              <w:rPr>
                <w:rFonts w:ascii="Times New Roman" w:cs="Times New Roman" w:eastAsia="Times New Roman" w:hAnsi="Times New Roman"/>
                <w:sz w:val="11"/>
                <w:szCs w:val="11"/>
                <w:b w:val="1"/>
                <w:bCs w:val="1"/>
                <w:color w:val="auto"/>
              </w:rPr>
              <w:t>11.3%</w:t>
            </w:r>
          </w:p>
        </w:tc>
        <w:tc>
          <w:tcPr>
            <w:tcW w:w="780" w:type="dxa"/>
            <w:vAlign w:val="bottom"/>
            <w:gridSpan w:val="2"/>
          </w:tcPr>
          <w:p>
            <w:pPr>
              <w:jc w:val="right"/>
              <w:ind w:right="120"/>
              <w:spacing w:after="0" w:line="109" w:lineRule="exact"/>
              <w:rPr>
                <w:sz w:val="20"/>
                <w:szCs w:val="20"/>
                <w:color w:val="auto"/>
              </w:rPr>
            </w:pPr>
            <w:r>
              <w:rPr>
                <w:rFonts w:ascii="Times New Roman" w:cs="Times New Roman" w:eastAsia="Times New Roman" w:hAnsi="Times New Roman"/>
                <w:sz w:val="11"/>
                <w:szCs w:val="11"/>
                <w:b w:val="1"/>
                <w:bCs w:val="1"/>
                <w:color w:val="auto"/>
              </w:rPr>
              <w:t>8.4%</w:t>
            </w:r>
          </w:p>
        </w:tc>
        <w:tc>
          <w:tcPr>
            <w:tcW w:w="740" w:type="dxa"/>
            <w:vAlign w:val="bottom"/>
            <w:gridSpan w:val="3"/>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0.6%</w:t>
            </w:r>
          </w:p>
        </w:tc>
        <w:tc>
          <w:tcPr>
            <w:tcW w:w="740" w:type="dxa"/>
            <w:vAlign w:val="bottom"/>
            <w:gridSpan w:val="3"/>
          </w:tcPr>
          <w:p>
            <w:pPr>
              <w:jc w:val="right"/>
              <w:ind w:right="140"/>
              <w:spacing w:after="0" w:line="109" w:lineRule="exact"/>
              <w:rPr>
                <w:sz w:val="20"/>
                <w:szCs w:val="20"/>
                <w:color w:val="auto"/>
              </w:rPr>
            </w:pPr>
            <w:r>
              <w:rPr>
                <w:rFonts w:ascii="Times New Roman" w:cs="Times New Roman" w:eastAsia="Times New Roman" w:hAnsi="Times New Roman"/>
                <w:sz w:val="11"/>
                <w:szCs w:val="11"/>
                <w:b w:val="1"/>
                <w:bCs w:val="1"/>
                <w:color w:val="auto"/>
              </w:rPr>
              <w:t>18.8%</w:t>
            </w:r>
          </w:p>
        </w:tc>
        <w:tc>
          <w:tcPr>
            <w:tcW w:w="78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1"/>
                <w:szCs w:val="11"/>
                <w:b w:val="1"/>
                <w:bCs w:val="1"/>
                <w:color w:val="auto"/>
              </w:rPr>
              <w:t>32.0%</w:t>
            </w:r>
          </w:p>
        </w:tc>
        <w:tc>
          <w:tcPr>
            <w:tcW w:w="600" w:type="dxa"/>
            <w:vAlign w:val="bottom"/>
            <w:gridSpan w:val="2"/>
          </w:tcPr>
          <w:p>
            <w:pPr>
              <w:ind w:left="260"/>
              <w:spacing w:after="0" w:line="109" w:lineRule="exact"/>
              <w:rPr>
                <w:sz w:val="20"/>
                <w:szCs w:val="20"/>
                <w:color w:val="auto"/>
              </w:rPr>
            </w:pPr>
            <w:r>
              <w:rPr>
                <w:rFonts w:ascii="Times New Roman" w:cs="Times New Roman" w:eastAsia="Times New Roman" w:hAnsi="Times New Roman"/>
                <w:sz w:val="11"/>
                <w:szCs w:val="11"/>
                <w:b w:val="1"/>
                <w:bCs w:val="1"/>
                <w:color w:val="auto"/>
              </w:rPr>
              <w:t>3.9%</w:t>
            </w:r>
          </w:p>
        </w:tc>
        <w:tc>
          <w:tcPr>
            <w:tcW w:w="600" w:type="dxa"/>
            <w:vAlign w:val="bottom"/>
            <w:gridSpan w:val="2"/>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100.0%</w:t>
            </w:r>
          </w:p>
        </w:tc>
      </w:tr>
      <w:tr>
        <w:trPr>
          <w:trHeight w:val="20"/>
        </w:trPr>
        <w:tc>
          <w:tcPr>
            <w:tcW w:w="17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84"/>
        </w:trPr>
        <w:tc>
          <w:tcPr>
            <w:tcW w:w="174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8"/>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For the Three Months Ended June 30, 2024</w:t>
            </w: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96"/>
        </w:trPr>
        <w:tc>
          <w:tcPr>
            <w:tcW w:w="1740" w:type="dxa"/>
            <w:vAlign w:val="bottom"/>
          </w:tcPr>
          <w:p>
            <w:pPr>
              <w:spacing w:after="0"/>
              <w:rPr>
                <w:sz w:val="8"/>
                <w:szCs w:val="8"/>
                <w:color w:val="auto"/>
              </w:rPr>
            </w:pPr>
          </w:p>
        </w:tc>
        <w:tc>
          <w:tcPr>
            <w:tcW w:w="920" w:type="dxa"/>
            <w:vAlign w:val="bottom"/>
            <w:gridSpan w:val="2"/>
          </w:tcPr>
          <w:p>
            <w:pPr>
              <w:jc w:val="right"/>
              <w:ind w:right="360"/>
              <w:spacing w:after="0" w:line="96" w:lineRule="exact"/>
              <w:rPr>
                <w:sz w:val="20"/>
                <w:szCs w:val="20"/>
                <w:color w:val="auto"/>
              </w:rPr>
            </w:pPr>
            <w:r>
              <w:rPr>
                <w:rFonts w:ascii="Times New Roman" w:cs="Times New Roman" w:eastAsia="Times New Roman" w:hAnsi="Times New Roman"/>
                <w:sz w:val="11"/>
                <w:szCs w:val="11"/>
                <w:b w:val="1"/>
                <w:bCs w:val="1"/>
                <w:color w:val="auto"/>
                <w:w w:val="92"/>
              </w:rPr>
              <w:t>Commercial</w:t>
            </w: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gridSpan w:val="2"/>
          </w:tcPr>
          <w:p>
            <w:pPr>
              <w:jc w:val="center"/>
              <w:ind w:right="300"/>
              <w:spacing w:after="0" w:line="96" w:lineRule="exact"/>
              <w:rPr>
                <w:sz w:val="20"/>
                <w:szCs w:val="20"/>
                <w:color w:val="auto"/>
              </w:rPr>
            </w:pPr>
            <w:r>
              <w:rPr>
                <w:rFonts w:ascii="Times New Roman" w:cs="Times New Roman" w:eastAsia="Times New Roman" w:hAnsi="Times New Roman"/>
                <w:sz w:val="11"/>
                <w:szCs w:val="11"/>
                <w:b w:val="1"/>
                <w:bCs w:val="1"/>
                <w:color w:val="auto"/>
                <w:w w:val="98"/>
              </w:rPr>
              <w:t>Medicare</w:t>
            </w:r>
          </w:p>
        </w:tc>
        <w:tc>
          <w:tcPr>
            <w:tcW w:w="740" w:type="dxa"/>
            <w:vAlign w:val="bottom"/>
            <w:gridSpan w:val="3"/>
          </w:tcPr>
          <w:p>
            <w:pPr>
              <w:jc w:val="center"/>
              <w:ind w:right="280"/>
              <w:spacing w:after="0" w:line="96" w:lineRule="exact"/>
              <w:rPr>
                <w:sz w:val="20"/>
                <w:szCs w:val="20"/>
                <w:color w:val="auto"/>
              </w:rPr>
            </w:pPr>
            <w:r>
              <w:rPr>
                <w:rFonts w:ascii="Times New Roman" w:cs="Times New Roman" w:eastAsia="Times New Roman" w:hAnsi="Times New Roman"/>
                <w:sz w:val="11"/>
                <w:szCs w:val="11"/>
                <w:b w:val="1"/>
                <w:bCs w:val="1"/>
                <w:color w:val="auto"/>
                <w:w w:val="94"/>
              </w:rPr>
              <w:t>Medicare</w:t>
            </w:r>
          </w:p>
        </w:tc>
        <w:tc>
          <w:tcPr>
            <w:tcW w:w="740" w:type="dxa"/>
            <w:vAlign w:val="bottom"/>
            <w:gridSpan w:val="3"/>
          </w:tcPr>
          <w:p>
            <w:pPr>
              <w:jc w:val="center"/>
              <w:ind w:right="320"/>
              <w:spacing w:after="0" w:line="96" w:lineRule="exact"/>
              <w:rPr>
                <w:sz w:val="20"/>
                <w:szCs w:val="20"/>
                <w:color w:val="auto"/>
              </w:rPr>
            </w:pPr>
            <w:r>
              <w:rPr>
                <w:rFonts w:ascii="Times New Roman" w:cs="Times New Roman" w:eastAsia="Times New Roman" w:hAnsi="Times New Roman"/>
                <w:sz w:val="11"/>
                <w:szCs w:val="11"/>
                <w:b w:val="1"/>
                <w:bCs w:val="1"/>
                <w:color w:val="auto"/>
                <w:w w:val="94"/>
              </w:rPr>
              <w:t>Medicare</w:t>
            </w:r>
          </w:p>
        </w:tc>
        <w:tc>
          <w:tcPr>
            <w:tcW w:w="780" w:type="dxa"/>
            <w:vAlign w:val="bottom"/>
            <w:gridSpan w:val="2"/>
          </w:tcPr>
          <w:p>
            <w:pPr>
              <w:jc w:val="right"/>
              <w:ind w:right="360"/>
              <w:spacing w:after="0" w:line="96" w:lineRule="exact"/>
              <w:rPr>
                <w:sz w:val="20"/>
                <w:szCs w:val="20"/>
                <w:color w:val="auto"/>
              </w:rPr>
            </w:pPr>
            <w:r>
              <w:rPr>
                <w:rFonts w:ascii="Times New Roman" w:cs="Times New Roman" w:eastAsia="Times New Roman" w:hAnsi="Times New Roman"/>
                <w:sz w:val="11"/>
                <w:szCs w:val="11"/>
                <w:b w:val="1"/>
                <w:bCs w:val="1"/>
                <w:color w:val="auto"/>
                <w:w w:val="89"/>
              </w:rPr>
              <w:t>Medicare</w:t>
            </w:r>
          </w:p>
        </w:tc>
        <w:tc>
          <w:tcPr>
            <w:tcW w:w="600" w:type="dxa"/>
            <w:vAlign w:val="bottom"/>
            <w:gridSpan w:val="2"/>
          </w:tcPr>
          <w:p>
            <w:pPr>
              <w:jc w:val="center"/>
              <w:ind w:right="220"/>
              <w:spacing w:after="0" w:line="96" w:lineRule="exact"/>
              <w:rPr>
                <w:sz w:val="20"/>
                <w:szCs w:val="20"/>
                <w:color w:val="auto"/>
              </w:rPr>
            </w:pPr>
            <w:r>
              <w:rPr>
                <w:rFonts w:ascii="Times New Roman" w:cs="Times New Roman" w:eastAsia="Times New Roman" w:hAnsi="Times New Roman"/>
                <w:sz w:val="11"/>
                <w:szCs w:val="11"/>
                <w:b w:val="1"/>
                <w:bCs w:val="1"/>
                <w:color w:val="auto"/>
                <w:w w:val="82"/>
              </w:rPr>
              <w:t>Private &amp;</w:t>
            </w: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1740" w:type="dxa"/>
            <w:vAlign w:val="bottom"/>
          </w:tcPr>
          <w:p>
            <w:pPr>
              <w:spacing w:after="0"/>
              <w:rPr>
                <w:sz w:val="11"/>
                <w:szCs w:val="11"/>
                <w:color w:val="auto"/>
              </w:rPr>
            </w:pPr>
          </w:p>
        </w:tc>
        <w:tc>
          <w:tcPr>
            <w:tcW w:w="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insurance</w:t>
            </w:r>
          </w:p>
        </w:tc>
        <w:tc>
          <w:tcPr>
            <w:tcW w:w="260" w:type="dxa"/>
            <w:vAlign w:val="bottom"/>
          </w:tcPr>
          <w:p>
            <w:pPr>
              <w:spacing w:after="0"/>
              <w:rPr>
                <w:sz w:val="11"/>
                <w:szCs w:val="11"/>
                <w:color w:val="auto"/>
              </w:rPr>
            </w:pPr>
          </w:p>
        </w:tc>
        <w:tc>
          <w:tcPr>
            <w:tcW w:w="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Medicaid</w:t>
            </w:r>
          </w:p>
        </w:tc>
        <w:tc>
          <w:tcPr>
            <w:tcW w:w="240" w:type="dxa"/>
            <w:vAlign w:val="bottom"/>
          </w:tcPr>
          <w:p>
            <w:pPr>
              <w:spacing w:after="0"/>
              <w:rPr>
                <w:sz w:val="11"/>
                <w:szCs w:val="11"/>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Part A</w:t>
            </w:r>
          </w:p>
        </w:tc>
        <w:tc>
          <w:tcPr>
            <w:tcW w:w="240" w:type="dxa"/>
            <w:vAlign w:val="bottom"/>
          </w:tcPr>
          <w:p>
            <w:pPr>
              <w:spacing w:after="0"/>
              <w:rPr>
                <w:sz w:val="11"/>
                <w:szCs w:val="11"/>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Part B</w:t>
            </w:r>
          </w:p>
        </w:tc>
        <w:tc>
          <w:tcPr>
            <w:tcW w:w="260" w:type="dxa"/>
            <w:vAlign w:val="bottom"/>
            <w:gridSpan w:val="2"/>
          </w:tcPr>
          <w:p>
            <w:pPr>
              <w:spacing w:after="0"/>
              <w:rPr>
                <w:sz w:val="11"/>
                <w:szCs w:val="11"/>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Part C</w:t>
            </w:r>
          </w:p>
        </w:tc>
        <w:tc>
          <w:tcPr>
            <w:tcW w:w="280" w:type="dxa"/>
            <w:vAlign w:val="bottom"/>
            <w:gridSpan w:val="2"/>
          </w:tcPr>
          <w:p>
            <w:pPr>
              <w:spacing w:after="0"/>
              <w:rPr>
                <w:sz w:val="11"/>
                <w:szCs w:val="11"/>
                <w:color w:val="auto"/>
              </w:rPr>
            </w:pPr>
          </w:p>
        </w:tc>
        <w:tc>
          <w:tcPr>
            <w:tcW w:w="52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5"/>
              </w:rPr>
              <w:t>Part D</w:t>
            </w:r>
          </w:p>
        </w:tc>
        <w:tc>
          <w:tcPr>
            <w:tcW w:w="260" w:type="dxa"/>
            <w:vAlign w:val="bottom"/>
          </w:tcPr>
          <w:p>
            <w:pPr>
              <w:spacing w:after="0"/>
              <w:rPr>
                <w:sz w:val="11"/>
                <w:szCs w:val="11"/>
                <w:color w:val="auto"/>
              </w:rPr>
            </w:pPr>
          </w:p>
        </w:tc>
        <w:tc>
          <w:tcPr>
            <w:tcW w:w="40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5"/>
              </w:rPr>
              <w:t>other</w:t>
            </w:r>
          </w:p>
        </w:tc>
        <w:tc>
          <w:tcPr>
            <w:tcW w:w="200" w:type="dxa"/>
            <w:vAlign w:val="bottom"/>
          </w:tcPr>
          <w:p>
            <w:pPr>
              <w:spacing w:after="0"/>
              <w:rPr>
                <w:sz w:val="11"/>
                <w:szCs w:val="11"/>
                <w:color w:val="auto"/>
              </w:rPr>
            </w:pPr>
          </w:p>
        </w:tc>
        <w:tc>
          <w:tcPr>
            <w:tcW w:w="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20" w:type="dxa"/>
            <w:vAlign w:val="bottom"/>
          </w:tcPr>
          <w:p>
            <w:pPr>
              <w:spacing w:after="0"/>
              <w:rPr>
                <w:sz w:val="11"/>
                <w:szCs w:val="11"/>
                <w:color w:val="auto"/>
              </w:rPr>
            </w:pPr>
          </w:p>
        </w:tc>
      </w:tr>
      <w:tr>
        <w:trPr>
          <w:trHeight w:val="109"/>
        </w:trPr>
        <w:tc>
          <w:tcPr>
            <w:tcW w:w="1740" w:type="dxa"/>
            <w:vAlign w:val="bottom"/>
            <w:tcBorders>
              <w:right w:val="single" w:sz="8" w:color="CFF0FC"/>
            </w:tcBorders>
            <w:shd w:val="clear" w:color="auto" w:fill="CFF0FC"/>
          </w:tcPr>
          <w:p>
            <w:pPr>
              <w:spacing w:after="0" w:line="109" w:lineRule="exact"/>
              <w:rPr>
                <w:sz w:val="20"/>
                <w:szCs w:val="20"/>
                <w:color w:val="auto"/>
              </w:rPr>
            </w:pPr>
            <w:r>
              <w:rPr>
                <w:rFonts w:ascii="Times New Roman" w:cs="Times New Roman" w:eastAsia="Times New Roman" w:hAnsi="Times New Roman"/>
                <w:sz w:val="11"/>
                <w:szCs w:val="11"/>
                <w:color w:val="auto"/>
              </w:rPr>
              <w:t>Infusion and Specialty Pharmacy</w:t>
            </w:r>
          </w:p>
        </w:tc>
        <w:tc>
          <w:tcPr>
            <w:tcW w:w="920" w:type="dxa"/>
            <w:vAlign w:val="bottom"/>
            <w:tcBorders>
              <w:right w:val="single" w:sz="8" w:color="CFF0FC"/>
            </w:tcBorders>
            <w:gridSpan w:val="2"/>
            <w:shd w:val="clear" w:color="auto" w:fill="CFF0FC"/>
          </w:tcPr>
          <w:p>
            <w:pPr>
              <w:jc w:val="right"/>
              <w:ind w:right="160"/>
              <w:spacing w:after="0" w:line="109" w:lineRule="exact"/>
              <w:rPr>
                <w:sz w:val="20"/>
                <w:szCs w:val="20"/>
                <w:color w:val="auto"/>
              </w:rPr>
            </w:pPr>
            <w:r>
              <w:rPr>
                <w:rFonts w:ascii="Times New Roman" w:cs="Times New Roman" w:eastAsia="Times New Roman" w:hAnsi="Times New Roman"/>
                <w:sz w:val="11"/>
                <w:szCs w:val="11"/>
                <w:color w:val="auto"/>
              </w:rPr>
              <w:t>20.7%</w:t>
            </w:r>
          </w:p>
        </w:tc>
        <w:tc>
          <w:tcPr>
            <w:tcW w:w="840" w:type="dxa"/>
            <w:vAlign w:val="bottom"/>
            <w:tcBorders>
              <w:right w:val="single" w:sz="8" w:color="CFF0FC"/>
            </w:tcBorders>
            <w:gridSpan w:val="2"/>
            <w:shd w:val="clear" w:color="auto" w:fill="CFF0FC"/>
          </w:tcPr>
          <w:p>
            <w:pPr>
              <w:jc w:val="right"/>
              <w:ind w:right="140"/>
              <w:spacing w:after="0" w:line="109" w:lineRule="exact"/>
              <w:rPr>
                <w:sz w:val="20"/>
                <w:szCs w:val="20"/>
                <w:color w:val="auto"/>
              </w:rPr>
            </w:pPr>
            <w:r>
              <w:rPr>
                <w:rFonts w:ascii="Times New Roman" w:cs="Times New Roman" w:eastAsia="Times New Roman" w:hAnsi="Times New Roman"/>
                <w:sz w:val="11"/>
                <w:szCs w:val="11"/>
                <w:color w:val="auto"/>
              </w:rPr>
              <w:t>5.8%</w:t>
            </w:r>
          </w:p>
        </w:tc>
        <w:tc>
          <w:tcPr>
            <w:tcW w:w="780" w:type="dxa"/>
            <w:vAlign w:val="bottom"/>
            <w:tcBorders>
              <w:right w:val="single" w:sz="8" w:color="CFF0FC"/>
            </w:tcBorders>
            <w:gridSpan w:val="2"/>
            <w:shd w:val="clear" w:color="auto" w:fill="CFF0FC"/>
          </w:tcPr>
          <w:p>
            <w:pPr>
              <w:jc w:val="right"/>
              <w:ind w:right="240"/>
              <w:spacing w:after="0" w:line="109"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right w:val="single" w:sz="8" w:color="CFF0FC"/>
            </w:tcBorders>
            <w:gridSpan w:val="3"/>
            <w:shd w:val="clear" w:color="auto" w:fill="CFF0FC"/>
          </w:tcPr>
          <w:p>
            <w:pPr>
              <w:ind w:left="400"/>
              <w:spacing w:after="0" w:line="109" w:lineRule="exact"/>
              <w:rPr>
                <w:sz w:val="20"/>
                <w:szCs w:val="20"/>
                <w:color w:val="auto"/>
              </w:rPr>
            </w:pPr>
            <w:r>
              <w:rPr>
                <w:rFonts w:ascii="Times New Roman" w:cs="Times New Roman" w:eastAsia="Times New Roman" w:hAnsi="Times New Roman"/>
                <w:sz w:val="11"/>
                <w:szCs w:val="11"/>
                <w:color w:val="auto"/>
              </w:rPr>
              <w:t>0.7%</w:t>
            </w:r>
          </w:p>
        </w:tc>
        <w:tc>
          <w:tcPr>
            <w:tcW w:w="740" w:type="dxa"/>
            <w:vAlign w:val="bottom"/>
            <w:tcBorders>
              <w:right w:val="single" w:sz="8" w:color="CFF0FC"/>
            </w:tcBorders>
            <w:gridSpan w:val="3"/>
            <w:shd w:val="clear" w:color="auto" w:fill="CFF0FC"/>
          </w:tcPr>
          <w:p>
            <w:pPr>
              <w:jc w:val="right"/>
              <w:ind w:right="180"/>
              <w:spacing w:after="0" w:line="109" w:lineRule="exact"/>
              <w:rPr>
                <w:sz w:val="20"/>
                <w:szCs w:val="20"/>
                <w:color w:val="auto"/>
              </w:rPr>
            </w:pPr>
            <w:r>
              <w:rPr>
                <w:rFonts w:ascii="Times New Roman" w:cs="Times New Roman" w:eastAsia="Times New Roman" w:hAnsi="Times New Roman"/>
                <w:sz w:val="11"/>
                <w:szCs w:val="11"/>
                <w:color w:val="auto"/>
              </w:rPr>
              <w:t>15.5%</w:t>
            </w:r>
          </w:p>
        </w:tc>
        <w:tc>
          <w:tcPr>
            <w:tcW w:w="780" w:type="dxa"/>
            <w:vAlign w:val="bottom"/>
            <w:tcBorders>
              <w:right w:val="single" w:sz="8" w:color="CFF0FC"/>
            </w:tcBorders>
            <w:gridSpan w:val="2"/>
            <w:shd w:val="clear" w:color="auto" w:fill="CFF0FC"/>
          </w:tcPr>
          <w:p>
            <w:pPr>
              <w:jc w:val="right"/>
              <w:ind w:right="180"/>
              <w:spacing w:after="0" w:line="109" w:lineRule="exact"/>
              <w:rPr>
                <w:sz w:val="20"/>
                <w:szCs w:val="20"/>
                <w:color w:val="auto"/>
              </w:rPr>
            </w:pPr>
            <w:r>
              <w:rPr>
                <w:rFonts w:ascii="Times New Roman" w:cs="Times New Roman" w:eastAsia="Times New Roman" w:hAnsi="Times New Roman"/>
                <w:sz w:val="11"/>
                <w:szCs w:val="11"/>
                <w:color w:val="auto"/>
              </w:rPr>
              <w:t>21.4%</w:t>
            </w:r>
          </w:p>
        </w:tc>
        <w:tc>
          <w:tcPr>
            <w:tcW w:w="600" w:type="dxa"/>
            <w:vAlign w:val="bottom"/>
            <w:tcBorders>
              <w:right w:val="single" w:sz="8" w:color="CFF0FC"/>
            </w:tcBorders>
            <w:gridSpan w:val="2"/>
            <w:shd w:val="clear" w:color="auto" w:fill="CFF0FC"/>
          </w:tcPr>
          <w:p>
            <w:pPr>
              <w:ind w:left="260"/>
              <w:spacing w:after="0" w:line="109" w:lineRule="exact"/>
              <w:rPr>
                <w:sz w:val="20"/>
                <w:szCs w:val="20"/>
                <w:color w:val="auto"/>
              </w:rPr>
            </w:pPr>
            <w:r>
              <w:rPr>
                <w:rFonts w:ascii="Times New Roman" w:cs="Times New Roman" w:eastAsia="Times New Roman" w:hAnsi="Times New Roman"/>
                <w:sz w:val="11"/>
                <w:szCs w:val="11"/>
                <w:color w:val="auto"/>
              </w:rPr>
              <w:t>1.0%</w:t>
            </w:r>
          </w:p>
        </w:tc>
        <w:tc>
          <w:tcPr>
            <w:tcW w:w="600" w:type="dxa"/>
            <w:vAlign w:val="bottom"/>
            <w:gridSpan w:val="2"/>
            <w:shd w:val="clear" w:color="auto" w:fill="CFF0FC"/>
          </w:tcPr>
          <w:p>
            <w:pPr>
              <w:jc w:val="right"/>
              <w:ind w:right="40"/>
              <w:spacing w:after="0" w:line="109" w:lineRule="exact"/>
              <w:rPr>
                <w:sz w:val="20"/>
                <w:szCs w:val="20"/>
                <w:color w:val="auto"/>
              </w:rPr>
            </w:pPr>
            <w:r>
              <w:rPr>
                <w:rFonts w:ascii="Times New Roman" w:cs="Times New Roman" w:eastAsia="Times New Roman" w:hAnsi="Times New Roman"/>
                <w:sz w:val="11"/>
                <w:szCs w:val="11"/>
                <w:color w:val="auto"/>
              </w:rPr>
              <w:t>65.1%</w:t>
            </w:r>
          </w:p>
        </w:tc>
      </w:tr>
      <w:tr>
        <w:trPr>
          <w:trHeight w:val="118"/>
        </w:trPr>
        <w:tc>
          <w:tcPr>
            <w:tcW w:w="17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Home and Community Pharmacy</w:t>
            </w:r>
          </w:p>
        </w:tc>
        <w:tc>
          <w:tcPr>
            <w:tcW w:w="920" w:type="dxa"/>
            <w:vAlign w:val="bottom"/>
            <w:gridSpan w:val="2"/>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2.7%</w:t>
            </w:r>
          </w:p>
        </w:tc>
        <w:tc>
          <w:tcPr>
            <w:tcW w:w="84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2.4%</w:t>
            </w:r>
          </w:p>
        </w:tc>
        <w:tc>
          <w:tcPr>
            <w:tcW w:w="7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5.2%</w:t>
            </w:r>
          </w:p>
        </w:tc>
        <w:tc>
          <w:tcPr>
            <w:tcW w:w="740" w:type="dxa"/>
            <w:vAlign w:val="bottom"/>
            <w:gridSpan w:val="3"/>
          </w:tcPr>
          <w:p>
            <w:pPr>
              <w:ind w:left="40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40" w:type="dxa"/>
            <w:vAlign w:val="bottom"/>
            <w:gridSpan w:val="3"/>
          </w:tcPr>
          <w:p>
            <w:pPr>
              <w:jc w:val="right"/>
              <w:ind w:right="18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80" w:type="dxa"/>
            <w:vAlign w:val="bottom"/>
            <w:gridSpan w:val="2"/>
          </w:tcPr>
          <w:p>
            <w:pPr>
              <w:jc w:val="right"/>
              <w:ind w:right="180"/>
              <w:spacing w:after="0" w:line="119" w:lineRule="exact"/>
              <w:rPr>
                <w:sz w:val="20"/>
                <w:szCs w:val="20"/>
                <w:color w:val="auto"/>
              </w:rPr>
            </w:pPr>
            <w:r>
              <w:rPr>
                <w:rFonts w:ascii="Times New Roman" w:cs="Times New Roman" w:eastAsia="Times New Roman" w:hAnsi="Times New Roman"/>
                <w:sz w:val="11"/>
                <w:szCs w:val="11"/>
                <w:color w:val="auto"/>
              </w:rPr>
              <w:t>10.2%</w:t>
            </w:r>
          </w:p>
        </w:tc>
        <w:tc>
          <w:tcPr>
            <w:tcW w:w="600" w:type="dxa"/>
            <w:vAlign w:val="bottom"/>
            <w:gridSpan w:val="2"/>
          </w:tcPr>
          <w:p>
            <w:pPr>
              <w:ind w:left="260"/>
              <w:spacing w:after="0" w:line="119" w:lineRule="exact"/>
              <w:rPr>
                <w:sz w:val="20"/>
                <w:szCs w:val="20"/>
                <w:color w:val="auto"/>
              </w:rPr>
            </w:pPr>
            <w:r>
              <w:rPr>
                <w:rFonts w:ascii="Times New Roman" w:cs="Times New Roman" w:eastAsia="Times New Roman" w:hAnsi="Times New Roman"/>
                <w:sz w:val="11"/>
                <w:szCs w:val="11"/>
                <w:color w:val="auto"/>
              </w:rPr>
              <w:t>1.1%</w:t>
            </w:r>
          </w:p>
        </w:tc>
        <w:tc>
          <w:tcPr>
            <w:tcW w:w="60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21.6%</w:t>
            </w:r>
          </w:p>
        </w:tc>
      </w:tr>
      <w:tr>
        <w:trPr>
          <w:trHeight w:val="20"/>
        </w:trPr>
        <w:tc>
          <w:tcPr>
            <w:tcW w:w="174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9"/>
        </w:trPr>
        <w:tc>
          <w:tcPr>
            <w:tcW w:w="1740" w:type="dxa"/>
            <w:vAlign w:val="bottom"/>
            <w:tcBorders>
              <w:right w:val="single" w:sz="8" w:color="CFF0FC"/>
            </w:tcBorders>
            <w:shd w:val="clear" w:color="auto" w:fill="CFF0FC"/>
          </w:tcPr>
          <w:p>
            <w:pPr>
              <w:ind w:left="140"/>
              <w:spacing w:after="0" w:line="109" w:lineRule="exact"/>
              <w:rPr>
                <w:sz w:val="20"/>
                <w:szCs w:val="20"/>
                <w:color w:val="auto"/>
              </w:rPr>
            </w:pPr>
            <w:r>
              <w:rPr>
                <w:rFonts w:ascii="Times New Roman" w:cs="Times New Roman" w:eastAsia="Times New Roman" w:hAnsi="Times New Roman"/>
                <w:sz w:val="11"/>
                <w:szCs w:val="11"/>
                <w:b w:val="1"/>
                <w:bCs w:val="1"/>
                <w:color w:val="auto"/>
              </w:rPr>
              <w:t>Pharmacy Solutions</w:t>
            </w:r>
          </w:p>
        </w:tc>
        <w:tc>
          <w:tcPr>
            <w:tcW w:w="920" w:type="dxa"/>
            <w:vAlign w:val="bottom"/>
            <w:tcBorders>
              <w:right w:val="single" w:sz="8" w:color="CFF0FC"/>
            </w:tcBorders>
            <w:gridSpan w:val="2"/>
            <w:shd w:val="clear" w:color="auto" w:fill="CFF0FC"/>
          </w:tcPr>
          <w:p>
            <w:pPr>
              <w:jc w:val="right"/>
              <w:ind w:right="140"/>
              <w:spacing w:after="0" w:line="109" w:lineRule="exact"/>
              <w:rPr>
                <w:sz w:val="20"/>
                <w:szCs w:val="20"/>
                <w:color w:val="auto"/>
              </w:rPr>
            </w:pPr>
            <w:r>
              <w:rPr>
                <w:rFonts w:ascii="Times New Roman" w:cs="Times New Roman" w:eastAsia="Times New Roman" w:hAnsi="Times New Roman"/>
                <w:sz w:val="11"/>
                <w:szCs w:val="11"/>
                <w:b w:val="1"/>
                <w:bCs w:val="1"/>
                <w:color w:val="auto"/>
              </w:rPr>
              <w:t>23.4%</w:t>
            </w:r>
          </w:p>
        </w:tc>
        <w:tc>
          <w:tcPr>
            <w:tcW w:w="840" w:type="dxa"/>
            <w:vAlign w:val="bottom"/>
            <w:tcBorders>
              <w:right w:val="single" w:sz="8" w:color="CFF0FC"/>
            </w:tcBorders>
            <w:gridSpan w:val="2"/>
            <w:shd w:val="clear" w:color="auto" w:fill="CFF0FC"/>
          </w:tcPr>
          <w:p>
            <w:pPr>
              <w:jc w:val="right"/>
              <w:ind w:right="120"/>
              <w:spacing w:after="0" w:line="109" w:lineRule="exact"/>
              <w:rPr>
                <w:sz w:val="20"/>
                <w:szCs w:val="20"/>
                <w:color w:val="auto"/>
              </w:rPr>
            </w:pPr>
            <w:r>
              <w:rPr>
                <w:rFonts w:ascii="Times New Roman" w:cs="Times New Roman" w:eastAsia="Times New Roman" w:hAnsi="Times New Roman"/>
                <w:sz w:val="11"/>
                <w:szCs w:val="11"/>
                <w:b w:val="1"/>
                <w:bCs w:val="1"/>
                <w:color w:val="auto"/>
              </w:rPr>
              <w:t>8.2%</w:t>
            </w:r>
          </w:p>
        </w:tc>
        <w:tc>
          <w:tcPr>
            <w:tcW w:w="780" w:type="dxa"/>
            <w:vAlign w:val="bottom"/>
            <w:tcBorders>
              <w:right w:val="single" w:sz="8" w:color="CFF0FC"/>
            </w:tcBorders>
            <w:gridSpan w:val="2"/>
            <w:shd w:val="clear" w:color="auto" w:fill="CFF0FC"/>
          </w:tcPr>
          <w:p>
            <w:pPr>
              <w:jc w:val="right"/>
              <w:ind w:right="120"/>
              <w:spacing w:after="0" w:line="109" w:lineRule="exact"/>
              <w:rPr>
                <w:sz w:val="20"/>
                <w:szCs w:val="20"/>
                <w:color w:val="auto"/>
              </w:rPr>
            </w:pPr>
            <w:r>
              <w:rPr>
                <w:rFonts w:ascii="Times New Roman" w:cs="Times New Roman" w:eastAsia="Times New Roman" w:hAnsi="Times New Roman"/>
                <w:sz w:val="11"/>
                <w:szCs w:val="11"/>
                <w:b w:val="1"/>
                <w:bCs w:val="1"/>
                <w:color w:val="auto"/>
              </w:rPr>
              <w:t>5.2%</w:t>
            </w:r>
          </w:p>
        </w:tc>
        <w:tc>
          <w:tcPr>
            <w:tcW w:w="740" w:type="dxa"/>
            <w:vAlign w:val="bottom"/>
            <w:tcBorders>
              <w:right w:val="single" w:sz="8" w:color="CFF0FC"/>
            </w:tcBorders>
            <w:gridSpan w:val="3"/>
            <w:shd w:val="clear" w:color="auto" w:fill="CFF0FC"/>
          </w:tcPr>
          <w:p>
            <w:pPr>
              <w:ind w:left="400"/>
              <w:spacing w:after="0" w:line="109" w:lineRule="exact"/>
              <w:rPr>
                <w:sz w:val="20"/>
                <w:szCs w:val="20"/>
                <w:color w:val="auto"/>
              </w:rPr>
            </w:pPr>
            <w:r>
              <w:rPr>
                <w:rFonts w:ascii="Times New Roman" w:cs="Times New Roman" w:eastAsia="Times New Roman" w:hAnsi="Times New Roman"/>
                <w:sz w:val="11"/>
                <w:szCs w:val="11"/>
                <w:b w:val="1"/>
                <w:bCs w:val="1"/>
                <w:color w:val="auto"/>
              </w:rPr>
              <w:t>0.7%</w:t>
            </w:r>
          </w:p>
        </w:tc>
        <w:tc>
          <w:tcPr>
            <w:tcW w:w="740" w:type="dxa"/>
            <w:vAlign w:val="bottom"/>
            <w:tcBorders>
              <w:right w:val="single" w:sz="8" w:color="CFF0FC"/>
            </w:tcBorders>
            <w:gridSpan w:val="3"/>
            <w:shd w:val="clear" w:color="auto" w:fill="CFF0FC"/>
          </w:tcPr>
          <w:p>
            <w:pPr>
              <w:jc w:val="right"/>
              <w:ind w:right="160"/>
              <w:spacing w:after="0" w:line="109" w:lineRule="exact"/>
              <w:rPr>
                <w:sz w:val="20"/>
                <w:szCs w:val="20"/>
                <w:color w:val="auto"/>
              </w:rPr>
            </w:pPr>
            <w:r>
              <w:rPr>
                <w:rFonts w:ascii="Times New Roman" w:cs="Times New Roman" w:eastAsia="Times New Roman" w:hAnsi="Times New Roman"/>
                <w:sz w:val="11"/>
                <w:szCs w:val="11"/>
                <w:b w:val="1"/>
                <w:bCs w:val="1"/>
                <w:color w:val="auto"/>
              </w:rPr>
              <w:t>15.5%</w:t>
            </w:r>
          </w:p>
        </w:tc>
        <w:tc>
          <w:tcPr>
            <w:tcW w:w="780" w:type="dxa"/>
            <w:vAlign w:val="bottom"/>
            <w:tcBorders>
              <w:right w:val="single" w:sz="8" w:color="CFF0FC"/>
            </w:tcBorders>
            <w:gridSpan w:val="2"/>
            <w:shd w:val="clear" w:color="auto" w:fill="CFF0FC"/>
          </w:tcPr>
          <w:p>
            <w:pPr>
              <w:jc w:val="right"/>
              <w:ind w:right="160"/>
              <w:spacing w:after="0" w:line="109" w:lineRule="exact"/>
              <w:rPr>
                <w:sz w:val="20"/>
                <w:szCs w:val="20"/>
                <w:color w:val="auto"/>
              </w:rPr>
            </w:pPr>
            <w:r>
              <w:rPr>
                <w:rFonts w:ascii="Times New Roman" w:cs="Times New Roman" w:eastAsia="Times New Roman" w:hAnsi="Times New Roman"/>
                <w:sz w:val="11"/>
                <w:szCs w:val="11"/>
                <w:b w:val="1"/>
                <w:bCs w:val="1"/>
                <w:color w:val="auto"/>
              </w:rPr>
              <w:t>31.6%</w:t>
            </w:r>
          </w:p>
        </w:tc>
        <w:tc>
          <w:tcPr>
            <w:tcW w:w="600" w:type="dxa"/>
            <w:vAlign w:val="bottom"/>
            <w:tcBorders>
              <w:right w:val="single" w:sz="8" w:color="CFF0FC"/>
            </w:tcBorders>
            <w:gridSpan w:val="2"/>
            <w:shd w:val="clear" w:color="auto" w:fill="CFF0FC"/>
          </w:tcPr>
          <w:p>
            <w:pPr>
              <w:ind w:left="260"/>
              <w:spacing w:after="0" w:line="109" w:lineRule="exact"/>
              <w:rPr>
                <w:sz w:val="20"/>
                <w:szCs w:val="20"/>
                <w:color w:val="auto"/>
              </w:rPr>
            </w:pPr>
            <w:r>
              <w:rPr>
                <w:rFonts w:ascii="Times New Roman" w:cs="Times New Roman" w:eastAsia="Times New Roman" w:hAnsi="Times New Roman"/>
                <w:sz w:val="11"/>
                <w:szCs w:val="11"/>
                <w:b w:val="1"/>
                <w:bCs w:val="1"/>
                <w:color w:val="auto"/>
              </w:rPr>
              <w:t>2.1%</w:t>
            </w:r>
          </w:p>
        </w:tc>
        <w:tc>
          <w:tcPr>
            <w:tcW w:w="600" w:type="dxa"/>
            <w:vAlign w:val="bottom"/>
            <w:gridSpan w:val="2"/>
            <w:shd w:val="clear" w:color="auto" w:fill="CFF0FC"/>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86.7%</w:t>
            </w:r>
          </w:p>
        </w:tc>
      </w:tr>
      <w:tr>
        <w:trPr>
          <w:trHeight w:val="118"/>
        </w:trPr>
        <w:tc>
          <w:tcPr>
            <w:tcW w:w="17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Home Health Care</w:t>
            </w:r>
          </w:p>
        </w:tc>
        <w:tc>
          <w:tcPr>
            <w:tcW w:w="920" w:type="dxa"/>
            <w:vAlign w:val="bottom"/>
            <w:gridSpan w:val="2"/>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0.2%</w:t>
            </w:r>
          </w:p>
        </w:tc>
        <w:tc>
          <w:tcPr>
            <w:tcW w:w="84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0.3%</w:t>
            </w:r>
          </w:p>
        </w:tc>
        <w:tc>
          <w:tcPr>
            <w:tcW w:w="7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4.4%</w:t>
            </w:r>
          </w:p>
        </w:tc>
        <w:tc>
          <w:tcPr>
            <w:tcW w:w="740" w:type="dxa"/>
            <w:vAlign w:val="bottom"/>
            <w:gridSpan w:val="3"/>
          </w:tcPr>
          <w:p>
            <w:pPr>
              <w:ind w:left="400"/>
              <w:spacing w:after="0" w:line="119" w:lineRule="exact"/>
              <w:rPr>
                <w:sz w:val="20"/>
                <w:szCs w:val="20"/>
                <w:color w:val="auto"/>
              </w:rPr>
            </w:pPr>
            <w:r>
              <w:rPr>
                <w:rFonts w:ascii="Times New Roman" w:cs="Times New Roman" w:eastAsia="Times New Roman" w:hAnsi="Times New Roman"/>
                <w:sz w:val="11"/>
                <w:szCs w:val="11"/>
                <w:color w:val="auto"/>
              </w:rPr>
              <w:t>0.3%</w:t>
            </w:r>
          </w:p>
        </w:tc>
        <w:tc>
          <w:tcPr>
            <w:tcW w:w="740" w:type="dxa"/>
            <w:vAlign w:val="bottom"/>
            <w:gridSpan w:val="3"/>
          </w:tcPr>
          <w:p>
            <w:pPr>
              <w:jc w:val="right"/>
              <w:ind w:right="180"/>
              <w:spacing w:after="0" w:line="119" w:lineRule="exact"/>
              <w:rPr>
                <w:sz w:val="20"/>
                <w:szCs w:val="20"/>
                <w:color w:val="auto"/>
              </w:rPr>
            </w:pPr>
            <w:r>
              <w:rPr>
                <w:rFonts w:ascii="Times New Roman" w:cs="Times New Roman" w:eastAsia="Times New Roman" w:hAnsi="Times New Roman"/>
                <w:sz w:val="11"/>
                <w:szCs w:val="11"/>
                <w:color w:val="auto"/>
              </w:rPr>
              <w:t>1.2%</w:t>
            </w:r>
          </w:p>
        </w:tc>
        <w:tc>
          <w:tcPr>
            <w:tcW w:w="780" w:type="dxa"/>
            <w:vAlign w:val="bottom"/>
            <w:gridSpan w:val="2"/>
          </w:tcPr>
          <w:p>
            <w:pPr>
              <w:jc w:val="right"/>
              <w:ind w:right="26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ind w:left="260"/>
              <w:spacing w:after="0" w:line="119" w:lineRule="exact"/>
              <w:rPr>
                <w:sz w:val="20"/>
                <w:szCs w:val="20"/>
                <w:color w:val="auto"/>
              </w:rPr>
            </w:pPr>
            <w:r>
              <w:rPr>
                <w:rFonts w:ascii="Times New Roman" w:cs="Times New Roman" w:eastAsia="Times New Roman" w:hAnsi="Times New Roman"/>
                <w:sz w:val="11"/>
                <w:szCs w:val="11"/>
                <w:color w:val="auto"/>
              </w:rPr>
              <w:t>0.1%</w:t>
            </w:r>
          </w:p>
        </w:tc>
        <w:tc>
          <w:tcPr>
            <w:tcW w:w="60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6.5%</w:t>
            </w:r>
          </w:p>
        </w:tc>
      </w:tr>
      <w:tr>
        <w:trPr>
          <w:trHeight w:val="118"/>
        </w:trPr>
        <w:tc>
          <w:tcPr>
            <w:tcW w:w="1740" w:type="dxa"/>
            <w:vAlign w:val="bottom"/>
            <w:tcBorders>
              <w:right w:val="single" w:sz="8" w:color="CFF0FC"/>
            </w:tcBorders>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Rehab Care</w:t>
            </w:r>
          </w:p>
        </w:tc>
        <w:tc>
          <w:tcPr>
            <w:tcW w:w="920" w:type="dxa"/>
            <w:vAlign w:val="bottom"/>
            <w:tcBorders>
              <w:right w:val="single" w:sz="8" w:color="CFF0FC"/>
            </w:tcBorders>
            <w:gridSpan w:val="2"/>
            <w:shd w:val="clear" w:color="auto" w:fill="CFF0FC"/>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1.4%</w:t>
            </w:r>
          </w:p>
        </w:tc>
        <w:tc>
          <w:tcPr>
            <w:tcW w:w="840" w:type="dxa"/>
            <w:vAlign w:val="bottom"/>
            <w:tcBorders>
              <w:right w:val="single" w:sz="8" w:color="CFF0FC"/>
            </w:tcBorders>
            <w:gridSpan w:val="2"/>
            <w:shd w:val="clear" w:color="auto" w:fill="CFF0FC"/>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0.6%</w:t>
            </w:r>
          </w:p>
        </w:tc>
        <w:tc>
          <w:tcPr>
            <w:tcW w:w="780" w:type="dxa"/>
            <w:vAlign w:val="bottom"/>
            <w:tcBorders>
              <w:right w:val="single" w:sz="8" w:color="CFF0FC"/>
            </w:tcBorders>
            <w:gridSpan w:val="2"/>
            <w:shd w:val="clear" w:color="auto" w:fill="CFF0FC"/>
          </w:tcPr>
          <w:p>
            <w:pPr>
              <w:jc w:val="right"/>
              <w:ind w:right="2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right w:val="single" w:sz="8" w:color="CFF0FC"/>
            </w:tcBorders>
            <w:gridSpan w:val="3"/>
            <w:shd w:val="clear" w:color="auto" w:fill="CFF0FC"/>
          </w:tcPr>
          <w:p>
            <w:pPr>
              <w:ind w:left="40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40" w:type="dxa"/>
            <w:vAlign w:val="bottom"/>
            <w:tcBorders>
              <w:right w:val="single" w:sz="8" w:color="CFF0FC"/>
            </w:tcBorders>
            <w:gridSpan w:val="3"/>
            <w:shd w:val="clear" w:color="auto" w:fill="CFF0FC"/>
          </w:tcPr>
          <w:p>
            <w:pPr>
              <w:jc w:val="right"/>
              <w:ind w:right="18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80" w:type="dxa"/>
            <w:vAlign w:val="bottom"/>
            <w:tcBorders>
              <w:right w:val="single" w:sz="8" w:color="CFF0FC"/>
            </w:tcBorders>
            <w:gridSpan w:val="2"/>
            <w:shd w:val="clear" w:color="auto" w:fill="CFF0FC"/>
          </w:tcPr>
          <w:p>
            <w:pPr>
              <w:jc w:val="right"/>
              <w:ind w:right="26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right w:val="single" w:sz="8" w:color="CFF0FC"/>
            </w:tcBorders>
            <w:gridSpan w:val="2"/>
            <w:shd w:val="clear" w:color="auto" w:fill="CFF0FC"/>
          </w:tcPr>
          <w:p>
            <w:pPr>
              <w:ind w:left="260"/>
              <w:spacing w:after="0" w:line="119" w:lineRule="exact"/>
              <w:rPr>
                <w:sz w:val="20"/>
                <w:szCs w:val="20"/>
                <w:color w:val="auto"/>
              </w:rPr>
            </w:pPr>
            <w:r>
              <w:rPr>
                <w:rFonts w:ascii="Times New Roman" w:cs="Times New Roman" w:eastAsia="Times New Roman" w:hAnsi="Times New Roman"/>
                <w:sz w:val="11"/>
                <w:szCs w:val="11"/>
                <w:color w:val="auto"/>
              </w:rPr>
              <w:t>0.8%</w:t>
            </w:r>
          </w:p>
        </w:tc>
        <w:tc>
          <w:tcPr>
            <w:tcW w:w="600" w:type="dxa"/>
            <w:vAlign w:val="bottom"/>
            <w:gridSpan w:val="2"/>
            <w:shd w:val="clear" w:color="auto" w:fill="CFF0FC"/>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2.8%</w:t>
            </w:r>
          </w:p>
        </w:tc>
      </w:tr>
      <w:tr>
        <w:trPr>
          <w:trHeight w:val="118"/>
        </w:trPr>
        <w:tc>
          <w:tcPr>
            <w:tcW w:w="17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Personal Care</w:t>
            </w:r>
          </w:p>
        </w:tc>
        <w:tc>
          <w:tcPr>
            <w:tcW w:w="920" w:type="dxa"/>
            <w:vAlign w:val="bottom"/>
            <w:gridSpan w:val="2"/>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0.1%</w:t>
            </w:r>
          </w:p>
        </w:tc>
        <w:tc>
          <w:tcPr>
            <w:tcW w:w="84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2.5%</w:t>
            </w:r>
          </w:p>
        </w:tc>
        <w:tc>
          <w:tcPr>
            <w:tcW w:w="780" w:type="dxa"/>
            <w:vAlign w:val="bottom"/>
            <w:gridSpan w:val="2"/>
          </w:tcPr>
          <w:p>
            <w:pPr>
              <w:jc w:val="right"/>
              <w:ind w:right="2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ind w:right="28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26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ind w:left="260"/>
              <w:spacing w:after="0" w:line="119" w:lineRule="exact"/>
              <w:rPr>
                <w:sz w:val="20"/>
                <w:szCs w:val="20"/>
                <w:color w:val="auto"/>
              </w:rPr>
            </w:pPr>
            <w:r>
              <w:rPr>
                <w:rFonts w:ascii="Times New Roman" w:cs="Times New Roman" w:eastAsia="Times New Roman" w:hAnsi="Times New Roman"/>
                <w:sz w:val="11"/>
                <w:szCs w:val="11"/>
                <w:color w:val="auto"/>
              </w:rPr>
              <w:t>1.4%</w:t>
            </w:r>
          </w:p>
        </w:tc>
        <w:tc>
          <w:tcPr>
            <w:tcW w:w="60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4.0%</w:t>
            </w:r>
          </w:p>
        </w:tc>
      </w:tr>
      <w:tr>
        <w:trPr>
          <w:trHeight w:val="20"/>
        </w:trPr>
        <w:tc>
          <w:tcPr>
            <w:tcW w:w="174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9"/>
        </w:trPr>
        <w:tc>
          <w:tcPr>
            <w:tcW w:w="1740" w:type="dxa"/>
            <w:vAlign w:val="bottom"/>
            <w:tcBorders>
              <w:right w:val="single" w:sz="8" w:color="CFF0FC"/>
            </w:tcBorders>
            <w:shd w:val="clear" w:color="auto" w:fill="CFF0FC"/>
          </w:tcPr>
          <w:p>
            <w:pPr>
              <w:ind w:left="140"/>
              <w:spacing w:after="0" w:line="109" w:lineRule="exact"/>
              <w:rPr>
                <w:sz w:val="20"/>
                <w:szCs w:val="20"/>
                <w:color w:val="auto"/>
              </w:rPr>
            </w:pPr>
            <w:r>
              <w:rPr>
                <w:rFonts w:ascii="Times New Roman" w:cs="Times New Roman" w:eastAsia="Times New Roman" w:hAnsi="Times New Roman"/>
                <w:sz w:val="11"/>
                <w:szCs w:val="11"/>
                <w:b w:val="1"/>
                <w:bCs w:val="1"/>
                <w:color w:val="auto"/>
              </w:rPr>
              <w:t>Provider Services</w:t>
            </w:r>
          </w:p>
        </w:tc>
        <w:tc>
          <w:tcPr>
            <w:tcW w:w="920" w:type="dxa"/>
            <w:vAlign w:val="bottom"/>
            <w:tcBorders>
              <w:right w:val="single" w:sz="8" w:color="CFF0FC"/>
            </w:tcBorders>
            <w:gridSpan w:val="2"/>
            <w:shd w:val="clear" w:color="auto" w:fill="CFF0FC"/>
          </w:tcPr>
          <w:p>
            <w:pPr>
              <w:jc w:val="right"/>
              <w:ind w:right="140"/>
              <w:spacing w:after="0" w:line="109" w:lineRule="exact"/>
              <w:rPr>
                <w:sz w:val="20"/>
                <w:szCs w:val="20"/>
                <w:color w:val="auto"/>
              </w:rPr>
            </w:pPr>
            <w:r>
              <w:rPr>
                <w:rFonts w:ascii="Times New Roman" w:cs="Times New Roman" w:eastAsia="Times New Roman" w:hAnsi="Times New Roman"/>
                <w:sz w:val="11"/>
                <w:szCs w:val="11"/>
                <w:b w:val="1"/>
                <w:bCs w:val="1"/>
                <w:color w:val="auto"/>
              </w:rPr>
              <w:t>1.7%</w:t>
            </w:r>
          </w:p>
        </w:tc>
        <w:tc>
          <w:tcPr>
            <w:tcW w:w="840" w:type="dxa"/>
            <w:vAlign w:val="bottom"/>
            <w:tcBorders>
              <w:right w:val="single" w:sz="8" w:color="CFF0FC"/>
            </w:tcBorders>
            <w:gridSpan w:val="2"/>
            <w:shd w:val="clear" w:color="auto" w:fill="CFF0FC"/>
          </w:tcPr>
          <w:p>
            <w:pPr>
              <w:jc w:val="right"/>
              <w:ind w:right="120"/>
              <w:spacing w:after="0" w:line="109" w:lineRule="exact"/>
              <w:rPr>
                <w:sz w:val="20"/>
                <w:szCs w:val="20"/>
                <w:color w:val="auto"/>
              </w:rPr>
            </w:pPr>
            <w:r>
              <w:rPr>
                <w:rFonts w:ascii="Times New Roman" w:cs="Times New Roman" w:eastAsia="Times New Roman" w:hAnsi="Times New Roman"/>
                <w:sz w:val="11"/>
                <w:szCs w:val="11"/>
                <w:b w:val="1"/>
                <w:bCs w:val="1"/>
                <w:color w:val="auto"/>
              </w:rPr>
              <w:t>3.4%</w:t>
            </w:r>
          </w:p>
        </w:tc>
        <w:tc>
          <w:tcPr>
            <w:tcW w:w="780" w:type="dxa"/>
            <w:vAlign w:val="bottom"/>
            <w:tcBorders>
              <w:right w:val="single" w:sz="8" w:color="CFF0FC"/>
            </w:tcBorders>
            <w:gridSpan w:val="2"/>
            <w:shd w:val="clear" w:color="auto" w:fill="CFF0FC"/>
          </w:tcPr>
          <w:p>
            <w:pPr>
              <w:jc w:val="right"/>
              <w:ind w:right="120"/>
              <w:spacing w:after="0" w:line="109" w:lineRule="exact"/>
              <w:rPr>
                <w:sz w:val="20"/>
                <w:szCs w:val="20"/>
                <w:color w:val="auto"/>
              </w:rPr>
            </w:pPr>
            <w:r>
              <w:rPr>
                <w:rFonts w:ascii="Times New Roman" w:cs="Times New Roman" w:eastAsia="Times New Roman" w:hAnsi="Times New Roman"/>
                <w:sz w:val="11"/>
                <w:szCs w:val="11"/>
                <w:b w:val="1"/>
                <w:bCs w:val="1"/>
                <w:color w:val="auto"/>
              </w:rPr>
              <w:t>4.4%</w:t>
            </w:r>
          </w:p>
        </w:tc>
        <w:tc>
          <w:tcPr>
            <w:tcW w:w="740" w:type="dxa"/>
            <w:vAlign w:val="bottom"/>
            <w:tcBorders>
              <w:right w:val="single" w:sz="8" w:color="CFF0FC"/>
            </w:tcBorders>
            <w:gridSpan w:val="3"/>
            <w:shd w:val="clear" w:color="auto" w:fill="CFF0FC"/>
          </w:tcPr>
          <w:p>
            <w:pPr>
              <w:ind w:left="400"/>
              <w:spacing w:after="0" w:line="109" w:lineRule="exact"/>
              <w:rPr>
                <w:sz w:val="20"/>
                <w:szCs w:val="20"/>
                <w:color w:val="auto"/>
              </w:rPr>
            </w:pPr>
            <w:r>
              <w:rPr>
                <w:rFonts w:ascii="Times New Roman" w:cs="Times New Roman" w:eastAsia="Times New Roman" w:hAnsi="Times New Roman"/>
                <w:sz w:val="11"/>
                <w:szCs w:val="11"/>
                <w:b w:val="1"/>
                <w:bCs w:val="1"/>
                <w:color w:val="auto"/>
              </w:rPr>
              <w:t>0.3%</w:t>
            </w:r>
          </w:p>
        </w:tc>
        <w:tc>
          <w:tcPr>
            <w:tcW w:w="740" w:type="dxa"/>
            <w:vAlign w:val="bottom"/>
            <w:tcBorders>
              <w:right w:val="single" w:sz="8" w:color="CFF0FC"/>
            </w:tcBorders>
            <w:gridSpan w:val="3"/>
            <w:shd w:val="clear" w:color="auto" w:fill="CFF0FC"/>
          </w:tcPr>
          <w:p>
            <w:pPr>
              <w:jc w:val="right"/>
              <w:ind w:right="160"/>
              <w:spacing w:after="0" w:line="109" w:lineRule="exact"/>
              <w:rPr>
                <w:sz w:val="20"/>
                <w:szCs w:val="20"/>
                <w:color w:val="auto"/>
              </w:rPr>
            </w:pPr>
            <w:r>
              <w:rPr>
                <w:rFonts w:ascii="Times New Roman" w:cs="Times New Roman" w:eastAsia="Times New Roman" w:hAnsi="Times New Roman"/>
                <w:sz w:val="11"/>
                <w:szCs w:val="11"/>
                <w:b w:val="1"/>
                <w:bCs w:val="1"/>
                <w:color w:val="auto"/>
              </w:rPr>
              <w:t>1.2%</w:t>
            </w:r>
          </w:p>
        </w:tc>
        <w:tc>
          <w:tcPr>
            <w:tcW w:w="780" w:type="dxa"/>
            <w:vAlign w:val="bottom"/>
            <w:tcBorders>
              <w:right w:val="single" w:sz="8" w:color="CFF0FC"/>
            </w:tcBorders>
            <w:gridSpan w:val="2"/>
            <w:shd w:val="clear" w:color="auto" w:fill="CFF0FC"/>
          </w:tcPr>
          <w:p>
            <w:pPr>
              <w:jc w:val="right"/>
              <w:ind w:right="260"/>
              <w:spacing w:after="0" w:line="109"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right w:val="single" w:sz="8" w:color="CFF0FC"/>
            </w:tcBorders>
            <w:gridSpan w:val="2"/>
            <w:shd w:val="clear" w:color="auto" w:fill="CFF0FC"/>
          </w:tcPr>
          <w:p>
            <w:pPr>
              <w:ind w:left="260"/>
              <w:spacing w:after="0" w:line="109" w:lineRule="exact"/>
              <w:rPr>
                <w:sz w:val="20"/>
                <w:szCs w:val="20"/>
                <w:color w:val="auto"/>
              </w:rPr>
            </w:pPr>
            <w:r>
              <w:rPr>
                <w:rFonts w:ascii="Times New Roman" w:cs="Times New Roman" w:eastAsia="Times New Roman" w:hAnsi="Times New Roman"/>
                <w:sz w:val="11"/>
                <w:szCs w:val="11"/>
                <w:b w:val="1"/>
                <w:bCs w:val="1"/>
                <w:color w:val="auto"/>
              </w:rPr>
              <w:t>2.3%</w:t>
            </w:r>
          </w:p>
        </w:tc>
        <w:tc>
          <w:tcPr>
            <w:tcW w:w="600" w:type="dxa"/>
            <w:vAlign w:val="bottom"/>
            <w:gridSpan w:val="2"/>
            <w:shd w:val="clear" w:color="auto" w:fill="CFF0FC"/>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13.3%</w:t>
            </w:r>
          </w:p>
        </w:tc>
      </w:tr>
      <w:tr>
        <w:trPr>
          <w:trHeight w:val="20"/>
        </w:trPr>
        <w:tc>
          <w:tcPr>
            <w:tcW w:w="1740" w:type="dxa"/>
            <w:vAlign w:val="bottom"/>
            <w:tcBorders>
              <w:right w:val="single" w:sz="8" w:color="auto"/>
            </w:tcBorders>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FF0FC"/>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09"/>
        </w:trPr>
        <w:tc>
          <w:tcPr>
            <w:tcW w:w="1740" w:type="dxa"/>
            <w:vAlign w:val="bottom"/>
          </w:tcPr>
          <w:p>
            <w:pPr>
              <w:ind w:left="280"/>
              <w:spacing w:after="0" w:line="109" w:lineRule="exact"/>
              <w:rPr>
                <w:sz w:val="20"/>
                <w:szCs w:val="20"/>
                <w:color w:val="auto"/>
              </w:rPr>
            </w:pPr>
            <w:r>
              <w:rPr>
                <w:rFonts w:ascii="Times New Roman" w:cs="Times New Roman" w:eastAsia="Times New Roman" w:hAnsi="Times New Roman"/>
                <w:sz w:val="11"/>
                <w:szCs w:val="11"/>
                <w:b w:val="1"/>
                <w:bCs w:val="1"/>
                <w:color w:val="auto"/>
              </w:rPr>
              <w:t>Consolidated BrightSpring</w:t>
            </w:r>
          </w:p>
        </w:tc>
        <w:tc>
          <w:tcPr>
            <w:tcW w:w="92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1"/>
                <w:szCs w:val="11"/>
                <w:b w:val="1"/>
                <w:bCs w:val="1"/>
                <w:color w:val="auto"/>
              </w:rPr>
              <w:t>25.1%</w:t>
            </w:r>
          </w:p>
        </w:tc>
        <w:tc>
          <w:tcPr>
            <w:tcW w:w="840" w:type="dxa"/>
            <w:vAlign w:val="bottom"/>
            <w:gridSpan w:val="2"/>
          </w:tcPr>
          <w:p>
            <w:pPr>
              <w:jc w:val="right"/>
              <w:ind w:right="120"/>
              <w:spacing w:after="0" w:line="109" w:lineRule="exact"/>
              <w:rPr>
                <w:sz w:val="20"/>
                <w:szCs w:val="20"/>
                <w:color w:val="auto"/>
              </w:rPr>
            </w:pPr>
            <w:r>
              <w:rPr>
                <w:rFonts w:ascii="Times New Roman" w:cs="Times New Roman" w:eastAsia="Times New Roman" w:hAnsi="Times New Roman"/>
                <w:sz w:val="11"/>
                <w:szCs w:val="11"/>
                <w:b w:val="1"/>
                <w:bCs w:val="1"/>
                <w:color w:val="auto"/>
              </w:rPr>
              <w:t>11.6%</w:t>
            </w:r>
          </w:p>
        </w:tc>
        <w:tc>
          <w:tcPr>
            <w:tcW w:w="780" w:type="dxa"/>
            <w:vAlign w:val="bottom"/>
            <w:gridSpan w:val="2"/>
          </w:tcPr>
          <w:p>
            <w:pPr>
              <w:jc w:val="right"/>
              <w:ind w:right="120"/>
              <w:spacing w:after="0" w:line="109" w:lineRule="exact"/>
              <w:rPr>
                <w:sz w:val="20"/>
                <w:szCs w:val="20"/>
                <w:color w:val="auto"/>
              </w:rPr>
            </w:pPr>
            <w:r>
              <w:rPr>
                <w:rFonts w:ascii="Times New Roman" w:cs="Times New Roman" w:eastAsia="Times New Roman" w:hAnsi="Times New Roman"/>
                <w:sz w:val="11"/>
                <w:szCs w:val="11"/>
                <w:b w:val="1"/>
                <w:bCs w:val="1"/>
                <w:color w:val="auto"/>
              </w:rPr>
              <w:t>9.6%</w:t>
            </w:r>
          </w:p>
        </w:tc>
        <w:tc>
          <w:tcPr>
            <w:tcW w:w="740" w:type="dxa"/>
            <w:vAlign w:val="bottom"/>
            <w:gridSpan w:val="3"/>
          </w:tcPr>
          <w:p>
            <w:pPr>
              <w:ind w:left="400"/>
              <w:spacing w:after="0" w:line="109" w:lineRule="exact"/>
              <w:rPr>
                <w:sz w:val="20"/>
                <w:szCs w:val="20"/>
                <w:color w:val="auto"/>
              </w:rPr>
            </w:pPr>
            <w:r>
              <w:rPr>
                <w:rFonts w:ascii="Times New Roman" w:cs="Times New Roman" w:eastAsia="Times New Roman" w:hAnsi="Times New Roman"/>
                <w:sz w:val="11"/>
                <w:szCs w:val="11"/>
                <w:b w:val="1"/>
                <w:bCs w:val="1"/>
                <w:color w:val="auto"/>
              </w:rPr>
              <w:t>1.0%</w:t>
            </w:r>
          </w:p>
        </w:tc>
        <w:tc>
          <w:tcPr>
            <w:tcW w:w="740" w:type="dxa"/>
            <w:vAlign w:val="bottom"/>
            <w:gridSpan w:val="3"/>
          </w:tcPr>
          <w:p>
            <w:pPr>
              <w:jc w:val="right"/>
              <w:ind w:right="160"/>
              <w:spacing w:after="0" w:line="109" w:lineRule="exact"/>
              <w:rPr>
                <w:sz w:val="20"/>
                <w:szCs w:val="20"/>
                <w:color w:val="auto"/>
              </w:rPr>
            </w:pPr>
            <w:r>
              <w:rPr>
                <w:rFonts w:ascii="Times New Roman" w:cs="Times New Roman" w:eastAsia="Times New Roman" w:hAnsi="Times New Roman"/>
                <w:sz w:val="11"/>
                <w:szCs w:val="11"/>
                <w:b w:val="1"/>
                <w:bCs w:val="1"/>
                <w:color w:val="auto"/>
              </w:rPr>
              <w:t>16.7%</w:t>
            </w:r>
          </w:p>
        </w:tc>
        <w:tc>
          <w:tcPr>
            <w:tcW w:w="78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1"/>
                <w:szCs w:val="11"/>
                <w:b w:val="1"/>
                <w:bCs w:val="1"/>
                <w:color w:val="auto"/>
              </w:rPr>
              <w:t>31.6%</w:t>
            </w:r>
          </w:p>
        </w:tc>
        <w:tc>
          <w:tcPr>
            <w:tcW w:w="600" w:type="dxa"/>
            <w:vAlign w:val="bottom"/>
            <w:gridSpan w:val="2"/>
          </w:tcPr>
          <w:p>
            <w:pPr>
              <w:ind w:left="260"/>
              <w:spacing w:after="0" w:line="109" w:lineRule="exact"/>
              <w:rPr>
                <w:sz w:val="20"/>
                <w:szCs w:val="20"/>
                <w:color w:val="auto"/>
              </w:rPr>
            </w:pPr>
            <w:r>
              <w:rPr>
                <w:rFonts w:ascii="Times New Roman" w:cs="Times New Roman" w:eastAsia="Times New Roman" w:hAnsi="Times New Roman"/>
                <w:sz w:val="11"/>
                <w:szCs w:val="11"/>
                <w:b w:val="1"/>
                <w:bCs w:val="1"/>
                <w:color w:val="auto"/>
              </w:rPr>
              <w:t>4.4%</w:t>
            </w:r>
          </w:p>
        </w:tc>
        <w:tc>
          <w:tcPr>
            <w:tcW w:w="600" w:type="dxa"/>
            <w:vAlign w:val="bottom"/>
            <w:gridSpan w:val="2"/>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100.0%</w:t>
            </w:r>
          </w:p>
        </w:tc>
      </w:tr>
      <w:tr>
        <w:trPr>
          <w:trHeight w:val="20"/>
        </w:trPr>
        <w:tc>
          <w:tcPr>
            <w:tcW w:w="17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84"/>
        </w:trPr>
        <w:tc>
          <w:tcPr>
            <w:tcW w:w="174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8"/>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For the Six Months Ended June 30, 2025</w:t>
            </w: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96"/>
        </w:trPr>
        <w:tc>
          <w:tcPr>
            <w:tcW w:w="1740" w:type="dxa"/>
            <w:vAlign w:val="bottom"/>
          </w:tcPr>
          <w:p>
            <w:pPr>
              <w:spacing w:after="0"/>
              <w:rPr>
                <w:sz w:val="8"/>
                <w:szCs w:val="8"/>
                <w:color w:val="auto"/>
              </w:rPr>
            </w:pPr>
          </w:p>
        </w:tc>
        <w:tc>
          <w:tcPr>
            <w:tcW w:w="920" w:type="dxa"/>
            <w:vAlign w:val="bottom"/>
            <w:gridSpan w:val="2"/>
          </w:tcPr>
          <w:p>
            <w:pPr>
              <w:ind w:left="60"/>
              <w:spacing w:after="0" w:line="96" w:lineRule="exact"/>
              <w:rPr>
                <w:sz w:val="20"/>
                <w:szCs w:val="20"/>
                <w:color w:val="auto"/>
              </w:rPr>
            </w:pPr>
            <w:r>
              <w:rPr>
                <w:rFonts w:ascii="Times New Roman" w:cs="Times New Roman" w:eastAsia="Times New Roman" w:hAnsi="Times New Roman"/>
                <w:sz w:val="11"/>
                <w:szCs w:val="11"/>
                <w:b w:val="1"/>
                <w:bCs w:val="1"/>
                <w:color w:val="auto"/>
              </w:rPr>
              <w:t>Commercial</w:t>
            </w: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gridSpan w:val="2"/>
          </w:tcPr>
          <w:p>
            <w:pPr>
              <w:jc w:val="center"/>
              <w:ind w:right="240"/>
              <w:spacing w:after="0" w:line="96" w:lineRule="exact"/>
              <w:rPr>
                <w:sz w:val="20"/>
                <w:szCs w:val="20"/>
                <w:color w:val="auto"/>
              </w:rPr>
            </w:pPr>
            <w:r>
              <w:rPr>
                <w:rFonts w:ascii="Times New Roman" w:cs="Times New Roman" w:eastAsia="Times New Roman" w:hAnsi="Times New Roman"/>
                <w:sz w:val="11"/>
                <w:szCs w:val="11"/>
                <w:b w:val="1"/>
                <w:bCs w:val="1"/>
                <w:color w:val="auto"/>
                <w:w w:val="94"/>
              </w:rPr>
              <w:t>Medicare</w:t>
            </w:r>
          </w:p>
        </w:tc>
        <w:tc>
          <w:tcPr>
            <w:tcW w:w="740" w:type="dxa"/>
            <w:vAlign w:val="bottom"/>
            <w:gridSpan w:val="3"/>
          </w:tcPr>
          <w:p>
            <w:pPr>
              <w:jc w:val="center"/>
              <w:ind w:right="280"/>
              <w:spacing w:after="0" w:line="96" w:lineRule="exact"/>
              <w:rPr>
                <w:sz w:val="20"/>
                <w:szCs w:val="20"/>
                <w:color w:val="auto"/>
              </w:rPr>
            </w:pPr>
            <w:r>
              <w:rPr>
                <w:rFonts w:ascii="Times New Roman" w:cs="Times New Roman" w:eastAsia="Times New Roman" w:hAnsi="Times New Roman"/>
                <w:sz w:val="11"/>
                <w:szCs w:val="11"/>
                <w:b w:val="1"/>
                <w:bCs w:val="1"/>
                <w:color w:val="auto"/>
                <w:w w:val="94"/>
              </w:rPr>
              <w:t>Medicare</w:t>
            </w:r>
          </w:p>
        </w:tc>
        <w:tc>
          <w:tcPr>
            <w:tcW w:w="740" w:type="dxa"/>
            <w:vAlign w:val="bottom"/>
            <w:gridSpan w:val="3"/>
          </w:tcPr>
          <w:p>
            <w:pPr>
              <w:jc w:val="center"/>
              <w:ind w:right="260"/>
              <w:spacing w:after="0" w:line="96" w:lineRule="exact"/>
              <w:rPr>
                <w:sz w:val="20"/>
                <w:szCs w:val="20"/>
                <w:color w:val="auto"/>
              </w:rPr>
            </w:pPr>
            <w:r>
              <w:rPr>
                <w:rFonts w:ascii="Times New Roman" w:cs="Times New Roman" w:eastAsia="Times New Roman" w:hAnsi="Times New Roman"/>
                <w:sz w:val="11"/>
                <w:szCs w:val="11"/>
                <w:b w:val="1"/>
                <w:bCs w:val="1"/>
                <w:color w:val="auto"/>
                <w:w w:val="98"/>
              </w:rPr>
              <w:t>Medicare</w:t>
            </w:r>
          </w:p>
        </w:tc>
        <w:tc>
          <w:tcPr>
            <w:tcW w:w="780" w:type="dxa"/>
            <w:vAlign w:val="bottom"/>
            <w:gridSpan w:val="2"/>
          </w:tcPr>
          <w:p>
            <w:pPr>
              <w:jc w:val="center"/>
              <w:ind w:right="280"/>
              <w:spacing w:after="0" w:line="96" w:lineRule="exact"/>
              <w:rPr>
                <w:sz w:val="20"/>
                <w:szCs w:val="20"/>
                <w:color w:val="auto"/>
              </w:rPr>
            </w:pPr>
            <w:r>
              <w:rPr>
                <w:rFonts w:ascii="Times New Roman" w:cs="Times New Roman" w:eastAsia="Times New Roman" w:hAnsi="Times New Roman"/>
                <w:sz w:val="11"/>
                <w:szCs w:val="11"/>
                <w:b w:val="1"/>
                <w:bCs w:val="1"/>
                <w:color w:val="auto"/>
                <w:w w:val="94"/>
              </w:rPr>
              <w:t>Medicare</w:t>
            </w:r>
          </w:p>
        </w:tc>
        <w:tc>
          <w:tcPr>
            <w:tcW w:w="600" w:type="dxa"/>
            <w:vAlign w:val="bottom"/>
            <w:gridSpan w:val="2"/>
          </w:tcPr>
          <w:p>
            <w:pPr>
              <w:jc w:val="center"/>
              <w:ind w:right="280"/>
              <w:spacing w:after="0" w:line="96" w:lineRule="exact"/>
              <w:rPr>
                <w:sz w:val="20"/>
                <w:szCs w:val="20"/>
                <w:color w:val="auto"/>
              </w:rPr>
            </w:pPr>
            <w:r>
              <w:rPr>
                <w:rFonts w:ascii="Times New Roman" w:cs="Times New Roman" w:eastAsia="Times New Roman" w:hAnsi="Times New Roman"/>
                <w:sz w:val="11"/>
                <w:szCs w:val="11"/>
                <w:b w:val="1"/>
                <w:bCs w:val="1"/>
                <w:color w:val="auto"/>
                <w:w w:val="93"/>
              </w:rPr>
              <w:t>Private</w:t>
            </w: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1740" w:type="dxa"/>
            <w:vAlign w:val="bottom"/>
          </w:tcPr>
          <w:p>
            <w:pPr>
              <w:spacing w:after="0"/>
              <w:rPr>
                <w:sz w:val="11"/>
                <w:szCs w:val="11"/>
                <w:color w:val="auto"/>
              </w:rPr>
            </w:pPr>
          </w:p>
        </w:tc>
        <w:tc>
          <w:tcPr>
            <w:tcW w:w="6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insurance</w:t>
            </w:r>
          </w:p>
        </w:tc>
        <w:tc>
          <w:tcPr>
            <w:tcW w:w="260" w:type="dxa"/>
            <w:vAlign w:val="bottom"/>
          </w:tcPr>
          <w:p>
            <w:pPr>
              <w:spacing w:after="0"/>
              <w:rPr>
                <w:sz w:val="11"/>
                <w:szCs w:val="11"/>
                <w:color w:val="auto"/>
              </w:rPr>
            </w:pPr>
          </w:p>
        </w:tc>
        <w:tc>
          <w:tcPr>
            <w:tcW w:w="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Medicaid</w:t>
            </w:r>
          </w:p>
        </w:tc>
        <w:tc>
          <w:tcPr>
            <w:tcW w:w="240" w:type="dxa"/>
            <w:vAlign w:val="bottom"/>
          </w:tcPr>
          <w:p>
            <w:pPr>
              <w:spacing w:after="0"/>
              <w:rPr>
                <w:sz w:val="11"/>
                <w:szCs w:val="11"/>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Part A</w:t>
            </w:r>
          </w:p>
        </w:tc>
        <w:tc>
          <w:tcPr>
            <w:tcW w:w="240" w:type="dxa"/>
            <w:vAlign w:val="bottom"/>
          </w:tcPr>
          <w:p>
            <w:pPr>
              <w:spacing w:after="0"/>
              <w:rPr>
                <w:sz w:val="11"/>
                <w:szCs w:val="11"/>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Part B</w:t>
            </w:r>
          </w:p>
        </w:tc>
        <w:tc>
          <w:tcPr>
            <w:tcW w:w="260" w:type="dxa"/>
            <w:vAlign w:val="bottom"/>
            <w:gridSpan w:val="2"/>
          </w:tcPr>
          <w:p>
            <w:pPr>
              <w:spacing w:after="0"/>
              <w:rPr>
                <w:sz w:val="11"/>
                <w:szCs w:val="11"/>
                <w:color w:val="auto"/>
              </w:rPr>
            </w:pPr>
          </w:p>
        </w:tc>
        <w:tc>
          <w:tcPr>
            <w:tcW w:w="54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5"/>
              </w:rPr>
              <w:t>Part C</w:t>
            </w:r>
          </w:p>
        </w:tc>
        <w:tc>
          <w:tcPr>
            <w:tcW w:w="200" w:type="dxa"/>
            <w:vAlign w:val="bottom"/>
          </w:tcPr>
          <w:p>
            <w:pPr>
              <w:spacing w:after="0"/>
              <w:rPr>
                <w:sz w:val="11"/>
                <w:szCs w:val="11"/>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Part D</w:t>
            </w:r>
          </w:p>
        </w:tc>
        <w:tc>
          <w:tcPr>
            <w:tcW w:w="260" w:type="dxa"/>
            <w:vAlign w:val="bottom"/>
          </w:tcPr>
          <w:p>
            <w:pPr>
              <w:spacing w:after="0"/>
              <w:rPr>
                <w:sz w:val="11"/>
                <w:szCs w:val="11"/>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&amp; other</w:t>
            </w:r>
          </w:p>
        </w:tc>
        <w:tc>
          <w:tcPr>
            <w:tcW w:w="200" w:type="dxa"/>
            <w:vAlign w:val="bottom"/>
          </w:tcPr>
          <w:p>
            <w:pPr>
              <w:spacing w:after="0"/>
              <w:rPr>
                <w:sz w:val="11"/>
                <w:szCs w:val="11"/>
                <w:color w:val="auto"/>
              </w:rPr>
            </w:pPr>
          </w:p>
        </w:tc>
        <w:tc>
          <w:tcPr>
            <w:tcW w:w="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20" w:type="dxa"/>
            <w:vAlign w:val="bottom"/>
          </w:tcPr>
          <w:p>
            <w:pPr>
              <w:spacing w:after="0"/>
              <w:rPr>
                <w:sz w:val="11"/>
                <w:szCs w:val="11"/>
                <w:color w:val="auto"/>
              </w:rPr>
            </w:pPr>
          </w:p>
        </w:tc>
      </w:tr>
      <w:tr>
        <w:trPr>
          <w:trHeight w:val="109"/>
        </w:trPr>
        <w:tc>
          <w:tcPr>
            <w:tcW w:w="1740" w:type="dxa"/>
            <w:vAlign w:val="bottom"/>
            <w:tcBorders>
              <w:right w:val="single" w:sz="8" w:color="CFF0FC"/>
            </w:tcBorders>
            <w:shd w:val="clear" w:color="auto" w:fill="CFF0FC"/>
          </w:tcPr>
          <w:p>
            <w:pPr>
              <w:spacing w:after="0" w:line="109" w:lineRule="exact"/>
              <w:rPr>
                <w:sz w:val="20"/>
                <w:szCs w:val="20"/>
                <w:color w:val="auto"/>
              </w:rPr>
            </w:pPr>
            <w:r>
              <w:rPr>
                <w:rFonts w:ascii="Times New Roman" w:cs="Times New Roman" w:eastAsia="Times New Roman" w:hAnsi="Times New Roman"/>
                <w:sz w:val="11"/>
                <w:szCs w:val="11"/>
                <w:color w:val="auto"/>
              </w:rPr>
              <w:t>Infusion and Specialty Pharmacy</w:t>
            </w:r>
          </w:p>
        </w:tc>
        <w:tc>
          <w:tcPr>
            <w:tcW w:w="920" w:type="dxa"/>
            <w:vAlign w:val="bottom"/>
            <w:tcBorders>
              <w:right w:val="single" w:sz="8" w:color="CFF0FC"/>
            </w:tcBorders>
            <w:gridSpan w:val="2"/>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color w:val="auto"/>
              </w:rPr>
              <w:t>20.8%</w:t>
            </w:r>
          </w:p>
        </w:tc>
        <w:tc>
          <w:tcPr>
            <w:tcW w:w="840" w:type="dxa"/>
            <w:vAlign w:val="bottom"/>
            <w:tcBorders>
              <w:right w:val="single" w:sz="8" w:color="CFF0FC"/>
            </w:tcBorders>
            <w:gridSpan w:val="2"/>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color w:val="auto"/>
              </w:rPr>
              <w:t>6.4%</w:t>
            </w:r>
          </w:p>
        </w:tc>
        <w:tc>
          <w:tcPr>
            <w:tcW w:w="780" w:type="dxa"/>
            <w:vAlign w:val="bottom"/>
            <w:tcBorders>
              <w:right w:val="single" w:sz="8" w:color="CFF0FC"/>
            </w:tcBorders>
            <w:gridSpan w:val="2"/>
            <w:shd w:val="clear" w:color="auto" w:fill="CFF0FC"/>
          </w:tcPr>
          <w:p>
            <w:pPr>
              <w:jc w:val="right"/>
              <w:ind w:right="220"/>
              <w:spacing w:after="0" w:line="109"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right w:val="single" w:sz="8" w:color="CFF0FC"/>
            </w:tcBorders>
            <w:gridSpan w:val="3"/>
            <w:shd w:val="clear" w:color="auto" w:fill="CFF0FC"/>
          </w:tcPr>
          <w:p>
            <w:pPr>
              <w:jc w:val="right"/>
              <w:ind w:right="140"/>
              <w:spacing w:after="0" w:line="109" w:lineRule="exact"/>
              <w:rPr>
                <w:sz w:val="20"/>
                <w:szCs w:val="20"/>
                <w:color w:val="auto"/>
              </w:rPr>
            </w:pPr>
            <w:r>
              <w:rPr>
                <w:rFonts w:ascii="Times New Roman" w:cs="Times New Roman" w:eastAsia="Times New Roman" w:hAnsi="Times New Roman"/>
                <w:sz w:val="11"/>
                <w:szCs w:val="11"/>
                <w:color w:val="auto"/>
              </w:rPr>
              <w:t>0.6%</w:t>
            </w:r>
          </w:p>
        </w:tc>
        <w:tc>
          <w:tcPr>
            <w:tcW w:w="740" w:type="dxa"/>
            <w:vAlign w:val="bottom"/>
            <w:tcBorders>
              <w:right w:val="single" w:sz="8" w:color="CFF0FC"/>
            </w:tcBorders>
            <w:gridSpan w:val="3"/>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color w:val="auto"/>
              </w:rPr>
              <w:t>17.3%</w:t>
            </w:r>
          </w:p>
        </w:tc>
        <w:tc>
          <w:tcPr>
            <w:tcW w:w="780" w:type="dxa"/>
            <w:vAlign w:val="bottom"/>
            <w:tcBorders>
              <w:right w:val="single" w:sz="8" w:color="CFF0FC"/>
            </w:tcBorders>
            <w:gridSpan w:val="2"/>
            <w:shd w:val="clear" w:color="auto" w:fill="CFF0FC"/>
          </w:tcPr>
          <w:p>
            <w:pPr>
              <w:jc w:val="right"/>
              <w:ind w:right="140"/>
              <w:spacing w:after="0" w:line="109" w:lineRule="exact"/>
              <w:rPr>
                <w:sz w:val="20"/>
                <w:szCs w:val="20"/>
                <w:color w:val="auto"/>
              </w:rPr>
            </w:pPr>
            <w:r>
              <w:rPr>
                <w:rFonts w:ascii="Times New Roman" w:cs="Times New Roman" w:eastAsia="Times New Roman" w:hAnsi="Times New Roman"/>
                <w:sz w:val="11"/>
                <w:szCs w:val="11"/>
                <w:color w:val="auto"/>
              </w:rPr>
              <w:t>22.9%</w:t>
            </w:r>
          </w:p>
        </w:tc>
        <w:tc>
          <w:tcPr>
            <w:tcW w:w="600" w:type="dxa"/>
            <w:vAlign w:val="bottom"/>
            <w:tcBorders>
              <w:right w:val="single" w:sz="8" w:color="CFF0FC"/>
            </w:tcBorders>
            <w:gridSpan w:val="2"/>
            <w:shd w:val="clear" w:color="auto" w:fill="CFF0FC"/>
          </w:tcPr>
          <w:p>
            <w:pPr>
              <w:ind w:left="260"/>
              <w:spacing w:after="0" w:line="109" w:lineRule="exact"/>
              <w:rPr>
                <w:sz w:val="20"/>
                <w:szCs w:val="20"/>
                <w:color w:val="auto"/>
              </w:rPr>
            </w:pPr>
            <w:r>
              <w:rPr>
                <w:rFonts w:ascii="Times New Roman" w:cs="Times New Roman" w:eastAsia="Times New Roman" w:hAnsi="Times New Roman"/>
                <w:sz w:val="11"/>
                <w:szCs w:val="11"/>
                <w:color w:val="auto"/>
              </w:rPr>
              <w:t>0.9%</w:t>
            </w:r>
          </w:p>
        </w:tc>
        <w:tc>
          <w:tcPr>
            <w:tcW w:w="600" w:type="dxa"/>
            <w:vAlign w:val="bottom"/>
            <w:gridSpan w:val="2"/>
            <w:shd w:val="clear" w:color="auto" w:fill="CFF0FC"/>
          </w:tcPr>
          <w:p>
            <w:pPr>
              <w:jc w:val="right"/>
              <w:ind w:right="40"/>
              <w:spacing w:after="0" w:line="109" w:lineRule="exact"/>
              <w:rPr>
                <w:sz w:val="20"/>
                <w:szCs w:val="20"/>
                <w:color w:val="auto"/>
              </w:rPr>
            </w:pPr>
            <w:r>
              <w:rPr>
                <w:rFonts w:ascii="Times New Roman" w:cs="Times New Roman" w:eastAsia="Times New Roman" w:hAnsi="Times New Roman"/>
                <w:sz w:val="11"/>
                <w:szCs w:val="11"/>
                <w:color w:val="auto"/>
              </w:rPr>
              <w:t>68.9%</w:t>
            </w:r>
          </w:p>
        </w:tc>
      </w:tr>
      <w:tr>
        <w:trPr>
          <w:trHeight w:val="118"/>
        </w:trPr>
        <w:tc>
          <w:tcPr>
            <w:tcW w:w="17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Home and Community Pharmacy</w:t>
            </w:r>
          </w:p>
        </w:tc>
        <w:tc>
          <w:tcPr>
            <w:tcW w:w="92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2.7%</w:t>
            </w:r>
          </w:p>
        </w:tc>
        <w:tc>
          <w:tcPr>
            <w:tcW w:w="84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2.0%</w:t>
            </w:r>
          </w:p>
        </w:tc>
        <w:tc>
          <w:tcPr>
            <w:tcW w:w="78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4.6%</w:t>
            </w:r>
          </w:p>
        </w:tc>
        <w:tc>
          <w:tcPr>
            <w:tcW w:w="740" w:type="dxa"/>
            <w:vAlign w:val="bottom"/>
            <w:gridSpan w:val="3"/>
          </w:tcPr>
          <w:p>
            <w:pPr>
              <w:ind w:left="4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9.0%</w:t>
            </w:r>
          </w:p>
        </w:tc>
        <w:tc>
          <w:tcPr>
            <w:tcW w:w="600" w:type="dxa"/>
            <w:vAlign w:val="bottom"/>
            <w:gridSpan w:val="2"/>
          </w:tcPr>
          <w:p>
            <w:pPr>
              <w:ind w:left="260"/>
              <w:spacing w:after="0" w:line="119" w:lineRule="exact"/>
              <w:rPr>
                <w:sz w:val="20"/>
                <w:szCs w:val="20"/>
                <w:color w:val="auto"/>
              </w:rPr>
            </w:pPr>
            <w:r>
              <w:rPr>
                <w:rFonts w:ascii="Times New Roman" w:cs="Times New Roman" w:eastAsia="Times New Roman" w:hAnsi="Times New Roman"/>
                <w:sz w:val="11"/>
                <w:szCs w:val="11"/>
                <w:color w:val="auto"/>
              </w:rPr>
              <w:t>1.1%</w:t>
            </w:r>
          </w:p>
        </w:tc>
        <w:tc>
          <w:tcPr>
            <w:tcW w:w="60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19.4%</w:t>
            </w:r>
          </w:p>
        </w:tc>
      </w:tr>
      <w:tr>
        <w:trPr>
          <w:trHeight w:val="20"/>
        </w:trPr>
        <w:tc>
          <w:tcPr>
            <w:tcW w:w="17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9"/>
        </w:trPr>
        <w:tc>
          <w:tcPr>
            <w:tcW w:w="1740" w:type="dxa"/>
            <w:vAlign w:val="bottom"/>
            <w:tcBorders>
              <w:right w:val="single" w:sz="8" w:color="CFF0FC"/>
            </w:tcBorders>
            <w:shd w:val="clear" w:color="auto" w:fill="CFF0FC"/>
          </w:tcPr>
          <w:p>
            <w:pPr>
              <w:ind w:left="140"/>
              <w:spacing w:after="0" w:line="109" w:lineRule="exact"/>
              <w:rPr>
                <w:sz w:val="20"/>
                <w:szCs w:val="20"/>
                <w:color w:val="auto"/>
              </w:rPr>
            </w:pPr>
            <w:r>
              <w:rPr>
                <w:rFonts w:ascii="Times New Roman" w:cs="Times New Roman" w:eastAsia="Times New Roman" w:hAnsi="Times New Roman"/>
                <w:sz w:val="11"/>
                <w:szCs w:val="11"/>
                <w:b w:val="1"/>
                <w:bCs w:val="1"/>
                <w:color w:val="auto"/>
              </w:rPr>
              <w:t>Pharmacy Solutions</w:t>
            </w:r>
          </w:p>
        </w:tc>
        <w:tc>
          <w:tcPr>
            <w:tcW w:w="920" w:type="dxa"/>
            <w:vAlign w:val="bottom"/>
            <w:tcBorders>
              <w:right w:val="single" w:sz="8" w:color="CFF0FC"/>
            </w:tcBorders>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23.5%</w:t>
            </w:r>
          </w:p>
        </w:tc>
        <w:tc>
          <w:tcPr>
            <w:tcW w:w="840" w:type="dxa"/>
            <w:vAlign w:val="bottom"/>
            <w:tcBorders>
              <w:right w:val="single" w:sz="8" w:color="CFF0FC"/>
            </w:tcBorders>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8.4%</w:t>
            </w:r>
          </w:p>
        </w:tc>
        <w:tc>
          <w:tcPr>
            <w:tcW w:w="780" w:type="dxa"/>
            <w:vAlign w:val="bottom"/>
            <w:tcBorders>
              <w:right w:val="single" w:sz="8" w:color="CFF0FC"/>
            </w:tcBorders>
            <w:gridSpan w:val="2"/>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b w:val="1"/>
                <w:bCs w:val="1"/>
                <w:color w:val="auto"/>
              </w:rPr>
              <w:t>4.6%</w:t>
            </w:r>
          </w:p>
        </w:tc>
        <w:tc>
          <w:tcPr>
            <w:tcW w:w="740" w:type="dxa"/>
            <w:vAlign w:val="bottom"/>
            <w:tcBorders>
              <w:right w:val="single" w:sz="8" w:color="CFF0FC"/>
            </w:tcBorders>
            <w:gridSpan w:val="3"/>
            <w:shd w:val="clear" w:color="auto" w:fill="CFF0FC"/>
          </w:tcPr>
          <w:p>
            <w:pPr>
              <w:jc w:val="right"/>
              <w:ind w:right="120"/>
              <w:spacing w:after="0" w:line="109" w:lineRule="exact"/>
              <w:rPr>
                <w:sz w:val="20"/>
                <w:szCs w:val="20"/>
                <w:color w:val="auto"/>
              </w:rPr>
            </w:pPr>
            <w:r>
              <w:rPr>
                <w:rFonts w:ascii="Times New Roman" w:cs="Times New Roman" w:eastAsia="Times New Roman" w:hAnsi="Times New Roman"/>
                <w:sz w:val="11"/>
                <w:szCs w:val="11"/>
                <w:b w:val="1"/>
                <w:bCs w:val="1"/>
                <w:color w:val="auto"/>
              </w:rPr>
              <w:t>0.6%</w:t>
            </w:r>
          </w:p>
        </w:tc>
        <w:tc>
          <w:tcPr>
            <w:tcW w:w="740" w:type="dxa"/>
            <w:vAlign w:val="bottom"/>
            <w:tcBorders>
              <w:right w:val="single" w:sz="8" w:color="CFF0FC"/>
            </w:tcBorders>
            <w:gridSpan w:val="3"/>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b w:val="1"/>
                <w:bCs w:val="1"/>
                <w:color w:val="auto"/>
              </w:rPr>
              <w:t>17.3%</w:t>
            </w:r>
          </w:p>
        </w:tc>
        <w:tc>
          <w:tcPr>
            <w:tcW w:w="780" w:type="dxa"/>
            <w:vAlign w:val="bottom"/>
            <w:tcBorders>
              <w:right w:val="single" w:sz="8" w:color="CFF0FC"/>
            </w:tcBorders>
            <w:gridSpan w:val="2"/>
            <w:shd w:val="clear" w:color="auto" w:fill="CFF0FC"/>
          </w:tcPr>
          <w:p>
            <w:pPr>
              <w:jc w:val="right"/>
              <w:ind w:right="140"/>
              <w:spacing w:after="0" w:line="109" w:lineRule="exact"/>
              <w:rPr>
                <w:sz w:val="20"/>
                <w:szCs w:val="20"/>
                <w:color w:val="auto"/>
              </w:rPr>
            </w:pPr>
            <w:r>
              <w:rPr>
                <w:rFonts w:ascii="Times New Roman" w:cs="Times New Roman" w:eastAsia="Times New Roman" w:hAnsi="Times New Roman"/>
                <w:sz w:val="11"/>
                <w:szCs w:val="11"/>
                <w:b w:val="1"/>
                <w:bCs w:val="1"/>
                <w:color w:val="auto"/>
              </w:rPr>
              <w:t>31.9%</w:t>
            </w:r>
          </w:p>
        </w:tc>
        <w:tc>
          <w:tcPr>
            <w:tcW w:w="600" w:type="dxa"/>
            <w:vAlign w:val="bottom"/>
            <w:tcBorders>
              <w:right w:val="single" w:sz="8" w:color="CFF0FC"/>
            </w:tcBorders>
            <w:gridSpan w:val="2"/>
            <w:shd w:val="clear" w:color="auto" w:fill="CFF0FC"/>
          </w:tcPr>
          <w:p>
            <w:pPr>
              <w:ind w:left="260"/>
              <w:spacing w:after="0" w:line="109" w:lineRule="exact"/>
              <w:rPr>
                <w:sz w:val="20"/>
                <w:szCs w:val="20"/>
                <w:color w:val="auto"/>
              </w:rPr>
            </w:pPr>
            <w:r>
              <w:rPr>
                <w:rFonts w:ascii="Times New Roman" w:cs="Times New Roman" w:eastAsia="Times New Roman" w:hAnsi="Times New Roman"/>
                <w:sz w:val="11"/>
                <w:szCs w:val="11"/>
                <w:b w:val="1"/>
                <w:bCs w:val="1"/>
                <w:color w:val="auto"/>
              </w:rPr>
              <w:t>2.0%</w:t>
            </w:r>
          </w:p>
        </w:tc>
        <w:tc>
          <w:tcPr>
            <w:tcW w:w="600" w:type="dxa"/>
            <w:vAlign w:val="bottom"/>
            <w:gridSpan w:val="2"/>
            <w:shd w:val="clear" w:color="auto" w:fill="CFF0FC"/>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88.3%</w:t>
            </w:r>
          </w:p>
        </w:tc>
      </w:tr>
      <w:tr>
        <w:trPr>
          <w:trHeight w:val="118"/>
        </w:trPr>
        <w:tc>
          <w:tcPr>
            <w:tcW w:w="17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Home Health Care</w:t>
            </w:r>
          </w:p>
        </w:tc>
        <w:tc>
          <w:tcPr>
            <w:tcW w:w="92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0.2%</w:t>
            </w:r>
          </w:p>
        </w:tc>
        <w:tc>
          <w:tcPr>
            <w:tcW w:w="84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0.3%</w:t>
            </w:r>
          </w:p>
        </w:tc>
        <w:tc>
          <w:tcPr>
            <w:tcW w:w="78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4.1%</w:t>
            </w:r>
          </w:p>
        </w:tc>
        <w:tc>
          <w:tcPr>
            <w:tcW w:w="740" w:type="dxa"/>
            <w:vAlign w:val="bottom"/>
            <w:gridSpan w:val="3"/>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40" w:type="dxa"/>
            <w:vAlign w:val="bottom"/>
            <w:gridSpan w:val="3"/>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1.1%</w:t>
            </w:r>
          </w:p>
        </w:tc>
        <w:tc>
          <w:tcPr>
            <w:tcW w:w="780" w:type="dxa"/>
            <w:vAlign w:val="bottom"/>
            <w:gridSpan w:val="2"/>
          </w:tcPr>
          <w:p>
            <w:pPr>
              <w:jc w:val="right"/>
              <w:ind w:right="2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ind w:left="260"/>
              <w:spacing w:after="0" w:line="119" w:lineRule="exact"/>
              <w:rPr>
                <w:sz w:val="20"/>
                <w:szCs w:val="20"/>
                <w:color w:val="auto"/>
              </w:rPr>
            </w:pPr>
            <w:r>
              <w:rPr>
                <w:rFonts w:ascii="Times New Roman" w:cs="Times New Roman" w:eastAsia="Times New Roman" w:hAnsi="Times New Roman"/>
                <w:sz w:val="11"/>
                <w:szCs w:val="11"/>
                <w:color w:val="auto"/>
              </w:rPr>
              <w:t>0.4%</w:t>
            </w:r>
          </w:p>
        </w:tc>
        <w:tc>
          <w:tcPr>
            <w:tcW w:w="60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6.1%</w:t>
            </w:r>
          </w:p>
        </w:tc>
      </w:tr>
      <w:tr>
        <w:trPr>
          <w:trHeight w:val="118"/>
        </w:trPr>
        <w:tc>
          <w:tcPr>
            <w:tcW w:w="1740" w:type="dxa"/>
            <w:vAlign w:val="bottom"/>
            <w:tcBorders>
              <w:right w:val="single" w:sz="8" w:color="CFF0FC"/>
            </w:tcBorders>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Rehab Care</w:t>
            </w:r>
          </w:p>
        </w:tc>
        <w:tc>
          <w:tcPr>
            <w:tcW w:w="920" w:type="dxa"/>
            <w:vAlign w:val="bottom"/>
            <w:tcBorders>
              <w:right w:val="single" w:sz="8" w:color="CFF0FC"/>
            </w:tcBorders>
            <w:gridSpan w:val="2"/>
            <w:shd w:val="clear" w:color="auto" w:fill="CFF0FC"/>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1.1%</w:t>
            </w:r>
          </w:p>
        </w:tc>
        <w:tc>
          <w:tcPr>
            <w:tcW w:w="840" w:type="dxa"/>
            <w:vAlign w:val="bottom"/>
            <w:tcBorders>
              <w:right w:val="single" w:sz="8" w:color="CFF0FC"/>
            </w:tcBorders>
            <w:gridSpan w:val="2"/>
            <w:shd w:val="clear" w:color="auto" w:fill="CFF0FC"/>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0.6%</w:t>
            </w:r>
          </w:p>
        </w:tc>
        <w:tc>
          <w:tcPr>
            <w:tcW w:w="780" w:type="dxa"/>
            <w:vAlign w:val="bottom"/>
            <w:tcBorders>
              <w:right w:val="single" w:sz="8" w:color="CFF0FC"/>
            </w:tcBorders>
            <w:gridSpan w:val="2"/>
            <w:shd w:val="clear" w:color="auto" w:fill="CFF0FC"/>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right w:val="single" w:sz="8" w:color="CFF0FC"/>
            </w:tcBorders>
            <w:gridSpan w:val="3"/>
            <w:shd w:val="clear" w:color="auto" w:fill="CFF0FC"/>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40" w:type="dxa"/>
            <w:vAlign w:val="bottom"/>
            <w:tcBorders>
              <w:right w:val="single" w:sz="8" w:color="CFF0FC"/>
            </w:tcBorders>
            <w:gridSpan w:val="3"/>
            <w:shd w:val="clear" w:color="auto" w:fill="CFF0FC"/>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80" w:type="dxa"/>
            <w:vAlign w:val="bottom"/>
            <w:tcBorders>
              <w:right w:val="single" w:sz="8" w:color="CFF0FC"/>
            </w:tcBorders>
            <w:gridSpan w:val="2"/>
            <w:shd w:val="clear" w:color="auto" w:fill="CFF0FC"/>
          </w:tcPr>
          <w:p>
            <w:pPr>
              <w:jc w:val="right"/>
              <w:ind w:right="2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right w:val="single" w:sz="8" w:color="CFF0FC"/>
            </w:tcBorders>
            <w:gridSpan w:val="2"/>
            <w:shd w:val="clear" w:color="auto" w:fill="CFF0FC"/>
          </w:tcPr>
          <w:p>
            <w:pPr>
              <w:ind w:left="260"/>
              <w:spacing w:after="0" w:line="119" w:lineRule="exact"/>
              <w:rPr>
                <w:sz w:val="20"/>
                <w:szCs w:val="20"/>
                <w:color w:val="auto"/>
              </w:rPr>
            </w:pPr>
            <w:r>
              <w:rPr>
                <w:rFonts w:ascii="Times New Roman" w:cs="Times New Roman" w:eastAsia="Times New Roman" w:hAnsi="Times New Roman"/>
                <w:sz w:val="11"/>
                <w:szCs w:val="11"/>
                <w:color w:val="auto"/>
              </w:rPr>
              <w:t>0.6%</w:t>
            </w:r>
          </w:p>
        </w:tc>
        <w:tc>
          <w:tcPr>
            <w:tcW w:w="600" w:type="dxa"/>
            <w:vAlign w:val="bottom"/>
            <w:gridSpan w:val="2"/>
            <w:shd w:val="clear" w:color="auto" w:fill="CFF0FC"/>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2.3%</w:t>
            </w:r>
          </w:p>
        </w:tc>
      </w:tr>
      <w:tr>
        <w:trPr>
          <w:trHeight w:val="118"/>
        </w:trPr>
        <w:tc>
          <w:tcPr>
            <w:tcW w:w="17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Personal Care</w:t>
            </w:r>
          </w:p>
        </w:tc>
        <w:tc>
          <w:tcPr>
            <w:tcW w:w="92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0.1%</w:t>
            </w:r>
          </w:p>
        </w:tc>
        <w:tc>
          <w:tcPr>
            <w:tcW w:w="84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2.0%</w:t>
            </w:r>
          </w:p>
        </w:tc>
        <w:tc>
          <w:tcPr>
            <w:tcW w:w="780" w:type="dxa"/>
            <w:vAlign w:val="bottom"/>
            <w:gridSpan w:val="2"/>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ind w:left="4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2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ind w:left="260"/>
              <w:spacing w:after="0" w:line="119" w:lineRule="exact"/>
              <w:rPr>
                <w:sz w:val="20"/>
                <w:szCs w:val="20"/>
                <w:color w:val="auto"/>
              </w:rPr>
            </w:pPr>
            <w:r>
              <w:rPr>
                <w:rFonts w:ascii="Times New Roman" w:cs="Times New Roman" w:eastAsia="Times New Roman" w:hAnsi="Times New Roman"/>
                <w:sz w:val="11"/>
                <w:szCs w:val="11"/>
                <w:color w:val="auto"/>
              </w:rPr>
              <w:t>1.2%</w:t>
            </w:r>
          </w:p>
        </w:tc>
        <w:tc>
          <w:tcPr>
            <w:tcW w:w="60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3.3%</w:t>
            </w:r>
          </w:p>
        </w:tc>
      </w:tr>
      <w:tr>
        <w:trPr>
          <w:trHeight w:val="20"/>
        </w:trPr>
        <w:tc>
          <w:tcPr>
            <w:tcW w:w="17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9"/>
        </w:trPr>
        <w:tc>
          <w:tcPr>
            <w:tcW w:w="1740" w:type="dxa"/>
            <w:vAlign w:val="bottom"/>
            <w:tcBorders>
              <w:right w:val="single" w:sz="8" w:color="CFF0FC"/>
            </w:tcBorders>
            <w:shd w:val="clear" w:color="auto" w:fill="CFF0FC"/>
          </w:tcPr>
          <w:p>
            <w:pPr>
              <w:ind w:left="140"/>
              <w:spacing w:after="0" w:line="109" w:lineRule="exact"/>
              <w:rPr>
                <w:sz w:val="20"/>
                <w:szCs w:val="20"/>
                <w:color w:val="auto"/>
              </w:rPr>
            </w:pPr>
            <w:r>
              <w:rPr>
                <w:rFonts w:ascii="Times New Roman" w:cs="Times New Roman" w:eastAsia="Times New Roman" w:hAnsi="Times New Roman"/>
                <w:sz w:val="11"/>
                <w:szCs w:val="11"/>
                <w:b w:val="1"/>
                <w:bCs w:val="1"/>
                <w:color w:val="auto"/>
              </w:rPr>
              <w:t>Provider Services</w:t>
            </w:r>
          </w:p>
        </w:tc>
        <w:tc>
          <w:tcPr>
            <w:tcW w:w="920" w:type="dxa"/>
            <w:vAlign w:val="bottom"/>
            <w:tcBorders>
              <w:right w:val="single" w:sz="8" w:color="CFF0FC"/>
            </w:tcBorders>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1.4%</w:t>
            </w:r>
          </w:p>
        </w:tc>
        <w:tc>
          <w:tcPr>
            <w:tcW w:w="840" w:type="dxa"/>
            <w:vAlign w:val="bottom"/>
            <w:tcBorders>
              <w:right w:val="single" w:sz="8" w:color="CFF0FC"/>
            </w:tcBorders>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2.9%</w:t>
            </w:r>
          </w:p>
        </w:tc>
        <w:tc>
          <w:tcPr>
            <w:tcW w:w="780" w:type="dxa"/>
            <w:vAlign w:val="bottom"/>
            <w:tcBorders>
              <w:right w:val="single" w:sz="8" w:color="CFF0FC"/>
            </w:tcBorders>
            <w:gridSpan w:val="2"/>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b w:val="1"/>
                <w:bCs w:val="1"/>
                <w:color w:val="auto"/>
              </w:rPr>
              <w:t>4.1%</w:t>
            </w:r>
          </w:p>
        </w:tc>
        <w:tc>
          <w:tcPr>
            <w:tcW w:w="740" w:type="dxa"/>
            <w:vAlign w:val="bottom"/>
            <w:tcBorders>
              <w:right w:val="single" w:sz="8" w:color="CFF0FC"/>
            </w:tcBorders>
            <w:gridSpan w:val="3"/>
            <w:shd w:val="clear" w:color="auto" w:fill="CFF0FC"/>
          </w:tcPr>
          <w:p>
            <w:pPr>
              <w:jc w:val="right"/>
              <w:ind w:right="120"/>
              <w:spacing w:after="0" w:line="109" w:lineRule="exact"/>
              <w:rPr>
                <w:sz w:val="20"/>
                <w:szCs w:val="20"/>
                <w:color w:val="auto"/>
              </w:rPr>
            </w:pPr>
            <w:r>
              <w:rPr>
                <w:rFonts w:ascii="Times New Roman" w:cs="Times New Roman" w:eastAsia="Times New Roman" w:hAnsi="Times New Roman"/>
                <w:sz w:val="11"/>
                <w:szCs w:val="11"/>
                <w:b w:val="1"/>
                <w:bCs w:val="1"/>
                <w:color w:val="auto"/>
              </w:rPr>
              <w:t>0.0%</w:t>
            </w:r>
          </w:p>
        </w:tc>
        <w:tc>
          <w:tcPr>
            <w:tcW w:w="740" w:type="dxa"/>
            <w:vAlign w:val="bottom"/>
            <w:tcBorders>
              <w:right w:val="single" w:sz="8" w:color="CFF0FC"/>
            </w:tcBorders>
            <w:gridSpan w:val="3"/>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b w:val="1"/>
                <w:bCs w:val="1"/>
                <w:color w:val="auto"/>
              </w:rPr>
              <w:t>1.1%</w:t>
            </w:r>
          </w:p>
        </w:tc>
        <w:tc>
          <w:tcPr>
            <w:tcW w:w="780" w:type="dxa"/>
            <w:vAlign w:val="bottom"/>
            <w:tcBorders>
              <w:right w:val="single" w:sz="8" w:color="CFF0FC"/>
            </w:tcBorders>
            <w:gridSpan w:val="2"/>
            <w:shd w:val="clear" w:color="auto" w:fill="CFF0FC"/>
          </w:tcPr>
          <w:p>
            <w:pPr>
              <w:jc w:val="right"/>
              <w:ind w:right="240"/>
              <w:spacing w:after="0" w:line="109"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right w:val="single" w:sz="8" w:color="CFF0FC"/>
            </w:tcBorders>
            <w:gridSpan w:val="2"/>
            <w:shd w:val="clear" w:color="auto" w:fill="CFF0FC"/>
          </w:tcPr>
          <w:p>
            <w:pPr>
              <w:ind w:left="260"/>
              <w:spacing w:after="0" w:line="109" w:lineRule="exact"/>
              <w:rPr>
                <w:sz w:val="20"/>
                <w:szCs w:val="20"/>
                <w:color w:val="auto"/>
              </w:rPr>
            </w:pPr>
            <w:r>
              <w:rPr>
                <w:rFonts w:ascii="Times New Roman" w:cs="Times New Roman" w:eastAsia="Times New Roman" w:hAnsi="Times New Roman"/>
                <w:sz w:val="11"/>
                <w:szCs w:val="11"/>
                <w:b w:val="1"/>
                <w:bCs w:val="1"/>
                <w:color w:val="auto"/>
              </w:rPr>
              <w:t>2.2%</w:t>
            </w:r>
          </w:p>
        </w:tc>
        <w:tc>
          <w:tcPr>
            <w:tcW w:w="600" w:type="dxa"/>
            <w:vAlign w:val="bottom"/>
            <w:gridSpan w:val="2"/>
            <w:shd w:val="clear" w:color="auto" w:fill="CFF0FC"/>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11.7%</w:t>
            </w:r>
          </w:p>
        </w:tc>
      </w:tr>
      <w:tr>
        <w:trPr>
          <w:trHeight w:val="20"/>
        </w:trPr>
        <w:tc>
          <w:tcPr>
            <w:tcW w:w="1740" w:type="dxa"/>
            <w:vAlign w:val="bottom"/>
            <w:tcBorders>
              <w:right w:val="single" w:sz="8" w:color="CFF0FC"/>
            </w:tcBorders>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left w:val="single" w:sz="8" w:color="CFF0FC"/>
              <w:right w:val="single" w:sz="8" w:color="CFF0FC"/>
            </w:tcBorders>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09"/>
        </w:trPr>
        <w:tc>
          <w:tcPr>
            <w:tcW w:w="1740" w:type="dxa"/>
            <w:vAlign w:val="bottom"/>
          </w:tcPr>
          <w:p>
            <w:pPr>
              <w:ind w:left="280"/>
              <w:spacing w:after="0" w:line="109" w:lineRule="exact"/>
              <w:rPr>
                <w:sz w:val="20"/>
                <w:szCs w:val="20"/>
                <w:color w:val="auto"/>
              </w:rPr>
            </w:pPr>
            <w:r>
              <w:rPr>
                <w:rFonts w:ascii="Times New Roman" w:cs="Times New Roman" w:eastAsia="Times New Roman" w:hAnsi="Times New Roman"/>
                <w:sz w:val="11"/>
                <w:szCs w:val="11"/>
                <w:b w:val="1"/>
                <w:bCs w:val="1"/>
                <w:color w:val="auto"/>
              </w:rPr>
              <w:t>Consolidated BrightSpring</w:t>
            </w:r>
          </w:p>
        </w:tc>
        <w:tc>
          <w:tcPr>
            <w:tcW w:w="920" w:type="dxa"/>
            <w:vAlign w:val="bottom"/>
            <w:gridSpan w:val="2"/>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24.9%</w:t>
            </w:r>
          </w:p>
        </w:tc>
        <w:tc>
          <w:tcPr>
            <w:tcW w:w="840" w:type="dxa"/>
            <w:vAlign w:val="bottom"/>
            <w:gridSpan w:val="2"/>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11.3%</w:t>
            </w:r>
          </w:p>
        </w:tc>
        <w:tc>
          <w:tcPr>
            <w:tcW w:w="780" w:type="dxa"/>
            <w:vAlign w:val="bottom"/>
            <w:gridSpan w:val="2"/>
          </w:tcPr>
          <w:p>
            <w:pPr>
              <w:jc w:val="right"/>
              <w:ind w:right="100"/>
              <w:spacing w:after="0" w:line="109" w:lineRule="exact"/>
              <w:rPr>
                <w:sz w:val="20"/>
                <w:szCs w:val="20"/>
                <w:color w:val="auto"/>
              </w:rPr>
            </w:pPr>
            <w:r>
              <w:rPr>
                <w:rFonts w:ascii="Times New Roman" w:cs="Times New Roman" w:eastAsia="Times New Roman" w:hAnsi="Times New Roman"/>
                <w:sz w:val="11"/>
                <w:szCs w:val="11"/>
                <w:b w:val="1"/>
                <w:bCs w:val="1"/>
                <w:color w:val="auto"/>
              </w:rPr>
              <w:t>8.7%</w:t>
            </w:r>
          </w:p>
        </w:tc>
        <w:tc>
          <w:tcPr>
            <w:tcW w:w="740" w:type="dxa"/>
            <w:vAlign w:val="bottom"/>
            <w:gridSpan w:val="3"/>
          </w:tcPr>
          <w:p>
            <w:pPr>
              <w:jc w:val="right"/>
              <w:ind w:right="120"/>
              <w:spacing w:after="0" w:line="109" w:lineRule="exact"/>
              <w:rPr>
                <w:sz w:val="20"/>
                <w:szCs w:val="20"/>
                <w:color w:val="auto"/>
              </w:rPr>
            </w:pPr>
            <w:r>
              <w:rPr>
                <w:rFonts w:ascii="Times New Roman" w:cs="Times New Roman" w:eastAsia="Times New Roman" w:hAnsi="Times New Roman"/>
                <w:sz w:val="11"/>
                <w:szCs w:val="11"/>
                <w:b w:val="1"/>
                <w:bCs w:val="1"/>
                <w:color w:val="auto"/>
              </w:rPr>
              <w:t>0.6%</w:t>
            </w:r>
          </w:p>
        </w:tc>
        <w:tc>
          <w:tcPr>
            <w:tcW w:w="740" w:type="dxa"/>
            <w:vAlign w:val="bottom"/>
            <w:gridSpan w:val="3"/>
          </w:tcPr>
          <w:p>
            <w:pPr>
              <w:jc w:val="right"/>
              <w:ind w:right="100"/>
              <w:spacing w:after="0" w:line="109" w:lineRule="exact"/>
              <w:rPr>
                <w:sz w:val="20"/>
                <w:szCs w:val="20"/>
                <w:color w:val="auto"/>
              </w:rPr>
            </w:pPr>
            <w:r>
              <w:rPr>
                <w:rFonts w:ascii="Times New Roman" w:cs="Times New Roman" w:eastAsia="Times New Roman" w:hAnsi="Times New Roman"/>
                <w:sz w:val="11"/>
                <w:szCs w:val="11"/>
                <w:b w:val="1"/>
                <w:bCs w:val="1"/>
                <w:color w:val="auto"/>
              </w:rPr>
              <w:t>18.4%</w:t>
            </w:r>
          </w:p>
        </w:tc>
        <w:tc>
          <w:tcPr>
            <w:tcW w:w="78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1"/>
                <w:szCs w:val="11"/>
                <w:b w:val="1"/>
                <w:bCs w:val="1"/>
                <w:color w:val="auto"/>
              </w:rPr>
              <w:t>31.9%</w:t>
            </w:r>
          </w:p>
        </w:tc>
        <w:tc>
          <w:tcPr>
            <w:tcW w:w="600" w:type="dxa"/>
            <w:vAlign w:val="bottom"/>
            <w:gridSpan w:val="2"/>
          </w:tcPr>
          <w:p>
            <w:pPr>
              <w:ind w:left="260"/>
              <w:spacing w:after="0" w:line="109" w:lineRule="exact"/>
              <w:rPr>
                <w:sz w:val="20"/>
                <w:szCs w:val="20"/>
                <w:color w:val="auto"/>
              </w:rPr>
            </w:pPr>
            <w:r>
              <w:rPr>
                <w:rFonts w:ascii="Times New Roman" w:cs="Times New Roman" w:eastAsia="Times New Roman" w:hAnsi="Times New Roman"/>
                <w:sz w:val="11"/>
                <w:szCs w:val="11"/>
                <w:b w:val="1"/>
                <w:bCs w:val="1"/>
                <w:color w:val="auto"/>
              </w:rPr>
              <w:t>4.2%</w:t>
            </w:r>
          </w:p>
        </w:tc>
        <w:tc>
          <w:tcPr>
            <w:tcW w:w="600" w:type="dxa"/>
            <w:vAlign w:val="bottom"/>
            <w:gridSpan w:val="2"/>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100.0%</w:t>
            </w:r>
          </w:p>
        </w:tc>
      </w:tr>
      <w:tr>
        <w:trPr>
          <w:trHeight w:val="20"/>
        </w:trPr>
        <w:tc>
          <w:tcPr>
            <w:tcW w:w="17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84"/>
        </w:trPr>
        <w:tc>
          <w:tcPr>
            <w:tcW w:w="174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8"/>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For the Six Months Ended June 30, 2024</w:t>
            </w: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96"/>
        </w:trPr>
        <w:tc>
          <w:tcPr>
            <w:tcW w:w="1740" w:type="dxa"/>
            <w:vAlign w:val="bottom"/>
          </w:tcPr>
          <w:p>
            <w:pPr>
              <w:spacing w:after="0"/>
              <w:rPr>
                <w:sz w:val="8"/>
                <w:szCs w:val="8"/>
                <w:color w:val="auto"/>
              </w:rPr>
            </w:pPr>
          </w:p>
        </w:tc>
        <w:tc>
          <w:tcPr>
            <w:tcW w:w="920" w:type="dxa"/>
            <w:vAlign w:val="bottom"/>
            <w:gridSpan w:val="2"/>
          </w:tcPr>
          <w:p>
            <w:pPr>
              <w:ind w:left="60"/>
              <w:spacing w:after="0" w:line="96" w:lineRule="exact"/>
              <w:rPr>
                <w:sz w:val="20"/>
                <w:szCs w:val="20"/>
                <w:color w:val="auto"/>
              </w:rPr>
            </w:pPr>
            <w:r>
              <w:rPr>
                <w:rFonts w:ascii="Times New Roman" w:cs="Times New Roman" w:eastAsia="Times New Roman" w:hAnsi="Times New Roman"/>
                <w:sz w:val="11"/>
                <w:szCs w:val="11"/>
                <w:b w:val="1"/>
                <w:bCs w:val="1"/>
                <w:color w:val="auto"/>
              </w:rPr>
              <w:t>Commercial</w:t>
            </w: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gridSpan w:val="2"/>
          </w:tcPr>
          <w:p>
            <w:pPr>
              <w:jc w:val="center"/>
              <w:ind w:right="260"/>
              <w:spacing w:after="0" w:line="96" w:lineRule="exact"/>
              <w:rPr>
                <w:sz w:val="20"/>
                <w:szCs w:val="20"/>
                <w:color w:val="auto"/>
              </w:rPr>
            </w:pPr>
            <w:r>
              <w:rPr>
                <w:rFonts w:ascii="Times New Roman" w:cs="Times New Roman" w:eastAsia="Times New Roman" w:hAnsi="Times New Roman"/>
                <w:sz w:val="11"/>
                <w:szCs w:val="11"/>
                <w:b w:val="1"/>
                <w:bCs w:val="1"/>
                <w:color w:val="auto"/>
                <w:w w:val="98"/>
              </w:rPr>
              <w:t>Medicare</w:t>
            </w:r>
          </w:p>
        </w:tc>
        <w:tc>
          <w:tcPr>
            <w:tcW w:w="740" w:type="dxa"/>
            <w:vAlign w:val="bottom"/>
            <w:gridSpan w:val="3"/>
          </w:tcPr>
          <w:p>
            <w:pPr>
              <w:jc w:val="right"/>
              <w:ind w:right="320"/>
              <w:spacing w:after="0" w:line="96" w:lineRule="exact"/>
              <w:rPr>
                <w:sz w:val="20"/>
                <w:szCs w:val="20"/>
                <w:color w:val="auto"/>
              </w:rPr>
            </w:pPr>
            <w:r>
              <w:rPr>
                <w:rFonts w:ascii="Times New Roman" w:cs="Times New Roman" w:eastAsia="Times New Roman" w:hAnsi="Times New Roman"/>
                <w:sz w:val="11"/>
                <w:szCs w:val="11"/>
                <w:b w:val="1"/>
                <w:bCs w:val="1"/>
                <w:color w:val="auto"/>
                <w:w w:val="89"/>
              </w:rPr>
              <w:t>Medicare</w:t>
            </w:r>
          </w:p>
        </w:tc>
        <w:tc>
          <w:tcPr>
            <w:tcW w:w="740" w:type="dxa"/>
            <w:vAlign w:val="bottom"/>
            <w:gridSpan w:val="3"/>
          </w:tcPr>
          <w:p>
            <w:pPr>
              <w:jc w:val="center"/>
              <w:ind w:right="320"/>
              <w:spacing w:after="0" w:line="96" w:lineRule="exact"/>
              <w:rPr>
                <w:sz w:val="20"/>
                <w:szCs w:val="20"/>
                <w:color w:val="auto"/>
              </w:rPr>
            </w:pPr>
            <w:r>
              <w:rPr>
                <w:rFonts w:ascii="Times New Roman" w:cs="Times New Roman" w:eastAsia="Times New Roman" w:hAnsi="Times New Roman"/>
                <w:sz w:val="11"/>
                <w:szCs w:val="11"/>
                <w:b w:val="1"/>
                <w:bCs w:val="1"/>
                <w:color w:val="auto"/>
                <w:w w:val="94"/>
              </w:rPr>
              <w:t>Medicare</w:t>
            </w:r>
          </w:p>
        </w:tc>
        <w:tc>
          <w:tcPr>
            <w:tcW w:w="780" w:type="dxa"/>
            <w:vAlign w:val="bottom"/>
            <w:gridSpan w:val="2"/>
          </w:tcPr>
          <w:p>
            <w:pPr>
              <w:jc w:val="center"/>
              <w:ind w:right="260"/>
              <w:spacing w:after="0" w:line="96" w:lineRule="exact"/>
              <w:rPr>
                <w:sz w:val="20"/>
                <w:szCs w:val="20"/>
                <w:color w:val="auto"/>
              </w:rPr>
            </w:pPr>
            <w:r>
              <w:rPr>
                <w:rFonts w:ascii="Times New Roman" w:cs="Times New Roman" w:eastAsia="Times New Roman" w:hAnsi="Times New Roman"/>
                <w:sz w:val="11"/>
                <w:szCs w:val="11"/>
                <w:b w:val="1"/>
                <w:bCs w:val="1"/>
                <w:color w:val="auto"/>
                <w:w w:val="98"/>
              </w:rPr>
              <w:t>Medicare</w:t>
            </w:r>
          </w:p>
        </w:tc>
        <w:tc>
          <w:tcPr>
            <w:tcW w:w="600" w:type="dxa"/>
            <w:vAlign w:val="bottom"/>
            <w:gridSpan w:val="2"/>
          </w:tcPr>
          <w:p>
            <w:pPr>
              <w:jc w:val="center"/>
              <w:ind w:right="240"/>
              <w:spacing w:after="0" w:line="96" w:lineRule="exact"/>
              <w:rPr>
                <w:sz w:val="20"/>
                <w:szCs w:val="20"/>
                <w:color w:val="auto"/>
              </w:rPr>
            </w:pPr>
            <w:r>
              <w:rPr>
                <w:rFonts w:ascii="Times New Roman" w:cs="Times New Roman" w:eastAsia="Times New Roman" w:hAnsi="Times New Roman"/>
                <w:sz w:val="11"/>
                <w:szCs w:val="11"/>
                <w:b w:val="1"/>
                <w:bCs w:val="1"/>
                <w:color w:val="auto"/>
                <w:w w:val="93"/>
              </w:rPr>
              <w:t>Private</w:t>
            </w: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1740" w:type="dxa"/>
            <w:vAlign w:val="bottom"/>
          </w:tcPr>
          <w:p>
            <w:pPr>
              <w:spacing w:after="0"/>
              <w:rPr>
                <w:sz w:val="11"/>
                <w:szCs w:val="11"/>
                <w:color w:val="auto"/>
              </w:rPr>
            </w:pPr>
          </w:p>
        </w:tc>
        <w:tc>
          <w:tcPr>
            <w:tcW w:w="6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insurance</w:t>
            </w:r>
          </w:p>
        </w:tc>
        <w:tc>
          <w:tcPr>
            <w:tcW w:w="260" w:type="dxa"/>
            <w:vAlign w:val="bottom"/>
          </w:tcPr>
          <w:p>
            <w:pPr>
              <w:spacing w:after="0"/>
              <w:rPr>
                <w:sz w:val="11"/>
                <w:szCs w:val="11"/>
                <w:color w:val="auto"/>
              </w:rPr>
            </w:pPr>
          </w:p>
        </w:tc>
        <w:tc>
          <w:tcPr>
            <w:tcW w:w="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Medicaid</w:t>
            </w:r>
          </w:p>
        </w:tc>
        <w:tc>
          <w:tcPr>
            <w:tcW w:w="240" w:type="dxa"/>
            <w:vAlign w:val="bottom"/>
          </w:tcPr>
          <w:p>
            <w:pPr>
              <w:spacing w:after="0"/>
              <w:rPr>
                <w:sz w:val="11"/>
                <w:szCs w:val="11"/>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Part A</w:t>
            </w:r>
          </w:p>
        </w:tc>
        <w:tc>
          <w:tcPr>
            <w:tcW w:w="240" w:type="dxa"/>
            <w:vAlign w:val="bottom"/>
          </w:tcPr>
          <w:p>
            <w:pPr>
              <w:spacing w:after="0"/>
              <w:rPr>
                <w:sz w:val="11"/>
                <w:szCs w:val="11"/>
                <w:color w:val="auto"/>
              </w:rPr>
            </w:pPr>
          </w:p>
        </w:tc>
        <w:tc>
          <w:tcPr>
            <w:tcW w:w="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Part B</w:t>
            </w:r>
          </w:p>
        </w:tc>
        <w:tc>
          <w:tcPr>
            <w:tcW w:w="260" w:type="dxa"/>
            <w:vAlign w:val="bottom"/>
            <w:gridSpan w:val="2"/>
          </w:tcPr>
          <w:p>
            <w:pPr>
              <w:spacing w:after="0"/>
              <w:rPr>
                <w:sz w:val="11"/>
                <w:szCs w:val="11"/>
                <w:color w:val="auto"/>
              </w:rPr>
            </w:pPr>
          </w:p>
        </w:tc>
        <w:tc>
          <w:tcPr>
            <w:tcW w:w="5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Part C</w:t>
            </w:r>
          </w:p>
        </w:tc>
        <w:tc>
          <w:tcPr>
            <w:tcW w:w="200" w:type="dxa"/>
            <w:vAlign w:val="bottom"/>
          </w:tcPr>
          <w:p>
            <w:pPr>
              <w:spacing w:after="0"/>
              <w:rPr>
                <w:sz w:val="11"/>
                <w:szCs w:val="11"/>
                <w:color w:val="auto"/>
              </w:rPr>
            </w:pPr>
          </w:p>
        </w:tc>
        <w:tc>
          <w:tcPr>
            <w:tcW w:w="5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Part D</w:t>
            </w:r>
          </w:p>
        </w:tc>
        <w:tc>
          <w:tcPr>
            <w:tcW w:w="260" w:type="dxa"/>
            <w:vAlign w:val="bottom"/>
          </w:tcPr>
          <w:p>
            <w:pPr>
              <w:spacing w:after="0"/>
              <w:rPr>
                <w:sz w:val="11"/>
                <w:szCs w:val="11"/>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&amp; other</w:t>
            </w:r>
          </w:p>
        </w:tc>
        <w:tc>
          <w:tcPr>
            <w:tcW w:w="200" w:type="dxa"/>
            <w:vAlign w:val="bottom"/>
          </w:tcPr>
          <w:p>
            <w:pPr>
              <w:spacing w:after="0"/>
              <w:rPr>
                <w:sz w:val="11"/>
                <w:szCs w:val="11"/>
                <w:color w:val="auto"/>
              </w:rPr>
            </w:pPr>
          </w:p>
        </w:tc>
        <w:tc>
          <w:tcPr>
            <w:tcW w:w="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20" w:type="dxa"/>
            <w:vAlign w:val="bottom"/>
          </w:tcPr>
          <w:p>
            <w:pPr>
              <w:spacing w:after="0"/>
              <w:rPr>
                <w:sz w:val="11"/>
                <w:szCs w:val="11"/>
                <w:color w:val="auto"/>
              </w:rPr>
            </w:pPr>
          </w:p>
        </w:tc>
      </w:tr>
      <w:tr>
        <w:trPr>
          <w:trHeight w:val="109"/>
        </w:trPr>
        <w:tc>
          <w:tcPr>
            <w:tcW w:w="1740" w:type="dxa"/>
            <w:vAlign w:val="bottom"/>
            <w:tcBorders>
              <w:right w:val="single" w:sz="8" w:color="CFF0FC"/>
            </w:tcBorders>
            <w:shd w:val="clear" w:color="auto" w:fill="CFF0FC"/>
          </w:tcPr>
          <w:p>
            <w:pPr>
              <w:spacing w:after="0" w:line="109" w:lineRule="exact"/>
              <w:rPr>
                <w:sz w:val="20"/>
                <w:szCs w:val="20"/>
                <w:color w:val="auto"/>
              </w:rPr>
            </w:pPr>
            <w:r>
              <w:rPr>
                <w:rFonts w:ascii="Times New Roman" w:cs="Times New Roman" w:eastAsia="Times New Roman" w:hAnsi="Times New Roman"/>
                <w:sz w:val="11"/>
                <w:szCs w:val="11"/>
                <w:color w:val="auto"/>
              </w:rPr>
              <w:t>Infusion and Specialty Pharmacy</w:t>
            </w:r>
          </w:p>
        </w:tc>
        <w:tc>
          <w:tcPr>
            <w:tcW w:w="920" w:type="dxa"/>
            <w:vAlign w:val="bottom"/>
            <w:tcBorders>
              <w:right w:val="single" w:sz="8" w:color="CFF0FC"/>
            </w:tcBorders>
            <w:gridSpan w:val="2"/>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color w:val="auto"/>
              </w:rPr>
              <w:t>20.0%</w:t>
            </w:r>
          </w:p>
        </w:tc>
        <w:tc>
          <w:tcPr>
            <w:tcW w:w="840" w:type="dxa"/>
            <w:vAlign w:val="bottom"/>
            <w:tcBorders>
              <w:right w:val="single" w:sz="8" w:color="CFF0FC"/>
            </w:tcBorders>
            <w:gridSpan w:val="2"/>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color w:val="auto"/>
              </w:rPr>
              <w:t>5.7%</w:t>
            </w:r>
          </w:p>
        </w:tc>
        <w:tc>
          <w:tcPr>
            <w:tcW w:w="780" w:type="dxa"/>
            <w:vAlign w:val="bottom"/>
            <w:tcBorders>
              <w:right w:val="single" w:sz="8" w:color="CFF0FC"/>
            </w:tcBorders>
            <w:gridSpan w:val="2"/>
            <w:shd w:val="clear" w:color="auto" w:fill="CFF0FC"/>
          </w:tcPr>
          <w:p>
            <w:pPr>
              <w:jc w:val="right"/>
              <w:ind w:right="260"/>
              <w:spacing w:after="0" w:line="109"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right w:val="single" w:sz="8" w:color="CFF0FC"/>
            </w:tcBorders>
            <w:gridSpan w:val="3"/>
            <w:shd w:val="clear" w:color="auto" w:fill="CFF0FC"/>
          </w:tcPr>
          <w:p>
            <w:pPr>
              <w:jc w:val="right"/>
              <w:ind w:right="180"/>
              <w:spacing w:after="0" w:line="109" w:lineRule="exact"/>
              <w:rPr>
                <w:sz w:val="20"/>
                <w:szCs w:val="20"/>
                <w:color w:val="auto"/>
              </w:rPr>
            </w:pPr>
            <w:r>
              <w:rPr>
                <w:rFonts w:ascii="Times New Roman" w:cs="Times New Roman" w:eastAsia="Times New Roman" w:hAnsi="Times New Roman"/>
                <w:sz w:val="11"/>
                <w:szCs w:val="11"/>
                <w:color w:val="auto"/>
              </w:rPr>
              <w:t>0.7%</w:t>
            </w:r>
          </w:p>
        </w:tc>
        <w:tc>
          <w:tcPr>
            <w:tcW w:w="740" w:type="dxa"/>
            <w:vAlign w:val="bottom"/>
            <w:tcBorders>
              <w:right w:val="single" w:sz="8" w:color="CFF0FC"/>
            </w:tcBorders>
            <w:gridSpan w:val="3"/>
            <w:shd w:val="clear" w:color="auto" w:fill="CFF0FC"/>
          </w:tcPr>
          <w:p>
            <w:pPr>
              <w:jc w:val="right"/>
              <w:ind w:right="120"/>
              <w:spacing w:after="0" w:line="109" w:lineRule="exact"/>
              <w:rPr>
                <w:sz w:val="20"/>
                <w:szCs w:val="20"/>
                <w:color w:val="auto"/>
              </w:rPr>
            </w:pPr>
            <w:r>
              <w:rPr>
                <w:rFonts w:ascii="Times New Roman" w:cs="Times New Roman" w:eastAsia="Times New Roman" w:hAnsi="Times New Roman"/>
                <w:sz w:val="11"/>
                <w:szCs w:val="11"/>
                <w:color w:val="auto"/>
              </w:rPr>
              <w:t>15.1%</w:t>
            </w:r>
          </w:p>
        </w:tc>
        <w:tc>
          <w:tcPr>
            <w:tcW w:w="780" w:type="dxa"/>
            <w:vAlign w:val="bottom"/>
            <w:tcBorders>
              <w:right w:val="single" w:sz="8" w:color="CFF0FC"/>
            </w:tcBorders>
            <w:gridSpan w:val="2"/>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color w:val="auto"/>
              </w:rPr>
              <w:t>22.0%</w:t>
            </w:r>
          </w:p>
        </w:tc>
        <w:tc>
          <w:tcPr>
            <w:tcW w:w="600" w:type="dxa"/>
            <w:vAlign w:val="bottom"/>
            <w:tcBorders>
              <w:right w:val="single" w:sz="8" w:color="CFF0FC"/>
            </w:tcBorders>
            <w:gridSpan w:val="2"/>
            <w:shd w:val="clear" w:color="auto" w:fill="CFF0FC"/>
          </w:tcPr>
          <w:p>
            <w:pPr>
              <w:ind w:left="260"/>
              <w:spacing w:after="0" w:line="109" w:lineRule="exact"/>
              <w:rPr>
                <w:sz w:val="20"/>
                <w:szCs w:val="20"/>
                <w:color w:val="auto"/>
              </w:rPr>
            </w:pPr>
            <w:r>
              <w:rPr>
                <w:rFonts w:ascii="Times New Roman" w:cs="Times New Roman" w:eastAsia="Times New Roman" w:hAnsi="Times New Roman"/>
                <w:sz w:val="11"/>
                <w:szCs w:val="11"/>
                <w:color w:val="auto"/>
              </w:rPr>
              <w:t>1.1%</w:t>
            </w:r>
          </w:p>
        </w:tc>
        <w:tc>
          <w:tcPr>
            <w:tcW w:w="600" w:type="dxa"/>
            <w:vAlign w:val="bottom"/>
            <w:gridSpan w:val="2"/>
            <w:shd w:val="clear" w:color="auto" w:fill="CFF0FC"/>
          </w:tcPr>
          <w:p>
            <w:pPr>
              <w:jc w:val="right"/>
              <w:ind w:right="40"/>
              <w:spacing w:after="0" w:line="109" w:lineRule="exact"/>
              <w:rPr>
                <w:sz w:val="20"/>
                <w:szCs w:val="20"/>
                <w:color w:val="auto"/>
              </w:rPr>
            </w:pPr>
            <w:r>
              <w:rPr>
                <w:rFonts w:ascii="Times New Roman" w:cs="Times New Roman" w:eastAsia="Times New Roman" w:hAnsi="Times New Roman"/>
                <w:sz w:val="11"/>
                <w:szCs w:val="11"/>
                <w:color w:val="auto"/>
              </w:rPr>
              <w:t>64.6%</w:t>
            </w:r>
          </w:p>
        </w:tc>
      </w:tr>
      <w:tr>
        <w:trPr>
          <w:trHeight w:val="118"/>
        </w:trPr>
        <w:tc>
          <w:tcPr>
            <w:tcW w:w="17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Home and Community Pharmacy</w:t>
            </w:r>
          </w:p>
        </w:tc>
        <w:tc>
          <w:tcPr>
            <w:tcW w:w="92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2.7%</w:t>
            </w:r>
          </w:p>
        </w:tc>
        <w:tc>
          <w:tcPr>
            <w:tcW w:w="84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2.5%</w:t>
            </w:r>
          </w:p>
        </w:tc>
        <w:tc>
          <w:tcPr>
            <w:tcW w:w="780" w:type="dxa"/>
            <w:vAlign w:val="bottom"/>
            <w:gridSpan w:val="2"/>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5.4%</w:t>
            </w:r>
          </w:p>
        </w:tc>
        <w:tc>
          <w:tcPr>
            <w:tcW w:w="740" w:type="dxa"/>
            <w:vAlign w:val="bottom"/>
            <w:gridSpan w:val="3"/>
          </w:tcPr>
          <w:p>
            <w:pPr>
              <w:jc w:val="right"/>
              <w:ind w:right="18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40" w:type="dxa"/>
            <w:vAlign w:val="bottom"/>
            <w:gridSpan w:val="3"/>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8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10.3%</w:t>
            </w:r>
          </w:p>
        </w:tc>
        <w:tc>
          <w:tcPr>
            <w:tcW w:w="600" w:type="dxa"/>
            <w:vAlign w:val="bottom"/>
            <w:gridSpan w:val="2"/>
          </w:tcPr>
          <w:p>
            <w:pPr>
              <w:ind w:left="260"/>
              <w:spacing w:after="0" w:line="119" w:lineRule="exact"/>
              <w:rPr>
                <w:sz w:val="20"/>
                <w:szCs w:val="20"/>
                <w:color w:val="auto"/>
              </w:rPr>
            </w:pPr>
            <w:r>
              <w:rPr>
                <w:rFonts w:ascii="Times New Roman" w:cs="Times New Roman" w:eastAsia="Times New Roman" w:hAnsi="Times New Roman"/>
                <w:sz w:val="11"/>
                <w:szCs w:val="11"/>
                <w:color w:val="auto"/>
              </w:rPr>
              <w:t>1.1%</w:t>
            </w:r>
          </w:p>
        </w:tc>
        <w:tc>
          <w:tcPr>
            <w:tcW w:w="60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22.0%</w:t>
            </w:r>
          </w:p>
        </w:tc>
      </w:tr>
      <w:tr>
        <w:trPr>
          <w:trHeight w:val="20"/>
        </w:trPr>
        <w:tc>
          <w:tcPr>
            <w:tcW w:w="17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9"/>
        </w:trPr>
        <w:tc>
          <w:tcPr>
            <w:tcW w:w="1740" w:type="dxa"/>
            <w:vAlign w:val="bottom"/>
            <w:tcBorders>
              <w:right w:val="single" w:sz="8" w:color="CFF0FC"/>
            </w:tcBorders>
            <w:shd w:val="clear" w:color="auto" w:fill="CFF0FC"/>
          </w:tcPr>
          <w:p>
            <w:pPr>
              <w:ind w:left="140"/>
              <w:spacing w:after="0" w:line="109" w:lineRule="exact"/>
              <w:rPr>
                <w:sz w:val="20"/>
                <w:szCs w:val="20"/>
                <w:color w:val="auto"/>
              </w:rPr>
            </w:pPr>
            <w:r>
              <w:rPr>
                <w:rFonts w:ascii="Times New Roman" w:cs="Times New Roman" w:eastAsia="Times New Roman" w:hAnsi="Times New Roman"/>
                <w:sz w:val="11"/>
                <w:szCs w:val="11"/>
                <w:b w:val="1"/>
                <w:bCs w:val="1"/>
                <w:color w:val="auto"/>
              </w:rPr>
              <w:t>Pharmacy Solutions</w:t>
            </w:r>
          </w:p>
        </w:tc>
        <w:tc>
          <w:tcPr>
            <w:tcW w:w="920" w:type="dxa"/>
            <w:vAlign w:val="bottom"/>
            <w:tcBorders>
              <w:right w:val="single" w:sz="8" w:color="CFF0FC"/>
            </w:tcBorders>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22.7%</w:t>
            </w:r>
          </w:p>
        </w:tc>
        <w:tc>
          <w:tcPr>
            <w:tcW w:w="840" w:type="dxa"/>
            <w:vAlign w:val="bottom"/>
            <w:tcBorders>
              <w:right w:val="single" w:sz="8" w:color="CFF0FC"/>
            </w:tcBorders>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8.2%</w:t>
            </w:r>
          </w:p>
        </w:tc>
        <w:tc>
          <w:tcPr>
            <w:tcW w:w="780" w:type="dxa"/>
            <w:vAlign w:val="bottom"/>
            <w:tcBorders>
              <w:right w:val="single" w:sz="8" w:color="CFF0FC"/>
            </w:tcBorders>
            <w:gridSpan w:val="2"/>
            <w:shd w:val="clear" w:color="auto" w:fill="CFF0FC"/>
          </w:tcPr>
          <w:p>
            <w:pPr>
              <w:jc w:val="right"/>
              <w:ind w:right="140"/>
              <w:spacing w:after="0" w:line="109" w:lineRule="exact"/>
              <w:rPr>
                <w:sz w:val="20"/>
                <w:szCs w:val="20"/>
                <w:color w:val="auto"/>
              </w:rPr>
            </w:pPr>
            <w:r>
              <w:rPr>
                <w:rFonts w:ascii="Times New Roman" w:cs="Times New Roman" w:eastAsia="Times New Roman" w:hAnsi="Times New Roman"/>
                <w:sz w:val="11"/>
                <w:szCs w:val="11"/>
                <w:b w:val="1"/>
                <w:bCs w:val="1"/>
                <w:color w:val="auto"/>
              </w:rPr>
              <w:t>5.4%</w:t>
            </w:r>
          </w:p>
        </w:tc>
        <w:tc>
          <w:tcPr>
            <w:tcW w:w="740" w:type="dxa"/>
            <w:vAlign w:val="bottom"/>
            <w:tcBorders>
              <w:right w:val="single" w:sz="8" w:color="CFF0FC"/>
            </w:tcBorders>
            <w:gridSpan w:val="3"/>
            <w:shd w:val="clear" w:color="auto" w:fill="CFF0FC"/>
          </w:tcPr>
          <w:p>
            <w:pPr>
              <w:jc w:val="right"/>
              <w:ind w:right="160"/>
              <w:spacing w:after="0" w:line="109" w:lineRule="exact"/>
              <w:rPr>
                <w:sz w:val="20"/>
                <w:szCs w:val="20"/>
                <w:color w:val="auto"/>
              </w:rPr>
            </w:pPr>
            <w:r>
              <w:rPr>
                <w:rFonts w:ascii="Times New Roman" w:cs="Times New Roman" w:eastAsia="Times New Roman" w:hAnsi="Times New Roman"/>
                <w:sz w:val="11"/>
                <w:szCs w:val="11"/>
                <w:b w:val="1"/>
                <w:bCs w:val="1"/>
                <w:color w:val="auto"/>
              </w:rPr>
              <w:t>0.7%</w:t>
            </w:r>
          </w:p>
        </w:tc>
        <w:tc>
          <w:tcPr>
            <w:tcW w:w="740" w:type="dxa"/>
            <w:vAlign w:val="bottom"/>
            <w:tcBorders>
              <w:right w:val="single" w:sz="8" w:color="CFF0FC"/>
            </w:tcBorders>
            <w:gridSpan w:val="3"/>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b w:val="1"/>
                <w:bCs w:val="1"/>
                <w:color w:val="auto"/>
              </w:rPr>
              <w:t>15.1%</w:t>
            </w:r>
          </w:p>
        </w:tc>
        <w:tc>
          <w:tcPr>
            <w:tcW w:w="780" w:type="dxa"/>
            <w:vAlign w:val="bottom"/>
            <w:tcBorders>
              <w:right w:val="single" w:sz="8" w:color="CFF0FC"/>
            </w:tcBorders>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32.3%</w:t>
            </w:r>
          </w:p>
        </w:tc>
        <w:tc>
          <w:tcPr>
            <w:tcW w:w="600" w:type="dxa"/>
            <w:vAlign w:val="bottom"/>
            <w:tcBorders>
              <w:right w:val="single" w:sz="8" w:color="CFF0FC"/>
            </w:tcBorders>
            <w:gridSpan w:val="2"/>
            <w:shd w:val="clear" w:color="auto" w:fill="CFF0FC"/>
          </w:tcPr>
          <w:p>
            <w:pPr>
              <w:ind w:left="260"/>
              <w:spacing w:after="0" w:line="109" w:lineRule="exact"/>
              <w:rPr>
                <w:sz w:val="20"/>
                <w:szCs w:val="20"/>
                <w:color w:val="auto"/>
              </w:rPr>
            </w:pPr>
            <w:r>
              <w:rPr>
                <w:rFonts w:ascii="Times New Roman" w:cs="Times New Roman" w:eastAsia="Times New Roman" w:hAnsi="Times New Roman"/>
                <w:sz w:val="11"/>
                <w:szCs w:val="11"/>
                <w:b w:val="1"/>
                <w:bCs w:val="1"/>
                <w:color w:val="auto"/>
              </w:rPr>
              <w:t>2.2%</w:t>
            </w:r>
          </w:p>
        </w:tc>
        <w:tc>
          <w:tcPr>
            <w:tcW w:w="600" w:type="dxa"/>
            <w:vAlign w:val="bottom"/>
            <w:gridSpan w:val="2"/>
            <w:shd w:val="clear" w:color="auto" w:fill="CFF0FC"/>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86.6%</w:t>
            </w:r>
          </w:p>
        </w:tc>
      </w:tr>
      <w:tr>
        <w:trPr>
          <w:trHeight w:val="118"/>
        </w:trPr>
        <w:tc>
          <w:tcPr>
            <w:tcW w:w="17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Home Health Care</w:t>
            </w:r>
          </w:p>
        </w:tc>
        <w:tc>
          <w:tcPr>
            <w:tcW w:w="92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0.3%</w:t>
            </w:r>
          </w:p>
        </w:tc>
        <w:tc>
          <w:tcPr>
            <w:tcW w:w="84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0.4%</w:t>
            </w:r>
          </w:p>
        </w:tc>
        <w:tc>
          <w:tcPr>
            <w:tcW w:w="780" w:type="dxa"/>
            <w:vAlign w:val="bottom"/>
            <w:gridSpan w:val="2"/>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4.5%</w:t>
            </w:r>
          </w:p>
        </w:tc>
        <w:tc>
          <w:tcPr>
            <w:tcW w:w="740" w:type="dxa"/>
            <w:vAlign w:val="bottom"/>
            <w:gridSpan w:val="3"/>
          </w:tcPr>
          <w:p>
            <w:pPr>
              <w:jc w:val="right"/>
              <w:ind w:right="180"/>
              <w:spacing w:after="0" w:line="119" w:lineRule="exact"/>
              <w:rPr>
                <w:sz w:val="20"/>
                <w:szCs w:val="20"/>
                <w:color w:val="auto"/>
              </w:rPr>
            </w:pPr>
            <w:r>
              <w:rPr>
                <w:rFonts w:ascii="Times New Roman" w:cs="Times New Roman" w:eastAsia="Times New Roman" w:hAnsi="Times New Roman"/>
                <w:sz w:val="11"/>
                <w:szCs w:val="11"/>
                <w:color w:val="auto"/>
              </w:rPr>
              <w:t>0.3%</w:t>
            </w:r>
          </w:p>
        </w:tc>
        <w:tc>
          <w:tcPr>
            <w:tcW w:w="740" w:type="dxa"/>
            <w:vAlign w:val="bottom"/>
            <w:gridSpan w:val="3"/>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1.0%</w:t>
            </w:r>
          </w:p>
        </w:tc>
        <w:tc>
          <w:tcPr>
            <w:tcW w:w="78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ind w:left="260"/>
              <w:spacing w:after="0" w:line="119" w:lineRule="exact"/>
              <w:rPr>
                <w:sz w:val="20"/>
                <w:szCs w:val="20"/>
                <w:color w:val="auto"/>
              </w:rPr>
            </w:pPr>
            <w:r>
              <w:rPr>
                <w:rFonts w:ascii="Times New Roman" w:cs="Times New Roman" w:eastAsia="Times New Roman" w:hAnsi="Times New Roman"/>
                <w:sz w:val="11"/>
                <w:szCs w:val="11"/>
                <w:color w:val="auto"/>
              </w:rPr>
              <w:t>0.1%</w:t>
            </w:r>
          </w:p>
        </w:tc>
        <w:tc>
          <w:tcPr>
            <w:tcW w:w="60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6.6%</w:t>
            </w:r>
          </w:p>
        </w:tc>
      </w:tr>
      <w:tr>
        <w:trPr>
          <w:trHeight w:val="118"/>
        </w:trPr>
        <w:tc>
          <w:tcPr>
            <w:tcW w:w="1740" w:type="dxa"/>
            <w:vAlign w:val="bottom"/>
            <w:tcBorders>
              <w:right w:val="single" w:sz="8" w:color="CFF0FC"/>
            </w:tcBorders>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Rehab Care</w:t>
            </w:r>
          </w:p>
        </w:tc>
        <w:tc>
          <w:tcPr>
            <w:tcW w:w="920" w:type="dxa"/>
            <w:vAlign w:val="bottom"/>
            <w:tcBorders>
              <w:right w:val="single" w:sz="8" w:color="CFF0FC"/>
            </w:tcBorders>
            <w:gridSpan w:val="2"/>
            <w:shd w:val="clear" w:color="auto" w:fill="CFF0FC"/>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1.4%</w:t>
            </w:r>
          </w:p>
        </w:tc>
        <w:tc>
          <w:tcPr>
            <w:tcW w:w="840" w:type="dxa"/>
            <w:vAlign w:val="bottom"/>
            <w:tcBorders>
              <w:right w:val="single" w:sz="8" w:color="CFF0FC"/>
            </w:tcBorders>
            <w:gridSpan w:val="2"/>
            <w:shd w:val="clear" w:color="auto" w:fill="CFF0FC"/>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0.6%</w:t>
            </w:r>
          </w:p>
        </w:tc>
        <w:tc>
          <w:tcPr>
            <w:tcW w:w="780" w:type="dxa"/>
            <w:vAlign w:val="bottom"/>
            <w:tcBorders>
              <w:right w:val="single" w:sz="8" w:color="CFF0FC"/>
            </w:tcBorders>
            <w:gridSpan w:val="2"/>
            <w:shd w:val="clear" w:color="auto" w:fill="CFF0FC"/>
          </w:tcPr>
          <w:p>
            <w:pPr>
              <w:jc w:val="right"/>
              <w:ind w:right="26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right w:val="single" w:sz="8" w:color="CFF0FC"/>
            </w:tcBorders>
            <w:gridSpan w:val="3"/>
            <w:shd w:val="clear" w:color="auto" w:fill="CFF0FC"/>
          </w:tcPr>
          <w:p>
            <w:pPr>
              <w:jc w:val="right"/>
              <w:ind w:right="18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40" w:type="dxa"/>
            <w:vAlign w:val="bottom"/>
            <w:tcBorders>
              <w:right w:val="single" w:sz="8" w:color="CFF0FC"/>
            </w:tcBorders>
            <w:gridSpan w:val="3"/>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80" w:type="dxa"/>
            <w:vAlign w:val="bottom"/>
            <w:tcBorders>
              <w:right w:val="single" w:sz="8" w:color="CFF0FC"/>
            </w:tcBorders>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right w:val="single" w:sz="8" w:color="CFF0FC"/>
            </w:tcBorders>
            <w:gridSpan w:val="2"/>
            <w:shd w:val="clear" w:color="auto" w:fill="CFF0FC"/>
          </w:tcPr>
          <w:p>
            <w:pPr>
              <w:ind w:left="260"/>
              <w:spacing w:after="0" w:line="119" w:lineRule="exact"/>
              <w:rPr>
                <w:sz w:val="20"/>
                <w:szCs w:val="20"/>
                <w:color w:val="auto"/>
              </w:rPr>
            </w:pPr>
            <w:r>
              <w:rPr>
                <w:rFonts w:ascii="Times New Roman" w:cs="Times New Roman" w:eastAsia="Times New Roman" w:hAnsi="Times New Roman"/>
                <w:sz w:val="11"/>
                <w:szCs w:val="11"/>
                <w:color w:val="auto"/>
              </w:rPr>
              <w:t>0.8%</w:t>
            </w:r>
          </w:p>
        </w:tc>
        <w:tc>
          <w:tcPr>
            <w:tcW w:w="600" w:type="dxa"/>
            <w:vAlign w:val="bottom"/>
            <w:gridSpan w:val="2"/>
            <w:shd w:val="clear" w:color="auto" w:fill="CFF0FC"/>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2.8%</w:t>
            </w:r>
          </w:p>
        </w:tc>
      </w:tr>
      <w:tr>
        <w:trPr>
          <w:trHeight w:val="118"/>
        </w:trPr>
        <w:tc>
          <w:tcPr>
            <w:tcW w:w="17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Personal Care</w:t>
            </w:r>
          </w:p>
        </w:tc>
        <w:tc>
          <w:tcPr>
            <w:tcW w:w="92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0.1%</w:t>
            </w:r>
          </w:p>
        </w:tc>
        <w:tc>
          <w:tcPr>
            <w:tcW w:w="84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2.5%</w:t>
            </w:r>
          </w:p>
        </w:tc>
        <w:tc>
          <w:tcPr>
            <w:tcW w:w="780" w:type="dxa"/>
            <w:vAlign w:val="bottom"/>
            <w:gridSpan w:val="2"/>
          </w:tcPr>
          <w:p>
            <w:pPr>
              <w:jc w:val="right"/>
              <w:ind w:right="26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ind w:right="28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ind w:left="260"/>
              <w:spacing w:after="0" w:line="119" w:lineRule="exact"/>
              <w:rPr>
                <w:sz w:val="20"/>
                <w:szCs w:val="20"/>
                <w:color w:val="auto"/>
              </w:rPr>
            </w:pPr>
            <w:r>
              <w:rPr>
                <w:rFonts w:ascii="Times New Roman" w:cs="Times New Roman" w:eastAsia="Times New Roman" w:hAnsi="Times New Roman"/>
                <w:sz w:val="11"/>
                <w:szCs w:val="11"/>
                <w:color w:val="auto"/>
              </w:rPr>
              <w:t>1.4%</w:t>
            </w:r>
          </w:p>
        </w:tc>
        <w:tc>
          <w:tcPr>
            <w:tcW w:w="60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4.0%</w:t>
            </w:r>
          </w:p>
        </w:tc>
      </w:tr>
      <w:tr>
        <w:trPr>
          <w:trHeight w:val="20"/>
        </w:trPr>
        <w:tc>
          <w:tcPr>
            <w:tcW w:w="17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9"/>
        </w:trPr>
        <w:tc>
          <w:tcPr>
            <w:tcW w:w="1740" w:type="dxa"/>
            <w:vAlign w:val="bottom"/>
            <w:tcBorders>
              <w:right w:val="single" w:sz="8" w:color="CFF0FC"/>
            </w:tcBorders>
            <w:shd w:val="clear" w:color="auto" w:fill="CFF0FC"/>
          </w:tcPr>
          <w:p>
            <w:pPr>
              <w:ind w:left="140"/>
              <w:spacing w:after="0" w:line="109" w:lineRule="exact"/>
              <w:rPr>
                <w:sz w:val="20"/>
                <w:szCs w:val="20"/>
                <w:color w:val="auto"/>
              </w:rPr>
            </w:pPr>
            <w:r>
              <w:rPr>
                <w:rFonts w:ascii="Times New Roman" w:cs="Times New Roman" w:eastAsia="Times New Roman" w:hAnsi="Times New Roman"/>
                <w:sz w:val="11"/>
                <w:szCs w:val="11"/>
                <w:b w:val="1"/>
                <w:bCs w:val="1"/>
                <w:color w:val="auto"/>
              </w:rPr>
              <w:t>Provider Services</w:t>
            </w:r>
          </w:p>
        </w:tc>
        <w:tc>
          <w:tcPr>
            <w:tcW w:w="920" w:type="dxa"/>
            <w:vAlign w:val="bottom"/>
            <w:tcBorders>
              <w:right w:val="single" w:sz="8" w:color="CFF0FC"/>
            </w:tcBorders>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1.8%</w:t>
            </w:r>
          </w:p>
        </w:tc>
        <w:tc>
          <w:tcPr>
            <w:tcW w:w="840" w:type="dxa"/>
            <w:vAlign w:val="bottom"/>
            <w:tcBorders>
              <w:right w:val="single" w:sz="8" w:color="CFF0FC"/>
            </w:tcBorders>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3.5%</w:t>
            </w:r>
          </w:p>
        </w:tc>
        <w:tc>
          <w:tcPr>
            <w:tcW w:w="780" w:type="dxa"/>
            <w:vAlign w:val="bottom"/>
            <w:tcBorders>
              <w:right w:val="single" w:sz="8" w:color="CFF0FC"/>
            </w:tcBorders>
            <w:gridSpan w:val="2"/>
            <w:shd w:val="clear" w:color="auto" w:fill="CFF0FC"/>
          </w:tcPr>
          <w:p>
            <w:pPr>
              <w:jc w:val="right"/>
              <w:ind w:right="140"/>
              <w:spacing w:after="0" w:line="109" w:lineRule="exact"/>
              <w:rPr>
                <w:sz w:val="20"/>
                <w:szCs w:val="20"/>
                <w:color w:val="auto"/>
              </w:rPr>
            </w:pPr>
            <w:r>
              <w:rPr>
                <w:rFonts w:ascii="Times New Roman" w:cs="Times New Roman" w:eastAsia="Times New Roman" w:hAnsi="Times New Roman"/>
                <w:sz w:val="11"/>
                <w:szCs w:val="11"/>
                <w:b w:val="1"/>
                <w:bCs w:val="1"/>
                <w:color w:val="auto"/>
              </w:rPr>
              <w:t>4.5%</w:t>
            </w:r>
          </w:p>
        </w:tc>
        <w:tc>
          <w:tcPr>
            <w:tcW w:w="740" w:type="dxa"/>
            <w:vAlign w:val="bottom"/>
            <w:tcBorders>
              <w:right w:val="single" w:sz="8" w:color="CFF0FC"/>
            </w:tcBorders>
            <w:gridSpan w:val="3"/>
            <w:shd w:val="clear" w:color="auto" w:fill="CFF0FC"/>
          </w:tcPr>
          <w:p>
            <w:pPr>
              <w:jc w:val="right"/>
              <w:ind w:right="160"/>
              <w:spacing w:after="0" w:line="109" w:lineRule="exact"/>
              <w:rPr>
                <w:sz w:val="20"/>
                <w:szCs w:val="20"/>
                <w:color w:val="auto"/>
              </w:rPr>
            </w:pPr>
            <w:r>
              <w:rPr>
                <w:rFonts w:ascii="Times New Roman" w:cs="Times New Roman" w:eastAsia="Times New Roman" w:hAnsi="Times New Roman"/>
                <w:sz w:val="11"/>
                <w:szCs w:val="11"/>
                <w:b w:val="1"/>
                <w:bCs w:val="1"/>
                <w:color w:val="auto"/>
              </w:rPr>
              <w:t>0.3%</w:t>
            </w:r>
          </w:p>
        </w:tc>
        <w:tc>
          <w:tcPr>
            <w:tcW w:w="740" w:type="dxa"/>
            <w:vAlign w:val="bottom"/>
            <w:tcBorders>
              <w:right w:val="single" w:sz="8" w:color="CFF0FC"/>
            </w:tcBorders>
            <w:gridSpan w:val="3"/>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b w:val="1"/>
                <w:bCs w:val="1"/>
                <w:color w:val="auto"/>
              </w:rPr>
              <w:t>1.0%</w:t>
            </w:r>
          </w:p>
        </w:tc>
        <w:tc>
          <w:tcPr>
            <w:tcW w:w="780" w:type="dxa"/>
            <w:vAlign w:val="bottom"/>
            <w:tcBorders>
              <w:right w:val="single" w:sz="8" w:color="CFF0FC"/>
            </w:tcBorders>
            <w:gridSpan w:val="2"/>
            <w:shd w:val="clear" w:color="auto" w:fill="CFF0FC"/>
          </w:tcPr>
          <w:p>
            <w:pPr>
              <w:jc w:val="right"/>
              <w:ind w:right="200"/>
              <w:spacing w:after="0" w:line="109"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right w:val="single" w:sz="8" w:color="CFF0FC"/>
            </w:tcBorders>
            <w:gridSpan w:val="2"/>
            <w:shd w:val="clear" w:color="auto" w:fill="CFF0FC"/>
          </w:tcPr>
          <w:p>
            <w:pPr>
              <w:ind w:left="260"/>
              <w:spacing w:after="0" w:line="109" w:lineRule="exact"/>
              <w:rPr>
                <w:sz w:val="20"/>
                <w:szCs w:val="20"/>
                <w:color w:val="auto"/>
              </w:rPr>
            </w:pPr>
            <w:r>
              <w:rPr>
                <w:rFonts w:ascii="Times New Roman" w:cs="Times New Roman" w:eastAsia="Times New Roman" w:hAnsi="Times New Roman"/>
                <w:sz w:val="11"/>
                <w:szCs w:val="11"/>
                <w:b w:val="1"/>
                <w:bCs w:val="1"/>
                <w:color w:val="auto"/>
              </w:rPr>
              <w:t>2.3%</w:t>
            </w:r>
          </w:p>
        </w:tc>
        <w:tc>
          <w:tcPr>
            <w:tcW w:w="600" w:type="dxa"/>
            <w:vAlign w:val="bottom"/>
            <w:gridSpan w:val="2"/>
            <w:shd w:val="clear" w:color="auto" w:fill="CFF0FC"/>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13.4%</w:t>
            </w:r>
          </w:p>
        </w:tc>
      </w:tr>
      <w:tr>
        <w:trPr>
          <w:trHeight w:val="20"/>
        </w:trPr>
        <w:tc>
          <w:tcPr>
            <w:tcW w:w="1740" w:type="dxa"/>
            <w:vAlign w:val="bottom"/>
            <w:tcBorders>
              <w:right w:val="single" w:sz="8" w:color="CFF0FC"/>
            </w:tcBorders>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09"/>
        </w:trPr>
        <w:tc>
          <w:tcPr>
            <w:tcW w:w="1740" w:type="dxa"/>
            <w:vAlign w:val="bottom"/>
          </w:tcPr>
          <w:p>
            <w:pPr>
              <w:ind w:left="280"/>
              <w:spacing w:after="0" w:line="109" w:lineRule="exact"/>
              <w:rPr>
                <w:sz w:val="20"/>
                <w:szCs w:val="20"/>
                <w:color w:val="auto"/>
              </w:rPr>
            </w:pPr>
            <w:r>
              <w:rPr>
                <w:rFonts w:ascii="Times New Roman" w:cs="Times New Roman" w:eastAsia="Times New Roman" w:hAnsi="Times New Roman"/>
                <w:sz w:val="11"/>
                <w:szCs w:val="11"/>
                <w:b w:val="1"/>
                <w:bCs w:val="1"/>
                <w:color w:val="auto"/>
              </w:rPr>
              <w:t>Consolidated BrightSpring</w:t>
            </w:r>
          </w:p>
        </w:tc>
        <w:tc>
          <w:tcPr>
            <w:tcW w:w="920" w:type="dxa"/>
            <w:vAlign w:val="bottom"/>
            <w:gridSpan w:val="2"/>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24.5%</w:t>
            </w:r>
          </w:p>
        </w:tc>
        <w:tc>
          <w:tcPr>
            <w:tcW w:w="840" w:type="dxa"/>
            <w:vAlign w:val="bottom"/>
            <w:gridSpan w:val="2"/>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11.7%</w:t>
            </w:r>
          </w:p>
        </w:tc>
        <w:tc>
          <w:tcPr>
            <w:tcW w:w="78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1"/>
                <w:szCs w:val="11"/>
                <w:b w:val="1"/>
                <w:bCs w:val="1"/>
                <w:color w:val="auto"/>
              </w:rPr>
              <w:t>9.9%</w:t>
            </w:r>
          </w:p>
        </w:tc>
        <w:tc>
          <w:tcPr>
            <w:tcW w:w="740" w:type="dxa"/>
            <w:vAlign w:val="bottom"/>
            <w:gridSpan w:val="3"/>
          </w:tcPr>
          <w:p>
            <w:pPr>
              <w:jc w:val="right"/>
              <w:ind w:right="160"/>
              <w:spacing w:after="0" w:line="109" w:lineRule="exact"/>
              <w:rPr>
                <w:sz w:val="20"/>
                <w:szCs w:val="20"/>
                <w:color w:val="auto"/>
              </w:rPr>
            </w:pPr>
            <w:r>
              <w:rPr>
                <w:rFonts w:ascii="Times New Roman" w:cs="Times New Roman" w:eastAsia="Times New Roman" w:hAnsi="Times New Roman"/>
                <w:sz w:val="11"/>
                <w:szCs w:val="11"/>
                <w:b w:val="1"/>
                <w:bCs w:val="1"/>
                <w:color w:val="auto"/>
              </w:rPr>
              <w:t>1.0%</w:t>
            </w:r>
          </w:p>
        </w:tc>
        <w:tc>
          <w:tcPr>
            <w:tcW w:w="740" w:type="dxa"/>
            <w:vAlign w:val="bottom"/>
            <w:gridSpan w:val="3"/>
          </w:tcPr>
          <w:p>
            <w:pPr>
              <w:jc w:val="right"/>
              <w:ind w:right="100"/>
              <w:spacing w:after="0" w:line="109" w:lineRule="exact"/>
              <w:rPr>
                <w:sz w:val="20"/>
                <w:szCs w:val="20"/>
                <w:color w:val="auto"/>
              </w:rPr>
            </w:pPr>
            <w:r>
              <w:rPr>
                <w:rFonts w:ascii="Times New Roman" w:cs="Times New Roman" w:eastAsia="Times New Roman" w:hAnsi="Times New Roman"/>
                <w:sz w:val="11"/>
                <w:szCs w:val="11"/>
                <w:b w:val="1"/>
                <w:bCs w:val="1"/>
                <w:color w:val="auto"/>
              </w:rPr>
              <w:t>16.1%</w:t>
            </w:r>
          </w:p>
        </w:tc>
        <w:tc>
          <w:tcPr>
            <w:tcW w:w="780" w:type="dxa"/>
            <w:vAlign w:val="bottom"/>
            <w:gridSpan w:val="2"/>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32.3%</w:t>
            </w:r>
          </w:p>
        </w:tc>
        <w:tc>
          <w:tcPr>
            <w:tcW w:w="600" w:type="dxa"/>
            <w:vAlign w:val="bottom"/>
            <w:gridSpan w:val="2"/>
          </w:tcPr>
          <w:p>
            <w:pPr>
              <w:ind w:left="260"/>
              <w:spacing w:after="0" w:line="109" w:lineRule="exact"/>
              <w:rPr>
                <w:sz w:val="20"/>
                <w:szCs w:val="20"/>
                <w:color w:val="auto"/>
              </w:rPr>
            </w:pPr>
            <w:r>
              <w:rPr>
                <w:rFonts w:ascii="Times New Roman" w:cs="Times New Roman" w:eastAsia="Times New Roman" w:hAnsi="Times New Roman"/>
                <w:sz w:val="11"/>
                <w:szCs w:val="11"/>
                <w:b w:val="1"/>
                <w:bCs w:val="1"/>
                <w:color w:val="auto"/>
              </w:rPr>
              <w:t>4.5%</w:t>
            </w:r>
          </w:p>
        </w:tc>
        <w:tc>
          <w:tcPr>
            <w:tcW w:w="600" w:type="dxa"/>
            <w:vAlign w:val="bottom"/>
            <w:gridSpan w:val="2"/>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100.0%</w:t>
            </w:r>
          </w:p>
        </w:tc>
      </w:tr>
      <w:tr>
        <w:trPr>
          <w:trHeight w:val="20"/>
        </w:trPr>
        <w:tc>
          <w:tcPr>
            <w:tcW w:w="17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-3108960</wp:posOffset>
            </wp:positionV>
            <wp:extent cx="74930" cy="69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2478405</wp:posOffset>
            </wp:positionH>
            <wp:positionV relativeFrom="paragraph">
              <wp:posOffset>-3108960</wp:posOffset>
            </wp:positionV>
            <wp:extent cx="74930" cy="69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2976245</wp:posOffset>
            </wp:positionH>
            <wp:positionV relativeFrom="paragraph">
              <wp:posOffset>-3108960</wp:posOffset>
            </wp:positionV>
            <wp:extent cx="74930" cy="69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-3108960</wp:posOffset>
            </wp:positionV>
            <wp:extent cx="74930" cy="69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3903345</wp:posOffset>
            </wp:positionH>
            <wp:positionV relativeFrom="paragraph">
              <wp:posOffset>-3108960</wp:posOffset>
            </wp:positionV>
            <wp:extent cx="74930" cy="69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4408170</wp:posOffset>
            </wp:positionH>
            <wp:positionV relativeFrom="paragraph">
              <wp:posOffset>-3108960</wp:posOffset>
            </wp:positionV>
            <wp:extent cx="74930" cy="69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-3108960</wp:posOffset>
            </wp:positionV>
            <wp:extent cx="74930" cy="69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5240020</wp:posOffset>
            </wp:positionH>
            <wp:positionV relativeFrom="paragraph">
              <wp:posOffset>-3108960</wp:posOffset>
            </wp:positionV>
            <wp:extent cx="74930" cy="69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-2106295</wp:posOffset>
            </wp:positionV>
            <wp:extent cx="74930" cy="69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2478405</wp:posOffset>
            </wp:positionH>
            <wp:positionV relativeFrom="paragraph">
              <wp:posOffset>-2106295</wp:posOffset>
            </wp:positionV>
            <wp:extent cx="74930" cy="69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2976245</wp:posOffset>
            </wp:positionH>
            <wp:positionV relativeFrom="paragraph">
              <wp:posOffset>-2106295</wp:posOffset>
            </wp:positionV>
            <wp:extent cx="74930" cy="69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3467100</wp:posOffset>
            </wp:positionH>
            <wp:positionV relativeFrom="paragraph">
              <wp:posOffset>-2106295</wp:posOffset>
            </wp:positionV>
            <wp:extent cx="74930" cy="69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-2106295</wp:posOffset>
            </wp:positionV>
            <wp:extent cx="74930" cy="69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-2106295</wp:posOffset>
            </wp:positionV>
            <wp:extent cx="74930" cy="69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4810125</wp:posOffset>
            </wp:positionH>
            <wp:positionV relativeFrom="paragraph">
              <wp:posOffset>-2106295</wp:posOffset>
            </wp:positionV>
            <wp:extent cx="74930" cy="69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5240020</wp:posOffset>
            </wp:positionH>
            <wp:positionV relativeFrom="paragraph">
              <wp:posOffset>-2106295</wp:posOffset>
            </wp:positionV>
            <wp:extent cx="74930" cy="69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-1104265</wp:posOffset>
            </wp:positionV>
            <wp:extent cx="74930" cy="69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2505710</wp:posOffset>
            </wp:positionH>
            <wp:positionV relativeFrom="paragraph">
              <wp:posOffset>-1104265</wp:posOffset>
            </wp:positionV>
            <wp:extent cx="74930" cy="69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-1104265</wp:posOffset>
            </wp:positionV>
            <wp:extent cx="74930" cy="69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-1104265</wp:posOffset>
            </wp:positionV>
            <wp:extent cx="74930" cy="69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-1104265</wp:posOffset>
            </wp:positionV>
            <wp:extent cx="74930" cy="69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4408170</wp:posOffset>
            </wp:positionH>
            <wp:positionV relativeFrom="paragraph">
              <wp:posOffset>-1104265</wp:posOffset>
            </wp:positionV>
            <wp:extent cx="74930" cy="69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-1104265</wp:posOffset>
            </wp:positionV>
            <wp:extent cx="74930" cy="69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5240020</wp:posOffset>
            </wp:positionH>
            <wp:positionV relativeFrom="paragraph">
              <wp:posOffset>-1104265</wp:posOffset>
            </wp:positionV>
            <wp:extent cx="74930" cy="69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-101600</wp:posOffset>
            </wp:positionV>
            <wp:extent cx="74930" cy="69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2512060</wp:posOffset>
            </wp:positionH>
            <wp:positionV relativeFrom="paragraph">
              <wp:posOffset>-101600</wp:posOffset>
            </wp:positionV>
            <wp:extent cx="74930" cy="69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2969260</wp:posOffset>
            </wp:positionH>
            <wp:positionV relativeFrom="paragraph">
              <wp:posOffset>-101600</wp:posOffset>
            </wp:positionV>
            <wp:extent cx="74930" cy="69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-101600</wp:posOffset>
            </wp:positionV>
            <wp:extent cx="74930" cy="69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-101600</wp:posOffset>
            </wp:positionV>
            <wp:extent cx="74930" cy="69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-101600</wp:posOffset>
            </wp:positionV>
            <wp:extent cx="74930" cy="69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4810125</wp:posOffset>
            </wp:positionH>
            <wp:positionV relativeFrom="paragraph">
              <wp:posOffset>-101600</wp:posOffset>
            </wp:positionV>
            <wp:extent cx="74930" cy="69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5240020</wp:posOffset>
            </wp:positionH>
            <wp:positionV relativeFrom="paragraph">
              <wp:posOffset>-101600</wp:posOffset>
            </wp:positionV>
            <wp:extent cx="74930" cy="69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4930" cy="6985"/>
                    </a:xfrm>
                    <a:prstGeom prst="rect">
                      <a:avLst/>
                    </a:prstGeom>
                    <a:noFill/>
                  </pic:spPr>
                </pic:pic>
              </a:graphicData>
            </a:graphic>
          </wp:anchor>
        </w:drawing>
      </w:r>
    </w:p>
    <w:p>
      <w:pPr>
        <w:spacing w:after="0" w:line="137" w:lineRule="exact"/>
        <w:rPr>
          <w:sz w:val="20"/>
          <w:szCs w:val="20"/>
          <w:color w:val="auto"/>
        </w:rPr>
      </w:pPr>
    </w:p>
    <w:p>
      <w:pPr>
        <w:ind w:left="640" w:right="739" w:firstLine="351"/>
        <w:spacing w:after="0" w:line="292" w:lineRule="auto"/>
        <w:rPr>
          <w:sz w:val="20"/>
          <w:szCs w:val="20"/>
          <w:color w:val="auto"/>
        </w:rPr>
      </w:pPr>
      <w:r>
        <w:rPr>
          <w:rFonts w:ascii="Times New Roman" w:cs="Times New Roman" w:eastAsia="Times New Roman" w:hAnsi="Times New Roman"/>
          <w:sz w:val="14"/>
          <w:szCs w:val="14"/>
          <w:color w:val="auto"/>
        </w:rPr>
        <w:t>See Note 3 of the unaudited condensed consolidated financial statements and related notes in this Form 10-Q for more information regarding revenue by payor type for each reportable segment for the three and six months ended June 30,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31" w:name="page32"/>
    <w:bookmarkEnd w:id="31"/>
    <w:p>
      <w:pPr>
        <w:ind w:left="640"/>
        <w:spacing w:after="0"/>
        <w:rPr>
          <w:sz w:val="20"/>
          <w:szCs w:val="20"/>
          <w:color w:val="auto"/>
        </w:rPr>
      </w:pPr>
      <w:r>
        <w:rPr>
          <w:rFonts w:ascii="Times New Roman" w:cs="Times New Roman" w:eastAsia="Times New Roman" w:hAnsi="Times New Roman"/>
          <w:sz w:val="14"/>
          <w:szCs w:val="14"/>
          <w:b w:val="1"/>
          <w:bCs w:val="1"/>
          <w:color w:val="auto"/>
        </w:rPr>
        <w:t>Trends and Other Factors Affecting Business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Continued Growth of our Pharmacy Solutions Patient Populations</w:t>
      </w:r>
    </w:p>
    <w:p>
      <w:pPr>
        <w:spacing w:after="0" w:line="101"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We focus on providing health-dependent medications in a timely and well-supported manner to our patients receiving pharmacy solutions in their home and community-based settings. Our pharmacy services are primarily delivered directly to patients in their place of residence, home, or stay, and sometimes in a clinic setting. According to industry reports, pharmacy solutions delivered to and tailored for the home environment, such as home infusion services, oncology services, and daily medication management services in the home, will continue to grow faster than the overall and general pharmacy market. We have continued to expand our pharmacy capabilities to serve this need. Overall, our pharmacy has grown patient census and prescriptions by approximately 6% and 7%, respectively, in the second fiscal quarter of 2025 compared to the second fiscal quarter of 2024. We are a leading independent pharmacy provider in our respective pharmacy patient markets, and we expect to continue to increase our share, including home infusion patients, specialty oncology patients, behavioral patients, in-home Seniors, and hospice patients.</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Continued Growth of our Provider Services Patient Populations</w:t>
      </w:r>
    </w:p>
    <w:p>
      <w:pPr>
        <w:spacing w:after="0" w:line="101"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We focus on delivering high-touch and coordinated services to medically complex Senior and Specialty patients in the home and community-based settings where they live. As the baby boomer population ages, Seniors, who comprise a significant majority of our patients, will represent a higher percentage of the overall population. Given the proven value proposition of home-based health services, we believe patients will increasingly seek treatment and referral sources and payors will increasingly support treatment in homes more often than in higher cost, less convenient, higher acuity institutional settings.</w:t>
      </w:r>
    </w:p>
    <w:p>
      <w:pPr>
        <w:spacing w:after="0" w:line="56"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The vast majority of patients we serve in our provider businesses are served in the home, and we have purposefully continued to expand our service offering and footprint to serve patients in this lower cost setting. Since 2019, we built upon supportive care services to patients, as we have meaningfully expanded our footprint of highly clinical and expert services to home health, rehabilitation, and hospice patients to address a large national healthcare need and more completely and better serve Senior and Specialty patients in the home as evidenced by continued census growth within the Provider Services segment. Our complementary services that address the multiple needs of these patient populations will increasingly provide integrated care opportunities to provide more complete and better coordinated services to patients across health settings and stages.</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Stable Reimbursement Environment Across our Portfolio of Businesses</w:t>
      </w:r>
    </w:p>
    <w:p>
      <w:pPr>
        <w:spacing w:after="0" w:line="101" w:lineRule="exact"/>
        <w:rPr>
          <w:sz w:val="20"/>
          <w:szCs w:val="20"/>
          <w:color w:val="auto"/>
        </w:rPr>
      </w:pPr>
    </w:p>
    <w:p>
      <w:pPr>
        <w:ind w:left="640" w:right="679" w:firstLine="351"/>
        <w:spacing w:after="0" w:line="265" w:lineRule="auto"/>
        <w:rPr>
          <w:sz w:val="20"/>
          <w:szCs w:val="20"/>
          <w:color w:val="auto"/>
        </w:rPr>
      </w:pPr>
      <w:r>
        <w:rPr>
          <w:rFonts w:ascii="Times New Roman" w:cs="Times New Roman" w:eastAsia="Times New Roman" w:hAnsi="Times New Roman"/>
          <w:sz w:val="14"/>
          <w:szCs w:val="14"/>
          <w:color w:val="auto"/>
        </w:rPr>
        <w:t>Our revenue is dependent upon our contracts and relationships with payors for our “must-serve” patient populations. We partner with a large and diverse set of payor groups nationally and in each of our markets, to form provider networks and to lower the overall cost of care. We structure our payor contracts to help both providers and payors achieve their objectives in a mutually aligned manner. Maintaining, supporting, and both deepening and increasing the number of these contracts and relationships, particularly as we continue to grow market share and enter new markets, is important for our long-term success.</w:t>
      </w:r>
    </w:p>
    <w:p>
      <w:pPr>
        <w:spacing w:after="0" w:line="56"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We have observed relatively stable reimbursement rates from government and commercial payors in our pharmacy and provider services over a number of years, particularly for services provided to high-need, medically complex populations. Due to the medical necessity of our services, which are lower cost than healthcare services provided in other settings and reduce ER, hospital and institutional facility utilization, we have a history of reimbursement stability.</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Culture of Quality and Compliance and Consistent Operations Execution</w:t>
      </w:r>
    </w:p>
    <w:p>
      <w:pPr>
        <w:spacing w:after="0" w:line="101" w:lineRule="exact"/>
        <w:rPr>
          <w:sz w:val="20"/>
          <w:szCs w:val="20"/>
          <w:color w:val="auto"/>
        </w:rPr>
      </w:pPr>
    </w:p>
    <w:p>
      <w:pPr>
        <w:ind w:left="640" w:right="679" w:firstLine="351"/>
        <w:spacing w:after="0" w:line="264" w:lineRule="auto"/>
        <w:rPr>
          <w:sz w:val="20"/>
          <w:szCs w:val="20"/>
          <w:color w:val="auto"/>
        </w:rPr>
      </w:pPr>
      <w:r>
        <w:rPr>
          <w:rFonts w:ascii="Times New Roman" w:cs="Times New Roman" w:eastAsia="Times New Roman" w:hAnsi="Times New Roman"/>
          <w:sz w:val="14"/>
          <w:szCs w:val="14"/>
          <w:color w:val="auto"/>
        </w:rPr>
        <w:t>Quality and compliance are central to our strategies and mission. We have demonstrated leading and excellent service and customer/patient/family satisfaction scores across the organization, as referenced in prior filings such as our Form 10-K. In addition to quality and compliance resources and programs in field operations, we invest in people, training, auditing, signature programs, accreditations, advocacy, and technologies to support quality, compliance, and safety as part of our “Quality First” framework. We have demonstrated consistently high and often leading marks for service levels, satisfaction scores, and quality metrics in our industries.</w:t>
      </w:r>
    </w:p>
    <w:p>
      <w:pPr>
        <w:spacing w:after="0" w:line="231" w:lineRule="exact"/>
        <w:rPr>
          <w:sz w:val="20"/>
          <w:szCs w:val="20"/>
          <w:color w:val="auto"/>
        </w:rPr>
      </w:pPr>
    </w:p>
    <w:p>
      <w:pPr>
        <w:ind w:left="640" w:right="779" w:firstLine="351"/>
        <w:spacing w:after="0" w:line="268" w:lineRule="auto"/>
        <w:rPr>
          <w:sz w:val="20"/>
          <w:szCs w:val="20"/>
          <w:color w:val="auto"/>
        </w:rPr>
      </w:pPr>
      <w:r>
        <w:rPr>
          <w:rFonts w:ascii="Times New Roman" w:cs="Times New Roman" w:eastAsia="Times New Roman" w:hAnsi="Times New Roman"/>
          <w:sz w:val="14"/>
          <w:szCs w:val="14"/>
          <w:color w:val="auto"/>
        </w:rPr>
        <w:t>Operational excellence is also an ongoing focus at the Company, including how we collect and share key metrics, hold operational reviews, audit, conduct training, deploy expert support resources, execute on corrective and preventative actions, and implement continuous improvement initiatives across the organization. We have continued to make investments in automation, data, and technology systems to support enhanced workflows, further scale, and future growth across service 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32" w:name="page33"/>
    <w:bookmarkEnd w:id="32"/>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Ability to Build De Novo Locations</w:t>
      </w:r>
    </w:p>
    <w:p>
      <w:pPr>
        <w:spacing w:after="0" w:line="101"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We have a proven ability to augment growth of existing operations by expanding our presence and opening new locations – in both of our reportable segments, Pharmacy Solutions and Provider Services – across geographies with consistent ramp-up in performance after site opening. We believe our platform can continue to build further scale nationally, adding density to additional and targeted key markets as a lever to facilitate maximum pharmacy and provider services overlap, integrated and value-based care, and growth. The Company’s geographic and operations scale, and platform of complementary segments and service lines, provides us with access to more de novo opportunities to consider and prioritize.</w:t>
      </w:r>
    </w:p>
    <w:p>
      <w:pPr>
        <w:spacing w:after="0" w:line="58"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We typically identify and open new locations within proximity of an existing location as we leverage existing market knowledge and presence to expand in target markets, regions, and states. Our internal support resources in real estate, purchasing, IT, credentialing, payor contracting, HR, and sales and marketing, along with our Project Management Office, help to support and manage de novo locations from start to opening. We expect to continue to selectively and strategically expand our footprint within the United States and extend our service offerings to our patients and for customers, referral sources, and payors. We believe de novo investments facilitate more integrated care capability and are a meaningful organic growth driver for the Company.</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Ability to Facilitate Integrated Care</w:t>
      </w:r>
    </w:p>
    <w:p>
      <w:pPr>
        <w:spacing w:after="0" w:line="101"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Our operating model consists of complementary pharmacy and provider services that high-need Senior and Specialty populations require, and it is designed to increasingly coordinate, manage, and serve patients across our various needs and settings over time, leading to improved patient, family, physician, and referral source satisfaction, improved payor experiences, and better outcomes. Our performance and potential to drive increased service volume for increased patient and health outcomes impact is driven partly by our appeal with our patients, families, customers, referral sources, and payors to provide multiple integrated care services – either in the same setting at the same time or across settings and stages of health – within our collection of pharmacy solutions and provider services and differentiated overall capabilities.</w:t>
      </w:r>
    </w:p>
    <w:p>
      <w:pPr>
        <w:spacing w:after="0" w:line="59" w:lineRule="exact"/>
        <w:rPr>
          <w:sz w:val="20"/>
          <w:szCs w:val="20"/>
          <w:color w:val="auto"/>
        </w:rPr>
      </w:pPr>
    </w:p>
    <w:p>
      <w:pPr>
        <w:ind w:left="640" w:right="679" w:firstLine="351"/>
        <w:spacing w:after="0" w:line="261" w:lineRule="auto"/>
        <w:rPr>
          <w:sz w:val="20"/>
          <w:szCs w:val="20"/>
          <w:color w:val="auto"/>
        </w:rPr>
      </w:pPr>
      <w:r>
        <w:rPr>
          <w:rFonts w:ascii="Times New Roman" w:cs="Times New Roman" w:eastAsia="Times New Roman" w:hAnsi="Times New Roman"/>
          <w:sz w:val="14"/>
          <w:szCs w:val="14"/>
          <w:color w:val="auto"/>
        </w:rPr>
        <w:t>We provide multiple pharmacy and provider services to approximately 9,000 patients today, and we believe that there are substantially more opportunities to deliver more integrated care, given the hundreds of thousands of patients we serve and a similar number of patients discharging from customers annually. Value-add, beneficial, and multiple integrated care opportunities exist for our customer base and all Senior and Specialty patient populations not only across pharmacy and provider services, but also within each segment. Within pharmacy services, CCRx is aimed at providing medication risk and therapy management continuously and longitudinally post discharge from hospitals and skilled nursing customers. Within provider services, patients often transition from home health to hospice services and can receive therapy and supportive care services concurrent with each other and with home health and hospice.</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Aligning to Value-Based Care Reimbursement Models with Innovative Solutions</w:t>
      </w:r>
    </w:p>
    <w:p>
      <w:pPr>
        <w:spacing w:after="0" w:line="101"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The scale and depth of our complimentary platform of diverse yet related customer and patient services – that complex patients require – positions us at the forefront with governmental and commercial payors who are increasingly seeking ways to expand value-based reimbursement models. Our high-quality services that are delivered in home and community-based and patient and family-preferred settings at lower comparable costs are well-positioned for the long-term, and we continue to add wraparound care management capabilities and offerings to our core services. In addition to our large Medicare and Medicaid beneficiary populations, we have a large number of non-governmental payor contracts across the organization today, which both diversifies our payor mix, and provides for additional value-based opportunities and partnerships. The Company’s focused build out of its (i) Home-Based Primary Care, transitional care programs, and in-home medication therapy management, and (ii) Clinical (Nursing) Hub, are key enablers to coordinate base pharmacy and provider services and drive improved quality and lower costs for value-based care constructs. In addition to numerous payor contracts that feature reimbursement incentives, in the past year the Company has entered into several accountable care organization (“ACO”) arrangements to participate in shared savings from its attributed primary care patients and other ACO partnerships and contract as a preferred provider.</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Factors Affecting Results of Operations and Comparability</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Legal Costs and Settlements Accrual</w:t>
      </w:r>
    </w:p>
    <w:p>
      <w:pPr>
        <w:spacing w:after="0" w:line="101"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In November 2023, the Company agreed to settle the Silver matter without admitting liability, as discussed under Part I, Item 3. “Legal Proceedings” in our Annual Report on Form 10-K for the year ended December 31, 2024. On May 29, 2024, the parties entered into a final settlement agreement, which was approved by both the United States Department of Justice and the District Court. The total financial impact of the settlement was $120.0 million; all of which has been paid as of April 2025. We paid $110.0 million of the settlement in 2024, and the remainder in April 2025. The District Court entered an order dismissing the Silver action in its entirety, with prejudice, on July 3, 2024. See Note 13 “Commitments and Contingencies” within the unaudited condensed consolidated financial statements and related notes, included elsewhere in this Form 10-Q.</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33" w:name="page34"/>
    <w:bookmarkEnd w:id="33"/>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Discontinued Operations</w:t>
      </w:r>
    </w:p>
    <w:p>
      <w:pPr>
        <w:spacing w:after="0" w:line="187" w:lineRule="exact"/>
        <w:rPr>
          <w:sz w:val="20"/>
          <w:szCs w:val="20"/>
          <w:color w:val="auto"/>
        </w:rPr>
      </w:pPr>
    </w:p>
    <w:p>
      <w:pPr>
        <w:ind w:left="640" w:right="779" w:firstLine="516"/>
        <w:spacing w:after="0" w:line="265" w:lineRule="auto"/>
        <w:rPr>
          <w:sz w:val="20"/>
          <w:szCs w:val="20"/>
          <w:color w:val="auto"/>
        </w:rPr>
      </w:pPr>
      <w:r>
        <w:rPr>
          <w:rFonts w:ascii="Times New Roman" w:cs="Times New Roman" w:eastAsia="Times New Roman" w:hAnsi="Times New Roman"/>
          <w:sz w:val="14"/>
          <w:szCs w:val="14"/>
          <w:color w:val="auto"/>
        </w:rPr>
        <w:t>On January 17, 2025, the Company entered into a definitive agreement to sell its Community Living business to National Mentor Holdings, Inc. (the “Purchaser”), for $835.0 million in cash upon closing, subject to certain post-closing adjustments. We entered into the transaction in order to streamline our service offerings and further focus on the senior and specialty populations. The transaction is currently expected to close in late 2025, subject to receipt of customary regulatory approvals and satisfaction of other closing conditions.</w:t>
      </w:r>
    </w:p>
    <w:p>
      <w:pPr>
        <w:spacing w:after="0" w:line="56" w:lineRule="exact"/>
        <w:rPr>
          <w:sz w:val="20"/>
          <w:szCs w:val="20"/>
          <w:color w:val="auto"/>
        </w:rPr>
      </w:pPr>
    </w:p>
    <w:p>
      <w:pPr>
        <w:ind w:left="640" w:right="659" w:firstLine="516"/>
        <w:spacing w:after="0" w:line="260" w:lineRule="auto"/>
        <w:rPr>
          <w:sz w:val="20"/>
          <w:szCs w:val="20"/>
          <w:color w:val="auto"/>
        </w:rPr>
      </w:pPr>
      <w:r>
        <w:rPr>
          <w:rFonts w:ascii="Times New Roman" w:cs="Times New Roman" w:eastAsia="Times New Roman" w:hAnsi="Times New Roman"/>
          <w:sz w:val="14"/>
          <w:szCs w:val="14"/>
          <w:color w:val="auto"/>
        </w:rPr>
        <w:t>The Company has determined the divestiture of the Community Living business represents a strategic shift that will have a major effect on its business and has concluded the criteria for classification as discontinued operations were met during the first fiscal quarter of 2025. Accordingly, the Community Living business is reported as discontinued operations in accordance with Accounting Standards Codification (“ASC”) 205-20, Discontinued Operations. The related assets and liabilities of the Community Living business are classified as assets and liabilities held for sale in the accompanying unaudited condensed consolidated balance sheet as of June 30, 2025, and the results of operations from the Community Living business are classified as discontinued operations in the unaudited condensed consolidated statements of operations. Applicable amounts in prior years have been recast to conform to this discontinued operations presentation. The Community Living business was historically presented as a part of the Provider Services reportable segment.</w:t>
      </w:r>
    </w:p>
    <w:p>
      <w:pPr>
        <w:spacing w:after="0" w:line="63" w:lineRule="exact"/>
        <w:rPr>
          <w:sz w:val="20"/>
          <w:szCs w:val="20"/>
          <w:color w:val="auto"/>
        </w:rPr>
      </w:pPr>
    </w:p>
    <w:p>
      <w:pPr>
        <w:ind w:left="640" w:right="819" w:firstLine="516"/>
        <w:spacing w:after="0" w:line="292" w:lineRule="auto"/>
        <w:rPr>
          <w:sz w:val="20"/>
          <w:szCs w:val="20"/>
          <w:color w:val="auto"/>
        </w:rPr>
      </w:pPr>
      <w:r>
        <w:rPr>
          <w:rFonts w:ascii="Times New Roman" w:cs="Times New Roman" w:eastAsia="Times New Roman" w:hAnsi="Times New Roman"/>
          <w:sz w:val="14"/>
          <w:szCs w:val="14"/>
          <w:color w:val="auto"/>
        </w:rPr>
        <w:t>See Note 2 “Discontinued Operations” within the unaudited condensed consolidated financial statements and related notes, included elsewhere in this Form 10-Q.</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183" w:lineRule="exact"/>
        <w:rPr>
          <w:sz w:val="20"/>
          <w:szCs w:val="20"/>
          <w:color w:val="auto"/>
        </w:rPr>
      </w:pPr>
    </w:p>
    <w:p>
      <w:pPr>
        <w:ind w:left="640" w:right="759" w:firstLine="351"/>
        <w:spacing w:after="0" w:line="266" w:lineRule="auto"/>
        <w:rPr>
          <w:sz w:val="20"/>
          <w:szCs w:val="20"/>
          <w:color w:val="auto"/>
        </w:rPr>
      </w:pPr>
      <w:r>
        <w:rPr>
          <w:rFonts w:ascii="Times New Roman" w:cs="Times New Roman" w:eastAsia="Times New Roman" w:hAnsi="Times New Roman"/>
          <w:sz w:val="14"/>
          <w:szCs w:val="14"/>
          <w:i w:val="1"/>
          <w:iCs w:val="1"/>
          <w:color w:val="auto"/>
        </w:rPr>
        <w:t>Revenues</w:t>
      </w:r>
      <w:r>
        <w:rPr>
          <w:rFonts w:ascii="Times New Roman" w:cs="Times New Roman" w:eastAsia="Times New Roman" w:hAnsi="Times New Roman"/>
          <w:sz w:val="14"/>
          <w:szCs w:val="14"/>
          <w:color w:val="auto"/>
        </w:rPr>
        <w:t>. The Company recognizes the amount of revenue to which it expects to be entitled for the transfer of promised goods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services to customers. For transactions involving the transfer of goods, revenues are primarily recognized when the customer obtains control of the products sold, which is generally upon shipment or delivery, depending on the delivery terms specified in the sales agreement. For transactions exclusively involving provision of services, revenues are recognized over time based on an appropriate measure of progress.</w:t>
      </w:r>
    </w:p>
    <w:p>
      <w:pPr>
        <w:spacing w:after="0" w:line="53" w:lineRule="exact"/>
        <w:rPr>
          <w:sz w:val="20"/>
          <w:szCs w:val="20"/>
          <w:color w:val="auto"/>
        </w:rPr>
      </w:pPr>
    </w:p>
    <w:p>
      <w:pPr>
        <w:ind w:left="640" w:right="679" w:firstLine="351"/>
        <w:spacing w:after="0" w:line="266" w:lineRule="auto"/>
        <w:rPr>
          <w:sz w:val="20"/>
          <w:szCs w:val="20"/>
          <w:color w:val="auto"/>
        </w:rPr>
      </w:pPr>
      <w:r>
        <w:rPr>
          <w:rFonts w:ascii="Times New Roman" w:cs="Times New Roman" w:eastAsia="Times New Roman" w:hAnsi="Times New Roman"/>
          <w:sz w:val="14"/>
          <w:szCs w:val="14"/>
          <w:i w:val="1"/>
          <w:iCs w:val="1"/>
          <w:color w:val="auto"/>
        </w:rPr>
        <w:t>Cost of Goods and Cost of Services</w:t>
      </w:r>
      <w:r>
        <w:rPr>
          <w:rFonts w:ascii="Times New Roman" w:cs="Times New Roman" w:eastAsia="Times New Roman" w:hAnsi="Times New Roman"/>
          <w:sz w:val="14"/>
          <w:szCs w:val="14"/>
          <w:color w:val="auto"/>
        </w:rPr>
        <w:t>. We classify expenses directly related to providing goods and services, including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depreciation and amortization, as cost of goods and cost of services. Direct costs and expenses principally include cost of drugs, net of rebates, salaries and benefits for direct care and service professionals, contracted labor costs, insurance costs, transportation costs for clients requiring services, certain client expenses such as food, supplies and medicine, residential occupancy expenses, which primarily comprise rent and utilities, and other miscellaneous direct goods or service-related expenses.</w:t>
      </w:r>
    </w:p>
    <w:p>
      <w:pPr>
        <w:spacing w:after="0" w:line="53" w:lineRule="exact"/>
        <w:rPr>
          <w:sz w:val="20"/>
          <w:szCs w:val="20"/>
          <w:color w:val="auto"/>
        </w:rPr>
      </w:pPr>
    </w:p>
    <w:p>
      <w:pPr>
        <w:ind w:left="640" w:right="819" w:firstLine="351"/>
        <w:spacing w:after="0" w:line="266" w:lineRule="auto"/>
        <w:rPr>
          <w:sz w:val="20"/>
          <w:szCs w:val="20"/>
          <w:color w:val="auto"/>
        </w:rPr>
      </w:pPr>
      <w:r>
        <w:rPr>
          <w:rFonts w:ascii="Times New Roman" w:cs="Times New Roman" w:eastAsia="Times New Roman" w:hAnsi="Times New Roman"/>
          <w:sz w:val="14"/>
          <w:szCs w:val="14"/>
          <w:i w:val="1"/>
          <w:iCs w:val="1"/>
          <w:color w:val="auto"/>
        </w:rPr>
        <w:t>Selling, General, and Administrative Expenses</w:t>
      </w:r>
      <w:r>
        <w:rPr>
          <w:rFonts w:ascii="Times New Roman" w:cs="Times New Roman" w:eastAsia="Times New Roman" w:hAnsi="Times New Roman"/>
          <w:sz w:val="14"/>
          <w:szCs w:val="14"/>
          <w:color w:val="auto"/>
        </w:rPr>
        <w:t>. Selling, general, and administrative expenses consist of expenses incurred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support of our operations and administrative functions and include labor costs, such as salaries, bonuses, commissions, benefits, and travel-related expenses, distribution expenses, facilities rental costs, third-party revenue cycle management costs, and corporate support costs including finance, information technology, legal costs and settlements, human resources, procurement, and other administrative costs.</w:t>
      </w:r>
    </w:p>
    <w:p>
      <w:pPr>
        <w:spacing w:after="0" w:line="53" w:lineRule="exact"/>
        <w:rPr>
          <w:sz w:val="20"/>
          <w:szCs w:val="20"/>
          <w:color w:val="auto"/>
        </w:rPr>
      </w:pPr>
    </w:p>
    <w:p>
      <w:pPr>
        <w:ind w:left="640" w:right="759" w:firstLine="351"/>
        <w:spacing w:after="0" w:line="295" w:lineRule="auto"/>
        <w:rPr>
          <w:sz w:val="20"/>
          <w:szCs w:val="20"/>
          <w:color w:val="auto"/>
        </w:rPr>
      </w:pPr>
      <w:r>
        <w:rPr>
          <w:rFonts w:ascii="Times New Roman" w:cs="Times New Roman" w:eastAsia="Times New Roman" w:hAnsi="Times New Roman"/>
          <w:sz w:val="14"/>
          <w:szCs w:val="14"/>
          <w:i w:val="1"/>
          <w:iCs w:val="1"/>
          <w:color w:val="auto"/>
        </w:rPr>
        <w:t xml:space="preserve">Loss on Extinguishment of Debt. </w:t>
      </w:r>
      <w:r>
        <w:rPr>
          <w:rFonts w:ascii="Times New Roman" w:cs="Times New Roman" w:eastAsia="Times New Roman" w:hAnsi="Times New Roman"/>
          <w:sz w:val="14"/>
          <w:szCs w:val="14"/>
          <w:color w:val="auto"/>
        </w:rPr>
        <w:t>Loss on extinguishment of debt reflects the write-off of unamortized debt issuance costs upon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early repayment of our Second Lien Facility in 2024.</w:t>
      </w:r>
    </w:p>
    <w:p>
      <w:pPr>
        <w:spacing w:after="0" w:line="34" w:lineRule="exact"/>
        <w:rPr>
          <w:sz w:val="20"/>
          <w:szCs w:val="20"/>
          <w:color w:val="auto"/>
        </w:rPr>
      </w:pPr>
    </w:p>
    <w:p>
      <w:pPr>
        <w:ind w:left="640" w:right="679" w:firstLine="351"/>
        <w:spacing w:after="0" w:line="269" w:lineRule="auto"/>
        <w:rPr>
          <w:sz w:val="20"/>
          <w:szCs w:val="20"/>
          <w:color w:val="auto"/>
        </w:rPr>
      </w:pPr>
      <w:r>
        <w:rPr>
          <w:rFonts w:ascii="Times New Roman" w:cs="Times New Roman" w:eastAsia="Times New Roman" w:hAnsi="Times New Roman"/>
          <w:sz w:val="14"/>
          <w:szCs w:val="14"/>
          <w:i w:val="1"/>
          <w:iCs w:val="1"/>
          <w:color w:val="auto"/>
        </w:rPr>
        <w:t>Interest Expense, net</w:t>
      </w:r>
      <w:r>
        <w:rPr>
          <w:rFonts w:ascii="Times New Roman" w:cs="Times New Roman" w:eastAsia="Times New Roman" w:hAnsi="Times New Roman"/>
          <w:sz w:val="14"/>
          <w:szCs w:val="14"/>
          <w:color w:val="auto"/>
        </w:rPr>
        <w:t>. Interest expense, net includes the debt service costs associated with our various debt instruments,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our First Lien Facilities, and the amortization of related deferred financing fees, which are amortized over the term of the respective credit agreement. Interest expense, net also includes the portion of the gain or loss on our interest rate swap agreements that is reclassified into earnings.</w:t>
      </w:r>
    </w:p>
    <w:p>
      <w:pPr>
        <w:spacing w:after="0" w:line="51" w:lineRule="exact"/>
        <w:rPr>
          <w:sz w:val="20"/>
          <w:szCs w:val="20"/>
          <w:color w:val="auto"/>
        </w:rPr>
      </w:pPr>
    </w:p>
    <w:p>
      <w:pPr>
        <w:ind w:left="640" w:right="839" w:firstLine="351"/>
        <w:spacing w:after="0" w:line="275" w:lineRule="auto"/>
        <w:rPr>
          <w:sz w:val="20"/>
          <w:szCs w:val="20"/>
          <w:color w:val="auto"/>
        </w:rPr>
      </w:pPr>
      <w:r>
        <w:rPr>
          <w:rFonts w:ascii="Times New Roman" w:cs="Times New Roman" w:eastAsia="Times New Roman" w:hAnsi="Times New Roman"/>
          <w:sz w:val="14"/>
          <w:szCs w:val="14"/>
          <w:i w:val="1"/>
          <w:iCs w:val="1"/>
          <w:color w:val="auto"/>
        </w:rPr>
        <w:t>Income Tax Expense (Benefit)</w:t>
      </w:r>
      <w:r>
        <w:rPr>
          <w:rFonts w:ascii="Times New Roman" w:cs="Times New Roman" w:eastAsia="Times New Roman" w:hAnsi="Times New Roman"/>
          <w:sz w:val="14"/>
          <w:szCs w:val="14"/>
          <w:color w:val="auto"/>
        </w:rPr>
        <w:t>. Our provision for income taxes is based on permanent book/tax differences and statutory tax</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rates in the various jurisdictions in which we operate. Significant estimates and judgments are required in determining the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34" w:name="page35"/>
    <w:bookmarkEnd w:id="34"/>
    <w:p>
      <w:pPr>
        <w:ind w:left="64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u w:val="single" w:color="auto"/>
          <w:color w:val="auto"/>
        </w:rPr>
        <w:t>Consolidated Results of Operations</w:t>
      </w:r>
    </w:p>
    <w:p>
      <w:pPr>
        <w:spacing w:after="0" w:line="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June 30, 2025 Compared to Three Months Ended June 30, 2024</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sets forth, for the periods indicated, our consolidated results of operations.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362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 in thousands)</w:t>
            </w: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1"/>
                <w:szCs w:val="11"/>
                <w:b w:val="1"/>
                <w:bCs w:val="1"/>
                <w:color w:val="auto"/>
              </w:rPr>
              <w:t>For the Three Months Ended June 30,</w:t>
            </w:r>
          </w:p>
        </w:tc>
        <w:tc>
          <w:tcPr>
            <w:tcW w:w="6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vMerge w:val="restart"/>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vMerge w:val="restart"/>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gridSpan w:val="3"/>
          </w:tcPr>
          <w:p>
            <w:pPr>
              <w:ind w:left="600"/>
              <w:spacing w:after="0" w:line="109" w:lineRule="exact"/>
              <w:rPr>
                <w:sz w:val="20"/>
                <w:szCs w:val="20"/>
                <w:color w:val="auto"/>
              </w:rPr>
            </w:pPr>
            <w:r>
              <w:rPr>
                <w:rFonts w:ascii="Times New Roman" w:cs="Times New Roman" w:eastAsia="Times New Roman" w:hAnsi="Times New Roman"/>
                <w:sz w:val="11"/>
                <w:szCs w:val="11"/>
                <w:b w:val="1"/>
                <w:bCs w:val="1"/>
                <w:color w:val="auto"/>
              </w:rPr>
              <w:t>Change</w:t>
            </w: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gridSpan w:val="3"/>
          </w:tcPr>
          <w:p>
            <w:pPr>
              <w:ind w:left="80"/>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620" w:type="dxa"/>
            <w:vAlign w:val="bottom"/>
          </w:tcPr>
          <w:p>
            <w:pPr>
              <w:jc w:val="right"/>
              <w:ind w:right="309"/>
              <w:spacing w:after="0" w:line="109"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w:t>
            </w:r>
          </w:p>
        </w:tc>
        <w:tc>
          <w:tcPr>
            <w:tcW w:w="18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Products</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2,790,101</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2,114,491</w:t>
            </w:r>
          </w:p>
        </w:tc>
        <w:tc>
          <w:tcPr>
            <w:tcW w:w="160" w:type="dxa"/>
            <w:vAlign w:val="bottom"/>
          </w:tcPr>
          <w:p>
            <w:pPr>
              <w:spacing w:after="0"/>
              <w:rPr>
                <w:sz w:val="14"/>
                <w:szCs w:val="14"/>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675,610</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Services</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357,597</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323,763</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33,834</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3,147,698</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2,438,254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709,444</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29.1%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goods</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2,556,402</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1,931,760</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624,642</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32.3%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216,444</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194,318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22,126</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374,852</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312,176</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62,676</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326,295</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273,523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52,772</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8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48,557</w:t>
            </w:r>
          </w:p>
        </w:tc>
        <w:tc>
          <w:tcPr>
            <w:tcW w:w="16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38,653</w:t>
            </w:r>
          </w:p>
        </w:tc>
        <w:tc>
          <w:tcPr>
            <w:tcW w:w="160" w:type="dxa"/>
            <w:vAlign w:val="bottom"/>
            <w:tcBorders>
              <w:top w:val="single" w:sz="8" w:color="CFF0FC"/>
              <w:right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9,904</w:t>
            </w:r>
          </w:p>
        </w:tc>
        <w:tc>
          <w:tcPr>
            <w:tcW w:w="16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w w:val="96"/>
              </w:rPr>
              <w:t>n.m.</w:t>
            </w:r>
          </w:p>
        </w:tc>
        <w:tc>
          <w:tcPr>
            <w:tcW w:w="2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38,778</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43,282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(4,504)</w:t>
            </w:r>
          </w:p>
        </w:tc>
        <w:tc>
          <w:tcPr>
            <w:tcW w:w="26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9,779</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(4,629)</w:t>
            </w: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14,408</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(13,115)</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14,353</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8,541</w:t>
            </w:r>
          </w:p>
        </w:tc>
        <w:tc>
          <w:tcPr>
            <w:tcW w:w="3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8,486</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600" w:type="dxa"/>
            <w:vAlign w:val="bottom"/>
          </w:tcPr>
          <w:p>
            <w:pPr>
              <w:spacing w:after="0" w:line="163" w:lineRule="exact"/>
              <w:rPr>
                <w:sz w:val="20"/>
                <w:szCs w:val="20"/>
                <w:color w:val="auto"/>
              </w:rPr>
            </w:pPr>
            <w:r>
              <w:rPr>
                <w:rFonts w:ascii="Times New Roman" w:cs="Times New Roman" w:eastAsia="Times New Roman" w:hAnsi="Times New Roman"/>
                <w:sz w:val="14"/>
                <w:szCs w:val="14"/>
                <w:color w:val="auto"/>
              </w:rPr>
              <w:t xml:space="preserve">Adjusted EBITDA </w:t>
            </w:r>
            <w:r>
              <w:rPr>
                <w:rFonts w:ascii="Times New Roman" w:cs="Times New Roman" w:eastAsia="Times New Roman" w:hAnsi="Times New Roman"/>
                <w:sz w:val="18"/>
                <w:szCs w:val="18"/>
                <w:color w:val="auto"/>
                <w:vertAlign w:val="superscript"/>
              </w:rPr>
              <w:t>(1)</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142,517</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110,637</w:t>
            </w:r>
          </w:p>
        </w:tc>
        <w:tc>
          <w:tcPr>
            <w:tcW w:w="160" w:type="dxa"/>
            <w:vAlign w:val="bottom"/>
          </w:tcPr>
          <w:p>
            <w:pPr>
              <w:spacing w:after="0"/>
              <w:rPr>
                <w:sz w:val="14"/>
                <w:szCs w:val="14"/>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31,880</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3248660</wp:posOffset>
            </wp:positionH>
            <wp:positionV relativeFrom="paragraph">
              <wp:posOffset>-1267460</wp:posOffset>
            </wp:positionV>
            <wp:extent cx="47625" cy="69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-1267460</wp:posOffset>
            </wp:positionV>
            <wp:extent cx="47625" cy="69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-1267460</wp:posOffset>
            </wp:positionV>
            <wp:extent cx="47625" cy="69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-1267460</wp:posOffset>
            </wp:positionV>
            <wp:extent cx="116205" cy="69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3248660</wp:posOffset>
            </wp:positionH>
            <wp:positionV relativeFrom="paragraph">
              <wp:posOffset>-701675</wp:posOffset>
            </wp:positionV>
            <wp:extent cx="47625" cy="69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-701675</wp:posOffset>
            </wp:positionV>
            <wp:extent cx="47625" cy="69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-701675</wp:posOffset>
            </wp:positionV>
            <wp:extent cx="47625" cy="69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-701675</wp:posOffset>
            </wp:positionV>
            <wp:extent cx="116205" cy="698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3248660</wp:posOffset>
            </wp:positionH>
            <wp:positionV relativeFrom="paragraph">
              <wp:posOffset>-135890</wp:posOffset>
            </wp:positionV>
            <wp:extent cx="47625" cy="69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-135890</wp:posOffset>
            </wp:positionV>
            <wp:extent cx="47625" cy="69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-135890</wp:posOffset>
            </wp:positionV>
            <wp:extent cx="47625" cy="69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-135890</wp:posOffset>
            </wp:positionV>
            <wp:extent cx="116205" cy="69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16205" cy="6985"/>
                    </a:xfrm>
                    <a:prstGeom prst="rect">
                      <a:avLst/>
                    </a:prstGeom>
                    <a:noFill/>
                  </pic:spPr>
                </pic:pic>
              </a:graphicData>
            </a:graphic>
          </wp:anchor>
        </w:drawing>
      </w:r>
    </w:p>
    <w:p>
      <w:pPr>
        <w:spacing w:after="0" w:line="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1"/>
          <w:szCs w:val="11"/>
          <w:i w:val="1"/>
          <w:iCs w:val="1"/>
          <w:color w:val="auto"/>
        </w:rPr>
        <w:t>* n.m.: not meaningful</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(1) Reconciliation of GAAP to non-GAAP results is provided below under the section entitled “Non-GAAP Financial Measures.”</w:t>
      </w:r>
    </w:p>
    <w:p>
      <w:pPr>
        <w:spacing w:after="0" w:line="183" w:lineRule="exact"/>
        <w:rPr>
          <w:sz w:val="20"/>
          <w:szCs w:val="20"/>
          <w:color w:val="auto"/>
        </w:rPr>
      </w:pPr>
    </w:p>
    <w:p>
      <w:pPr>
        <w:ind w:left="640" w:right="879" w:firstLine="322"/>
        <w:spacing w:after="0" w:line="292" w:lineRule="auto"/>
        <w:rPr>
          <w:sz w:val="20"/>
          <w:szCs w:val="20"/>
          <w:color w:val="auto"/>
        </w:rPr>
      </w:pPr>
      <w:r>
        <w:rPr>
          <w:rFonts w:ascii="Times New Roman" w:cs="Times New Roman" w:eastAsia="Times New Roman" w:hAnsi="Times New Roman"/>
          <w:sz w:val="14"/>
          <w:szCs w:val="14"/>
          <w:color w:val="auto"/>
        </w:rPr>
        <w:t>The following discussion of our results of operations should be read in conjunction with the foregoing table summarizing our consolidated results of operations.</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Revenues</w:t>
      </w:r>
    </w:p>
    <w:p>
      <w:pPr>
        <w:spacing w:after="0" w:line="99" w:lineRule="exact"/>
        <w:rPr>
          <w:sz w:val="20"/>
          <w:szCs w:val="20"/>
          <w:color w:val="auto"/>
        </w:rPr>
      </w:pPr>
    </w:p>
    <w:p>
      <w:pPr>
        <w:ind w:left="640" w:right="839" w:firstLine="351"/>
        <w:spacing w:after="0" w:line="274" w:lineRule="auto"/>
        <w:rPr>
          <w:sz w:val="20"/>
          <w:szCs w:val="20"/>
          <w:color w:val="auto"/>
        </w:rPr>
      </w:pPr>
      <w:r>
        <w:rPr>
          <w:rFonts w:ascii="Times New Roman" w:cs="Times New Roman" w:eastAsia="Times New Roman" w:hAnsi="Times New Roman"/>
          <w:sz w:val="14"/>
          <w:szCs w:val="14"/>
          <w:color w:val="auto"/>
        </w:rPr>
        <w:t>Revenues were $3,147.7 million for the three months ended June 30, 2025, as compared with $2,438.3 million for the three months ended June 30, 2024, an increase of $709.4 million or 29.1%. The increase resulted from growth in our Pharmacy Solutions and Provider Services segments. See additional discussion in “—Segment Results of Operations” below.</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Cost of Goods</w:t>
      </w:r>
    </w:p>
    <w:p>
      <w:pPr>
        <w:spacing w:after="0" w:line="99" w:lineRule="exact"/>
        <w:rPr>
          <w:sz w:val="20"/>
          <w:szCs w:val="20"/>
          <w:color w:val="auto"/>
        </w:rPr>
      </w:pPr>
    </w:p>
    <w:p>
      <w:pPr>
        <w:jc w:val="both"/>
        <w:ind w:left="640" w:right="779" w:firstLine="351"/>
        <w:spacing w:after="0" w:line="274" w:lineRule="auto"/>
        <w:rPr>
          <w:sz w:val="20"/>
          <w:szCs w:val="20"/>
          <w:color w:val="auto"/>
        </w:rPr>
      </w:pPr>
      <w:r>
        <w:rPr>
          <w:rFonts w:ascii="Times New Roman" w:cs="Times New Roman" w:eastAsia="Times New Roman" w:hAnsi="Times New Roman"/>
          <w:sz w:val="14"/>
          <w:szCs w:val="14"/>
          <w:color w:val="auto"/>
        </w:rPr>
        <w:t>Cost of goods was $2,556.4 million for the three months ended June 30, 2025, as compared with $1,931.8 million for the three months ended June 30, 2024, an increase of $624.6 million or 32.3%. The increase resulted from an increase in Pharmacy Solutions cost of goods. See additional discussion in “—Segment Results of Operations” below.</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Cost of Services</w:t>
      </w:r>
    </w:p>
    <w:p>
      <w:pPr>
        <w:spacing w:after="0" w:line="99" w:lineRule="exact"/>
        <w:rPr>
          <w:sz w:val="20"/>
          <w:szCs w:val="20"/>
          <w:color w:val="auto"/>
        </w:rPr>
      </w:pPr>
    </w:p>
    <w:p>
      <w:pPr>
        <w:ind w:left="640" w:right="779" w:firstLine="351"/>
        <w:spacing w:after="0" w:line="274" w:lineRule="auto"/>
        <w:rPr>
          <w:sz w:val="20"/>
          <w:szCs w:val="20"/>
          <w:color w:val="auto"/>
        </w:rPr>
      </w:pPr>
      <w:r>
        <w:rPr>
          <w:rFonts w:ascii="Times New Roman" w:cs="Times New Roman" w:eastAsia="Times New Roman" w:hAnsi="Times New Roman"/>
          <w:sz w:val="14"/>
          <w:szCs w:val="14"/>
          <w:color w:val="auto"/>
        </w:rPr>
        <w:t>Cost of services was $216.4 million for the three months ended June 30, 2025, as compared with $194.3 million for the three months ended June 30, 2024, an increase of $22.1 million or 11.4%. The increase resulted from an increase in Provider Services cost of services. See additional discussion in “—Segment Results of Operations” below.</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99" w:lineRule="exact"/>
        <w:rPr>
          <w:sz w:val="20"/>
          <w:szCs w:val="20"/>
          <w:color w:val="auto"/>
        </w:rPr>
      </w:pPr>
    </w:p>
    <w:p>
      <w:pPr>
        <w:jc w:val="both"/>
        <w:ind w:left="640" w:right="739" w:firstLine="351"/>
        <w:spacing w:after="0" w:line="274" w:lineRule="auto"/>
        <w:rPr>
          <w:sz w:val="20"/>
          <w:szCs w:val="20"/>
          <w:color w:val="auto"/>
        </w:rPr>
      </w:pPr>
      <w:r>
        <w:rPr>
          <w:rFonts w:ascii="Times New Roman" w:cs="Times New Roman" w:eastAsia="Times New Roman" w:hAnsi="Times New Roman"/>
          <w:sz w:val="14"/>
          <w:szCs w:val="14"/>
          <w:color w:val="auto"/>
        </w:rPr>
        <w:t>Selling, general, and administrative expenses were $326.3 million for the three months ended June 30, 2025, as compared with $273.5 million for the three months ended June 30, 2024, an increase of $52.8 million or 19.3%. The increase primarily resulted from the following segment activity and factors:</w:t>
      </w:r>
    </w:p>
    <w:p>
      <w:pPr>
        <w:spacing w:after="0" w:line="50" w:lineRule="exact"/>
        <w:rPr>
          <w:sz w:val="20"/>
          <w:szCs w:val="20"/>
          <w:color w:val="auto"/>
        </w:rPr>
      </w:pPr>
    </w:p>
    <w:p>
      <w:pPr>
        <w:ind w:left="1340" w:right="699" w:hanging="352"/>
        <w:spacing w:after="0" w:line="274" w:lineRule="auto"/>
        <w:tabs>
          <w:tab w:leader="none" w:pos="1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$27.7 million, or 10.1% growth on consolidated second quarter of 2024 selling, general, and administrative expenses, as a result of growth in our Pharmacy Solutions and Provider Services segments. See additional discussion in “—Segment Results of Operations” below;</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35" w:name="page36"/>
    <w:bookmarkEnd w:id="35"/>
    <w:p>
      <w:pPr>
        <w:ind w:left="1340" w:right="699" w:hanging="352"/>
        <w:spacing w:after="0" w:line="274" w:lineRule="auto"/>
        <w:tabs>
          <w:tab w:leader="none" w:pos="1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$6.0 million, or 2.2%, growth on consolidated second quarter of 2024 selling, general, and administrative expenses, due to non-cash share-based compensation related to the equity awards granted to management and certain full-time employees;</w:t>
      </w:r>
    </w:p>
    <w:p>
      <w:pPr>
        <w:spacing w:after="0" w:line="50" w:lineRule="exact"/>
        <w:rPr>
          <w:rFonts w:ascii="Times New Roman" w:cs="Times New Roman" w:eastAsia="Times New Roman" w:hAnsi="Times New Roman"/>
          <w:sz w:val="14"/>
          <w:szCs w:val="14"/>
          <w:color w:val="auto"/>
        </w:rPr>
      </w:pPr>
    </w:p>
    <w:p>
      <w:pPr>
        <w:ind w:left="1340" w:right="719" w:hanging="352"/>
        <w:spacing w:after="0" w:line="292" w:lineRule="auto"/>
        <w:tabs>
          <w:tab w:leader="none" w:pos="1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$14.8 million, or 5.4%, increase in consolidated second quarter of 2024 selling, general, and administrative expenses, as a result of an increase in acquisition, integration and transaction-related expenses; and,</w:t>
      </w:r>
    </w:p>
    <w:p>
      <w:pPr>
        <w:spacing w:after="0" w:line="37" w:lineRule="exact"/>
        <w:rPr>
          <w:rFonts w:ascii="Times New Roman" w:cs="Times New Roman" w:eastAsia="Times New Roman" w:hAnsi="Times New Roman"/>
          <w:sz w:val="14"/>
          <w:szCs w:val="14"/>
          <w:color w:val="auto"/>
        </w:rPr>
      </w:pPr>
    </w:p>
    <w:p>
      <w:pPr>
        <w:ind w:left="1340" w:right="779" w:hanging="352"/>
        <w:spacing w:after="0" w:line="292" w:lineRule="auto"/>
        <w:tabs>
          <w:tab w:leader="none" w:pos="1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$4.3 million, or 1.6%, increase in consolidated second quarter of 2024 selling, general, and administrative expenses, as a result of an increase in other operational expenses year-over-year.</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Interest Expense, net</w:t>
      </w:r>
    </w:p>
    <w:p>
      <w:pPr>
        <w:spacing w:after="0" w:line="99"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Interest expense, net was $38.8 million for the three months ended June 30, 2025, as compared with $43.3 million for the three months ended June 30, 2024, a decrease of $4.5 million or 10.4%. The decrease primarily resulted from a decrease in both the variable-rate and applicable margin for the three months ended June 30, 2025 as compared to the prior period, offset by a $5.1 million decrease in interest income received related to cash flow hedges of interest rate risk.</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Income Tax Expense (Benefit)</w:t>
      </w:r>
    </w:p>
    <w:p>
      <w:pPr>
        <w:spacing w:after="0" w:line="99" w:lineRule="exact"/>
        <w:rPr>
          <w:sz w:val="20"/>
          <w:szCs w:val="20"/>
          <w:color w:val="auto"/>
        </w:rPr>
      </w:pPr>
    </w:p>
    <w:p>
      <w:pPr>
        <w:ind w:left="640" w:right="719" w:firstLine="351"/>
        <w:spacing w:after="0" w:line="260" w:lineRule="auto"/>
        <w:rPr>
          <w:sz w:val="20"/>
          <w:szCs w:val="20"/>
          <w:color w:val="auto"/>
        </w:rPr>
      </w:pPr>
      <w:r>
        <w:rPr>
          <w:rFonts w:ascii="Times New Roman" w:cs="Times New Roman" w:eastAsia="Times New Roman" w:hAnsi="Times New Roman"/>
          <w:sz w:val="14"/>
          <w:szCs w:val="14"/>
          <w:color w:val="auto"/>
        </w:rPr>
        <w:t>Income tax expense was $1.2 million for the three months ended June 30, 2025, as compared with an income tax benefit of $13.1 million for the three months ended June 30, 2024, an increase in the expense of $14.4 million. The increase in the income tax expense is primarily driven by the increase in pre-tax book income for the three months ended June 30, 2025 as compared to the three months ended June 30, 2024, and a decrease in the effective tax rate for the three months ended June 30, 2025 of 12.7% compared to 283.3% for the three months ended June 30, 2024. The decrease in the effective tax rate is primarily as a result of $1.4 million in tax benefits resulting from the recognition of excess tax benefits from stock-based compensation and partially offset by limitations on the deductibility of certain executive compensation as a percentage of estimated pre-tax book income for the three months ended June 30, 2025. In addition, the discrete tax benefit related to the Silver matter increased the effective tax rate on pre-tax book loss for the three months ended June 30, 2024.</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Net Income</w:t>
      </w:r>
    </w:p>
    <w:p>
      <w:pPr>
        <w:spacing w:after="0" w:line="99" w:lineRule="exact"/>
        <w:rPr>
          <w:sz w:val="20"/>
          <w:szCs w:val="20"/>
          <w:color w:val="auto"/>
        </w:rPr>
      </w:pPr>
    </w:p>
    <w:p>
      <w:pPr>
        <w:ind w:left="640" w:right="759" w:firstLine="351"/>
        <w:spacing w:after="0" w:line="268" w:lineRule="auto"/>
        <w:rPr>
          <w:sz w:val="20"/>
          <w:szCs w:val="20"/>
          <w:color w:val="auto"/>
        </w:rPr>
      </w:pPr>
      <w:r>
        <w:rPr>
          <w:rFonts w:ascii="Times New Roman" w:cs="Times New Roman" w:eastAsia="Times New Roman" w:hAnsi="Times New Roman"/>
          <w:sz w:val="14"/>
          <w:szCs w:val="14"/>
          <w:color w:val="auto"/>
        </w:rPr>
        <w:t>Net income was $8.5 million for the three months ended June 30, 2025, as compared with $8.5 million for the three months ended June 30, 2024, an increase of $0.1 million or 0.6%. The increase in net income is primarily attributable to the increase in gross profit and the aforementioned decrease in interest expense, net, offset by an increase in selling, general, and administrative expenses and income tax expense.</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 xml:space="preserve">Adjusted EBITDA </w:t>
      </w:r>
      <w:r>
        <w:rPr>
          <w:rFonts w:ascii="Times New Roman" w:cs="Times New Roman" w:eastAsia="Times New Roman" w:hAnsi="Times New Roman"/>
          <w:sz w:val="19"/>
          <w:szCs w:val="19"/>
          <w:i w:val="1"/>
          <w:iCs w:val="1"/>
          <w:color w:val="auto"/>
          <w:vertAlign w:val="superscript"/>
        </w:rPr>
        <w:t>(1)</w:t>
      </w:r>
    </w:p>
    <w:p>
      <w:pPr>
        <w:spacing w:after="0" w:line="47" w:lineRule="exact"/>
        <w:rPr>
          <w:sz w:val="20"/>
          <w:szCs w:val="20"/>
          <w:color w:val="auto"/>
        </w:rPr>
      </w:pPr>
    </w:p>
    <w:p>
      <w:pPr>
        <w:ind w:left="640" w:right="719" w:firstLine="351"/>
        <w:spacing w:after="0" w:line="274" w:lineRule="auto"/>
        <w:rPr>
          <w:sz w:val="20"/>
          <w:szCs w:val="20"/>
          <w:color w:val="auto"/>
        </w:rPr>
      </w:pPr>
      <w:r>
        <w:rPr>
          <w:rFonts w:ascii="Times New Roman" w:cs="Times New Roman" w:eastAsia="Times New Roman" w:hAnsi="Times New Roman"/>
          <w:sz w:val="14"/>
          <w:szCs w:val="14"/>
          <w:color w:val="auto"/>
        </w:rPr>
        <w:t>Adjusted EBITDA was $142.5 million for the three months ended June 30, 2025, as compared with $110.6 million for the three months ended June 30, 2024, an increase of $31.9 million or 28.8%. The increase primarily resulted from the following segment activity and factors:</w:t>
      </w:r>
    </w:p>
    <w:p>
      <w:pPr>
        <w:spacing w:after="0" w:line="50" w:lineRule="exact"/>
        <w:rPr>
          <w:sz w:val="20"/>
          <w:szCs w:val="20"/>
          <w:color w:val="auto"/>
        </w:rPr>
      </w:pPr>
    </w:p>
    <w:p>
      <w:pPr>
        <w:jc w:val="both"/>
        <w:ind w:left="1340" w:right="839" w:hanging="352"/>
        <w:spacing w:after="0" w:line="274" w:lineRule="auto"/>
        <w:tabs>
          <w:tab w:leader="none" w:pos="134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$36.0 million, or 32.5% growth on consolidated second quarter of 2024 Adjusted EBITDA, as a result of growth in our Pharmacy Solutions and Provider Services segments. See additional discussion in “—Segment Results of Operations” below; offset by</w:t>
      </w:r>
    </w:p>
    <w:p>
      <w:pPr>
        <w:spacing w:after="0" w:line="50" w:lineRule="exact"/>
        <w:rPr>
          <w:rFonts w:ascii="Times New Roman" w:cs="Times New Roman" w:eastAsia="Times New Roman" w:hAnsi="Times New Roman"/>
          <w:sz w:val="14"/>
          <w:szCs w:val="14"/>
          <w:color w:val="auto"/>
        </w:rPr>
      </w:pPr>
    </w:p>
    <w:p>
      <w:pPr>
        <w:jc w:val="both"/>
        <w:ind w:left="1340" w:right="1019" w:hanging="352"/>
        <w:spacing w:after="0" w:line="274" w:lineRule="auto"/>
        <w:tabs>
          <w:tab w:leader="none" w:pos="134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of $4.1 million, or 3.7% decline on consolidated second quarter of 2024 Adjusted EBITDA, as a result of increases in certain public company costs incurred, investments in information technology, and positions to support growth within the business.</w:t>
      </w:r>
    </w:p>
    <w:p>
      <w:pPr>
        <w:spacing w:after="0" w:line="125" w:lineRule="exact"/>
        <w:rPr>
          <w:rFonts w:ascii="Times New Roman" w:cs="Times New Roman" w:eastAsia="Times New Roman" w:hAnsi="Times New Roman"/>
          <w:sz w:val="14"/>
          <w:szCs w:val="14"/>
          <w:color w:val="auto"/>
        </w:rPr>
      </w:pPr>
    </w:p>
    <w:p>
      <w:pPr>
        <w:ind w:left="780" w:hanging="142"/>
        <w:spacing w:after="0"/>
        <w:tabs>
          <w:tab w:leader="none" w:pos="780" w:val="left"/>
        </w:tabs>
        <w:numPr>
          <w:ilvl w:val="0"/>
          <w:numId w:val="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Reconciliation of GAAP to non-GAAP results is provided below under the section entitled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36" w:name="page37"/>
    <w:bookmarkEnd w:id="36"/>
    <w:p>
      <w:pPr>
        <w:ind w:left="640"/>
        <w:spacing w:after="0"/>
        <w:rPr>
          <w:sz w:val="20"/>
          <w:szCs w:val="20"/>
          <w:color w:val="auto"/>
        </w:rPr>
      </w:pPr>
      <w:r>
        <w:rPr>
          <w:rFonts w:ascii="Times New Roman" w:cs="Times New Roman" w:eastAsia="Times New Roman" w:hAnsi="Times New Roman"/>
          <w:sz w:val="14"/>
          <w:szCs w:val="14"/>
          <w:b w:val="1"/>
          <w:bCs w:val="1"/>
          <w:color w:val="auto"/>
        </w:rPr>
        <w:t>Six Months Ended June 30, 2025 Compared to Six Months Ended June 30, 2024</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sets forth, for the periods indicated, our consolidated results of operations.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310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 in thousands)</w:t>
            </w:r>
          </w:p>
        </w:tc>
        <w:tc>
          <w:tcPr>
            <w:tcW w:w="5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1"/>
                <w:szCs w:val="11"/>
                <w:b w:val="1"/>
                <w:bCs w:val="1"/>
                <w:color w:val="auto"/>
              </w:rPr>
              <w:t>For the Six Months Ended June 30,</w:t>
            </w:r>
          </w:p>
        </w:tc>
        <w:tc>
          <w:tcPr>
            <w:tcW w:w="6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vMerge w:val="restart"/>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Pr>
          <w:p>
            <w:pPr>
              <w:spacing w:after="0"/>
              <w:rPr>
                <w:sz w:val="9"/>
                <w:szCs w:val="9"/>
                <w:color w:val="auto"/>
              </w:rPr>
            </w:pPr>
          </w:p>
        </w:tc>
        <w:tc>
          <w:tcPr>
            <w:tcW w:w="800" w:type="dxa"/>
            <w:vAlign w:val="bottom"/>
            <w:vMerge w:val="restart"/>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gridSpan w:val="3"/>
          </w:tcPr>
          <w:p>
            <w:pPr>
              <w:ind w:left="600"/>
              <w:spacing w:after="0" w:line="109" w:lineRule="exact"/>
              <w:rPr>
                <w:sz w:val="20"/>
                <w:szCs w:val="20"/>
                <w:color w:val="auto"/>
              </w:rPr>
            </w:pPr>
            <w:r>
              <w:rPr>
                <w:rFonts w:ascii="Times New Roman" w:cs="Times New Roman" w:eastAsia="Times New Roman" w:hAnsi="Times New Roman"/>
                <w:sz w:val="11"/>
                <w:szCs w:val="11"/>
                <w:b w:val="1"/>
                <w:bCs w:val="1"/>
                <w:color w:val="auto"/>
              </w:rPr>
              <w:t>Change</w:t>
            </w: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gridSpan w:val="3"/>
          </w:tcPr>
          <w:p>
            <w:pPr>
              <w:ind w:left="80"/>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620" w:type="dxa"/>
            <w:vAlign w:val="bottom"/>
          </w:tcPr>
          <w:p>
            <w:pPr>
              <w:jc w:val="right"/>
              <w:ind w:right="309"/>
              <w:spacing w:after="0" w:line="109"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w:t>
            </w:r>
          </w:p>
        </w:tc>
        <w:tc>
          <w:tcPr>
            <w:tcW w:w="50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Products</w:t>
            </w:r>
          </w:p>
        </w:tc>
        <w:tc>
          <w:tcPr>
            <w:tcW w:w="6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5,322,272</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4,091,526</w:t>
            </w:r>
          </w:p>
        </w:tc>
        <w:tc>
          <w:tcPr>
            <w:tcW w:w="160" w:type="dxa"/>
            <w:vAlign w:val="bottom"/>
          </w:tcPr>
          <w:p>
            <w:pPr>
              <w:spacing w:after="0"/>
              <w:rPr>
                <w:sz w:val="14"/>
                <w:szCs w:val="14"/>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1,230,746</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Services</w:t>
            </w:r>
          </w:p>
        </w:tc>
        <w:tc>
          <w:tcPr>
            <w:tcW w:w="5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703,555</w:t>
            </w:r>
          </w:p>
        </w:tc>
        <w:tc>
          <w:tcPr>
            <w:tcW w:w="220" w:type="dxa"/>
            <w:vAlign w:val="bottom"/>
            <w:tcBorders>
              <w:right w:val="single" w:sz="8" w:color="CFF0FC"/>
            </w:tcBorders>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632,494</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71,061</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8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6,025,827</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4,724,020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1,301,807</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27.6%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goods</w:t>
            </w:r>
          </w:p>
        </w:tc>
        <w:tc>
          <w:tcPr>
            <w:tcW w:w="5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4,884,617</w:t>
            </w:r>
          </w:p>
        </w:tc>
        <w:tc>
          <w:tcPr>
            <w:tcW w:w="220" w:type="dxa"/>
            <w:vAlign w:val="bottom"/>
            <w:tcBorders>
              <w:right w:val="single" w:sz="8" w:color="CFF0FC"/>
            </w:tcBorders>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3,738,860</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1,145,757</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427,989</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380,493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47,496</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5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713,221</w:t>
            </w:r>
          </w:p>
        </w:tc>
        <w:tc>
          <w:tcPr>
            <w:tcW w:w="220" w:type="dxa"/>
            <w:vAlign w:val="bottom"/>
            <w:tcBorders>
              <w:right w:val="single" w:sz="8" w:color="CFF0FC"/>
            </w:tcBorders>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604,667</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108,554</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613,925</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581,349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32,576</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5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080" w:type="dxa"/>
            <w:vAlign w:val="bottom"/>
            <w:vMerge w:val="continue"/>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99,296</w:t>
            </w:r>
          </w:p>
        </w:tc>
        <w:tc>
          <w:tcPr>
            <w:tcW w:w="220" w:type="dxa"/>
            <w:vAlign w:val="bottom"/>
            <w:tcBorders>
              <w:right w:val="single" w:sz="8" w:color="CFF0FC"/>
            </w:tcBorders>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23,318</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75,978</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325.8%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(12,726)</w:t>
            </w:r>
          </w:p>
        </w:tc>
        <w:tc>
          <w:tcPr>
            <w:tcW w:w="2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5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80,541</w:t>
            </w:r>
          </w:p>
        </w:tc>
        <w:tc>
          <w:tcPr>
            <w:tcW w:w="220" w:type="dxa"/>
            <w:vAlign w:val="bottom"/>
            <w:tcBorders>
              <w:right w:val="single" w:sz="8" w:color="CFF0FC"/>
            </w:tcBorders>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97,752</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(17,211)</w:t>
            </w:r>
          </w:p>
        </w:tc>
        <w:tc>
          <w:tcPr>
            <w:tcW w:w="2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8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18,755</w:t>
            </w:r>
          </w:p>
        </w:tc>
        <w:tc>
          <w:tcPr>
            <w:tcW w:w="2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(87,160)</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105,915</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5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220" w:type="dxa"/>
            <w:vAlign w:val="bottom"/>
            <w:tcBorders>
              <w:right w:val="single" w:sz="8" w:color="CFF0FC"/>
            </w:tcBorders>
            <w:shd w:val="clear" w:color="auto" w:fill="CFF0FC"/>
          </w:tcPr>
          <w:p>
            <w:pPr>
              <w:spacing w:after="0"/>
              <w:rPr>
                <w:sz w:val="14"/>
                <w:szCs w:val="14"/>
                <w:color w:val="auto"/>
              </w:rPr>
            </w:pPr>
          </w:p>
        </w:tc>
        <w:tc>
          <w:tcPr>
            <w:tcW w:w="9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(39,619)</w:t>
            </w: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40,617</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8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50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17,757</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(47,541)</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65,298</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3080" w:type="dxa"/>
            <w:vAlign w:val="bottom"/>
            <w:shd w:val="clear" w:color="auto" w:fill="CFF0FC"/>
          </w:tcPr>
          <w:p>
            <w:pPr>
              <w:spacing w:after="0" w:line="163" w:lineRule="exact"/>
              <w:rPr>
                <w:sz w:val="20"/>
                <w:szCs w:val="20"/>
                <w:color w:val="auto"/>
              </w:rPr>
            </w:pPr>
            <w:r>
              <w:rPr>
                <w:rFonts w:ascii="Times New Roman" w:cs="Times New Roman" w:eastAsia="Times New Roman" w:hAnsi="Times New Roman"/>
                <w:sz w:val="14"/>
                <w:szCs w:val="14"/>
                <w:color w:val="auto"/>
              </w:rPr>
              <w:t xml:space="preserve">Adjusted EBITDA </w:t>
            </w:r>
            <w:r>
              <w:rPr>
                <w:rFonts w:ascii="Times New Roman" w:cs="Times New Roman" w:eastAsia="Times New Roman" w:hAnsi="Times New Roman"/>
                <w:sz w:val="18"/>
                <w:szCs w:val="18"/>
                <w:color w:val="auto"/>
                <w:vertAlign w:val="superscript"/>
              </w:rPr>
              <w:t>(1)</w:t>
            </w:r>
          </w:p>
        </w:tc>
        <w:tc>
          <w:tcPr>
            <w:tcW w:w="50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273,579</w:t>
            </w:r>
          </w:p>
        </w:tc>
        <w:tc>
          <w:tcPr>
            <w:tcW w:w="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212,852</w:t>
            </w:r>
          </w:p>
        </w:tc>
        <w:tc>
          <w:tcPr>
            <w:tcW w:w="16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60,727</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3248660</wp:posOffset>
            </wp:positionH>
            <wp:positionV relativeFrom="paragraph">
              <wp:posOffset>-1376680</wp:posOffset>
            </wp:positionV>
            <wp:extent cx="47625" cy="69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-1376680</wp:posOffset>
            </wp:positionV>
            <wp:extent cx="47625" cy="69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-1376680</wp:posOffset>
            </wp:positionV>
            <wp:extent cx="47625" cy="69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-1376680</wp:posOffset>
            </wp:positionV>
            <wp:extent cx="116205" cy="69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3248660</wp:posOffset>
            </wp:positionH>
            <wp:positionV relativeFrom="paragraph">
              <wp:posOffset>-810895</wp:posOffset>
            </wp:positionV>
            <wp:extent cx="47625" cy="69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-810895</wp:posOffset>
            </wp:positionV>
            <wp:extent cx="47625" cy="69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-810895</wp:posOffset>
            </wp:positionV>
            <wp:extent cx="47625" cy="69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-810895</wp:posOffset>
            </wp:positionV>
            <wp:extent cx="116205" cy="69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3248660</wp:posOffset>
            </wp:positionH>
            <wp:positionV relativeFrom="paragraph">
              <wp:posOffset>-476885</wp:posOffset>
            </wp:positionV>
            <wp:extent cx="47625" cy="698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-476885</wp:posOffset>
            </wp:positionV>
            <wp:extent cx="47625" cy="69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-476885</wp:posOffset>
            </wp:positionV>
            <wp:extent cx="47625" cy="69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-476885</wp:posOffset>
            </wp:positionV>
            <wp:extent cx="116205" cy="69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3248660</wp:posOffset>
            </wp:positionH>
            <wp:positionV relativeFrom="paragraph">
              <wp:posOffset>-251460</wp:posOffset>
            </wp:positionV>
            <wp:extent cx="47625" cy="69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-251460</wp:posOffset>
            </wp:positionV>
            <wp:extent cx="47625" cy="69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-251460</wp:posOffset>
            </wp:positionV>
            <wp:extent cx="47625" cy="69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-251460</wp:posOffset>
            </wp:positionV>
            <wp:extent cx="116205" cy="69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3248660</wp:posOffset>
            </wp:positionH>
            <wp:positionV relativeFrom="paragraph">
              <wp:posOffset>-19685</wp:posOffset>
            </wp:positionV>
            <wp:extent cx="47625" cy="69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3248660</wp:posOffset>
            </wp:positionH>
            <wp:positionV relativeFrom="paragraph">
              <wp:posOffset>-6350</wp:posOffset>
            </wp:positionV>
            <wp:extent cx="47625" cy="69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-19685</wp:posOffset>
            </wp:positionV>
            <wp:extent cx="47625" cy="69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-6350</wp:posOffset>
            </wp:positionV>
            <wp:extent cx="47625" cy="69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-19685</wp:posOffset>
            </wp:positionV>
            <wp:extent cx="47625" cy="69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-6350</wp:posOffset>
            </wp:positionV>
            <wp:extent cx="47625" cy="698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-19685</wp:posOffset>
            </wp:positionV>
            <wp:extent cx="116205" cy="698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-6350</wp:posOffset>
            </wp:positionV>
            <wp:extent cx="116205" cy="698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16205" cy="6985"/>
                    </a:xfrm>
                    <a:prstGeom prst="rect">
                      <a:avLst/>
                    </a:prstGeom>
                    <a:noFill/>
                  </pic:spPr>
                </pic:pic>
              </a:graphicData>
            </a:graphic>
          </wp:anchor>
        </w:drawing>
      </w:r>
    </w:p>
    <w:p>
      <w:pPr>
        <w:spacing w:after="0" w:line="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1"/>
          <w:szCs w:val="11"/>
          <w:i w:val="1"/>
          <w:iCs w:val="1"/>
          <w:color w:val="auto"/>
        </w:rPr>
        <w:t>* n.m.: not meaningful</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(1) Reconciliation of GAAP to non-GAAP results is provided below under the section entitled “Non-GAAP Financial Measures.”</w:t>
      </w:r>
    </w:p>
    <w:p>
      <w:pPr>
        <w:spacing w:after="0" w:line="183" w:lineRule="exact"/>
        <w:rPr>
          <w:sz w:val="20"/>
          <w:szCs w:val="20"/>
          <w:color w:val="auto"/>
        </w:rPr>
      </w:pPr>
    </w:p>
    <w:p>
      <w:pPr>
        <w:ind w:left="640" w:right="859" w:firstLine="351"/>
        <w:spacing w:after="0" w:line="292" w:lineRule="auto"/>
        <w:rPr>
          <w:sz w:val="20"/>
          <w:szCs w:val="20"/>
          <w:color w:val="auto"/>
        </w:rPr>
      </w:pPr>
      <w:r>
        <w:rPr>
          <w:rFonts w:ascii="Times New Roman" w:cs="Times New Roman" w:eastAsia="Times New Roman" w:hAnsi="Times New Roman"/>
          <w:sz w:val="14"/>
          <w:szCs w:val="14"/>
          <w:color w:val="auto"/>
        </w:rPr>
        <w:t>The following discussion of our results of operations should be read in conjunction with the foregoing table summarizing our consolidated results of operations.</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Revenues</w:t>
      </w:r>
    </w:p>
    <w:p>
      <w:pPr>
        <w:spacing w:after="0" w:line="99" w:lineRule="exact"/>
        <w:rPr>
          <w:sz w:val="20"/>
          <w:szCs w:val="20"/>
          <w:color w:val="auto"/>
        </w:rPr>
      </w:pPr>
    </w:p>
    <w:p>
      <w:pPr>
        <w:ind w:left="640" w:right="739" w:firstLine="351"/>
        <w:spacing w:after="0" w:line="274" w:lineRule="auto"/>
        <w:rPr>
          <w:sz w:val="20"/>
          <w:szCs w:val="20"/>
          <w:color w:val="auto"/>
        </w:rPr>
      </w:pPr>
      <w:r>
        <w:rPr>
          <w:rFonts w:ascii="Times New Roman" w:cs="Times New Roman" w:eastAsia="Times New Roman" w:hAnsi="Times New Roman"/>
          <w:sz w:val="14"/>
          <w:szCs w:val="14"/>
          <w:color w:val="auto"/>
        </w:rPr>
        <w:t>Revenues were $6,025.8 million for the six months ended June 30, 2025, as compared with $4,724.0 million for the six months ended June 30, 2024, an increase of $1,301.8 million or 27.6%. The increase resulted from growth in our Pharmacy Solutions and Provider Services segments. See additional discussion in “—Segment Results of Operations” below.</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Cost of Goods</w:t>
      </w:r>
    </w:p>
    <w:p>
      <w:pPr>
        <w:spacing w:after="0" w:line="99" w:lineRule="exact"/>
        <w:rPr>
          <w:sz w:val="20"/>
          <w:szCs w:val="20"/>
          <w:color w:val="auto"/>
        </w:rPr>
      </w:pPr>
    </w:p>
    <w:p>
      <w:pPr>
        <w:ind w:left="640" w:right="719" w:firstLine="351"/>
        <w:spacing w:after="0" w:line="274" w:lineRule="auto"/>
        <w:rPr>
          <w:sz w:val="20"/>
          <w:szCs w:val="20"/>
          <w:color w:val="auto"/>
        </w:rPr>
      </w:pPr>
      <w:r>
        <w:rPr>
          <w:rFonts w:ascii="Times New Roman" w:cs="Times New Roman" w:eastAsia="Times New Roman" w:hAnsi="Times New Roman"/>
          <w:sz w:val="14"/>
          <w:szCs w:val="14"/>
          <w:color w:val="auto"/>
        </w:rPr>
        <w:t>Cost of goods was $4,884.6 million for the six months ended June 30, 2025, as compared with $3,738.9 million for the six months ended June 30, 2024, an increase of $1,145.8 million or 30.6%. The increase resulted from an increase in Pharmacy Solutions cost of goods. See additional discussion in “—Segment Results of Operations” below.</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Cost of Services</w:t>
      </w:r>
    </w:p>
    <w:p>
      <w:pPr>
        <w:spacing w:after="0" w:line="99" w:lineRule="exact"/>
        <w:rPr>
          <w:sz w:val="20"/>
          <w:szCs w:val="20"/>
          <w:color w:val="auto"/>
        </w:rPr>
      </w:pPr>
    </w:p>
    <w:p>
      <w:pPr>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Cost of services was $428.0 million for the six months ended June 30, 2025, as compared with $380.5 million for the six months ended June 30, 2024, an increase of $47.5 million or 12.5%. The increase resulted from an increase in Provider Services cost of services. See additional discussion in “—Segment Results of Operations” below.</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Selling, general, and administrative expenses were $613.9 million for the six months ended June 30, 2025, as compared with</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$581.3 million for the six months ended June 30, 2024, an increase of $32.6 million or 5.6%. The increase primarily resulted from the</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following segment activity and factors:</w:t>
      </w:r>
    </w:p>
    <w:p>
      <w:pPr>
        <w:spacing w:after="0" w:line="83" w:lineRule="exact"/>
        <w:rPr>
          <w:sz w:val="20"/>
          <w:szCs w:val="20"/>
          <w:color w:val="auto"/>
        </w:rPr>
      </w:pPr>
    </w:p>
    <w:p>
      <w:pPr>
        <w:jc w:val="both"/>
        <w:ind w:left="1340" w:right="939" w:hanging="352"/>
        <w:spacing w:after="0" w:line="274" w:lineRule="auto"/>
        <w:tabs>
          <w:tab w:leader="none" w:pos="1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$43.0 million, or 7.4% growth on consolidated 2024 selling, general, and administrative expenses, as a result of growth in our Pharmacy Solutions and Provider Services segments. See additional discussion in “—Segment Results of Operations” below;</w:t>
      </w:r>
    </w:p>
    <w:p>
      <w:pPr>
        <w:spacing w:after="0" w:line="50" w:lineRule="exact"/>
        <w:rPr>
          <w:rFonts w:ascii="Times New Roman" w:cs="Times New Roman" w:eastAsia="Times New Roman" w:hAnsi="Times New Roman"/>
          <w:sz w:val="14"/>
          <w:szCs w:val="14"/>
          <w:color w:val="auto"/>
        </w:rPr>
      </w:pPr>
    </w:p>
    <w:p>
      <w:pPr>
        <w:ind w:left="1340" w:right="719" w:hanging="352"/>
        <w:spacing w:after="0" w:line="292" w:lineRule="auto"/>
        <w:tabs>
          <w:tab w:leader="none" w:pos="1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$15.8 million, or 2.7%, increase in consolidated second quarter of 2024 selling, general, and administrative expenses, as a result of an increase in acquisition, integration and transaction-related expenses;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37" w:name="page38"/>
    <w:bookmarkEnd w:id="37"/>
    <w:p>
      <w:pPr>
        <w:ind w:left="1340" w:right="639" w:hanging="352"/>
        <w:spacing w:after="0" w:line="292" w:lineRule="auto"/>
        <w:tabs>
          <w:tab w:leader="none" w:pos="1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$1.6 million, or 0.3%, growth on consolidated 2024 selling, general, and administrative expenses, as a result of an increase in other operational expenses year-over-year; offset by,</w:t>
      </w:r>
    </w:p>
    <w:p>
      <w:pPr>
        <w:spacing w:after="0" w:line="37" w:lineRule="exact"/>
        <w:rPr>
          <w:rFonts w:ascii="Times New Roman" w:cs="Times New Roman" w:eastAsia="Times New Roman" w:hAnsi="Times New Roman"/>
          <w:sz w:val="14"/>
          <w:szCs w:val="14"/>
          <w:color w:val="auto"/>
        </w:rPr>
      </w:pPr>
    </w:p>
    <w:p>
      <w:pPr>
        <w:ind w:left="1340" w:right="979" w:hanging="352"/>
        <w:spacing w:after="0" w:line="274" w:lineRule="auto"/>
        <w:tabs>
          <w:tab w:leader="none" w:pos="1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of $22.7 million, or 3.9%, decline on consolidated 2024 selling, general, and administrative expenses, as a result of the termination fees incurred at the time of the IPO Offerings in connection with the termination of our Monitoring Agreement for which there is no comparable expense in 2025; and</w:t>
      </w:r>
    </w:p>
    <w:p>
      <w:pPr>
        <w:spacing w:after="0" w:line="50" w:lineRule="exact"/>
        <w:rPr>
          <w:rFonts w:ascii="Times New Roman" w:cs="Times New Roman" w:eastAsia="Times New Roman" w:hAnsi="Times New Roman"/>
          <w:sz w:val="14"/>
          <w:szCs w:val="14"/>
          <w:color w:val="auto"/>
        </w:rPr>
      </w:pPr>
    </w:p>
    <w:p>
      <w:pPr>
        <w:ind w:left="1340" w:right="739" w:hanging="352"/>
        <w:spacing w:after="0" w:line="292" w:lineRule="auto"/>
        <w:tabs>
          <w:tab w:leader="none" w:pos="1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of $5.1 million, or 0.9%, decline on consolidated 2024 selling, general, and administrative expenses, due to non-cash share-based compensation related to the equity awards granted to management and certain full-time employees.</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Loss on Extinguishment of Debt</w:t>
      </w:r>
    </w:p>
    <w:p>
      <w:pPr>
        <w:spacing w:after="0" w:line="185" w:lineRule="exact"/>
        <w:rPr>
          <w:sz w:val="20"/>
          <w:szCs w:val="20"/>
          <w:color w:val="auto"/>
        </w:rPr>
      </w:pPr>
    </w:p>
    <w:p>
      <w:pPr>
        <w:ind w:left="640" w:right="739" w:firstLine="358"/>
        <w:spacing w:after="0" w:line="274" w:lineRule="auto"/>
        <w:rPr>
          <w:sz w:val="20"/>
          <w:szCs w:val="20"/>
          <w:color w:val="auto"/>
        </w:rPr>
      </w:pPr>
      <w:r>
        <w:rPr>
          <w:rFonts w:ascii="Times New Roman" w:cs="Times New Roman" w:eastAsia="Times New Roman" w:hAnsi="Times New Roman"/>
          <w:sz w:val="14"/>
          <w:szCs w:val="14"/>
          <w:color w:val="auto"/>
        </w:rPr>
        <w:t>During the six months ended June 30, 2024, we used proceeds from the IPO Offerings to repay the Second Lien on January 30, 2024 and as a result incurred a loss on extinguishment of debt of $12.7 million related to the write-off of unamortized debt issuance costs. There was no loss on extinguishment of debt recognized for the six months ended June 30, 2025.</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Interest Expense, net</w:t>
      </w:r>
    </w:p>
    <w:p>
      <w:pPr>
        <w:spacing w:after="0" w:line="99" w:lineRule="exact"/>
        <w:rPr>
          <w:sz w:val="20"/>
          <w:szCs w:val="20"/>
          <w:color w:val="auto"/>
        </w:rPr>
      </w:pPr>
    </w:p>
    <w:p>
      <w:pPr>
        <w:ind w:left="640" w:right="659" w:firstLine="351"/>
        <w:spacing w:after="0" w:line="267" w:lineRule="auto"/>
        <w:rPr>
          <w:sz w:val="20"/>
          <w:szCs w:val="20"/>
          <w:color w:val="auto"/>
        </w:rPr>
      </w:pPr>
      <w:r>
        <w:rPr>
          <w:rFonts w:ascii="Times New Roman" w:cs="Times New Roman" w:eastAsia="Times New Roman" w:hAnsi="Times New Roman"/>
          <w:sz w:val="14"/>
          <w:szCs w:val="14"/>
          <w:color w:val="auto"/>
        </w:rPr>
        <w:t>Interest expense, net was $80.5 million for the six months ended June 30, 2025, as compared with $97.8 million for the six months ended June 30, 2024, a decrease of $17.2 million or 17.6%. The decrease primarily resulted from a decrease in both the variable-rate and applicable margin for the six months ended June 30, 2025 as compared to the prior periods and lower outstanding term debt as compared to the prior period, offset by a $10.3 million decrease in interest income received related to cash flow hedges of interest rate risk.</w:t>
      </w:r>
    </w:p>
    <w:p>
      <w:pPr>
        <w:spacing w:after="0" w:line="3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Income Tax Expense (Benefit)</w:t>
      </w:r>
    </w:p>
    <w:p>
      <w:pPr>
        <w:spacing w:after="0" w:line="99"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Income tax expense was $1.0 million for the six months ended June 30, 2025, as compared with an income tax benefit of $39.6 million for the six months ended June 30, 2024, an increase in the expense of $40.6 million. The increase in the income tax expense is primarily driven by the increase in pre-tax book income for the six months ended June 30, 2025 as compared to the six months ended June 30, 2024, and a decrease in the effective tax rate for the six months ended June 30, 2025 of 5.3% compared to 45.5% for the six months ended June 30, 2024. The decrease in the effective tax rate is primarily as a result of $3.7 million in tax benefits resulting from the recognition of excess tax benefits from stock-based compensation and partially offset by limitations on the deductibility of certain executive compensation as a percentage of estimated pre-tax book income for the six months ended June 30, 2025. In addition, the discrete tax benefit related to the Silver matter increased the effective tax rate on pre-tax book loss for the six months ended June 30, 2024.</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Net Income (Loss)</w:t>
      </w:r>
    </w:p>
    <w:p>
      <w:pPr>
        <w:spacing w:after="0" w:line="99" w:lineRule="exact"/>
        <w:rPr>
          <w:sz w:val="20"/>
          <w:szCs w:val="20"/>
          <w:color w:val="auto"/>
        </w:rPr>
      </w:pPr>
    </w:p>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Net income was $17.8 million for the six months ended June 30, 2025, as compared with a net loss of $47.5 million for the six months ended June 30, 2024, an increase of $65.3 million. The increase in net income is primarily attributable to the increase in gross profit and the aforementioned decrease in interest expense, net, and loss on extinguishment of debt, partially offset by an increase in selling, general, and administrative expenses and income tax expense.</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 xml:space="preserve">Adjusted EBITDA </w:t>
      </w:r>
      <w:r>
        <w:rPr>
          <w:rFonts w:ascii="Times New Roman" w:cs="Times New Roman" w:eastAsia="Times New Roman" w:hAnsi="Times New Roman"/>
          <w:sz w:val="19"/>
          <w:szCs w:val="19"/>
          <w:i w:val="1"/>
          <w:iCs w:val="1"/>
          <w:color w:val="auto"/>
          <w:vertAlign w:val="superscript"/>
        </w:rPr>
        <w:t>(1)</w:t>
      </w:r>
    </w:p>
    <w:p>
      <w:pPr>
        <w:spacing w:after="0" w:line="47" w:lineRule="exact"/>
        <w:rPr>
          <w:sz w:val="20"/>
          <w:szCs w:val="20"/>
          <w:color w:val="auto"/>
        </w:rPr>
      </w:pPr>
    </w:p>
    <w:p>
      <w:pPr>
        <w:jc w:val="both"/>
        <w:ind w:left="640" w:right="959" w:firstLine="351"/>
        <w:spacing w:after="0" w:line="274" w:lineRule="auto"/>
        <w:rPr>
          <w:sz w:val="20"/>
          <w:szCs w:val="20"/>
          <w:color w:val="auto"/>
        </w:rPr>
      </w:pPr>
      <w:r>
        <w:rPr>
          <w:rFonts w:ascii="Times New Roman" w:cs="Times New Roman" w:eastAsia="Times New Roman" w:hAnsi="Times New Roman"/>
          <w:sz w:val="14"/>
          <w:szCs w:val="14"/>
          <w:color w:val="auto"/>
        </w:rPr>
        <w:t>Adjusted EBITDA was $273.6 million for the six months ended June 30, 2025, as compared with $212.9 million for the six months ended June 30, 2024, an increase of $60.7 million or 28.5%. The increase primarily resulted from the following segment activity and factors:</w:t>
      </w:r>
    </w:p>
    <w:p>
      <w:pPr>
        <w:spacing w:after="0" w:line="50" w:lineRule="exact"/>
        <w:rPr>
          <w:sz w:val="20"/>
          <w:szCs w:val="20"/>
          <w:color w:val="auto"/>
        </w:rPr>
      </w:pPr>
    </w:p>
    <w:p>
      <w:pPr>
        <w:ind w:left="1340" w:right="919" w:hanging="352"/>
        <w:spacing w:after="0" w:line="274" w:lineRule="auto"/>
        <w:tabs>
          <w:tab w:leader="none" w:pos="134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$67.9 million, or 31.9% growth on consolidated 2024 Adjusted EBITDA, as a result of growth in our Pharmacy Solutions and Provider Services segments. See additional discussion in “—Segment Results of Operations” below; offset by</w:t>
      </w:r>
    </w:p>
    <w:p>
      <w:pPr>
        <w:spacing w:after="0" w:line="50" w:lineRule="exact"/>
        <w:rPr>
          <w:rFonts w:ascii="Times New Roman" w:cs="Times New Roman" w:eastAsia="Times New Roman" w:hAnsi="Times New Roman"/>
          <w:sz w:val="14"/>
          <w:szCs w:val="14"/>
          <w:color w:val="auto"/>
        </w:rPr>
      </w:pPr>
    </w:p>
    <w:p>
      <w:pPr>
        <w:ind w:left="1340" w:right="919" w:hanging="352"/>
        <w:spacing w:after="0" w:line="274" w:lineRule="auto"/>
        <w:tabs>
          <w:tab w:leader="none" w:pos="134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of $7.2 million, or 3.4% decline on consolidated 2024 Adjusted EBITDA, as a result of increases in certain public company costs incurred, investments in information technology, and positions to support growth within the business.</w:t>
      </w:r>
    </w:p>
    <w:p>
      <w:pPr>
        <w:spacing w:after="0" w:line="125" w:lineRule="exact"/>
        <w:rPr>
          <w:rFonts w:ascii="Times New Roman" w:cs="Times New Roman" w:eastAsia="Times New Roman" w:hAnsi="Times New Roman"/>
          <w:sz w:val="14"/>
          <w:szCs w:val="14"/>
          <w:color w:val="auto"/>
        </w:rPr>
      </w:pPr>
    </w:p>
    <w:p>
      <w:pPr>
        <w:ind w:left="780" w:hanging="142"/>
        <w:spacing w:after="0"/>
        <w:tabs>
          <w:tab w:leader="none" w:pos="780" w:val="left"/>
        </w:tabs>
        <w:numPr>
          <w:ilvl w:val="0"/>
          <w:numId w:val="2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Reconciliation of GAAP to non-GAAP results is provided below under the section entitled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38" w:name="page39"/>
    <w:bookmarkEnd w:id="38"/>
    <w:p>
      <w:pPr>
        <w:ind w:left="640"/>
        <w:spacing w:after="0"/>
        <w:rPr>
          <w:sz w:val="20"/>
          <w:szCs w:val="20"/>
          <w:color w:val="auto"/>
        </w:rPr>
      </w:pPr>
      <w:r>
        <w:rPr>
          <w:rFonts w:ascii="Times New Roman" w:cs="Times New Roman" w:eastAsia="Times New Roman" w:hAnsi="Times New Roman"/>
          <w:sz w:val="14"/>
          <w:szCs w:val="14"/>
          <w:b w:val="1"/>
          <w:bCs w:val="1"/>
          <w:u w:val="single" w:color="auto"/>
          <w:color w:val="auto"/>
        </w:rPr>
        <w:t>Segment Results of Operations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Pharmacy Solutions Segment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June 30, 2025 Compared to Three Months Ended June 30, 2024</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sets forth, for the periods indicated, our segment results of operations for Pharmacy Solutions.</w:t>
      </w:r>
    </w:p>
    <w:p>
      <w:pPr>
        <w:spacing w:after="0" w:line="264"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39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 in thousands, except Business Metrics)</w:t>
            </w: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6"/>
          </w:tcPr>
          <w:p>
            <w:pPr>
              <w:ind w:left="240"/>
              <w:spacing w:after="0"/>
              <w:rPr>
                <w:sz w:val="20"/>
                <w:szCs w:val="20"/>
                <w:color w:val="auto"/>
              </w:rPr>
            </w:pPr>
            <w:r>
              <w:rPr>
                <w:rFonts w:ascii="Times New Roman" w:cs="Times New Roman" w:eastAsia="Times New Roman" w:hAnsi="Times New Roman"/>
                <w:sz w:val="11"/>
                <w:szCs w:val="11"/>
                <w:b w:val="1"/>
                <w:bCs w:val="1"/>
                <w:color w:val="auto"/>
              </w:rPr>
              <w:t>Pharmacy Solutions</w:t>
            </w: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9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640" w:type="dxa"/>
            <w:vAlign w:val="bottom"/>
            <w:gridSpan w:val="4"/>
          </w:tcPr>
          <w:p>
            <w:pPr>
              <w:jc w:val="right"/>
              <w:ind w:right="91"/>
              <w:spacing w:after="0" w:line="101" w:lineRule="exact"/>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3"/>
            <w:vMerge w:val="restart"/>
          </w:tcPr>
          <w:p>
            <w:pPr>
              <w:ind w:left="5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vMerge w:val="continue"/>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12"/>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211"/>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111"/>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290"/>
              <w:spacing w:after="0" w:line="109"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2,790,101</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2,114,491</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675,610</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Cost of goods</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2,556,402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1,931,760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624,642</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32.3%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233,699</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182,731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50,968</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136,040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115,457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20,583</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Segment operating income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97,659</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67,274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30,385</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45.2%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Segment EBITDA</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124,692</w:t>
            </w:r>
          </w:p>
        </w:tc>
        <w:tc>
          <w:tcPr>
            <w:tcW w:w="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94,496</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30,196</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39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Business Metrics:</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Prescriptions dispensed</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10,851,773</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10,120,197</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731,576</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Revenue per script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257.11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208.94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48.17</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Gross profit per script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-667385</wp:posOffset>
            </wp:positionV>
            <wp:extent cx="47625" cy="69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-667385</wp:posOffset>
            </wp:positionV>
            <wp:extent cx="47625" cy="69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4612640</wp:posOffset>
            </wp:positionH>
            <wp:positionV relativeFrom="paragraph">
              <wp:posOffset>-667385</wp:posOffset>
            </wp:positionV>
            <wp:extent cx="47625" cy="698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-667385</wp:posOffset>
            </wp:positionV>
            <wp:extent cx="88900" cy="69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0" cy="6985"/>
                    </a:xfrm>
                    <a:prstGeom prst="rect">
                      <a:avLst/>
                    </a:prstGeom>
                    <a:noFill/>
                  </pic:spPr>
                </pic:pic>
              </a:graphicData>
            </a:graphic>
          </wp:anchor>
        </w:drawing>
      </w:r>
    </w:p>
    <w:p>
      <w:pPr>
        <w:spacing w:after="0" w:line="137" w:lineRule="exact"/>
        <w:rPr>
          <w:sz w:val="20"/>
          <w:szCs w:val="20"/>
          <w:color w:val="auto"/>
        </w:rPr>
      </w:pPr>
    </w:p>
    <w:p>
      <w:pPr>
        <w:ind w:left="640" w:right="919" w:firstLine="516"/>
        <w:spacing w:after="0" w:line="292" w:lineRule="auto"/>
        <w:rPr>
          <w:sz w:val="20"/>
          <w:szCs w:val="20"/>
          <w:color w:val="auto"/>
        </w:rPr>
      </w:pPr>
      <w:r>
        <w:rPr>
          <w:rFonts w:ascii="Times New Roman" w:cs="Times New Roman" w:eastAsia="Times New Roman" w:hAnsi="Times New Roman"/>
          <w:sz w:val="14"/>
          <w:szCs w:val="14"/>
          <w:color w:val="auto"/>
        </w:rPr>
        <w:t>The following discussion of our Pharmacy Solutions segment results of operations should be read in conjunction with the foregoing table summarizing our segment results of operations.</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Revenues</w:t>
      </w:r>
    </w:p>
    <w:p>
      <w:pPr>
        <w:spacing w:after="0" w:line="99" w:lineRule="exact"/>
        <w:rPr>
          <w:sz w:val="20"/>
          <w:szCs w:val="20"/>
          <w:color w:val="auto"/>
        </w:rPr>
      </w:pPr>
    </w:p>
    <w:p>
      <w:pPr>
        <w:ind w:left="640" w:right="699" w:firstLine="351"/>
        <w:spacing w:after="0" w:line="261" w:lineRule="auto"/>
        <w:rPr>
          <w:sz w:val="20"/>
          <w:szCs w:val="20"/>
          <w:color w:val="auto"/>
        </w:rPr>
      </w:pPr>
      <w:r>
        <w:rPr>
          <w:rFonts w:ascii="Times New Roman" w:cs="Times New Roman" w:eastAsia="Times New Roman" w:hAnsi="Times New Roman"/>
          <w:sz w:val="14"/>
          <w:szCs w:val="14"/>
          <w:color w:val="auto"/>
        </w:rPr>
        <w:t>Revenues were $2,790.1 million for the three months ended June 30, 2025, as compared with $2,114.5 million for the three months ended June 30, 2024, an increase of $675.6 million or 32.0%. The increase primarily resulted from volume growth in prescriptions dispensed across and within the Pharmacy Solutions segment. Revenues attributable to Infusion and Specialty Pharmacy were $2,203.4 million for the three months ended June 30, 2025, as compared with $1,586.1 million for the three months ended June 30, 2024, an increase of $617.3 million or 38.9% attributable to an increase in prescriptions dispensed on certain specialty branded drugs. Revenues attributable to Home and Community Pharmacy were $586.7 million for the three months ended June 30, 2025, as compared with $528.4 million for the three months ended June 30, 2024, an increase of $58.3 million or 11.0% attributable to volume growth.</w:t>
      </w:r>
    </w:p>
    <w:p>
      <w:pPr>
        <w:spacing w:after="0" w:line="235" w:lineRule="exact"/>
        <w:rPr>
          <w:sz w:val="20"/>
          <w:szCs w:val="20"/>
          <w:color w:val="auto"/>
        </w:rPr>
      </w:pPr>
    </w:p>
    <w:p>
      <w:pPr>
        <w:ind w:left="640" w:right="1079" w:firstLine="351"/>
        <w:spacing w:after="0" w:line="292" w:lineRule="auto"/>
        <w:rPr>
          <w:sz w:val="20"/>
          <w:szCs w:val="20"/>
          <w:color w:val="auto"/>
        </w:rPr>
      </w:pPr>
      <w:r>
        <w:rPr>
          <w:rFonts w:ascii="Times New Roman" w:cs="Times New Roman" w:eastAsia="Times New Roman" w:hAnsi="Times New Roman"/>
          <w:sz w:val="14"/>
          <w:szCs w:val="14"/>
          <w:color w:val="auto"/>
        </w:rPr>
        <w:t>The increase in revenue per prescription dispensed is due to mix changes year-over-year and a greater relative increase in volume growth in certain specialty brand drugs, which carry a higher revenue per prescription dispensed.</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Cost of Goods</w:t>
      </w:r>
    </w:p>
    <w:p>
      <w:pPr>
        <w:spacing w:after="0" w:line="99" w:lineRule="exact"/>
        <w:rPr>
          <w:sz w:val="20"/>
          <w:szCs w:val="20"/>
          <w:color w:val="auto"/>
        </w:rPr>
      </w:pPr>
    </w:p>
    <w:p>
      <w:pPr>
        <w:ind w:left="640" w:right="779" w:firstLine="351"/>
        <w:spacing w:after="0" w:line="274" w:lineRule="auto"/>
        <w:rPr>
          <w:sz w:val="20"/>
          <w:szCs w:val="20"/>
          <w:color w:val="auto"/>
        </w:rPr>
      </w:pPr>
      <w:r>
        <w:rPr>
          <w:rFonts w:ascii="Times New Roman" w:cs="Times New Roman" w:eastAsia="Times New Roman" w:hAnsi="Times New Roman"/>
          <w:sz w:val="14"/>
          <w:szCs w:val="14"/>
          <w:color w:val="auto"/>
        </w:rPr>
        <w:t>Cost of goods was $2,556.4 million for the three months ended June 30, 2025, as compared with $1,931.8 million for the three months ended June 30, 2024, an increase of $624.6 million or 32.3%. The increase primarily resulted from the aforementioned revenue growth in the period as well as an increase in cost per prescription dispensed as a result of mix shift.</w:t>
      </w:r>
    </w:p>
    <w:p>
      <w:pPr>
        <w:spacing w:after="0" w:line="50" w:lineRule="exact"/>
        <w:rPr>
          <w:sz w:val="20"/>
          <w:szCs w:val="20"/>
          <w:color w:val="auto"/>
        </w:rPr>
      </w:pPr>
    </w:p>
    <w:p>
      <w:pPr>
        <w:ind w:left="640" w:right="719" w:firstLine="351"/>
        <w:spacing w:after="0" w:line="271" w:lineRule="auto"/>
        <w:rPr>
          <w:sz w:val="20"/>
          <w:szCs w:val="20"/>
          <w:color w:val="auto"/>
        </w:rPr>
      </w:pPr>
      <w:r>
        <w:rPr>
          <w:rFonts w:ascii="Times New Roman" w:cs="Times New Roman" w:eastAsia="Times New Roman" w:hAnsi="Times New Roman"/>
          <w:sz w:val="14"/>
          <w:szCs w:val="14"/>
          <w:color w:val="auto"/>
        </w:rPr>
        <w:t>Gross profit was $233.7 million for the three months ended June 30, 2025, as compared with $182.7 million for the three months ended June 30, 2024, an increase of $51.0 million or 27.9%. The increase primarily resulted from the aforementioned revenue growth in the period, primarily the result of outsized volume growth as well as mix in certain specialty branded drugs, which have lower margins.</w:t>
      </w:r>
    </w:p>
    <w:p>
      <w:pPr>
        <w:spacing w:after="0" w:line="228" w:lineRule="exact"/>
        <w:rPr>
          <w:sz w:val="20"/>
          <w:szCs w:val="20"/>
          <w:color w:val="auto"/>
        </w:rPr>
      </w:pPr>
    </w:p>
    <w:p>
      <w:pPr>
        <w:jc w:val="both"/>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Gross profit margin for the three months ended June 30, 2025 was 8.4% compared to 8.6% for the three months ended June 30, 2024. The decrease in gross profit margin is due to mix shift in the Pharmacy Solutions segment with greater relative volume growth in Infusion and Specialty Pharmacy, along with product-level mix shifts, rate changes, and an increase in the fulfillment cost per script in Home and Community Pharmacy.</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40" w:right="1440" w:bottom="1440" w:gutter="0" w:footer="0" w:header="0"/>
        </w:sectPr>
      </w:pPr>
    </w:p>
    <w:bookmarkStart w:id="39" w:name="page40"/>
    <w:bookmarkEnd w:id="39"/>
    <w:p>
      <w:pPr>
        <w:ind w:left="640"/>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99" w:lineRule="exact"/>
        <w:rPr>
          <w:sz w:val="20"/>
          <w:szCs w:val="20"/>
          <w:color w:val="auto"/>
        </w:rPr>
      </w:pPr>
    </w:p>
    <w:p>
      <w:pPr>
        <w:ind w:left="640" w:right="739" w:firstLine="351"/>
        <w:spacing w:after="0" w:line="268" w:lineRule="auto"/>
        <w:rPr>
          <w:sz w:val="20"/>
          <w:szCs w:val="20"/>
          <w:color w:val="auto"/>
        </w:rPr>
      </w:pPr>
      <w:r>
        <w:rPr>
          <w:rFonts w:ascii="Times New Roman" w:cs="Times New Roman" w:eastAsia="Times New Roman" w:hAnsi="Times New Roman"/>
          <w:sz w:val="14"/>
          <w:szCs w:val="14"/>
          <w:color w:val="auto"/>
        </w:rPr>
        <w:t>Selling, general, and administrative expenses were $136.0 million for the three months ended June 30, 2025, as compared with $115.5 million for the three months ended June 30, 2024, an increase of $20.6 million or 17.8%. The increase primarily resulted from the aforementioned revenue growth in the period with selling, general, and administrative expenses growing less than the volume growth rate and demonstrating economies of scale.</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Segment EBITDA</w:t>
      </w:r>
    </w:p>
    <w:p>
      <w:pPr>
        <w:spacing w:after="0" w:line="185" w:lineRule="exact"/>
        <w:rPr>
          <w:sz w:val="20"/>
          <w:szCs w:val="20"/>
          <w:color w:val="auto"/>
        </w:rPr>
      </w:pPr>
    </w:p>
    <w:p>
      <w:pPr>
        <w:ind w:left="640" w:right="719" w:firstLine="358"/>
        <w:spacing w:after="0" w:line="268" w:lineRule="auto"/>
        <w:rPr>
          <w:sz w:val="20"/>
          <w:szCs w:val="20"/>
          <w:color w:val="auto"/>
        </w:rPr>
      </w:pPr>
      <w:r>
        <w:rPr>
          <w:rFonts w:ascii="Times New Roman" w:cs="Times New Roman" w:eastAsia="Times New Roman" w:hAnsi="Times New Roman"/>
          <w:sz w:val="14"/>
          <w:szCs w:val="14"/>
          <w:color w:val="auto"/>
        </w:rPr>
        <w:t>Segment EBITDA was $124.7 million for the three months ended June 30, 2025, as compared with $94.5 million for the three months ended June 30, 2024, an increase of $30.2 million or 32.0%. The increase primarily resulted from the aforementioned revenue and gross profit growth in the period. See Note 15 “Segment Information” to our unaudited condensed consolidated financial statements and related notes included elsewhere in this Quarterly Report on Form 10-Q for further discussion.</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Six Months Ended June 30, 2025 Compared to Six Months Ended June 30, 2024</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sets forth, for the periods indicated, our segment results of operations for Pharmacy Solutions.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39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 in thousands, except Business Metrics)</w:t>
            </w: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6"/>
          </w:tcPr>
          <w:p>
            <w:pPr>
              <w:ind w:left="240"/>
              <w:spacing w:after="0"/>
              <w:rPr>
                <w:sz w:val="20"/>
                <w:szCs w:val="20"/>
                <w:color w:val="auto"/>
              </w:rPr>
            </w:pPr>
            <w:r>
              <w:rPr>
                <w:rFonts w:ascii="Times New Roman" w:cs="Times New Roman" w:eastAsia="Times New Roman" w:hAnsi="Times New Roman"/>
                <w:sz w:val="11"/>
                <w:szCs w:val="11"/>
                <w:b w:val="1"/>
                <w:bCs w:val="1"/>
                <w:color w:val="auto"/>
              </w:rPr>
              <w:t>Pharmacy Solutions</w:t>
            </w: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9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640" w:type="dxa"/>
            <w:vAlign w:val="bottom"/>
            <w:gridSpan w:val="4"/>
          </w:tcPr>
          <w:p>
            <w:pPr>
              <w:jc w:val="right"/>
              <w:ind w:right="171"/>
              <w:spacing w:after="0" w:line="101" w:lineRule="exact"/>
              <w:rPr>
                <w:sz w:val="20"/>
                <w:szCs w:val="20"/>
                <w:color w:val="auto"/>
              </w:rPr>
            </w:pPr>
            <w:r>
              <w:rPr>
                <w:rFonts w:ascii="Times New Roman" w:cs="Times New Roman" w:eastAsia="Times New Roman" w:hAnsi="Times New Roman"/>
                <w:sz w:val="11"/>
                <w:szCs w:val="11"/>
                <w:b w:val="1"/>
                <w:bCs w:val="1"/>
                <w:color w:val="auto"/>
              </w:rPr>
              <w:t>For the Six Months Ended</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3"/>
            <w:vMerge w:val="restart"/>
          </w:tcPr>
          <w:p>
            <w:pPr>
              <w:ind w:left="5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vMerge w:val="continue"/>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12"/>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211"/>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111"/>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290"/>
              <w:spacing w:after="0" w:line="109"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5,322,272</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4,091,526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1,230,746</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Cost of goods</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4,884,617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3,738,860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1,145,757</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437,655</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352,666</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84,989</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251,778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224,467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27,311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Segment operating income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185,877</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128,199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57,678</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45.0%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Segment EBITDA</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240,418</w:t>
            </w:r>
          </w:p>
        </w:tc>
        <w:tc>
          <w:tcPr>
            <w:tcW w:w="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182,670</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57,748</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39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Business Metrics:</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Prescriptions dispensed</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21,729,067</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19,974,692</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1,754,375</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Revenue per script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244.94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204.84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40.10</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Gross profit per script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-667385</wp:posOffset>
            </wp:positionV>
            <wp:extent cx="47625" cy="69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-667385</wp:posOffset>
            </wp:positionV>
            <wp:extent cx="47625" cy="69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4612640</wp:posOffset>
            </wp:positionH>
            <wp:positionV relativeFrom="paragraph">
              <wp:posOffset>-667385</wp:posOffset>
            </wp:positionV>
            <wp:extent cx="47625" cy="69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-667385</wp:posOffset>
            </wp:positionV>
            <wp:extent cx="88900" cy="698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0" cy="6985"/>
                    </a:xfrm>
                    <a:prstGeom prst="rect">
                      <a:avLst/>
                    </a:prstGeom>
                    <a:noFill/>
                  </pic:spPr>
                </pic:pic>
              </a:graphicData>
            </a:graphic>
          </wp:anchor>
        </w:drawing>
      </w:r>
    </w:p>
    <w:p>
      <w:pPr>
        <w:spacing w:after="0" w:line="137" w:lineRule="exact"/>
        <w:rPr>
          <w:sz w:val="20"/>
          <w:szCs w:val="20"/>
          <w:color w:val="auto"/>
        </w:rPr>
      </w:pPr>
    </w:p>
    <w:p>
      <w:pPr>
        <w:ind w:left="640" w:right="919" w:firstLine="516"/>
        <w:spacing w:after="0" w:line="292" w:lineRule="auto"/>
        <w:rPr>
          <w:sz w:val="20"/>
          <w:szCs w:val="20"/>
          <w:color w:val="auto"/>
        </w:rPr>
      </w:pPr>
      <w:r>
        <w:rPr>
          <w:rFonts w:ascii="Times New Roman" w:cs="Times New Roman" w:eastAsia="Times New Roman" w:hAnsi="Times New Roman"/>
          <w:sz w:val="14"/>
          <w:szCs w:val="14"/>
          <w:color w:val="auto"/>
        </w:rPr>
        <w:t>The following discussion of our Pharmacy Solutions segment results of operations should be read in conjunction with the foregoing table summarizing our segment results of operations.</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Revenues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Revenues were $5,322.3 million for the six months ended June 30, 2025, as compared with $4,091.5 million for the six months</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ended June 30, 2024, an increase of $1,230.7 million or 30.1%. The increase primarily resulted from volume growth in prescriptions</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dispensed across and within the Pharmacy Solutions segment. Revenues attributable to Infusion and Specialty Pharmacy were</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$4,154.9 million for the six months ended June 30, 2025, as compared with $3,051.7 million for the six months ended June 30, 2024,</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an increase of $1,103.2 million or 36.2% attributable to an increase in prescriptions dispensed on certain specialty branded drugs.</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Revenues attributable to Home and Community Pharmacy were $1,167.4 million for the six months ended June 30, 2025, as compared</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with $1,039.8 million for the six months ended June 30, 2024, an increase of $127.6 million or 12.3% attributable to volume growth.</w:t>
      </w:r>
    </w:p>
    <w:p>
      <w:pPr>
        <w:spacing w:after="0" w:line="83" w:lineRule="exact"/>
        <w:rPr>
          <w:sz w:val="20"/>
          <w:szCs w:val="20"/>
          <w:color w:val="auto"/>
        </w:rPr>
      </w:pPr>
    </w:p>
    <w:p>
      <w:pPr>
        <w:ind w:left="640" w:right="1079" w:firstLine="351"/>
        <w:spacing w:after="0" w:line="292" w:lineRule="auto"/>
        <w:rPr>
          <w:sz w:val="20"/>
          <w:szCs w:val="20"/>
          <w:color w:val="auto"/>
        </w:rPr>
      </w:pPr>
      <w:r>
        <w:rPr>
          <w:rFonts w:ascii="Times New Roman" w:cs="Times New Roman" w:eastAsia="Times New Roman" w:hAnsi="Times New Roman"/>
          <w:sz w:val="14"/>
          <w:szCs w:val="14"/>
          <w:color w:val="auto"/>
        </w:rPr>
        <w:t>The increase in revenue per prescription dispensed is due to mix changes year-over-year and a greater relative increase in volume growth in certain specialty brand drugs, which carry a higher revenue per prescription dispensed.</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Cost of Goods</w:t>
      </w:r>
    </w:p>
    <w:p>
      <w:pPr>
        <w:spacing w:after="0" w:line="99" w:lineRule="exact"/>
        <w:rPr>
          <w:sz w:val="20"/>
          <w:szCs w:val="20"/>
          <w:color w:val="auto"/>
        </w:rPr>
      </w:pPr>
    </w:p>
    <w:p>
      <w:pPr>
        <w:jc w:val="both"/>
        <w:ind w:left="640" w:right="1019" w:firstLine="351"/>
        <w:spacing w:after="0" w:line="274" w:lineRule="auto"/>
        <w:rPr>
          <w:sz w:val="20"/>
          <w:szCs w:val="20"/>
          <w:color w:val="auto"/>
        </w:rPr>
      </w:pPr>
      <w:r>
        <w:rPr>
          <w:rFonts w:ascii="Times New Roman" w:cs="Times New Roman" w:eastAsia="Times New Roman" w:hAnsi="Times New Roman"/>
          <w:sz w:val="14"/>
          <w:szCs w:val="14"/>
          <w:color w:val="auto"/>
        </w:rPr>
        <w:t>Cost of goods was $4,884.6 million for the six months ended June 30, 2025, as compared with $3,738.9 million for the six months ended June 30, 2024, an increase of $1,145.8 million or 30.6%. The increase primarily resulted from the aforementioned revenue growth in the period as well as an increase in cost per prescription dispensed as a result of mix shift.</w:t>
      </w:r>
    </w:p>
    <w:p>
      <w:pPr>
        <w:spacing w:after="0" w:line="50" w:lineRule="exact"/>
        <w:rPr>
          <w:sz w:val="20"/>
          <w:szCs w:val="20"/>
          <w:color w:val="auto"/>
        </w:rPr>
      </w:pPr>
    </w:p>
    <w:p>
      <w:pPr>
        <w:ind w:left="640" w:right="719" w:firstLine="351"/>
        <w:spacing w:after="0" w:line="292" w:lineRule="auto"/>
        <w:rPr>
          <w:sz w:val="20"/>
          <w:szCs w:val="20"/>
          <w:color w:val="auto"/>
        </w:rPr>
      </w:pPr>
      <w:r>
        <w:rPr>
          <w:rFonts w:ascii="Times New Roman" w:cs="Times New Roman" w:eastAsia="Times New Roman" w:hAnsi="Times New Roman"/>
          <w:sz w:val="14"/>
          <w:szCs w:val="14"/>
          <w:color w:val="auto"/>
        </w:rPr>
        <w:t>Gross profit was $437.7 million for the six months ended June 30, 2025, as compared with $352.7 million for the six months ended June 30, 2024, an increase of $85.0 million or 24.1%. The increase primarily resulted from the aforementioned revenue growth</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40" w:name="page41"/>
    <w:bookmarkEnd w:id="40"/>
    <w:p>
      <w:pPr>
        <w:ind w:left="640" w:right="999"/>
        <w:spacing w:after="0" w:line="292" w:lineRule="auto"/>
        <w:rPr>
          <w:sz w:val="20"/>
          <w:szCs w:val="20"/>
          <w:color w:val="auto"/>
        </w:rPr>
      </w:pPr>
      <w:r>
        <w:rPr>
          <w:rFonts w:ascii="Times New Roman" w:cs="Times New Roman" w:eastAsia="Times New Roman" w:hAnsi="Times New Roman"/>
          <w:sz w:val="14"/>
          <w:szCs w:val="14"/>
          <w:color w:val="auto"/>
        </w:rPr>
        <w:t>in the period, primarily the result of outsized volume growth as well as mix in certain specialty branded drugs, which have lower margins.</w:t>
      </w:r>
    </w:p>
    <w:p>
      <w:pPr>
        <w:spacing w:after="0" w:line="38"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Gross profit margin for the six months ended June 30, 2025 was 8.2% compared to 8.6% for the six months ended June 30, 2024. The decrease in gross profit margin is due to mix shift in the Pharmacy Solutions segment with greater relative volume growth in Infusion and Specialty Pharmacy, along with product-level mix shifts, rate changes, and an increase in the fulfillment cost per script in Home and Community Pharmacy.</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99" w:lineRule="exact"/>
        <w:rPr>
          <w:sz w:val="20"/>
          <w:szCs w:val="20"/>
          <w:color w:val="auto"/>
        </w:rPr>
      </w:pPr>
    </w:p>
    <w:p>
      <w:pPr>
        <w:ind w:left="640" w:right="839" w:firstLine="351"/>
        <w:spacing w:after="0" w:line="268" w:lineRule="auto"/>
        <w:rPr>
          <w:sz w:val="20"/>
          <w:szCs w:val="20"/>
          <w:color w:val="auto"/>
        </w:rPr>
      </w:pPr>
      <w:r>
        <w:rPr>
          <w:rFonts w:ascii="Times New Roman" w:cs="Times New Roman" w:eastAsia="Times New Roman" w:hAnsi="Times New Roman"/>
          <w:sz w:val="14"/>
          <w:szCs w:val="14"/>
          <w:color w:val="auto"/>
        </w:rPr>
        <w:t>Selling, general, and administrative expenses were $251.8 million for the six months ended June 30, 2025, as compared with $224.5 million for the six months ended June 30, 2024, an increase of $27.3 million or 12.2%. The increase primarily resulted from the aforementioned revenue growth in the period with selling, general, and administrative expenses growing less than the volume growth rate and demonstrating economies of scale.</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Segment EBITDA</w:t>
      </w:r>
    </w:p>
    <w:p>
      <w:pPr>
        <w:spacing w:after="0" w:line="99" w:lineRule="exact"/>
        <w:rPr>
          <w:sz w:val="20"/>
          <w:szCs w:val="20"/>
          <w:color w:val="auto"/>
        </w:rPr>
      </w:pPr>
    </w:p>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Segment EBITDA was $240.4 million for the six months ended June 30, 2025, as compared with $182.7 million for the six months ended June 30, 2024, an increase of $57.7 million or 31.6%. The increase primarily resulted from the aforementioned revenue and gross profit growth in the period. See Note 15 “Segment Information” to our unaudited condensed consolidated financial statements and related notes included elsewhere in this Quarterly Report on Form 10-Q for further discussion.</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Provider Services Segment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June 30, 2025 Compared to Three Months Ended June 30, 2024</w:t>
      </w:r>
    </w:p>
    <w:p>
      <w:pPr>
        <w:spacing w:after="0" w:line="352"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39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 in thousands, except Business Metrics)</w:t>
            </w: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6"/>
          </w:tcPr>
          <w:p>
            <w:pPr>
              <w:ind w:left="240"/>
              <w:spacing w:after="0"/>
              <w:rPr>
                <w:sz w:val="20"/>
                <w:szCs w:val="20"/>
                <w:color w:val="auto"/>
              </w:rPr>
            </w:pPr>
            <w:r>
              <w:rPr>
                <w:rFonts w:ascii="Times New Roman" w:cs="Times New Roman" w:eastAsia="Times New Roman" w:hAnsi="Times New Roman"/>
                <w:sz w:val="11"/>
                <w:szCs w:val="11"/>
                <w:b w:val="1"/>
                <w:bCs w:val="1"/>
                <w:color w:val="auto"/>
              </w:rPr>
              <w:t>Provider Services</w:t>
            </w: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9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640" w:type="dxa"/>
            <w:vAlign w:val="bottom"/>
            <w:gridSpan w:val="4"/>
          </w:tcPr>
          <w:p>
            <w:pPr>
              <w:jc w:val="right"/>
              <w:ind w:right="91"/>
              <w:spacing w:after="0" w:line="101" w:lineRule="exact"/>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3"/>
            <w:vMerge w:val="restart"/>
          </w:tcPr>
          <w:p>
            <w:pPr>
              <w:ind w:left="5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vMerge w:val="continue"/>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12"/>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211"/>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111"/>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290"/>
              <w:spacing w:after="0" w:line="109"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357,597</w:t>
            </w:r>
          </w:p>
        </w:tc>
        <w:tc>
          <w:tcPr>
            <w:tcW w:w="3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323,763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33,834</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216,444</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194,318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22,126</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141,153</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129,445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11,708</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91,871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84,728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7,143</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Segment operating income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49,282</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44,717</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4,565</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Segment EBITDA</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56,456</w:t>
            </w:r>
          </w:p>
        </w:tc>
        <w:tc>
          <w:tcPr>
            <w:tcW w:w="16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50,667</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5,789</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39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Business Metrics:</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Home Health Care average daily census</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30,085</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28,280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1,805</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Rehab Care persons served</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7,119</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Personal Care persons served</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16,138</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15,932</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-667385</wp:posOffset>
            </wp:positionV>
            <wp:extent cx="47625" cy="69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-667385</wp:posOffset>
            </wp:positionV>
            <wp:extent cx="47625" cy="69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4612640</wp:posOffset>
            </wp:positionH>
            <wp:positionV relativeFrom="paragraph">
              <wp:posOffset>-667385</wp:posOffset>
            </wp:positionV>
            <wp:extent cx="47625" cy="69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-667385</wp:posOffset>
            </wp:positionV>
            <wp:extent cx="88900" cy="69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0" cy="6985"/>
                    </a:xfrm>
                    <a:prstGeom prst="rect">
                      <a:avLst/>
                    </a:prstGeom>
                    <a:noFill/>
                  </pic:spPr>
                </pic:pic>
              </a:graphicData>
            </a:graphic>
          </wp:anchor>
        </w:drawing>
      </w:r>
    </w:p>
    <w:p>
      <w:pPr>
        <w:spacing w:after="0" w:line="137" w:lineRule="exact"/>
        <w:rPr>
          <w:sz w:val="20"/>
          <w:szCs w:val="20"/>
          <w:color w:val="auto"/>
        </w:rPr>
      </w:pPr>
    </w:p>
    <w:p>
      <w:pPr>
        <w:ind w:left="640" w:right="1039" w:firstLine="516"/>
        <w:spacing w:after="0" w:line="292" w:lineRule="auto"/>
        <w:rPr>
          <w:sz w:val="20"/>
          <w:szCs w:val="20"/>
          <w:color w:val="auto"/>
        </w:rPr>
      </w:pPr>
      <w:r>
        <w:rPr>
          <w:rFonts w:ascii="Times New Roman" w:cs="Times New Roman" w:eastAsia="Times New Roman" w:hAnsi="Times New Roman"/>
          <w:sz w:val="14"/>
          <w:szCs w:val="14"/>
          <w:color w:val="auto"/>
        </w:rPr>
        <w:t>The following discussion of our Provider Services segment results of operations should be read in conjunction with the foregoing table summarizing our segment results of operations.</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Revenues</w:t>
      </w:r>
    </w:p>
    <w:p>
      <w:pPr>
        <w:spacing w:after="0" w:line="99"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Revenues were $357.6 million for the three months ended June 30, 2025, as compared with $323.8 million for the three months ended June 30, 2024, an increase of $33.8 million or 10.5%. The increase primarily resulted from volume growth as well as rate increases received during the period. Revenues attributable to Home Health Care were $184.5 million for the three months ended June 30, 2025, as compared with $157.6 million for the three months ended June 30, 2024, an increase of $26.9 million or 17.1%. Revenues attributable to Rehab Care were $73.2 million for the three months ended June 30, 2025, as compared with $70.0 million for the three months ended June 30, 2024, an increase of $3.2 million or 4.6%. Revenues attributable to Personal Care were $99.9 million for the three months ended June 30, 2025, as compared with $96.2 million for the three months ended June 30, 2024, an increase of $3.7 million or 3.8%.</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1" w:name="page42"/>
    <w:bookmarkEnd w:id="41"/>
    <w:p>
      <w:pPr>
        <w:ind w:left="640"/>
        <w:spacing w:after="0"/>
        <w:rPr>
          <w:sz w:val="20"/>
          <w:szCs w:val="20"/>
          <w:color w:val="auto"/>
        </w:rPr>
      </w:pPr>
      <w:r>
        <w:rPr>
          <w:rFonts w:ascii="Times New Roman" w:cs="Times New Roman" w:eastAsia="Times New Roman" w:hAnsi="Times New Roman"/>
          <w:sz w:val="14"/>
          <w:szCs w:val="14"/>
          <w:i w:val="1"/>
          <w:iCs w:val="1"/>
          <w:color w:val="auto"/>
        </w:rPr>
        <w:t>Cost of Services</w:t>
      </w:r>
    </w:p>
    <w:p>
      <w:pPr>
        <w:spacing w:after="0" w:line="99" w:lineRule="exact"/>
        <w:rPr>
          <w:sz w:val="20"/>
          <w:szCs w:val="20"/>
          <w:color w:val="auto"/>
        </w:rPr>
      </w:pPr>
    </w:p>
    <w:p>
      <w:pPr>
        <w:ind w:left="640" w:right="719" w:firstLine="351"/>
        <w:spacing w:after="0" w:line="274" w:lineRule="auto"/>
        <w:rPr>
          <w:sz w:val="20"/>
          <w:szCs w:val="20"/>
          <w:color w:val="auto"/>
        </w:rPr>
      </w:pPr>
      <w:r>
        <w:rPr>
          <w:rFonts w:ascii="Times New Roman" w:cs="Times New Roman" w:eastAsia="Times New Roman" w:hAnsi="Times New Roman"/>
          <w:sz w:val="14"/>
          <w:szCs w:val="14"/>
          <w:color w:val="auto"/>
        </w:rPr>
        <w:t>Cost of services was $216.4 million for the three months ended June 30, 2025, as compared with $194.3 million for the three months ended June 30, 2024, an increase of $22.1 million or 11.4%. The increase primarily resulted from the aforementioned revenue growth.</w:t>
      </w:r>
    </w:p>
    <w:p>
      <w:pPr>
        <w:spacing w:after="0" w:line="50" w:lineRule="exact"/>
        <w:rPr>
          <w:sz w:val="20"/>
          <w:szCs w:val="20"/>
          <w:color w:val="auto"/>
        </w:rPr>
      </w:pPr>
    </w:p>
    <w:p>
      <w:pPr>
        <w:ind w:left="640" w:right="779" w:firstLine="351"/>
        <w:spacing w:after="0" w:line="274" w:lineRule="auto"/>
        <w:rPr>
          <w:sz w:val="20"/>
          <w:szCs w:val="20"/>
          <w:color w:val="auto"/>
        </w:rPr>
      </w:pPr>
      <w:r>
        <w:rPr>
          <w:rFonts w:ascii="Times New Roman" w:cs="Times New Roman" w:eastAsia="Times New Roman" w:hAnsi="Times New Roman"/>
          <w:sz w:val="14"/>
          <w:szCs w:val="14"/>
          <w:color w:val="auto"/>
        </w:rPr>
        <w:t>Gross profit was $141.2 million for the three months ended June 30, 2025, as compared with $129.4 million for the three months ended June 30, 2024, an increase of $11.7 million or 9.0%. The increase primarily resulted from the aforementioned revenue growth and costs of services improvements in the period.</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99" w:lineRule="exact"/>
        <w:rPr>
          <w:sz w:val="20"/>
          <w:szCs w:val="20"/>
          <w:color w:val="auto"/>
        </w:rPr>
      </w:pPr>
    </w:p>
    <w:p>
      <w:pPr>
        <w:ind w:left="640" w:right="739" w:firstLine="351"/>
        <w:spacing w:after="0" w:line="268" w:lineRule="auto"/>
        <w:rPr>
          <w:sz w:val="20"/>
          <w:szCs w:val="20"/>
          <w:color w:val="auto"/>
        </w:rPr>
      </w:pPr>
      <w:r>
        <w:rPr>
          <w:rFonts w:ascii="Times New Roman" w:cs="Times New Roman" w:eastAsia="Times New Roman" w:hAnsi="Times New Roman"/>
          <w:sz w:val="14"/>
          <w:szCs w:val="14"/>
          <w:color w:val="auto"/>
        </w:rPr>
        <w:t>Selling, general, and administrative expenses were $91.9 million for the three months ended June 30, 2025, as compared with $84.7 million for the three months ended June 30, 2024, an increase of $7.1 million or 8.4%. The increase primarily resulted from the aforementioned revenue growth in the period with selling, general, and administrative expenses growing less than the volume growth rate and demonstrating economies of scale.</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Segment EBITDA</w:t>
      </w:r>
    </w:p>
    <w:p>
      <w:pPr>
        <w:spacing w:after="0" w:line="99" w:lineRule="exact"/>
        <w:rPr>
          <w:sz w:val="20"/>
          <w:szCs w:val="20"/>
          <w:color w:val="auto"/>
        </w:rPr>
      </w:pPr>
    </w:p>
    <w:p>
      <w:pPr>
        <w:ind w:left="640" w:right="739" w:firstLine="351"/>
        <w:spacing w:after="0" w:line="268" w:lineRule="auto"/>
        <w:rPr>
          <w:sz w:val="20"/>
          <w:szCs w:val="20"/>
          <w:color w:val="auto"/>
        </w:rPr>
      </w:pPr>
      <w:r>
        <w:rPr>
          <w:rFonts w:ascii="Times New Roman" w:cs="Times New Roman" w:eastAsia="Times New Roman" w:hAnsi="Times New Roman"/>
          <w:sz w:val="14"/>
          <w:szCs w:val="14"/>
          <w:color w:val="auto"/>
        </w:rPr>
        <w:t>Segment EBITDA was $56.5 million for the three months ended June 30, 2025, as compared with $50.7 million for the three months ended June 30, 2024, an increase of $5.8 million or 11.4%. The increase primarily resulted from the aforementioned revenue growth. See Note 15 “Segment Information" to our unaudited condensed consolidated financial statements and related notes included elsewhere in this Quarterly Report on Form 10-Q for further discussion.</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Six Months Ended June 30, 2025 Compared to Six Months Ended June 30, 2024</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sets forth, for the years indicated, our segment results of operations for Provider Services.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39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 in thousands, except Business Metrics)</w:t>
            </w: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6"/>
          </w:tcPr>
          <w:p>
            <w:pPr>
              <w:ind w:left="240"/>
              <w:spacing w:after="0"/>
              <w:rPr>
                <w:sz w:val="20"/>
                <w:szCs w:val="20"/>
                <w:color w:val="auto"/>
              </w:rPr>
            </w:pPr>
            <w:r>
              <w:rPr>
                <w:rFonts w:ascii="Times New Roman" w:cs="Times New Roman" w:eastAsia="Times New Roman" w:hAnsi="Times New Roman"/>
                <w:sz w:val="11"/>
                <w:szCs w:val="11"/>
                <w:b w:val="1"/>
                <w:bCs w:val="1"/>
                <w:color w:val="auto"/>
              </w:rPr>
              <w:t>Provider Services</w:t>
            </w: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9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600" w:type="dxa"/>
            <w:vAlign w:val="bottom"/>
            <w:gridSpan w:val="4"/>
          </w:tcPr>
          <w:p>
            <w:pPr>
              <w:jc w:val="right"/>
              <w:ind w:right="171"/>
              <w:spacing w:after="0" w:line="101" w:lineRule="exact"/>
              <w:rPr>
                <w:sz w:val="20"/>
                <w:szCs w:val="20"/>
                <w:color w:val="auto"/>
              </w:rPr>
            </w:pPr>
            <w:r>
              <w:rPr>
                <w:rFonts w:ascii="Times New Roman" w:cs="Times New Roman" w:eastAsia="Times New Roman" w:hAnsi="Times New Roman"/>
                <w:sz w:val="11"/>
                <w:szCs w:val="11"/>
                <w:b w:val="1"/>
                <w:bCs w:val="1"/>
                <w:color w:val="auto"/>
              </w:rPr>
              <w:t>For the Six Months Ended</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3"/>
            <w:vMerge w:val="restart"/>
          </w:tcPr>
          <w:p>
            <w:pPr>
              <w:ind w:left="5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vMerge w:val="continue"/>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12"/>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211"/>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111"/>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290"/>
              <w:spacing w:after="0" w:line="109"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703,555</w:t>
            </w:r>
          </w:p>
        </w:tc>
        <w:tc>
          <w:tcPr>
            <w:tcW w:w="3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632,494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71,061</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427,989</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380,493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47,496</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275,566</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252,001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23,565</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181,973</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166,272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15,701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Segment operating income</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93,593</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85,729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7,864</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Segment EBITDA</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107,536</w:t>
            </w:r>
          </w:p>
        </w:tc>
        <w:tc>
          <w:tcPr>
            <w:tcW w:w="16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97,422</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10,114</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39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Business Metrics: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Home Health Care average daily census</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30,163</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27,686</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2,477</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Rehab Care persons served</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6,909</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Personal Care persons served</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16,001</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15,865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-667385</wp:posOffset>
            </wp:positionV>
            <wp:extent cx="47625" cy="69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-667385</wp:posOffset>
            </wp:positionV>
            <wp:extent cx="47625" cy="698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4612640</wp:posOffset>
            </wp:positionH>
            <wp:positionV relativeFrom="paragraph">
              <wp:posOffset>-667385</wp:posOffset>
            </wp:positionV>
            <wp:extent cx="47625" cy="698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-667385</wp:posOffset>
            </wp:positionV>
            <wp:extent cx="88900" cy="698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0" cy="6985"/>
                    </a:xfrm>
                    <a:prstGeom prst="rect">
                      <a:avLst/>
                    </a:prstGeom>
                    <a:noFill/>
                  </pic:spPr>
                </pic:pic>
              </a:graphicData>
            </a:graphic>
          </wp:anchor>
        </w:drawing>
      </w:r>
    </w:p>
    <w:p>
      <w:pPr>
        <w:spacing w:after="0" w:line="137" w:lineRule="exact"/>
        <w:rPr>
          <w:sz w:val="20"/>
          <w:szCs w:val="20"/>
          <w:color w:val="auto"/>
        </w:rPr>
      </w:pPr>
    </w:p>
    <w:p>
      <w:pPr>
        <w:ind w:left="640" w:right="1039" w:firstLine="516"/>
        <w:spacing w:after="0" w:line="292" w:lineRule="auto"/>
        <w:rPr>
          <w:sz w:val="20"/>
          <w:szCs w:val="20"/>
          <w:color w:val="auto"/>
        </w:rPr>
      </w:pPr>
      <w:r>
        <w:rPr>
          <w:rFonts w:ascii="Times New Roman" w:cs="Times New Roman" w:eastAsia="Times New Roman" w:hAnsi="Times New Roman"/>
          <w:sz w:val="14"/>
          <w:szCs w:val="14"/>
          <w:color w:val="auto"/>
        </w:rPr>
        <w:t>The following discussion of our Provider Services segment results of operations should be read in conjunction with the foregoing table summarizing our segment results of operations.</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Revenues</w:t>
      </w:r>
    </w:p>
    <w:p>
      <w:pPr>
        <w:spacing w:after="0" w:line="99" w:lineRule="exact"/>
        <w:rPr>
          <w:sz w:val="20"/>
          <w:szCs w:val="20"/>
          <w:color w:val="auto"/>
        </w:rPr>
      </w:pPr>
    </w:p>
    <w:p>
      <w:pPr>
        <w:ind w:left="640" w:right="699" w:firstLine="351"/>
        <w:spacing w:after="0" w:line="261" w:lineRule="auto"/>
        <w:rPr>
          <w:sz w:val="20"/>
          <w:szCs w:val="20"/>
          <w:color w:val="auto"/>
        </w:rPr>
      </w:pPr>
      <w:r>
        <w:rPr>
          <w:rFonts w:ascii="Times New Roman" w:cs="Times New Roman" w:eastAsia="Times New Roman" w:hAnsi="Times New Roman"/>
          <w:sz w:val="14"/>
          <w:szCs w:val="14"/>
          <w:color w:val="auto"/>
        </w:rPr>
        <w:t>Revenues were $703.5 million for the six months ended June 30, 2025, as compared with $632.5 million for the six months ended June 30, 2024, an increase of $71.1 million or 11.2%. The increase primarily resulted from volume growth as well as rate increases received during the period. Revenues attributable to Home Health Care were $362.9 million for the six months ended June 30, 2025, as compared with $305.2 million for the six months ended June 30, 2024, an increase of $57.7 million or 18.9%. Revenues attributable to Rehab Care were $143.0 million for the six months ended June 30, 2025, as compared with $136.7 million for the six months ended June 30, 2024, an increase of $6.3 million or 4.6%. Revenues attributable to Personal Care were $197.6 million for the six months ended June 30, 2025, as compared with $190.6 million for the six months ended June 30, 2024, an increase of $7.0 million or 3.7%.</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42" w:name="page43"/>
    <w:bookmarkEnd w:id="42"/>
    <w:p>
      <w:pPr>
        <w:ind w:left="640"/>
        <w:spacing w:after="0"/>
        <w:rPr>
          <w:sz w:val="20"/>
          <w:szCs w:val="20"/>
          <w:color w:val="auto"/>
        </w:rPr>
      </w:pPr>
      <w:r>
        <w:rPr>
          <w:rFonts w:ascii="Times New Roman" w:cs="Times New Roman" w:eastAsia="Times New Roman" w:hAnsi="Times New Roman"/>
          <w:sz w:val="14"/>
          <w:szCs w:val="14"/>
          <w:i w:val="1"/>
          <w:iCs w:val="1"/>
          <w:color w:val="auto"/>
        </w:rPr>
        <w:t>Cost of Services</w:t>
      </w:r>
    </w:p>
    <w:p>
      <w:pPr>
        <w:spacing w:after="0" w:line="99"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Cost of services was $428.0 million for the six months ended June 30, 2025, as compared with $380.5 million for the six months ended June 30, 2024, an increase of $47.5 million or 12.5%. The increase primarily resulted from the aforementioned revenue growth.</w:t>
      </w:r>
    </w:p>
    <w:p>
      <w:pPr>
        <w:spacing w:after="0" w:line="38" w:lineRule="exact"/>
        <w:rPr>
          <w:sz w:val="20"/>
          <w:szCs w:val="20"/>
          <w:color w:val="auto"/>
        </w:rPr>
      </w:pPr>
    </w:p>
    <w:p>
      <w:pPr>
        <w:ind w:left="640" w:right="799" w:firstLine="351"/>
        <w:spacing w:after="0" w:line="274" w:lineRule="auto"/>
        <w:rPr>
          <w:sz w:val="20"/>
          <w:szCs w:val="20"/>
          <w:color w:val="auto"/>
        </w:rPr>
      </w:pPr>
      <w:r>
        <w:rPr>
          <w:rFonts w:ascii="Times New Roman" w:cs="Times New Roman" w:eastAsia="Times New Roman" w:hAnsi="Times New Roman"/>
          <w:sz w:val="14"/>
          <w:szCs w:val="14"/>
          <w:color w:val="auto"/>
        </w:rPr>
        <w:t>Gross profit was $275.6 million for the six months ended June 30, 2025, as compared with $252.0 million for the six months ended June 30, 2024, an increase of $23.6 million or 9.4%. The increase primarily resulted from the aforementioned revenue growth and costs of services improvements in the period.</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Selling, general, and administrative expenses were $182.0 million for the six months ended June 30, 2025, as compared with</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$166.3 million for the six months ended June 30, 2024, an increase of $15.7 million or 9.4%. The increase primarily resulted from the</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aforementioned revenue growth in the period with selling, general, and administrative expenses growing less than the volume growth</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rate and demonstrating economies of scale.</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Segment EBITDA</w:t>
      </w:r>
    </w:p>
    <w:p>
      <w:pPr>
        <w:spacing w:after="0" w:line="99" w:lineRule="exact"/>
        <w:rPr>
          <w:sz w:val="20"/>
          <w:szCs w:val="20"/>
          <w:color w:val="auto"/>
        </w:rPr>
      </w:pPr>
    </w:p>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Segment EBITDA was $107.5 million for the six months ended June 30, 2025, as compared with $97.4 million for the six months ended June 30, 2024, an increase of $10.1 million or 10.4%. The increase primarily resulted from the aforementioned revenue growth. See Note 15 “Segment Information" to our unaudited condensed consolidated financial statements and related notes included elsewhere in this Quarterly Report on Form 10-Q for further discussion.</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99" w:lineRule="exact"/>
        <w:rPr>
          <w:sz w:val="20"/>
          <w:szCs w:val="20"/>
          <w:color w:val="auto"/>
        </w:rPr>
      </w:pPr>
    </w:p>
    <w:p>
      <w:pPr>
        <w:ind w:left="640" w:right="799" w:firstLine="351"/>
        <w:spacing w:after="0" w:line="268" w:lineRule="auto"/>
        <w:rPr>
          <w:sz w:val="20"/>
          <w:szCs w:val="20"/>
          <w:color w:val="auto"/>
        </w:rPr>
      </w:pPr>
      <w:r>
        <w:rPr>
          <w:rFonts w:ascii="Times New Roman" w:cs="Times New Roman" w:eastAsia="Times New Roman" w:hAnsi="Times New Roman"/>
          <w:sz w:val="14"/>
          <w:szCs w:val="14"/>
          <w:color w:val="auto"/>
        </w:rPr>
        <w:t>In addition to our results of operations prepared in accordance with U.S. GAAP, which we have discussed above, we also evaluate our financial performance using EBITDA, Adjusted EBITDA, and Adjusted EPS. These non-GAAP financial measures are not intended to replace financial performance measures determined in accordance with U.S. GAAP, such as net income (loss) and diluted EPS. Rather, we present EBITDA, Adjusted EBITDA, and Adjusted EPS as supplemental measures of our performance.</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EBITDA, Adjusted EBITDA, and Adjusted EPS</w:t>
      </w:r>
    </w:p>
    <w:p>
      <w:pPr>
        <w:spacing w:after="0" w:line="99" w:lineRule="exact"/>
        <w:rPr>
          <w:sz w:val="20"/>
          <w:szCs w:val="20"/>
          <w:color w:val="auto"/>
        </w:rPr>
      </w:pPr>
    </w:p>
    <w:p>
      <w:pPr>
        <w:ind w:left="640" w:right="739" w:firstLine="516"/>
        <w:spacing w:after="0" w:line="259" w:lineRule="auto"/>
        <w:rPr>
          <w:sz w:val="20"/>
          <w:szCs w:val="20"/>
          <w:color w:val="auto"/>
        </w:rPr>
      </w:pPr>
      <w:r>
        <w:rPr>
          <w:rFonts w:ascii="Times New Roman" w:cs="Times New Roman" w:eastAsia="Times New Roman" w:hAnsi="Times New Roman"/>
          <w:sz w:val="14"/>
          <w:szCs w:val="14"/>
          <w:color w:val="auto"/>
        </w:rPr>
        <w:t>The following are key financial metrics and, when used in conjunction with U.S. GAAP measures, we believe they provide useful information for evaluating our core business performance, enable comparison of financial results across periods, and allow for greater transparency with respect to key metrics used by management for financial and operational decision-making. We define EBITDA as net income (loss) before income tax expense (benefit), interest expense, net, and depreciation and amortization. Adjusted EBITDA and Adjusted EPS exclude certain other items that are either non-recurring, infrequent, non-cash, unusual, or items deemed by management to not be indicative of the performance of our core operations, including non-cash, share-based compensation; acquisition, integration, and transaction-related costs; restructuring and divestiture-related and other costs; legal costs associated with certain historical matters for PharMerica and settlement costs; significant projects; and management fees. In determining which adjustments are made to arrive at Adjusted EBITDA and Adjusted EPS, management considers both (1) certain non-recurring, infrequent, non-cash, or unusual items, which can vary significantly from year to year, as well as (2) certain other items that may be recurring, frequent, or settled in cash but which management does not believe are indicative of our core operating performance. The financial measure calculated under U.S. GAAP which is most directly comparable to Adjusted EBITDA is net income (loss). The financial measure calculated under U.S. GAAP which is most directly comparable to Adjusted EPS is diluted EPS.</w:t>
      </w:r>
    </w:p>
    <w:p>
      <w:pPr>
        <w:spacing w:after="0" w:line="61"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We have historically incurred substantial acquisition, integration, and transaction-related costs. The underlying acquisition activities take place over a defined timeframe, have distinct project timelines, and are incremental to activities and costs that arise in the ordinary course of our business. Therefore, we have excluded these costs from our Adjusted EBITDA and Adjusted EPS because it provides management a normalized view of our core, ongoing operations after integrating our acquired companies.</w:t>
      </w:r>
    </w:p>
    <w:p>
      <w:pPr>
        <w:spacing w:after="0" w:line="54"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The legal costs and settlements adjustment represents defense costs associated with certain PharMerica litigation matters, all of which have been finalized as of June 30, 2025, that commenced prior to KKR Stockholder’s and Walgreen Stockholder’s acquisition of PharMerica in December 2017, as well as settlement costs associated with these historical PharMerica cases including the Silver matter, which settled in November 2023. We have excluded defense costs associated with these PharMerica litigation matters from our Adjusted EBITDA and Adjusted EPS due to the magnitude of these cases and the costs attributable to them, the timing of the commencement of the cases and the fact that no similar cases have been brought against the Company since the acquisition of PharMerica, and the fact that these cases are unlike our routine legal and regulatory proceedings that we see in the normal course of business. Further, we have excluded settlement costs associated with the Silver matter from our Adjusted EBITDA and Adjusted EPS due to the magnitude of the case and the costs attributable to it, as well as the fact that the Silver matter is unlike our routine legal and regulatory proceedings that we see in the normal course of business.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43" w:name="page44"/>
    <w:bookmarkEnd w:id="43"/>
    <w:p>
      <w:pPr>
        <w:ind w:left="640" w:right="759" w:firstLine="351"/>
        <w:spacing w:after="0" w:line="264" w:lineRule="auto"/>
        <w:rPr>
          <w:sz w:val="20"/>
          <w:szCs w:val="20"/>
          <w:color w:val="auto"/>
        </w:rPr>
      </w:pPr>
      <w:r>
        <w:rPr>
          <w:rFonts w:ascii="Times New Roman" w:cs="Times New Roman" w:eastAsia="Times New Roman" w:hAnsi="Times New Roman"/>
          <w:sz w:val="14"/>
          <w:szCs w:val="14"/>
          <w:color w:val="auto"/>
        </w:rPr>
        <w:t>The significant projects adjustment represents costs associated with certain transformational projects, which are not considered to be a part of our normal and recurring business operations and are not expected to recur in our future business plans. Moreover, the costs associated with significant projects, which are incurred on an infrequent and limited basis, are not reflective of our operating performance. Due to the aforementioned reasons, we have excluded the costs related to significant projects from our Adjusted EBITDA and Adjusted EPS, as such adjustment provides a more meaningful understanding to investors and others of our ongoing results.</w:t>
      </w:r>
    </w:p>
    <w:p>
      <w:pPr>
        <w:spacing w:after="0" w:line="231"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The management fees adjustment represents fees paid historically under the Monitoring Agreement related to either (i) activities that are expected to be performed by our existing personnel upon the termination of the Monitoring Agreement, and thus not expected to result in incremental costs subsequent to the IPO Offerings, or (ii) acquisitions, divestitures, and external financing activities, which costs would otherwise be excluded from our Adjusted EBITDA and Adjusted EPS. Therefore, we have excluded management fees from our Adjusted EBITDA and Adjusted EPS, as such fees are no longer applicable and representative of our ordinary operating performance as a result of the completion of the IPO Offerings.</w:t>
      </w:r>
    </w:p>
    <w:p>
      <w:pPr>
        <w:spacing w:after="0" w:line="58" w:lineRule="exact"/>
        <w:rPr>
          <w:sz w:val="20"/>
          <w:szCs w:val="20"/>
          <w:color w:val="auto"/>
        </w:rPr>
      </w:pPr>
    </w:p>
    <w:p>
      <w:pPr>
        <w:ind w:left="640" w:right="719" w:firstLine="516"/>
        <w:spacing w:after="0" w:line="268" w:lineRule="auto"/>
        <w:rPr>
          <w:sz w:val="20"/>
          <w:szCs w:val="20"/>
          <w:color w:val="auto"/>
        </w:rPr>
      </w:pPr>
      <w:r>
        <w:rPr>
          <w:rFonts w:ascii="Times New Roman" w:cs="Times New Roman" w:eastAsia="Times New Roman" w:hAnsi="Times New Roman"/>
          <w:sz w:val="14"/>
          <w:szCs w:val="14"/>
          <w:color w:val="auto"/>
        </w:rPr>
        <w:t>EBITDA, Adjusted EBITDA, and Adjusted EPS are not measures of financial performance under U.S. GAAP and should be considered in addition to, and not as a substitute for, net income (loss), diluted EPS or other financial measures calculated in accordance with U.S. GAAP. Our method of determining non-GAAP financial measures may differ from other companies’ financial measures and therefore may not be comparable to methods used by other companies.</w:t>
      </w:r>
    </w:p>
    <w:p>
      <w:pPr>
        <w:spacing w:after="0" w:line="54" w:lineRule="exact"/>
        <w:rPr>
          <w:sz w:val="20"/>
          <w:szCs w:val="20"/>
          <w:color w:val="auto"/>
        </w:rPr>
      </w:pPr>
    </w:p>
    <w:p>
      <w:pPr>
        <w:ind w:left="640" w:right="899" w:firstLine="351"/>
        <w:spacing w:after="0" w:line="268" w:lineRule="auto"/>
        <w:rPr>
          <w:sz w:val="20"/>
          <w:szCs w:val="20"/>
          <w:color w:val="auto"/>
        </w:rPr>
      </w:pPr>
      <w:r>
        <w:rPr>
          <w:rFonts w:ascii="Times New Roman" w:cs="Times New Roman" w:eastAsia="Times New Roman" w:hAnsi="Times New Roman"/>
          <w:sz w:val="14"/>
          <w:szCs w:val="14"/>
          <w:color w:val="auto"/>
        </w:rPr>
        <w:t>Given our determination of adjustments in arriving at our computations of EBITDA, Adjusted EBITDA and Adjusted EPS, these non-GAAP measures have limitations as analytical tools and should not be considered in isolation or as substitutes or alternatives to net income or loss, operating income or loss, earnings or loss per diluted share, cash flows from operating activities, total indebtedness, or any other financial measures calculated in accordance with U.S. GAAP.</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reconciles net income (loss) to EBITDA and Adjusted EBITDA:</w:t>
      </w:r>
    </w:p>
    <w:p>
      <w:pPr>
        <w:spacing w:after="0" w:line="256"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362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 in thousands)</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gridSpan w:val="5"/>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160" w:type="dxa"/>
            <w:vAlign w:val="bottom"/>
          </w:tcPr>
          <w:p>
            <w:pPr>
              <w:spacing w:after="0"/>
              <w:rPr>
                <w:sz w:val="11"/>
                <w:szCs w:val="11"/>
                <w:color w:val="auto"/>
              </w:rPr>
            </w:pPr>
          </w:p>
        </w:tc>
        <w:tc>
          <w:tcPr>
            <w:tcW w:w="1680" w:type="dxa"/>
            <w:vAlign w:val="bottom"/>
            <w:gridSpan w:val="5"/>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For the Six Months Ended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1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209"/>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1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229"/>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8,541</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8,486</w:t>
            </w:r>
          </w:p>
        </w:tc>
        <w:tc>
          <w:tcPr>
            <w:tcW w:w="1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17,757</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(47,541)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(13,115)</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(39,619)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38,778</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43,282</w:t>
            </w:r>
          </w:p>
        </w:tc>
        <w:tc>
          <w:tcPr>
            <w:tcW w:w="1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80,541</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97,752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41,839</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39,700</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82,671</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78,936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EBITDA</w:t>
            </w: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90,396</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78,353</w:t>
            </w:r>
          </w:p>
        </w:tc>
        <w:tc>
          <w:tcPr>
            <w:tcW w:w="1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181,967</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89,528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Non-cash share-based compensation (1)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19,508</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13,487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31,982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37,073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Acquisition, integration, and transaction-related costs (2)</w:t>
            </w: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19,828</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5,021</w:t>
            </w:r>
          </w:p>
        </w:tc>
        <w:tc>
          <w:tcPr>
            <w:tcW w:w="1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29,349</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13,562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Restructuring and divestiture-related and other costs (3)</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12,785</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10,839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30,281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34,738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Legal costs and settlements (4)</w:t>
            </w: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2,493</w:t>
            </w:r>
          </w:p>
        </w:tc>
        <w:tc>
          <w:tcPr>
            <w:tcW w:w="1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12,966</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Significant projects (5)</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Management fee (6)</w:t>
            </w:r>
          </w:p>
        </w:tc>
        <w:tc>
          <w:tcPr>
            <w:tcW w:w="3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right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23,381</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Total adjustments</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52,121</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32,284</w:t>
            </w:r>
          </w:p>
        </w:tc>
        <w:tc>
          <w:tcPr>
            <w:tcW w:w="16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91,612</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142,517</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110,637</w:t>
            </w:r>
          </w:p>
        </w:tc>
        <w:tc>
          <w:tcPr>
            <w:tcW w:w="16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273,579</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212,852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3446780</wp:posOffset>
            </wp:positionH>
            <wp:positionV relativeFrom="paragraph">
              <wp:posOffset>-251460</wp:posOffset>
            </wp:positionV>
            <wp:extent cx="47625" cy="698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-251460</wp:posOffset>
            </wp:positionV>
            <wp:extent cx="47625" cy="69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-251460</wp:posOffset>
            </wp:positionV>
            <wp:extent cx="47625" cy="69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-251460</wp:posOffset>
            </wp:positionV>
            <wp:extent cx="47625" cy="69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-19685</wp:posOffset>
            </wp:positionV>
            <wp:extent cx="47625" cy="69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-6350</wp:posOffset>
            </wp:positionV>
            <wp:extent cx="47625" cy="698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-19685</wp:posOffset>
            </wp:positionV>
            <wp:extent cx="47625" cy="698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-6350</wp:posOffset>
            </wp:positionV>
            <wp:extent cx="47625" cy="69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-19685</wp:posOffset>
            </wp:positionV>
            <wp:extent cx="47625" cy="698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-6350</wp:posOffset>
            </wp:positionV>
            <wp:extent cx="47625" cy="698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59" w:lineRule="exact"/>
        <w:rPr>
          <w:sz w:val="20"/>
          <w:szCs w:val="20"/>
          <w:color w:val="auto"/>
        </w:rPr>
      </w:pPr>
    </w:p>
    <w:p>
      <w:pPr>
        <w:ind w:left="980" w:right="859" w:hanging="342"/>
        <w:spacing w:after="0" w:line="274" w:lineRule="auto"/>
        <w:tabs>
          <w:tab w:leader="none" w:pos="9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share-based compensation to certain members of our management and full-time employees. The six months ended June 30, 2024 includes $15.0 million of previously unrecognized share-based compensation expense related to performance-vesting options under the 2017 Stock Plan, a portion of which vested upon completion of the IPO.</w:t>
      </w:r>
    </w:p>
    <w:p>
      <w:pPr>
        <w:spacing w:after="0" w:line="50" w:lineRule="exact"/>
        <w:rPr>
          <w:rFonts w:ascii="Times New Roman" w:cs="Times New Roman" w:eastAsia="Times New Roman" w:hAnsi="Times New Roman"/>
          <w:sz w:val="14"/>
          <w:szCs w:val="14"/>
          <w:color w:val="auto"/>
        </w:rPr>
      </w:pPr>
    </w:p>
    <w:p>
      <w:pPr>
        <w:ind w:left="980" w:right="679" w:hanging="342"/>
        <w:spacing w:after="0" w:line="263" w:lineRule="auto"/>
        <w:tabs>
          <w:tab w:leader="none" w:pos="9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transaction costs incurred in connection with planned, completed, or terminated acquisitions, which include investment banking fees, legal diligence and related documentation costs, finance and accounting diligence and documentation; costs associated with the integration of acquisitions, including any facility consolidation, integration travel, or severance; and costs associated with other planned, completed, or terminated non-routine transactions. The three and six months ended June 30, 2025 includes other non-routine transaction costs of $16.2 million and $22.2 million, respectively, as compared to $0.7 million in the six months ended June 30, 2024, and none in the three months ended June 30, 2024.</w:t>
      </w:r>
    </w:p>
    <w:p>
      <w:pPr>
        <w:spacing w:after="0" w:line="58" w:lineRule="exact"/>
        <w:rPr>
          <w:rFonts w:ascii="Times New Roman" w:cs="Times New Roman" w:eastAsia="Times New Roman" w:hAnsi="Times New Roman"/>
          <w:sz w:val="14"/>
          <w:szCs w:val="14"/>
          <w:color w:val="auto"/>
        </w:rPr>
      </w:pPr>
    </w:p>
    <w:p>
      <w:pPr>
        <w:ind w:left="980" w:right="759" w:hanging="342"/>
        <w:spacing w:after="0" w:line="265" w:lineRule="auto"/>
        <w:tabs>
          <w:tab w:leader="none" w:pos="9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associated with restructuring-related activities, including closure, and related license impairment, and severance expenses associated with certain enterprise-wide or significant business line cost-savings measures. These costs include $4.7 million and $14.7 million of costs that did not meet the criteria for discontinued operations related to the Community Living divestiture for the three and six months ended June 30, 2025, respectively, as compared to $7.3 million and $13.3 million for the three and six months ended June 30, 2024, respectively. These costs also include $12.7 million of</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4" w:name="page45"/>
    <w:bookmarkEnd w:id="44"/>
    <w:p>
      <w:pPr>
        <w:ind w:left="980" w:right="839"/>
        <w:spacing w:after="0" w:line="292" w:lineRule="auto"/>
        <w:rPr>
          <w:sz w:val="20"/>
          <w:szCs w:val="20"/>
          <w:color w:val="auto"/>
        </w:rPr>
      </w:pPr>
      <w:r>
        <w:rPr>
          <w:rFonts w:ascii="Times New Roman" w:cs="Times New Roman" w:eastAsia="Times New Roman" w:hAnsi="Times New Roman"/>
          <w:sz w:val="14"/>
          <w:szCs w:val="14"/>
          <w:color w:val="auto"/>
        </w:rPr>
        <w:t>unamortized debt issuance costs associated with the extinguishment of our Second Lien Facility in the six months ended June 30, 2024.</w:t>
      </w:r>
    </w:p>
    <w:p>
      <w:pPr>
        <w:spacing w:after="0" w:line="38" w:lineRule="exact"/>
        <w:rPr>
          <w:sz w:val="20"/>
          <w:szCs w:val="20"/>
          <w:color w:val="auto"/>
        </w:rPr>
      </w:pPr>
    </w:p>
    <w:p>
      <w:pPr>
        <w:ind w:left="980" w:right="779" w:hanging="342"/>
        <w:spacing w:after="0" w:line="274" w:lineRule="auto"/>
        <w:tabs>
          <w:tab w:leader="none" w:pos="9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settlement and defense costs associated with certain historical PharMerica litigation matters, including the Silver matter, all of which were finalized in 2024. See Note 13 within the unaudited condensed consolidated financial statements and related notes in this Quarterly Report on Form 10-Q for additional information.</w:t>
      </w:r>
    </w:p>
    <w:p>
      <w:pPr>
        <w:spacing w:after="0" w:line="50" w:lineRule="exact"/>
        <w:rPr>
          <w:rFonts w:ascii="Times New Roman" w:cs="Times New Roman" w:eastAsia="Times New Roman" w:hAnsi="Times New Roman"/>
          <w:sz w:val="14"/>
          <w:szCs w:val="14"/>
          <w:color w:val="auto"/>
        </w:rPr>
      </w:pPr>
    </w:p>
    <w:p>
      <w:pPr>
        <w:ind w:left="980" w:right="879" w:hanging="342"/>
        <w:spacing w:after="0" w:line="274" w:lineRule="auto"/>
        <w:tabs>
          <w:tab w:leader="none" w:pos="9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associated with certain transformational projects and for the periods presented primarily included general ledger system implementation, pharmacy billing system implementation, and ransomware attack response costs, all of which were finalized in 2024.</w:t>
      </w:r>
    </w:p>
    <w:p>
      <w:pPr>
        <w:spacing w:after="0" w:line="50" w:lineRule="exact"/>
        <w:rPr>
          <w:rFonts w:ascii="Times New Roman" w:cs="Times New Roman" w:eastAsia="Times New Roman" w:hAnsi="Times New Roman"/>
          <w:sz w:val="14"/>
          <w:szCs w:val="14"/>
          <w:color w:val="auto"/>
        </w:rPr>
      </w:pPr>
    </w:p>
    <w:p>
      <w:pPr>
        <w:ind w:left="980" w:right="699" w:hanging="342"/>
        <w:spacing w:after="0" w:line="274" w:lineRule="auto"/>
        <w:tabs>
          <w:tab w:leader="none" w:pos="9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annual management fees payable to the Managers under the Monitoring Agreement through the date of the IPO, and $22.7 million of termination fees resulting from the termination of the Monitoring Agreement upon completion of the IPO Offerings. All management fees ceased following the completion of the IPO in 2024.</w:t>
      </w:r>
    </w:p>
    <w:p>
      <w:pPr>
        <w:spacing w:after="0" w:line="1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The following table reconciles diluted EPS to Adjusted EPS:</w:t>
      </w:r>
    </w:p>
    <w:p>
      <w:pPr>
        <w:spacing w:after="0" w:line="170"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388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(shares in thousands)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6"/>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6"/>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For the Six Months Ended</w:t>
            </w:r>
          </w:p>
        </w:tc>
      </w:tr>
      <w:tr>
        <w:trPr>
          <w:trHeight w:val="137"/>
        </w:trPr>
        <w:tc>
          <w:tcPr>
            <w:tcW w:w="3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9"/>
        </w:trPr>
        <w:tc>
          <w:tcPr>
            <w:tcW w:w="3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1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21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1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23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r>
      <w:tr>
        <w:trPr>
          <w:trHeight w:val="163"/>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Diluted EPS</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2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10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(0.25)</w:t>
            </w:r>
          </w:p>
        </w:tc>
      </w:tr>
      <w:tr>
        <w:trPr>
          <w:trHeight w:val="172"/>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Non-cash share-based compensation (1)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80" w:type="dxa"/>
            <w:vAlign w:val="bottom"/>
          </w:tcPr>
          <w:p>
            <w:pPr>
              <w:spacing w:after="0"/>
              <w:rPr>
                <w:sz w:val="14"/>
                <w:szCs w:val="14"/>
                <w:color w:val="auto"/>
              </w:rPr>
            </w:pPr>
          </w:p>
        </w:tc>
      </w:tr>
      <w:tr>
        <w:trPr>
          <w:trHeight w:val="172"/>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Acquisition, integration, and transaction-related costs (1)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80" w:type="dxa"/>
            <w:vAlign w:val="bottom"/>
            <w:shd w:val="clear" w:color="auto" w:fill="CFF0FC"/>
          </w:tcPr>
          <w:p>
            <w:pPr>
              <w:spacing w:after="0"/>
              <w:rPr>
                <w:sz w:val="14"/>
                <w:szCs w:val="14"/>
                <w:color w:val="auto"/>
              </w:rPr>
            </w:pPr>
          </w:p>
        </w:tc>
      </w:tr>
      <w:tr>
        <w:trPr>
          <w:trHeight w:val="172"/>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Restructuring and divestiture-related and other costs (1)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80" w:type="dxa"/>
            <w:vAlign w:val="bottom"/>
          </w:tcPr>
          <w:p>
            <w:pPr>
              <w:spacing w:after="0"/>
              <w:rPr>
                <w:sz w:val="14"/>
                <w:szCs w:val="14"/>
                <w:color w:val="auto"/>
              </w:rPr>
            </w:pPr>
          </w:p>
        </w:tc>
      </w:tr>
      <w:tr>
        <w:trPr>
          <w:trHeight w:val="172"/>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Legal costs and settlements (1)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80" w:type="dxa"/>
            <w:vAlign w:val="bottom"/>
            <w:shd w:val="clear" w:color="auto" w:fill="CFF0FC"/>
          </w:tcPr>
          <w:p>
            <w:pPr>
              <w:spacing w:after="0"/>
              <w:rPr>
                <w:sz w:val="14"/>
                <w:szCs w:val="14"/>
                <w:color w:val="auto"/>
              </w:rPr>
            </w:pPr>
          </w:p>
        </w:tc>
      </w:tr>
      <w:tr>
        <w:trPr>
          <w:trHeight w:val="172"/>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Significant projects (1)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tcPr>
          <w:p>
            <w:pPr>
              <w:spacing w:after="0"/>
              <w:rPr>
                <w:sz w:val="14"/>
                <w:szCs w:val="14"/>
                <w:color w:val="auto"/>
              </w:rPr>
            </w:pPr>
          </w:p>
        </w:tc>
      </w:tr>
      <w:tr>
        <w:trPr>
          <w:trHeight w:val="172"/>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Management fee (1)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80" w:type="dxa"/>
            <w:vAlign w:val="bottom"/>
            <w:shd w:val="clear" w:color="auto" w:fill="CFF0FC"/>
          </w:tcPr>
          <w:p>
            <w:pPr>
              <w:spacing w:after="0"/>
              <w:rPr>
                <w:sz w:val="14"/>
                <w:szCs w:val="14"/>
                <w:color w:val="auto"/>
              </w:rPr>
            </w:pPr>
          </w:p>
        </w:tc>
      </w:tr>
      <w:tr>
        <w:trPr>
          <w:trHeight w:val="172"/>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Income tax impact on adjustments (2)(3)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(0.06)</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(0.12)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(0.10)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(0.23)</w:t>
            </w: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3"/>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Adjusted EPS</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12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0.42</w:t>
            </w:r>
          </w:p>
        </w:tc>
        <w:tc>
          <w:tcPr>
            <w:tcW w:w="10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80" w:type="dxa"/>
            <w:vAlign w:val="bottom"/>
            <w:shd w:val="clear" w:color="auto" w:fill="CFF0FC"/>
          </w:tcPr>
          <w:p>
            <w:pPr>
              <w:spacing w:after="0"/>
              <w:rPr>
                <w:sz w:val="17"/>
                <w:szCs w:val="17"/>
                <w:color w:val="auto"/>
              </w:rPr>
            </w:pPr>
          </w:p>
        </w:tc>
      </w:tr>
      <w:tr>
        <w:trPr>
          <w:trHeight w:val="301"/>
        </w:trPr>
        <w:tc>
          <w:tcPr>
            <w:tcW w:w="38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Weighted average common shares outstanding used in calculating</w:t>
            </w: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216,336</w:t>
            </w:r>
          </w:p>
        </w:tc>
        <w:tc>
          <w:tcPr>
            <w:tcW w:w="12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208,987</w:t>
            </w:r>
          </w:p>
        </w:tc>
        <w:tc>
          <w:tcPr>
            <w:tcW w:w="10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214,963</w:t>
            </w:r>
          </w:p>
        </w:tc>
        <w:tc>
          <w:tcPr>
            <w:tcW w:w="10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186,523</w:t>
            </w:r>
          </w:p>
        </w:tc>
        <w:tc>
          <w:tcPr>
            <w:tcW w:w="80" w:type="dxa"/>
            <w:vAlign w:val="bottom"/>
            <w:tcBorders>
              <w:top w:val="single" w:sz="8" w:color="CFF0FC"/>
            </w:tcBorders>
          </w:tcPr>
          <w:p>
            <w:pPr>
              <w:spacing w:after="0"/>
              <w:rPr>
                <w:sz w:val="24"/>
                <w:szCs w:val="24"/>
                <w:color w:val="auto"/>
              </w:rPr>
            </w:pPr>
          </w:p>
        </w:tc>
      </w:tr>
      <w:tr>
        <w:trPr>
          <w:trHeight w:val="186"/>
        </w:trPr>
        <w:tc>
          <w:tcPr>
            <w:tcW w:w="3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diluted U.S. GAAP net income (loss) per share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58"/>
        </w:trPr>
        <w:tc>
          <w:tcPr>
            <w:tcW w:w="3880" w:type="dxa"/>
            <w:vAlign w:val="bottom"/>
            <w:shd w:val="clear" w:color="auto" w:fill="CFF0FC"/>
          </w:tcPr>
          <w:p>
            <w:pPr>
              <w:spacing w:after="0" w:line="158" w:lineRule="exact"/>
              <w:rPr>
                <w:sz w:val="20"/>
                <w:szCs w:val="20"/>
                <w:color w:val="auto"/>
              </w:rPr>
            </w:pPr>
            <w:r>
              <w:rPr>
                <w:rFonts w:ascii="Times New Roman" w:cs="Times New Roman" w:eastAsia="Times New Roman" w:hAnsi="Times New Roman"/>
                <w:sz w:val="14"/>
                <w:szCs w:val="14"/>
                <w:color w:val="auto"/>
              </w:rPr>
              <w:t>Weighted average common shares outstanding used in calculating</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216,336</w:t>
            </w:r>
          </w:p>
        </w:tc>
        <w:tc>
          <w:tcPr>
            <w:tcW w:w="1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208,987</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214,963</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197,360</w:t>
            </w:r>
          </w:p>
        </w:tc>
        <w:tc>
          <w:tcPr>
            <w:tcW w:w="80" w:type="dxa"/>
            <w:vAlign w:val="bottom"/>
            <w:shd w:val="clear" w:color="auto" w:fill="CFF0FC"/>
          </w:tcPr>
          <w:p>
            <w:pPr>
              <w:spacing w:after="0"/>
              <w:rPr>
                <w:sz w:val="13"/>
                <w:szCs w:val="13"/>
                <w:color w:val="auto"/>
              </w:rPr>
            </w:pPr>
          </w:p>
        </w:tc>
      </w:tr>
      <w:tr>
        <w:trPr>
          <w:trHeight w:val="187"/>
        </w:trPr>
        <w:tc>
          <w:tcPr>
            <w:tcW w:w="3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diluted Non-GAAP income (loss) per share</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3446780</wp:posOffset>
            </wp:positionH>
            <wp:positionV relativeFrom="paragraph">
              <wp:posOffset>-565150</wp:posOffset>
            </wp:positionV>
            <wp:extent cx="47625" cy="698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-551815</wp:posOffset>
            </wp:positionV>
            <wp:extent cx="47625" cy="69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-565150</wp:posOffset>
            </wp:positionV>
            <wp:extent cx="47625" cy="69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-551815</wp:posOffset>
            </wp:positionV>
            <wp:extent cx="47625" cy="698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-565150</wp:posOffset>
            </wp:positionV>
            <wp:extent cx="47625" cy="698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-551815</wp:posOffset>
            </wp:positionV>
            <wp:extent cx="47625" cy="698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-565150</wp:posOffset>
            </wp:positionV>
            <wp:extent cx="47625" cy="698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-551815</wp:posOffset>
            </wp:positionV>
            <wp:extent cx="47625" cy="69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51" w:lineRule="exact"/>
        <w:rPr>
          <w:sz w:val="20"/>
          <w:szCs w:val="20"/>
          <w:color w:val="auto"/>
        </w:rPr>
      </w:pPr>
    </w:p>
    <w:p>
      <w:pPr>
        <w:ind w:left="980" w:hanging="342"/>
        <w:spacing w:after="0"/>
        <w:tabs>
          <w:tab w:leader="none" w:pos="9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adjustment reflects the per share impact of the adjustment reflected within the definition of Adjusted EBITDA.</w:t>
      </w:r>
    </w:p>
    <w:p>
      <w:pPr>
        <w:spacing w:after="0" w:line="96" w:lineRule="exact"/>
        <w:rPr>
          <w:rFonts w:ascii="Times New Roman" w:cs="Times New Roman" w:eastAsia="Times New Roman" w:hAnsi="Times New Roman"/>
          <w:sz w:val="14"/>
          <w:szCs w:val="14"/>
          <w:color w:val="auto"/>
        </w:rPr>
      </w:pPr>
    </w:p>
    <w:p>
      <w:pPr>
        <w:ind w:left="980" w:right="1079" w:hanging="342"/>
        <w:spacing w:after="0" w:line="292" w:lineRule="auto"/>
        <w:tabs>
          <w:tab w:leader="none" w:pos="9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income tax impact of non-GAAP adjustments is calculated using the estimated tax rate for the respective non-GAAP adjustment.</w:t>
      </w:r>
    </w:p>
    <w:p>
      <w:pPr>
        <w:spacing w:after="0" w:line="37" w:lineRule="exact"/>
        <w:rPr>
          <w:rFonts w:ascii="Times New Roman" w:cs="Times New Roman" w:eastAsia="Times New Roman" w:hAnsi="Times New Roman"/>
          <w:sz w:val="14"/>
          <w:szCs w:val="14"/>
          <w:color w:val="auto"/>
        </w:rPr>
      </w:pPr>
    </w:p>
    <w:p>
      <w:pPr>
        <w:ind w:left="980" w:right="679" w:hanging="342"/>
        <w:spacing w:after="0" w:line="274" w:lineRule="auto"/>
        <w:tabs>
          <w:tab w:leader="none" w:pos="9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six months ended June 30, 2024, the income tax impact on adjustments is inclusive of a discrete tax benefit related to the Silver matter that was finalized in connection with the signing of the settlement agreement during the second fiscal quarter of 2024.</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9" w:lineRule="exact"/>
        <w:rPr>
          <w:sz w:val="20"/>
          <w:szCs w:val="20"/>
          <w:color w:val="auto"/>
        </w:rPr>
      </w:pPr>
    </w:p>
    <w:p>
      <w:pPr>
        <w:ind w:left="640" w:right="699" w:firstLine="351"/>
        <w:spacing w:after="0" w:line="258" w:lineRule="auto"/>
        <w:rPr>
          <w:sz w:val="20"/>
          <w:szCs w:val="20"/>
          <w:color w:val="auto"/>
        </w:rPr>
      </w:pPr>
      <w:r>
        <w:rPr>
          <w:rFonts w:ascii="Times New Roman" w:cs="Times New Roman" w:eastAsia="Times New Roman" w:hAnsi="Times New Roman"/>
          <w:sz w:val="14"/>
          <w:szCs w:val="14"/>
          <w:color w:val="auto"/>
        </w:rPr>
        <w:t>Our principal sources of cash have historically been from operating activities. Our principal source of liquidity in excess of cash from operating activities has historically been from proceeds from our debt facilities and issuances of common stock. Our principal uses of cash and liquidity have historically been for acquisitions, debt service requirements, and financing of working capital. We believe that our operating cash flows, available cash on hand, and availability under our Revolving Credit Facility and the LC Facility will be sufficient to meet our cash requirements for the next twelve months and beyond. Our cash flows are primarily provided by the continuing operations of the Company. Cash provided by operating activities of the discontinued operations is expected to be offset at the closing of the transaction through proceeds from the sale, which may be utilized for the paydown of debt. Our future capital requirements will depend on many factors that are difficult to predict, including the size, timing, and structure of any future acquisitions, future capital investments, and future results of operations. We cannot assure you that cash provided by operating activities or cash and cash equivalents will be sufficient to meet our future needs. If we are unable to generate sufficient cash flows from operations in the future, we may have to obtain additional financing. If we obtain additional capital by issuing equity, the interests of our existing stockholders will be diluted. If we incur additional indebtedness, that indebtedness may contain significant financial and other covenants that may significantly restrict our operations. We cannot assure you that we could obtain refinancing or additional financing on favorable terms or at all.</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5" w:name="page46"/>
    <w:bookmarkEnd w:id="45"/>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We evaluate our liquidity based upon the availability we have under our First Lien Facilities in addition to the net cash provided by (used in) operating, investing, and financing activities. Specifically, we review the activity under the Revolving Credit Facility and the LC Facility and consider period end balances outstanding under the Revolving Credit Facility and the LC Facility. Based upon the outstanding borrowings and letters of credit under the Revolving Credit Facility and the LC Facility, we calculate the availability for incremental borrowings under the Revolving Credit Facility and the LC Facility. Such amount, in addition to cash on our balance sheet, is what we consider to be our “Total Liquidity.”</w:t>
      </w:r>
    </w:p>
    <w:p>
      <w:pPr>
        <w:spacing w:after="0" w:line="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provides a calculation of our Total Liquidity:</w:t>
      </w:r>
    </w:p>
    <w:p>
      <w:pPr>
        <w:spacing w:after="0" w:line="170"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502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 in thousands)</w:t>
            </w:r>
          </w:p>
        </w:tc>
        <w:tc>
          <w:tcPr>
            <w:tcW w:w="150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For the Six Months Ended</w:t>
            </w:r>
          </w:p>
        </w:tc>
        <w:tc>
          <w:tcPr>
            <w:tcW w:w="60" w:type="dxa"/>
            <w:vAlign w:val="bottom"/>
          </w:tcPr>
          <w:p>
            <w:pPr>
              <w:spacing w:after="0"/>
              <w:rPr>
                <w:sz w:val="11"/>
                <w:szCs w:val="11"/>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For the Year Ended</w:t>
            </w:r>
          </w:p>
        </w:tc>
      </w:tr>
      <w:tr>
        <w:trPr>
          <w:trHeight w:val="137"/>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09"/>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280" w:type="dxa"/>
            <w:vAlign w:val="bottom"/>
            <w:tcBorders>
              <w:top w:val="single" w:sz="8" w:color="auto"/>
              <w:bottom w:val="single" w:sz="8" w:color="auto"/>
            </w:tcBorders>
          </w:tcPr>
          <w:p>
            <w:pPr>
              <w:spacing w:after="0"/>
              <w:rPr>
                <w:sz w:val="9"/>
                <w:szCs w:val="9"/>
                <w:color w:val="auto"/>
              </w:rPr>
            </w:pPr>
          </w:p>
        </w:tc>
        <w:tc>
          <w:tcPr>
            <w:tcW w:w="1100" w:type="dxa"/>
            <w:vAlign w:val="bottom"/>
            <w:tcBorders>
              <w:top w:val="single" w:sz="8" w:color="auto"/>
              <w:bottom w:val="single" w:sz="8" w:color="auto"/>
            </w:tcBorders>
          </w:tcPr>
          <w:p>
            <w:pPr>
              <w:jc w:val="center"/>
              <w:ind w:right="211"/>
              <w:spacing w:after="0" w:line="109"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940" w:type="dxa"/>
            <w:vAlign w:val="bottom"/>
            <w:tcBorders>
              <w:top w:val="single" w:sz="8" w:color="auto"/>
              <w:bottom w:val="single" w:sz="8" w:color="auto"/>
            </w:tcBorders>
          </w:tcPr>
          <w:p>
            <w:pPr>
              <w:jc w:val="center"/>
              <w:ind w:right="91"/>
              <w:spacing w:after="0" w:line="109" w:lineRule="exact"/>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Pr>
          <w:p>
            <w:pPr>
              <w:spacing w:after="0"/>
              <w:rPr>
                <w:sz w:val="9"/>
                <w:szCs w:val="9"/>
                <w:color w:val="auto"/>
              </w:rPr>
            </w:pPr>
          </w:p>
        </w:tc>
      </w:tr>
      <w:tr>
        <w:trPr>
          <w:trHeight w:val="163"/>
        </w:trPr>
        <w:tc>
          <w:tcPr>
            <w:tcW w:w="20" w:type="dxa"/>
            <w:vAlign w:val="bottom"/>
          </w:tcPr>
          <w:p>
            <w:pPr>
              <w:spacing w:after="0"/>
              <w:rPr>
                <w:sz w:val="14"/>
                <w:szCs w:val="14"/>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i w:val="1"/>
                <w:iCs w:val="1"/>
                <w:color w:val="auto"/>
              </w:rPr>
              <w:t>Revolving Credit Facility Rollforward</w:t>
            </w:r>
          </w:p>
        </w:tc>
        <w:tc>
          <w:tcPr>
            <w:tcW w:w="2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Beginning Revolving Credit Facility balance</w:t>
            </w:r>
          </w:p>
        </w:tc>
        <w:tc>
          <w:tcPr>
            <w:tcW w:w="2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63,300</w:t>
            </w:r>
          </w:p>
        </w:tc>
        <w:tc>
          <w:tcPr>
            <w:tcW w:w="12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50,700</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(Repayments) borrowings of the Revolving Credit Facility, net</w:t>
            </w:r>
          </w:p>
        </w:tc>
        <w:tc>
          <w:tcPr>
            <w:tcW w:w="2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(63,300)</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12,600</w:t>
            </w:r>
          </w:p>
        </w:tc>
        <w:tc>
          <w:tcPr>
            <w:tcW w:w="80" w:type="dxa"/>
            <w:vAlign w:val="bottom"/>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Ending Revolving Credit Facility balance</w:t>
            </w: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4"/>
                <w:szCs w:val="14"/>
                <w:color w:val="auto"/>
              </w:rPr>
            </w:pPr>
          </w:p>
        </w:tc>
        <w:tc>
          <w:tcPr>
            <w:tcW w:w="60" w:type="dxa"/>
            <w:vAlign w:val="bottom"/>
            <w:tcBorders>
              <w:top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63,300</w:t>
            </w:r>
          </w:p>
        </w:tc>
        <w:tc>
          <w:tcPr>
            <w:tcW w:w="80" w:type="dxa"/>
            <w:vAlign w:val="bottom"/>
            <w:tcBorders>
              <w:top w:val="single" w:sz="8" w:color="CFF0FC"/>
            </w:tcBorders>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i w:val="1"/>
                <w:iCs w:val="1"/>
                <w:color w:val="auto"/>
              </w:rPr>
              <w:t>Calculation of Revolving Credit Facility and LC Facility availability</w:t>
            </w:r>
          </w:p>
        </w:tc>
        <w:tc>
          <w:tcPr>
            <w:tcW w:w="2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Revolving Credit Facility and LC Facility limit</w:t>
            </w:r>
          </w:p>
        </w:tc>
        <w:tc>
          <w:tcPr>
            <w:tcW w:w="2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540,000</w:t>
            </w:r>
          </w:p>
        </w:tc>
        <w:tc>
          <w:tcPr>
            <w:tcW w:w="12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540,000</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outstanding Revolving Credit Facility balance</w:t>
            </w:r>
          </w:p>
        </w:tc>
        <w:tc>
          <w:tcPr>
            <w:tcW w:w="2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63,300</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Less: outstanding letters of credit subject to LC Sublimit</w:t>
            </w:r>
          </w:p>
        </w:tc>
        <w:tc>
          <w:tcPr>
            <w:tcW w:w="2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0" w:type="dxa"/>
            <w:vAlign w:val="bottom"/>
          </w:tcPr>
          <w:p>
            <w:pPr>
              <w:spacing w:after="0"/>
              <w:rPr>
                <w:sz w:val="14"/>
                <w:szCs w:val="14"/>
                <w:color w:val="auto"/>
              </w:rPr>
            </w:pPr>
          </w:p>
        </w:tc>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outstanding letters of credit under the LC Facility</w:t>
            </w:r>
          </w:p>
        </w:tc>
        <w:tc>
          <w:tcPr>
            <w:tcW w:w="28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61,821</w:t>
            </w:r>
          </w:p>
        </w:tc>
        <w:tc>
          <w:tcPr>
            <w:tcW w:w="1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61,821</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End of period Revolving Credit Facility and LC Facility availability</w:t>
            </w:r>
          </w:p>
        </w:tc>
        <w:tc>
          <w:tcPr>
            <w:tcW w:w="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478,179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414,879</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End of period cash balance</w:t>
            </w:r>
          </w:p>
        </w:tc>
        <w:tc>
          <w:tcPr>
            <w:tcW w:w="28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70,070</w:t>
            </w:r>
          </w:p>
        </w:tc>
        <w:tc>
          <w:tcPr>
            <w:tcW w:w="1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60,954</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Total Liquidity, end of period</w:t>
            </w:r>
          </w:p>
        </w:tc>
        <w:tc>
          <w:tcPr>
            <w:tcW w:w="2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548,249</w:t>
            </w:r>
          </w:p>
        </w:tc>
        <w:tc>
          <w:tcPr>
            <w:tcW w:w="12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475,833</w:t>
            </w:r>
          </w:p>
        </w:tc>
        <w:tc>
          <w:tcPr>
            <w:tcW w:w="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-1029335</wp:posOffset>
            </wp:positionV>
            <wp:extent cx="47625" cy="698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-1029335</wp:posOffset>
            </wp:positionV>
            <wp:extent cx="47625" cy="698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-360680</wp:posOffset>
            </wp:positionV>
            <wp:extent cx="47625" cy="69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-360680</wp:posOffset>
            </wp:positionV>
            <wp:extent cx="47625" cy="69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-135890</wp:posOffset>
            </wp:positionV>
            <wp:extent cx="47625" cy="698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Cash Flow Activity</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The activity discussed in this section relates to our consolidated company results and includes the impacts of discontinued operations.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Six Months Ended June 30, 2025 and 2024</w:t>
      </w:r>
    </w:p>
    <w:p>
      <w:pPr>
        <w:spacing w:after="0" w:line="99" w:lineRule="exact"/>
        <w:rPr>
          <w:sz w:val="20"/>
          <w:szCs w:val="20"/>
          <w:color w:val="auto"/>
        </w:rPr>
      </w:pPr>
    </w:p>
    <w:p>
      <w:pPr>
        <w:ind w:left="640" w:right="799" w:firstLine="351"/>
        <w:spacing w:after="0" w:line="292" w:lineRule="auto"/>
        <w:rPr>
          <w:sz w:val="20"/>
          <w:szCs w:val="20"/>
          <w:color w:val="auto"/>
        </w:rPr>
      </w:pPr>
      <w:r>
        <w:rPr>
          <w:rFonts w:ascii="Times New Roman" w:cs="Times New Roman" w:eastAsia="Times New Roman" w:hAnsi="Times New Roman"/>
          <w:sz w:val="14"/>
          <w:szCs w:val="14"/>
          <w:color w:val="auto"/>
        </w:rPr>
        <w:t>The following table sets forth a summary of our cash flows provided by (used in) operating, investing, and financing activities for the periods presented:</w:t>
      </w:r>
    </w:p>
    <w:p>
      <w:pPr>
        <w:spacing w:after="0" w:line="119"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372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 in thousands)</w:t>
            </w:r>
          </w:p>
        </w:tc>
        <w:tc>
          <w:tcPr>
            <w:tcW w:w="8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1"/>
                <w:szCs w:val="11"/>
                <w:b w:val="1"/>
                <w:bCs w:val="1"/>
                <w:color w:val="auto"/>
              </w:rPr>
              <w:t>For the Six Months Ended June 30,</w:t>
            </w: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9"/>
        </w:trPr>
        <w:tc>
          <w:tcPr>
            <w:tcW w:w="37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74"/>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72"/>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172"/>
              <w:spacing w:after="0" w:line="109" w:lineRule="exact"/>
              <w:rPr>
                <w:sz w:val="20"/>
                <w:szCs w:val="20"/>
                <w:color w:val="auto"/>
              </w:rPr>
            </w:pPr>
            <w:r>
              <w:rPr>
                <w:rFonts w:ascii="Times New Roman" w:cs="Times New Roman" w:eastAsia="Times New Roman" w:hAnsi="Times New Roman"/>
                <w:sz w:val="11"/>
                <w:szCs w:val="11"/>
                <w:b w:val="1"/>
                <w:bCs w:val="1"/>
                <w:color w:val="auto"/>
                <w:w w:val="98"/>
              </w:rPr>
              <w:t>Variance</w:t>
            </w:r>
          </w:p>
        </w:tc>
        <w:tc>
          <w:tcPr>
            <w:tcW w:w="80" w:type="dxa"/>
            <w:vAlign w:val="bottom"/>
          </w:tcPr>
          <w:p>
            <w:pPr>
              <w:spacing w:after="0"/>
              <w:rPr>
                <w:sz w:val="9"/>
                <w:szCs w:val="9"/>
                <w:color w:val="auto"/>
              </w:rPr>
            </w:pPr>
          </w:p>
        </w:tc>
      </w:tr>
      <w:tr>
        <w:trPr>
          <w:trHeight w:val="163"/>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150,674</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(94,084)</w:t>
            </w:r>
          </w:p>
        </w:tc>
        <w:tc>
          <w:tcPr>
            <w:tcW w:w="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244,758</w:t>
            </w:r>
          </w:p>
        </w:tc>
      </w:tr>
      <w:tr>
        <w:trPr>
          <w:trHeight w:val="172"/>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(47,434)</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(88,630)</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41,196</w:t>
            </w:r>
          </w:p>
        </w:tc>
      </w:tr>
      <w:tr>
        <w:trPr>
          <w:trHeight w:val="172"/>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(94,261)</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194,670</w:t>
            </w:r>
          </w:p>
        </w:tc>
        <w:tc>
          <w:tcPr>
            <w:tcW w:w="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(288,931)</w:t>
            </w:r>
          </w:p>
        </w:tc>
      </w:tr>
    </w:tbl>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99" w:lineRule="exact"/>
        <w:rPr>
          <w:sz w:val="20"/>
          <w:szCs w:val="20"/>
          <w:color w:val="auto"/>
        </w:rPr>
      </w:pPr>
    </w:p>
    <w:p>
      <w:pPr>
        <w:ind w:left="640" w:right="719" w:firstLine="351"/>
        <w:spacing w:after="0" w:line="292" w:lineRule="auto"/>
        <w:rPr>
          <w:sz w:val="20"/>
          <w:szCs w:val="20"/>
          <w:color w:val="auto"/>
        </w:rPr>
      </w:pPr>
      <w:r>
        <w:rPr>
          <w:rFonts w:ascii="Times New Roman" w:cs="Times New Roman" w:eastAsia="Times New Roman" w:hAnsi="Times New Roman"/>
          <w:sz w:val="14"/>
          <w:szCs w:val="14"/>
          <w:color w:val="auto"/>
        </w:rPr>
        <w:t>Net cash provided by operating activities was $150.7 million for the six months ended June 30, 2025 compared to net cash used in operating activities of $94.1 million for the six months ended June 30, 2024. The change was primarily due to the following:</w:t>
      </w:r>
    </w:p>
    <w:p>
      <w:pPr>
        <w:spacing w:after="0" w:line="38" w:lineRule="exact"/>
        <w:rPr>
          <w:sz w:val="20"/>
          <w:szCs w:val="20"/>
          <w:color w:val="auto"/>
        </w:rPr>
      </w:pPr>
    </w:p>
    <w:p>
      <w:pPr>
        <w:ind w:left="1340" w:hanging="352"/>
        <w:spacing w:after="0"/>
        <w:tabs>
          <w:tab w:leader="none" w:pos="1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$95.3 million increase in operating income in 2025 as compared to 2024;</w:t>
      </w:r>
    </w:p>
    <w:p>
      <w:pPr>
        <w:spacing w:after="0" w:line="96" w:lineRule="exact"/>
        <w:rPr>
          <w:rFonts w:ascii="Times New Roman" w:cs="Times New Roman" w:eastAsia="Times New Roman" w:hAnsi="Times New Roman"/>
          <w:sz w:val="14"/>
          <w:szCs w:val="14"/>
          <w:color w:val="auto"/>
        </w:rPr>
      </w:pPr>
    </w:p>
    <w:p>
      <w:pPr>
        <w:ind w:left="1340" w:right="819" w:hanging="352"/>
        <w:spacing w:after="0" w:line="292" w:lineRule="auto"/>
        <w:tabs>
          <w:tab w:leader="none" w:pos="1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$30.9 million decrease in one-time cash outflows for direct and indirect remuneration (“DIR”) fees paid in connection with the conclusion of the DIR program;</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$80.0 million decrease in cash outflows attributable to the timing of Silver legal settlement payments;</w:t>
      </w:r>
    </w:p>
    <w:p>
      <w:pPr>
        <w:spacing w:after="0" w:line="96" w:lineRule="exact"/>
        <w:rPr>
          <w:rFonts w:ascii="Times New Roman" w:cs="Times New Roman" w:eastAsia="Times New Roman" w:hAnsi="Times New Roman"/>
          <w:sz w:val="14"/>
          <w:szCs w:val="14"/>
          <w:color w:val="auto"/>
        </w:rPr>
      </w:pPr>
    </w:p>
    <w:p>
      <w:pPr>
        <w:ind w:left="1340" w:right="779" w:hanging="352"/>
        <w:spacing w:after="0" w:line="292" w:lineRule="auto"/>
        <w:tabs>
          <w:tab w:leader="none" w:pos="1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$14.8 million decrease in cash outflows for interest, net primarily as a result of a reduction in the variable interest rates applicable to our outstanding term debt; and</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$10.7 million decrease in cash outflows for income taxes.</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99" w:lineRule="exact"/>
        <w:rPr>
          <w:sz w:val="20"/>
          <w:szCs w:val="20"/>
          <w:color w:val="auto"/>
        </w:rPr>
      </w:pPr>
    </w:p>
    <w:p>
      <w:pPr>
        <w:ind w:left="640" w:right="859" w:firstLine="351"/>
        <w:spacing w:after="0" w:line="292" w:lineRule="auto"/>
        <w:rPr>
          <w:sz w:val="20"/>
          <w:szCs w:val="20"/>
          <w:color w:val="auto"/>
        </w:rPr>
      </w:pPr>
      <w:r>
        <w:rPr>
          <w:rFonts w:ascii="Times New Roman" w:cs="Times New Roman" w:eastAsia="Times New Roman" w:hAnsi="Times New Roman"/>
          <w:sz w:val="14"/>
          <w:szCs w:val="14"/>
          <w:color w:val="auto"/>
        </w:rPr>
        <w:t>Net cash used in investing activities decreased by $41.2 million, from $88.6 million in the six months ended June 30, 2024 to $47.4 million in the six months ended June 30, 2025. The decrease was primarily due to a $3.5 million decrease in purchases of</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6" w:name="page47"/>
    <w:bookmarkEnd w:id="46"/>
    <w:p>
      <w:pPr>
        <w:ind w:left="640" w:right="939"/>
        <w:spacing w:after="0" w:line="292" w:lineRule="auto"/>
        <w:rPr>
          <w:sz w:val="20"/>
          <w:szCs w:val="20"/>
          <w:color w:val="auto"/>
        </w:rPr>
      </w:pPr>
      <w:r>
        <w:rPr>
          <w:rFonts w:ascii="Times New Roman" w:cs="Times New Roman" w:eastAsia="Times New Roman" w:hAnsi="Times New Roman"/>
          <w:sz w:val="14"/>
          <w:szCs w:val="14"/>
          <w:color w:val="auto"/>
        </w:rPr>
        <w:t>property and equipment in 2025 compared to 2024 and a decrease of $36.9 million cash paid for acquisitions in 2025 compared to 2024.</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99" w:lineRule="exact"/>
        <w:rPr>
          <w:sz w:val="20"/>
          <w:szCs w:val="20"/>
          <w:color w:val="auto"/>
        </w:rPr>
      </w:pPr>
    </w:p>
    <w:p>
      <w:pPr>
        <w:ind w:left="640" w:right="939" w:firstLine="351"/>
        <w:spacing w:after="0" w:line="274" w:lineRule="auto"/>
        <w:rPr>
          <w:sz w:val="20"/>
          <w:szCs w:val="20"/>
          <w:color w:val="auto"/>
        </w:rPr>
      </w:pPr>
      <w:r>
        <w:rPr>
          <w:rFonts w:ascii="Times New Roman" w:cs="Times New Roman" w:eastAsia="Times New Roman" w:hAnsi="Times New Roman"/>
          <w:sz w:val="14"/>
          <w:szCs w:val="14"/>
          <w:color w:val="auto"/>
        </w:rPr>
        <w:t>Net cash used in financing activities was $94.3 million for the six months ended June 30, 2025, primarily attributable to repayments on our long-term debt of $23.7 million, net repayments on our Revolving Credit Facility of $63.3 million, payment of finance lease obligations of $6.7 million, and other financing activities.</w:t>
      </w:r>
    </w:p>
    <w:p>
      <w:pPr>
        <w:spacing w:after="0" w:line="50" w:lineRule="exact"/>
        <w:rPr>
          <w:sz w:val="20"/>
          <w:szCs w:val="20"/>
          <w:color w:val="auto"/>
        </w:rPr>
      </w:pPr>
    </w:p>
    <w:p>
      <w:pPr>
        <w:ind w:left="640" w:right="819" w:firstLine="351"/>
        <w:spacing w:after="0" w:line="268" w:lineRule="auto"/>
        <w:rPr>
          <w:sz w:val="20"/>
          <w:szCs w:val="20"/>
          <w:color w:val="auto"/>
        </w:rPr>
      </w:pPr>
      <w:r>
        <w:rPr>
          <w:rFonts w:ascii="Times New Roman" w:cs="Times New Roman" w:eastAsia="Times New Roman" w:hAnsi="Times New Roman"/>
          <w:sz w:val="14"/>
          <w:szCs w:val="14"/>
          <w:color w:val="auto"/>
        </w:rPr>
        <w:t>Net cash provided by financing activities was $194.7 million for the six months ended June 30, 2024, primarily attributable to net proceeds received from the IPO Offerings of $1,045.5 million, offset by extinguishment of and net repayments on our long-term debt of $805.0 million, net repayments on our Revolving Credit Facility of $5.1 million, payment of debt issuance costs of $43.2 million, and other financing activities.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Debt</w:t>
      </w:r>
    </w:p>
    <w:p>
      <w:pPr>
        <w:spacing w:after="0" w:line="99" w:lineRule="exact"/>
        <w:rPr>
          <w:sz w:val="20"/>
          <w:szCs w:val="20"/>
          <w:color w:val="auto"/>
        </w:rPr>
      </w:pPr>
    </w:p>
    <w:p>
      <w:pPr>
        <w:ind w:left="640" w:right="719" w:firstLine="351"/>
        <w:spacing w:after="0" w:line="274" w:lineRule="auto"/>
        <w:rPr>
          <w:sz w:val="20"/>
          <w:szCs w:val="20"/>
          <w:color w:val="auto"/>
        </w:rPr>
      </w:pPr>
      <w:r>
        <w:rPr>
          <w:rFonts w:ascii="Times New Roman" w:cs="Times New Roman" w:eastAsia="Times New Roman" w:hAnsi="Times New Roman"/>
          <w:sz w:val="14"/>
          <w:szCs w:val="14"/>
          <w:color w:val="auto"/>
        </w:rPr>
        <w:t>We typically incur debt to finance mergers and acquisitions, and we borrow under our Revolving Credit Facility for working capital purposes, as well as to finance acquisitions, as needed. Below is a summary of our long-term indebtedness as of June 30, 2025 and December 31, 2024.</w:t>
      </w:r>
    </w:p>
    <w:p>
      <w:pPr>
        <w:spacing w:after="0" w:line="5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We were in compliance with all applicable financial covenants as of June 30, 2025 and December 31, 2024.</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First Lien Credit Agreement</w:t>
      </w:r>
    </w:p>
    <w:p>
      <w:pPr>
        <w:spacing w:after="0" w:line="99"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On March 5, 2019, the Company entered into the First Lien Credit Agreement, among Phoenix Intermediate Holdings Inc., as Holdings, Phoenix Guarantor Inc., as the Borrower, the several lenders from time to time parties thereto and Morgan Stanley Senior Funding, Inc., as the Administrative Agent and Collateral Agent (the “First Lien Credit Agreement”). The First Lien Credit Agreement originally consisted of a principal amount of $1,650.0 million. In 2019, an additional delayed draw of $150.0 million was made on the First Lien Credit Agreement (“Tranche B-1”). The First Lien Credit Agreement was further amended in 2020 (“Tranche B-2”) and 2021 (“Tranche B-3”) to establish additional borrowings of $550.0 million and $675.0 million, respectively, resulting in a total gross borrowings of $3,025.0 million.</w:t>
      </w:r>
    </w:p>
    <w:p>
      <w:pPr>
        <w:spacing w:after="0" w:line="59" w:lineRule="exact"/>
        <w:rPr>
          <w:sz w:val="20"/>
          <w:szCs w:val="20"/>
          <w:color w:val="auto"/>
        </w:rPr>
      </w:pPr>
    </w:p>
    <w:p>
      <w:pPr>
        <w:ind w:left="640" w:right="839" w:firstLine="351"/>
        <w:spacing w:after="0" w:line="292" w:lineRule="auto"/>
        <w:rPr>
          <w:sz w:val="20"/>
          <w:szCs w:val="20"/>
          <w:color w:val="auto"/>
        </w:rPr>
      </w:pPr>
      <w:r>
        <w:rPr>
          <w:rFonts w:ascii="Times New Roman" w:cs="Times New Roman" w:eastAsia="Times New Roman" w:hAnsi="Times New Roman"/>
          <w:sz w:val="14"/>
          <w:szCs w:val="14"/>
          <w:color w:val="auto"/>
        </w:rPr>
        <w:t>On June 30, 2023, the Company amended the terms of the First Lien Credit Agreement to reflect a change in reference rate to the Secured Overnight Financing Rate (“SOFR”).</w:t>
      </w:r>
    </w:p>
    <w:p>
      <w:pPr>
        <w:spacing w:after="0" w:line="38" w:lineRule="exact"/>
        <w:rPr>
          <w:sz w:val="20"/>
          <w:szCs w:val="20"/>
          <w:color w:val="auto"/>
        </w:rPr>
      </w:pPr>
    </w:p>
    <w:p>
      <w:pPr>
        <w:ind w:left="640" w:right="679" w:firstLine="516"/>
        <w:spacing w:after="0" w:line="265" w:lineRule="auto"/>
        <w:rPr>
          <w:sz w:val="20"/>
          <w:szCs w:val="20"/>
          <w:color w:val="auto"/>
        </w:rPr>
      </w:pPr>
      <w:r>
        <w:rPr>
          <w:rFonts w:ascii="Times New Roman" w:cs="Times New Roman" w:eastAsia="Times New Roman" w:hAnsi="Times New Roman"/>
          <w:sz w:val="14"/>
          <w:szCs w:val="14"/>
          <w:color w:val="auto"/>
        </w:rPr>
        <w:t>On February 21, 2024, we used a portion of the net proceeds received from the IPO Offerings to repay $343.3 million of the borrowings under the First Lien, and established Tranche B-4 to refinance the remaining $2,566.0 million of borrowings under the First Lien Credit Agreement at a rate equal to SOFR plus 3.25%. Tranche B-4 has a maturity date of February 21, 2031. On December 11, 2024 we amended the First Lien to refinance Tranche B-4 by establishing Tranche B-5 in an aggregate principal amount of $2,553.2 million at a rate equal to SOFR plus 2.50% or ABR plus 1.50% with a maturity date of February 21, 2031.</w:t>
      </w:r>
    </w:p>
    <w:p>
      <w:pPr>
        <w:spacing w:after="0" w:line="56" w:lineRule="exact"/>
        <w:rPr>
          <w:sz w:val="20"/>
          <w:szCs w:val="20"/>
          <w:color w:val="auto"/>
        </w:rPr>
      </w:pPr>
    </w:p>
    <w:p>
      <w:pPr>
        <w:ind w:left="640" w:right="1019" w:firstLine="551"/>
        <w:spacing w:after="0" w:line="292" w:lineRule="auto"/>
        <w:rPr>
          <w:sz w:val="20"/>
          <w:szCs w:val="20"/>
          <w:color w:val="auto"/>
        </w:rPr>
      </w:pPr>
      <w:r>
        <w:rPr>
          <w:rFonts w:ascii="Times New Roman" w:cs="Times New Roman" w:eastAsia="Times New Roman" w:hAnsi="Times New Roman"/>
          <w:sz w:val="14"/>
          <w:szCs w:val="14"/>
          <w:color w:val="auto"/>
        </w:rPr>
        <w:t>For additional information about our First Lien Credit Agreement, see Note 6 of the unaudited condensed consolidated financial statements and related notes in this Quarterly Report on Form 10-Q.</w:t>
      </w:r>
    </w:p>
    <w:p>
      <w:pPr>
        <w:spacing w:after="0" w:line="38"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The First Lien Credit Agreement described above contain customary negative covenants, including, but not limited to, restrictions on the Company and its restricted subsidiaries’ ability to merge and consolidate with other companies, incur indebtedness, grant liens or security interests on assets, make acquisitions, loans, advances, or investments, pay dividends, sell or otherwise transfer assets, prepay or modify terms of certain junior indebtedness, enter into transactions with affiliates, or change their lines of business or fiscal year. In addition, under the Revolving Credit Facility, the Company will not permit the consolidated first lien secured debt to consolidated EBITDA (as defined in the First Lien Credit Agreement) ratio to be greater than 6.90 to 1.00, which shall be tested as of the end of the most recent quarter at any time when the aggregate revolving credit loans exceed 35% of the total revolving credit commitments.</w:t>
      </w:r>
    </w:p>
    <w:p>
      <w:pPr>
        <w:spacing w:after="0" w:line="3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Revolving Credit Facility</w:t>
      </w:r>
    </w:p>
    <w:p>
      <w:pPr>
        <w:spacing w:after="0" w:line="99"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The total borrowing capacity under the Revolving Credit Facility included in the First Lien Credit Agreement (the “Revolver”) was $475.0 million as of June 30, 2025 and December 31, 2024. As of June 30, 2025, the Company had $475.0 million of borrowing capacity available under the Revolver as there were no borrowings under the Revolver or letters of credit outstanding. As of December 31, 2024, the Company had $63.3 million of borrowings outstanding under the Revolver and no letters of credit, reducing the available borrowing capacity to $411.7 million.</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7" w:name="page48"/>
    <w:bookmarkEnd w:id="47"/>
    <w:p>
      <w:pPr>
        <w:ind w:left="640" w:right="679" w:firstLine="351"/>
        <w:spacing w:after="0" w:line="274" w:lineRule="auto"/>
        <w:rPr>
          <w:sz w:val="20"/>
          <w:szCs w:val="20"/>
          <w:color w:val="auto"/>
        </w:rPr>
      </w:pPr>
      <w:r>
        <w:rPr>
          <w:rFonts w:ascii="Times New Roman" w:cs="Times New Roman" w:eastAsia="Times New Roman" w:hAnsi="Times New Roman"/>
          <w:sz w:val="14"/>
          <w:szCs w:val="14"/>
          <w:color w:val="auto"/>
        </w:rPr>
        <w:t>The First Lien Credit Agreement, as amended on September 17, 2024, provides for an additional $65.0 million of letter of credit commitments, or the LC Facility, which are not subject to the LC Sublimit. As of June 30, 2025 and December 31, 2024, there were $61.8 million of letters of credit outstanding under the LC Facility, resulting in an available borrowing capacity of $3.2 million.</w:t>
      </w:r>
    </w:p>
    <w:p>
      <w:pPr>
        <w:spacing w:after="0" w:line="50" w:lineRule="exact"/>
        <w:rPr>
          <w:sz w:val="20"/>
          <w:szCs w:val="20"/>
          <w:color w:val="auto"/>
        </w:rPr>
      </w:pPr>
    </w:p>
    <w:p>
      <w:pPr>
        <w:ind w:left="640" w:right="1019" w:firstLine="551"/>
        <w:spacing w:after="0" w:line="292" w:lineRule="auto"/>
        <w:rPr>
          <w:sz w:val="20"/>
          <w:szCs w:val="20"/>
          <w:color w:val="auto"/>
        </w:rPr>
      </w:pPr>
      <w:r>
        <w:rPr>
          <w:rFonts w:ascii="Times New Roman" w:cs="Times New Roman" w:eastAsia="Times New Roman" w:hAnsi="Times New Roman"/>
          <w:sz w:val="14"/>
          <w:szCs w:val="14"/>
          <w:color w:val="auto"/>
        </w:rPr>
        <w:t>For additional information about our Revolving Credit Facility and LC Facility, see Note 6 of the unaudited condensed consolidated financial statements and related notes in this Quarterly Report on Form 10-Q.</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Second Lien Credit Agreement</w:t>
      </w:r>
    </w:p>
    <w:p>
      <w:pPr>
        <w:spacing w:after="0" w:line="99" w:lineRule="exact"/>
        <w:rPr>
          <w:sz w:val="20"/>
          <w:szCs w:val="20"/>
          <w:color w:val="auto"/>
        </w:rPr>
      </w:pPr>
    </w:p>
    <w:p>
      <w:pPr>
        <w:ind w:left="640" w:right="679" w:firstLine="351"/>
        <w:spacing w:after="0" w:line="265" w:lineRule="auto"/>
        <w:rPr>
          <w:sz w:val="20"/>
          <w:szCs w:val="20"/>
          <w:color w:val="auto"/>
        </w:rPr>
      </w:pPr>
      <w:r>
        <w:rPr>
          <w:rFonts w:ascii="Times New Roman" w:cs="Times New Roman" w:eastAsia="Times New Roman" w:hAnsi="Times New Roman"/>
          <w:sz w:val="14"/>
          <w:szCs w:val="14"/>
          <w:color w:val="auto"/>
        </w:rPr>
        <w:t>On March 5, 2019, the Company entered into a $450.0 million Second Lien Facility. Borrowings under the Second Lien Facility were subordinated to the First Lien Credit Agreement. On January 30, 2024, we used a portion of the net proceeds received from the IPO Offerings to repay all outstanding borrowings under the Second Lien Facility. No further obligation exists related to the Second Lien Facility. This transaction was accounted for as a debt extinguishment and the Company incurred a loss on extinguishment of debt of $12.7 million related to the write-off of unamortized debt issuance costs.</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Interest Rate Swap Agreements</w:t>
      </w:r>
    </w:p>
    <w:p>
      <w:pPr>
        <w:spacing w:after="0" w:line="99"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To manage fluctuations in cash flows resulting from changes in the variable rates, the Company entered into three receive-variable, pay-fixed interest rate swap agreements, with a combined notional value of $2.0 billion, all effective September 30, 2022 with a maturity date of September 30, 2025. The refinancing of existing term debt in 2024 did not result in a change to the terms of the interest rate swap agreements. For the six months ended June 30, 2025 and the year ended December 31, 2024, interest expense, net includes interest income received related to cash flow hedges of interest rate risk of $8.8 million and $35.3 million, respectively.</w:t>
      </w:r>
    </w:p>
    <w:p>
      <w:pPr>
        <w:spacing w:after="0" w:line="56" w:lineRule="exact"/>
        <w:rPr>
          <w:sz w:val="20"/>
          <w:szCs w:val="20"/>
          <w:color w:val="auto"/>
        </w:rPr>
      </w:pPr>
    </w:p>
    <w:p>
      <w:pPr>
        <w:jc w:val="both"/>
        <w:ind w:left="640" w:right="679" w:firstLine="516"/>
        <w:spacing w:after="0" w:line="268" w:lineRule="auto"/>
        <w:rPr>
          <w:sz w:val="20"/>
          <w:szCs w:val="20"/>
          <w:color w:val="auto"/>
        </w:rPr>
      </w:pPr>
      <w:r>
        <w:rPr>
          <w:rFonts w:ascii="Times New Roman" w:cs="Times New Roman" w:eastAsia="Times New Roman" w:hAnsi="Times New Roman"/>
          <w:sz w:val="14"/>
          <w:szCs w:val="14"/>
          <w:color w:val="auto"/>
        </w:rPr>
        <w:t>During the first fiscal quarter of 2025, we entered into two forward starting interest rate swap agreements, each with a $500 million notional amount, to hedge the cash flow risk of variability in interest payments on our variable rate borrowings. The effective date of the forward starting interest rate swap agreements is September 30, 2025. As of June 30, 2025, these contracts meet the criteria of a cash flow hedge.</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Tangible Equity Units</w:t>
      </w:r>
    </w:p>
    <w:p>
      <w:pPr>
        <w:spacing w:after="0" w:line="99" w:lineRule="exact"/>
        <w:rPr>
          <w:sz w:val="20"/>
          <w:szCs w:val="20"/>
          <w:color w:val="auto"/>
        </w:rPr>
      </w:pPr>
    </w:p>
    <w:p>
      <w:pPr>
        <w:ind w:left="640" w:right="699" w:firstLine="516"/>
        <w:spacing w:after="0" w:line="261" w:lineRule="auto"/>
        <w:rPr>
          <w:sz w:val="20"/>
          <w:szCs w:val="20"/>
          <w:color w:val="auto"/>
        </w:rPr>
      </w:pPr>
      <w:r>
        <w:rPr>
          <w:rFonts w:ascii="Times New Roman" w:cs="Times New Roman" w:eastAsia="Times New Roman" w:hAnsi="Times New Roman"/>
          <w:sz w:val="14"/>
          <w:szCs w:val="14"/>
          <w:color w:val="auto"/>
        </w:rPr>
        <w:t>Concurrently with the IPO, we issued 8,000,000 TEUs, which have a stated amount of $50.00 per unit. Each TEU is comprised of a prepaid stock purchase contract (“Purchase Contract”) and a senior amortizing note (“Amortizing Note”) due February 1, 2027, each issued by the Company. The Company will pay equal quarterly cash installments of $0.8438 per Amortizing Note on February 1, May 1, August 1 and November 1, commencing on May 1, 2024, except for the May 1, 2024 installment payment, which was $0.8531 per Amortizing Note, with a final installment payment date of February 1, 2027. In the aggregate, the annual quarterly cash installments will be equivalent of 6.75% per year. Each installment payment constitutes a payment of interest and a partial repayment of principal. Each TEU may be separated by a holder into its constituent Purchase Contract and Amortizing Note. Refer to Note 7 within our unaudited condensed consolidated financial statements and related notes in this Quarterly Report on Form 10-Q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8" w:name="page49"/>
    <w:bookmarkEnd w:id="48"/>
    <w:p>
      <w:pPr>
        <w:ind w:left="980"/>
        <w:spacing w:after="0"/>
        <w:rPr>
          <w:sz w:val="20"/>
          <w:szCs w:val="20"/>
          <w:color w:val="auto"/>
        </w:rPr>
      </w:pPr>
      <w:r>
        <w:rPr>
          <w:rFonts w:ascii="Times New Roman" w:cs="Times New Roman" w:eastAsia="Times New Roman" w:hAnsi="Times New Roman"/>
          <w:sz w:val="14"/>
          <w:szCs w:val="14"/>
          <w:color w:val="auto"/>
        </w:rPr>
        <w:t>The table below summarizes the total outstanding debt of the Company:</w:t>
      </w:r>
    </w:p>
    <w:p>
      <w:pPr>
        <w:spacing w:after="0" w:line="188" w:lineRule="exact"/>
        <w:rPr>
          <w:sz w:val="20"/>
          <w:szCs w:val="20"/>
          <w:color w:val="auto"/>
        </w:rPr>
      </w:pPr>
    </w:p>
    <w:tbl>
      <w:tblPr>
        <w:tblLayout w:type="fixed"/>
        <w:tblInd w:w="640" w:type="dxa"/>
        <w:tblCellMar>
          <w:top w:w="0" w:type="dxa"/>
          <w:left w:w="0" w:type="dxa"/>
          <w:bottom w:w="0" w:type="dxa"/>
          <w:right w:w="0" w:type="dxa"/>
        </w:tblCellMar>
      </w:tblPr>
      <w:tr>
        <w:trPr>
          <w:trHeight w:val="138"/>
        </w:trPr>
        <w:tc>
          <w:tcPr>
            <w:tcW w:w="22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 in thousands)</w:t>
            </w:r>
          </w:p>
        </w:tc>
        <w:tc>
          <w:tcPr>
            <w:tcW w:w="640" w:type="dxa"/>
            <w:vAlign w:val="bottom"/>
          </w:tcPr>
          <w:p>
            <w:pPr>
              <w:spacing w:after="0"/>
              <w:rPr>
                <w:sz w:val="12"/>
                <w:szCs w:val="12"/>
                <w:color w:val="auto"/>
              </w:rPr>
            </w:pPr>
          </w:p>
        </w:tc>
        <w:tc>
          <w:tcPr>
            <w:tcW w:w="1220" w:type="dxa"/>
            <w:vAlign w:val="bottom"/>
            <w:gridSpan w:val="3"/>
            <w:vMerge w:val="restart"/>
          </w:tcPr>
          <w:p>
            <w:pPr>
              <w:jc w:val="right"/>
              <w:ind w:right="900"/>
              <w:spacing w:after="0"/>
              <w:rPr>
                <w:sz w:val="20"/>
                <w:szCs w:val="20"/>
                <w:color w:val="auto"/>
              </w:rPr>
            </w:pPr>
            <w:r>
              <w:rPr>
                <w:rFonts w:ascii="Times New Roman" w:cs="Times New Roman" w:eastAsia="Times New Roman" w:hAnsi="Times New Roman"/>
                <w:sz w:val="11"/>
                <w:szCs w:val="11"/>
                <w:b w:val="1"/>
                <w:bCs w:val="1"/>
                <w:color w:val="auto"/>
              </w:rPr>
              <w:t>Rate</w:t>
            </w:r>
          </w:p>
        </w:tc>
        <w:tc>
          <w:tcPr>
            <w:tcW w:w="1560" w:type="dxa"/>
            <w:vAlign w:val="bottom"/>
            <w:gridSpan w:val="6"/>
          </w:tcPr>
          <w:p>
            <w:pPr>
              <w:ind w:left="40"/>
              <w:spacing w:after="0"/>
              <w:rPr>
                <w:sz w:val="20"/>
                <w:szCs w:val="20"/>
                <w:color w:val="auto"/>
              </w:rPr>
            </w:pPr>
            <w:r>
              <w:rPr>
                <w:rFonts w:ascii="Times New Roman" w:cs="Times New Roman" w:eastAsia="Times New Roman" w:hAnsi="Times New Roman"/>
                <w:sz w:val="11"/>
                <w:szCs w:val="11"/>
                <w:b w:val="1"/>
                <w:bCs w:val="1"/>
                <w:color w:val="auto"/>
              </w:rPr>
              <w:t>Long-term obligation and note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Interest Expense</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payable</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240" w:type="dxa"/>
            <w:vAlign w:val="bottom"/>
          </w:tcPr>
          <w:p>
            <w:pPr>
              <w:spacing w:after="0"/>
              <w:rPr>
                <w:sz w:val="7"/>
                <w:szCs w:val="7"/>
                <w:color w:val="auto"/>
              </w:rPr>
            </w:pPr>
          </w:p>
        </w:tc>
        <w:tc>
          <w:tcPr>
            <w:tcW w:w="860" w:type="dxa"/>
            <w:vAlign w:val="bottom"/>
            <w:tcBorders>
              <w:top w:val="single" w:sz="8" w:color="auto"/>
            </w:tcBorders>
            <w:gridSpan w:val="2"/>
          </w:tcPr>
          <w:p>
            <w:pPr>
              <w:jc w:val="right"/>
              <w:ind w:right="303"/>
              <w:spacing w:after="0" w:line="90" w:lineRule="exact"/>
              <w:rPr>
                <w:sz w:val="20"/>
                <w:szCs w:val="20"/>
                <w:color w:val="auto"/>
              </w:rPr>
            </w:pPr>
            <w:r>
              <w:rPr>
                <w:rFonts w:ascii="Times New Roman" w:cs="Times New Roman" w:eastAsia="Times New Roman" w:hAnsi="Times New Roman"/>
                <w:sz w:val="10"/>
                <w:szCs w:val="10"/>
                <w:b w:val="1"/>
                <w:bCs w:val="1"/>
                <w:color w:val="auto"/>
              </w:rPr>
              <w:t>June 30,</w:t>
            </w:r>
          </w:p>
        </w:tc>
        <w:tc>
          <w:tcPr>
            <w:tcW w:w="840" w:type="dxa"/>
            <w:vAlign w:val="bottom"/>
            <w:tcBorders>
              <w:top w:val="single" w:sz="8" w:color="auto"/>
            </w:tcBorders>
          </w:tcPr>
          <w:p>
            <w:pPr>
              <w:jc w:val="right"/>
              <w:ind w:right="41"/>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jc w:val="right"/>
              <w:ind w:right="60"/>
              <w:spacing w:after="0" w:line="90" w:lineRule="exact"/>
              <w:rPr>
                <w:sz w:val="20"/>
                <w:szCs w:val="20"/>
                <w:color w:val="auto"/>
              </w:rPr>
            </w:pPr>
            <w:r>
              <w:rPr>
                <w:rFonts w:ascii="Times New Roman" w:cs="Times New Roman" w:eastAsia="Times New Roman" w:hAnsi="Times New Roman"/>
                <w:sz w:val="10"/>
                <w:szCs w:val="10"/>
                <w:b w:val="1"/>
                <w:bCs w:val="1"/>
                <w:color w:val="auto"/>
              </w:rPr>
              <w:t>June 30,</w:t>
            </w:r>
          </w:p>
        </w:tc>
        <w:tc>
          <w:tcPr>
            <w:tcW w:w="140" w:type="dxa"/>
            <w:vAlign w:val="bottom"/>
            <w:tcBorders>
              <w:top w:val="single" w:sz="8" w:color="auto"/>
            </w:tcBorders>
          </w:tcPr>
          <w:p>
            <w:pPr>
              <w:spacing w:after="0"/>
              <w:rPr>
                <w:sz w:val="7"/>
                <w:szCs w:val="7"/>
                <w:color w:val="auto"/>
              </w:rPr>
            </w:pPr>
          </w:p>
        </w:tc>
        <w:tc>
          <w:tcPr>
            <w:tcW w:w="760" w:type="dxa"/>
            <w:vAlign w:val="bottom"/>
            <w:tcBorders>
              <w:top w:val="single" w:sz="8" w:color="auto"/>
            </w:tcBorders>
            <w:gridSpan w:val="2"/>
          </w:tcPr>
          <w:p>
            <w:pPr>
              <w:jc w:val="right"/>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tcBorders>
              <w:top w:val="single" w:sz="8" w:color="auto"/>
            </w:tcBorders>
            <w:gridSpan w:val="3"/>
          </w:tcPr>
          <w:p>
            <w:pPr>
              <w:jc w:val="right"/>
              <w:ind w:right="220"/>
              <w:spacing w:after="0" w:line="90" w:lineRule="exact"/>
              <w:rPr>
                <w:sz w:val="20"/>
                <w:szCs w:val="20"/>
                <w:color w:val="auto"/>
              </w:rPr>
            </w:pPr>
            <w:r>
              <w:rPr>
                <w:rFonts w:ascii="Times New Roman" w:cs="Times New Roman" w:eastAsia="Times New Roman" w:hAnsi="Times New Roman"/>
                <w:sz w:val="10"/>
                <w:szCs w:val="10"/>
                <w:b w:val="1"/>
                <w:bCs w:val="1"/>
                <w:color w:val="auto"/>
              </w:rPr>
              <w:t>Six Months Ended</w:t>
            </w:r>
          </w:p>
        </w:tc>
        <w:tc>
          <w:tcPr>
            <w:tcW w:w="680" w:type="dxa"/>
            <w:vAlign w:val="bottom"/>
            <w:tcBorders>
              <w:top w:val="single" w:sz="8" w:color="auto"/>
            </w:tcBorders>
            <w:gridSpan w:val="2"/>
          </w:tcPr>
          <w:p>
            <w:pPr>
              <w:jc w:val="right"/>
              <w:ind w:right="19"/>
              <w:spacing w:after="0" w:line="90" w:lineRule="exact"/>
              <w:rPr>
                <w:sz w:val="20"/>
                <w:szCs w:val="20"/>
                <w:color w:val="auto"/>
              </w:rPr>
            </w:pPr>
            <w:r>
              <w:rPr>
                <w:rFonts w:ascii="Times New Roman" w:cs="Times New Roman" w:eastAsia="Times New Roman" w:hAnsi="Times New Roman"/>
                <w:sz w:val="10"/>
                <w:szCs w:val="10"/>
                <w:b w:val="1"/>
                <w:bCs w:val="1"/>
                <w:color w:val="auto"/>
              </w:rPr>
              <w:t>Fiscal Year</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240" w:type="dxa"/>
            <w:vAlign w:val="bottom"/>
          </w:tcPr>
          <w:p>
            <w:pPr>
              <w:spacing w:after="0"/>
              <w:rPr>
                <w:sz w:val="11"/>
                <w:szCs w:val="11"/>
                <w:color w:val="auto"/>
              </w:rPr>
            </w:pPr>
          </w:p>
        </w:tc>
        <w:tc>
          <w:tcPr>
            <w:tcW w:w="6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Pr>
          <w:p>
            <w:pPr>
              <w:spacing w:after="0"/>
              <w:rPr>
                <w:sz w:val="11"/>
                <w:szCs w:val="11"/>
                <w:color w:val="auto"/>
              </w:rPr>
            </w:pPr>
          </w:p>
        </w:tc>
        <w:tc>
          <w:tcPr>
            <w:tcW w:w="8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June 30, 2025</w:t>
            </w: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40" w:type="dxa"/>
            <w:vAlign w:val="bottom"/>
            <w:shd w:val="clear" w:color="auto" w:fill="CFF0FC"/>
          </w:tcPr>
          <w:p>
            <w:pPr>
              <w:spacing w:after="0" w:line="105" w:lineRule="exact"/>
              <w:rPr>
                <w:sz w:val="20"/>
                <w:szCs w:val="20"/>
                <w:color w:val="auto"/>
              </w:rPr>
            </w:pPr>
            <w:r>
              <w:rPr>
                <w:rFonts w:ascii="Times New Roman" w:cs="Times New Roman" w:eastAsia="Times New Roman" w:hAnsi="Times New Roman"/>
                <w:sz w:val="12"/>
                <w:szCs w:val="12"/>
                <w:color w:val="auto"/>
              </w:rPr>
              <w:t>First Lien - payable to lenders at SOFR</w:t>
            </w:r>
          </w:p>
        </w:tc>
        <w:tc>
          <w:tcPr>
            <w:tcW w:w="860" w:type="dxa"/>
            <w:vAlign w:val="bottom"/>
            <w:gridSpan w:val="2"/>
            <w:shd w:val="clear" w:color="auto" w:fill="CFF0FC"/>
          </w:tcPr>
          <w:p>
            <w:pPr>
              <w:jc w:val="right"/>
              <w:ind w:right="163"/>
              <w:spacing w:after="0" w:line="10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FF0FC"/>
          </w:tcPr>
          <w:p>
            <w:pPr>
              <w:jc w:val="right"/>
              <w:ind w:right="160"/>
              <w:spacing w:after="0" w:line="10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shd w:val="clear" w:color="auto" w:fill="CFF0FC"/>
          </w:tcPr>
          <w:p>
            <w:pPr>
              <w:ind w:left="40"/>
              <w:spacing w:after="0" w:line="105" w:lineRule="exact"/>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shd w:val="clear" w:color="auto" w:fill="CFF0FC"/>
          </w:tcPr>
          <w:p>
            <w:pPr>
              <w:jc w:val="right"/>
              <w:spacing w:after="0" w:line="105" w:lineRule="exact"/>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2"/>
            <w:shd w:val="clear" w:color="auto" w:fill="CFF0FC"/>
          </w:tcPr>
          <w:p>
            <w:pPr>
              <w:jc w:val="right"/>
              <w:ind w:right="106"/>
              <w:spacing w:after="0" w:line="105"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FF0FC"/>
          </w:tcPr>
          <w:p>
            <w:pPr>
              <w:jc w:val="right"/>
              <w:spacing w:after="0" w:line="10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3"/>
            <w:shd w:val="clear" w:color="auto" w:fill="CFF0FC"/>
          </w:tcPr>
          <w:p>
            <w:pPr>
              <w:jc w:val="right"/>
              <w:spacing w:after="0" w:line="105" w:lineRule="exact"/>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shd w:val="clear" w:color="auto" w:fill="CFF0FC"/>
          </w:tcPr>
          <w:p>
            <w:pPr>
              <w:jc w:val="right"/>
              <w:ind w:right="180"/>
              <w:spacing w:after="0" w:line="105"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jc w:val="right"/>
              <w:ind w:right="86"/>
              <w:spacing w:after="0" w:line="105"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spacing w:after="0" w:line="105" w:lineRule="exact"/>
              <w:rPr>
                <w:sz w:val="20"/>
                <w:szCs w:val="20"/>
                <w:color w:val="auto"/>
              </w:rPr>
            </w:pPr>
            <w:r>
              <w:rPr>
                <w:rFonts w:ascii="Times New Roman" w:cs="Times New Roman" w:eastAsia="Times New Roman" w:hAnsi="Times New Roman"/>
                <w:sz w:val="12"/>
                <w:szCs w:val="12"/>
                <w:color w:val="auto"/>
              </w:rPr>
              <w:t>18,151</w:t>
            </w:r>
          </w:p>
        </w:tc>
        <w:tc>
          <w:tcPr>
            <w:tcW w:w="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plus applicable margin</w:t>
            </w: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240" w:type="dxa"/>
            <w:vAlign w:val="bottom"/>
          </w:tcPr>
          <w:p>
            <w:pPr>
              <w:spacing w:after="0" w:line="114" w:lineRule="exact"/>
              <w:rPr>
                <w:sz w:val="20"/>
                <w:szCs w:val="20"/>
                <w:color w:val="auto"/>
              </w:rPr>
            </w:pPr>
            <w:r>
              <w:rPr>
                <w:rFonts w:ascii="Times New Roman" w:cs="Times New Roman" w:eastAsia="Times New Roman" w:hAnsi="Times New Roman"/>
                <w:sz w:val="12"/>
                <w:szCs w:val="12"/>
                <w:color w:val="auto"/>
              </w:rPr>
              <w:t>First Lien Incremental Term Loans</w:t>
            </w:r>
          </w:p>
        </w:tc>
        <w:tc>
          <w:tcPr>
            <w:tcW w:w="860" w:type="dxa"/>
            <w:vAlign w:val="bottom"/>
            <w:gridSpan w:val="2"/>
          </w:tcPr>
          <w:p>
            <w:pPr>
              <w:jc w:val="right"/>
              <w:ind w:right="163"/>
              <w:spacing w:after="0" w:line="114"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spacing w:after="0" w:line="11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jc w:val="right"/>
              <w:spacing w:after="0" w:line="11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Times New Roman" w:cs="Times New Roman" w:eastAsia="Times New Roman" w:hAnsi="Times New Roman"/>
                <w:sz w:val="12"/>
                <w:szCs w:val="12"/>
                <w:color w:val="auto"/>
              </w:rPr>
              <w:t>12,923</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240" w:type="dxa"/>
            <w:vAlign w:val="bottom"/>
          </w:tcPr>
          <w:p>
            <w:pPr>
              <w:ind w:left="120"/>
              <w:spacing w:after="0" w:line="129" w:lineRule="exact"/>
              <w:rPr>
                <w:sz w:val="20"/>
                <w:szCs w:val="20"/>
                <w:color w:val="auto"/>
              </w:rPr>
            </w:pPr>
            <w:r>
              <w:rPr>
                <w:rFonts w:ascii="Times New Roman" w:cs="Times New Roman" w:eastAsia="Times New Roman" w:hAnsi="Times New Roman"/>
                <w:sz w:val="12"/>
                <w:szCs w:val="12"/>
                <w:color w:val="auto"/>
              </w:rPr>
              <w:t>Tranches B-2 and B-3 - payable to</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40" w:type="dxa"/>
            <w:vAlign w:val="bottom"/>
          </w:tcPr>
          <w:p>
            <w:pPr>
              <w:ind w:left="120"/>
              <w:spacing w:after="0" w:line="129" w:lineRule="exact"/>
              <w:rPr>
                <w:sz w:val="20"/>
                <w:szCs w:val="20"/>
                <w:color w:val="auto"/>
              </w:rPr>
            </w:pPr>
            <w:r>
              <w:rPr>
                <w:rFonts w:ascii="Times New Roman" w:cs="Times New Roman" w:eastAsia="Times New Roman" w:hAnsi="Times New Roman"/>
                <w:sz w:val="12"/>
                <w:szCs w:val="12"/>
                <w:color w:val="auto"/>
              </w:rPr>
              <w:t>lenders at SOFR plus applicable</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2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margin</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240" w:type="dxa"/>
            <w:vAlign w:val="bottom"/>
            <w:shd w:val="clear" w:color="auto" w:fill="CFF0FC"/>
          </w:tcPr>
          <w:p>
            <w:pPr>
              <w:spacing w:after="0" w:line="114" w:lineRule="exact"/>
              <w:rPr>
                <w:sz w:val="20"/>
                <w:szCs w:val="20"/>
                <w:color w:val="auto"/>
              </w:rPr>
            </w:pPr>
            <w:r>
              <w:rPr>
                <w:rFonts w:ascii="Times New Roman" w:cs="Times New Roman" w:eastAsia="Times New Roman" w:hAnsi="Times New Roman"/>
                <w:sz w:val="12"/>
                <w:szCs w:val="12"/>
                <w:color w:val="auto"/>
              </w:rPr>
              <w:t>First Lien Incremental Term Loan</w:t>
            </w:r>
          </w:p>
        </w:tc>
        <w:tc>
          <w:tcPr>
            <w:tcW w:w="860" w:type="dxa"/>
            <w:vAlign w:val="bottom"/>
            <w:gridSpan w:val="2"/>
            <w:shd w:val="clear" w:color="auto" w:fill="CFF0FC"/>
          </w:tcPr>
          <w:p>
            <w:pPr>
              <w:jc w:val="right"/>
              <w:ind w:right="163"/>
              <w:spacing w:after="0" w:line="114"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FF0FC"/>
          </w:tcPr>
          <w:p>
            <w:pPr>
              <w:jc w:val="right"/>
              <w:ind w:right="160"/>
              <w:spacing w:after="0" w:line="114"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180"/>
              <w:spacing w:after="0" w:line="114"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2"/>
                <w:szCs w:val="12"/>
                <w:color w:val="auto"/>
              </w:rPr>
              <w:t>150,759</w:t>
            </w:r>
          </w:p>
        </w:tc>
        <w:tc>
          <w:tcPr>
            <w:tcW w:w="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240" w:type="dxa"/>
            <w:vAlign w:val="bottom"/>
            <w:shd w:val="clear" w:color="auto" w:fill="CFF0FC"/>
          </w:tcPr>
          <w:p>
            <w:pPr>
              <w:ind w:left="120"/>
              <w:spacing w:after="0" w:line="129" w:lineRule="exact"/>
              <w:rPr>
                <w:sz w:val="20"/>
                <w:szCs w:val="20"/>
                <w:color w:val="auto"/>
              </w:rPr>
            </w:pPr>
            <w:r>
              <w:rPr>
                <w:rFonts w:ascii="Times New Roman" w:cs="Times New Roman" w:eastAsia="Times New Roman" w:hAnsi="Times New Roman"/>
                <w:sz w:val="12"/>
                <w:szCs w:val="12"/>
                <w:color w:val="auto"/>
              </w:rPr>
              <w:t>Tranche B-4 - payable to lenders at</w:t>
            </w: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SOFR plus applicable margin</w:t>
            </w: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240" w:type="dxa"/>
            <w:vAlign w:val="bottom"/>
          </w:tcPr>
          <w:p>
            <w:pPr>
              <w:spacing w:after="0" w:line="114" w:lineRule="exact"/>
              <w:rPr>
                <w:sz w:val="20"/>
                <w:szCs w:val="20"/>
                <w:color w:val="auto"/>
              </w:rPr>
            </w:pPr>
            <w:r>
              <w:rPr>
                <w:rFonts w:ascii="Times New Roman" w:cs="Times New Roman" w:eastAsia="Times New Roman" w:hAnsi="Times New Roman"/>
                <w:sz w:val="12"/>
                <w:szCs w:val="12"/>
                <w:color w:val="auto"/>
              </w:rPr>
              <w:t>First Lien Incremental Term Loan</w:t>
            </w:r>
          </w:p>
        </w:tc>
        <w:tc>
          <w:tcPr>
            <w:tcW w:w="860" w:type="dxa"/>
            <w:vAlign w:val="bottom"/>
            <w:gridSpan w:val="2"/>
          </w:tcPr>
          <w:p>
            <w:pPr>
              <w:jc w:val="right"/>
              <w:ind w:right="63"/>
              <w:spacing w:after="0" w:line="114" w:lineRule="exact"/>
              <w:rPr>
                <w:sz w:val="20"/>
                <w:szCs w:val="20"/>
                <w:color w:val="auto"/>
              </w:rPr>
            </w:pPr>
            <w:r>
              <w:rPr>
                <w:rFonts w:ascii="Times New Roman" w:cs="Times New Roman" w:eastAsia="Times New Roman" w:hAnsi="Times New Roman"/>
                <w:sz w:val="12"/>
                <w:szCs w:val="12"/>
                <w:color w:val="auto"/>
              </w:rPr>
              <w:t>6.83%</w:t>
            </w:r>
          </w:p>
        </w:tc>
        <w:tc>
          <w:tcPr>
            <w:tcW w:w="100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2"/>
                <w:szCs w:val="12"/>
                <w:color w:val="auto"/>
              </w:rPr>
              <w:t>6.86%</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spacing w:after="0" w:line="114" w:lineRule="exact"/>
              <w:rPr>
                <w:sz w:val="20"/>
                <w:szCs w:val="20"/>
                <w:color w:val="auto"/>
              </w:rPr>
            </w:pPr>
            <w:r>
              <w:rPr>
                <w:rFonts w:ascii="Times New Roman" w:cs="Times New Roman" w:eastAsia="Times New Roman" w:hAnsi="Times New Roman"/>
                <w:sz w:val="12"/>
                <w:szCs w:val="12"/>
                <w:color w:val="auto"/>
              </w:rPr>
              <w:t>2,534,021</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jc w:val="right"/>
              <w:spacing w:after="0" w:line="114" w:lineRule="exact"/>
              <w:rPr>
                <w:sz w:val="20"/>
                <w:szCs w:val="20"/>
                <w:color w:val="auto"/>
              </w:rPr>
            </w:pPr>
            <w:r>
              <w:rPr>
                <w:rFonts w:ascii="Times New Roman" w:cs="Times New Roman" w:eastAsia="Times New Roman" w:hAnsi="Times New Roman"/>
                <w:sz w:val="12"/>
                <w:szCs w:val="12"/>
                <w:color w:val="auto"/>
              </w:rPr>
              <w:t>2,546,787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jc w:val="right"/>
              <w:spacing w:after="0" w:line="114" w:lineRule="exact"/>
              <w:rPr>
                <w:sz w:val="20"/>
                <w:szCs w:val="20"/>
                <w:color w:val="auto"/>
              </w:rPr>
            </w:pPr>
            <w:r>
              <w:rPr>
                <w:rFonts w:ascii="Times New Roman" w:cs="Times New Roman" w:eastAsia="Times New Roman" w:hAnsi="Times New Roman"/>
                <w:sz w:val="12"/>
                <w:szCs w:val="12"/>
                <w:color w:val="auto"/>
              </w:rPr>
              <w:t>73,359</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Times New Roman" w:cs="Times New Roman" w:eastAsia="Times New Roman" w:hAnsi="Times New Roman"/>
                <w:sz w:val="12"/>
                <w:szCs w:val="12"/>
                <w:color w:val="auto"/>
              </w:rPr>
              <w:t>8,857</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240" w:type="dxa"/>
            <w:vAlign w:val="bottom"/>
          </w:tcPr>
          <w:p>
            <w:pPr>
              <w:ind w:left="80"/>
              <w:spacing w:after="0" w:line="129" w:lineRule="exact"/>
              <w:rPr>
                <w:sz w:val="20"/>
                <w:szCs w:val="20"/>
                <w:color w:val="auto"/>
              </w:rPr>
            </w:pPr>
            <w:r>
              <w:rPr>
                <w:rFonts w:ascii="Times New Roman" w:cs="Times New Roman" w:eastAsia="Times New Roman" w:hAnsi="Times New Roman"/>
                <w:sz w:val="12"/>
                <w:szCs w:val="12"/>
                <w:color w:val="auto"/>
              </w:rPr>
              <w:t>Tranche B-5 - payable to lenders at</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SOFR plus applicable margin</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240" w:type="dxa"/>
            <w:vAlign w:val="bottom"/>
            <w:shd w:val="clear" w:color="auto" w:fill="CFF0FC"/>
          </w:tcPr>
          <w:p>
            <w:pPr>
              <w:spacing w:after="0" w:line="114" w:lineRule="exact"/>
              <w:rPr>
                <w:sz w:val="20"/>
                <w:szCs w:val="20"/>
                <w:color w:val="auto"/>
              </w:rPr>
            </w:pPr>
            <w:r>
              <w:rPr>
                <w:rFonts w:ascii="Times New Roman" w:cs="Times New Roman" w:eastAsia="Times New Roman" w:hAnsi="Times New Roman"/>
                <w:sz w:val="12"/>
                <w:szCs w:val="12"/>
                <w:color w:val="auto"/>
              </w:rPr>
              <w:t>Second Lien - payable to lenders at</w:t>
            </w:r>
          </w:p>
        </w:tc>
        <w:tc>
          <w:tcPr>
            <w:tcW w:w="860" w:type="dxa"/>
            <w:vAlign w:val="bottom"/>
            <w:gridSpan w:val="2"/>
            <w:shd w:val="clear" w:color="auto" w:fill="CFF0FC"/>
          </w:tcPr>
          <w:p>
            <w:pPr>
              <w:jc w:val="right"/>
              <w:ind w:right="163"/>
              <w:spacing w:after="0" w:line="114"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FF0FC"/>
          </w:tcPr>
          <w:p>
            <w:pPr>
              <w:jc w:val="right"/>
              <w:ind w:right="160"/>
              <w:spacing w:after="0" w:line="114"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180"/>
              <w:spacing w:after="0" w:line="114"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2"/>
                <w:szCs w:val="12"/>
                <w:color w:val="auto"/>
              </w:rPr>
              <w:t>4,482</w:t>
            </w:r>
          </w:p>
        </w:tc>
        <w:tc>
          <w:tcPr>
            <w:tcW w:w="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SOFR plus applicable margin</w:t>
            </w: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240" w:type="dxa"/>
            <w:vAlign w:val="bottom"/>
          </w:tcPr>
          <w:p>
            <w:pPr>
              <w:spacing w:after="0" w:line="114" w:lineRule="exact"/>
              <w:rPr>
                <w:sz w:val="20"/>
                <w:szCs w:val="20"/>
                <w:color w:val="auto"/>
              </w:rPr>
            </w:pPr>
            <w:r>
              <w:rPr>
                <w:rFonts w:ascii="Times New Roman" w:cs="Times New Roman" w:eastAsia="Times New Roman" w:hAnsi="Times New Roman"/>
                <w:sz w:val="12"/>
                <w:szCs w:val="12"/>
                <w:color w:val="auto"/>
              </w:rPr>
              <w:t>Revolving Credit Loans - payable to</w:t>
            </w:r>
          </w:p>
        </w:tc>
        <w:tc>
          <w:tcPr>
            <w:tcW w:w="860" w:type="dxa"/>
            <w:vAlign w:val="bottom"/>
            <w:gridSpan w:val="2"/>
          </w:tcPr>
          <w:p>
            <w:pPr>
              <w:jc w:val="right"/>
              <w:ind w:right="63"/>
              <w:spacing w:after="0" w:line="114" w:lineRule="exact"/>
              <w:rPr>
                <w:sz w:val="20"/>
                <w:szCs w:val="20"/>
                <w:color w:val="auto"/>
              </w:rPr>
            </w:pPr>
            <w:r>
              <w:rPr>
                <w:rFonts w:ascii="Times New Roman" w:cs="Times New Roman" w:eastAsia="Times New Roman" w:hAnsi="Times New Roman"/>
                <w:sz w:val="12"/>
                <w:szCs w:val="12"/>
                <w:color w:val="auto"/>
              </w:rPr>
              <w:t>7.33%</w:t>
            </w:r>
          </w:p>
        </w:tc>
        <w:tc>
          <w:tcPr>
            <w:tcW w:w="100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2"/>
                <w:szCs w:val="12"/>
                <w:color w:val="auto"/>
              </w:rPr>
              <w:t>7.61%</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spacing w:after="0" w:line="11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jc w:val="right"/>
              <w:spacing w:after="0" w:line="11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Times New Roman" w:cs="Times New Roman" w:eastAsia="Times New Roman" w:hAnsi="Times New Roman"/>
                <w:sz w:val="12"/>
                <w:szCs w:val="12"/>
                <w:color w:val="auto"/>
              </w:rPr>
              <w:t>331</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240" w:type="dxa"/>
            <w:vAlign w:val="bottom"/>
          </w:tcPr>
          <w:p>
            <w:pPr>
              <w:ind w:left="120"/>
              <w:spacing w:after="0" w:line="129" w:lineRule="exact"/>
              <w:rPr>
                <w:sz w:val="20"/>
                <w:szCs w:val="20"/>
                <w:color w:val="auto"/>
              </w:rPr>
            </w:pPr>
            <w:r>
              <w:rPr>
                <w:rFonts w:ascii="Times New Roman" w:cs="Times New Roman" w:eastAsia="Times New Roman" w:hAnsi="Times New Roman"/>
                <w:sz w:val="12"/>
                <w:szCs w:val="12"/>
                <w:color w:val="auto"/>
              </w:rPr>
              <w:t>lenders at SOFR plus applicable</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2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margin</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240" w:type="dxa"/>
            <w:vAlign w:val="bottom"/>
            <w:shd w:val="clear" w:color="auto" w:fill="CFF0FC"/>
          </w:tcPr>
          <w:p>
            <w:pPr>
              <w:spacing w:after="0" w:line="114" w:lineRule="exact"/>
              <w:rPr>
                <w:sz w:val="20"/>
                <w:szCs w:val="20"/>
                <w:color w:val="auto"/>
              </w:rPr>
            </w:pPr>
            <w:r>
              <w:rPr>
                <w:rFonts w:ascii="Times New Roman" w:cs="Times New Roman" w:eastAsia="Times New Roman" w:hAnsi="Times New Roman"/>
                <w:sz w:val="12"/>
                <w:szCs w:val="12"/>
                <w:color w:val="auto"/>
              </w:rPr>
              <w:t>Swingline/Base Rate - payable to</w:t>
            </w:r>
          </w:p>
        </w:tc>
        <w:tc>
          <w:tcPr>
            <w:tcW w:w="860" w:type="dxa"/>
            <w:vAlign w:val="bottom"/>
            <w:gridSpan w:val="2"/>
            <w:shd w:val="clear" w:color="auto" w:fill="CFF0FC"/>
          </w:tcPr>
          <w:p>
            <w:pPr>
              <w:jc w:val="right"/>
              <w:ind w:right="63"/>
              <w:spacing w:after="0" w:line="114" w:lineRule="exact"/>
              <w:rPr>
                <w:sz w:val="20"/>
                <w:szCs w:val="20"/>
                <w:color w:val="auto"/>
              </w:rPr>
            </w:pPr>
            <w:r>
              <w:rPr>
                <w:rFonts w:ascii="Times New Roman" w:cs="Times New Roman" w:eastAsia="Times New Roman" w:hAnsi="Times New Roman"/>
                <w:sz w:val="12"/>
                <w:szCs w:val="12"/>
                <w:color w:val="auto"/>
              </w:rPr>
              <w:t>9.50%</w:t>
            </w:r>
          </w:p>
        </w:tc>
        <w:tc>
          <w:tcPr>
            <w:tcW w:w="1000" w:type="dxa"/>
            <w:vAlign w:val="bottom"/>
            <w:gridSpan w:val="2"/>
            <w:shd w:val="clear" w:color="auto" w:fill="CFF0FC"/>
          </w:tcPr>
          <w:p>
            <w:pPr>
              <w:jc w:val="right"/>
              <w:ind w:right="40"/>
              <w:spacing w:after="0" w:line="114" w:lineRule="exact"/>
              <w:rPr>
                <w:sz w:val="20"/>
                <w:szCs w:val="20"/>
                <w:color w:val="auto"/>
              </w:rPr>
            </w:pPr>
            <w:r>
              <w:rPr>
                <w:rFonts w:ascii="Times New Roman" w:cs="Times New Roman" w:eastAsia="Times New Roman" w:hAnsi="Times New Roman"/>
                <w:sz w:val="12"/>
                <w:szCs w:val="12"/>
                <w:color w:val="auto"/>
              </w:rPr>
              <w:t>9.75%</w:t>
            </w: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2"/>
                <w:szCs w:val="12"/>
                <w:color w:val="auto"/>
              </w:rPr>
              <w:t>63,300</w:t>
            </w: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2"/>
                <w:szCs w:val="12"/>
                <w:color w:val="auto"/>
              </w:rPr>
              <w:t>5,401</w:t>
            </w:r>
          </w:p>
        </w:tc>
        <w:tc>
          <w:tcPr>
            <w:tcW w:w="1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2"/>
                <w:szCs w:val="12"/>
                <w:color w:val="auto"/>
              </w:rPr>
              <w:t>10,602</w:t>
            </w:r>
          </w:p>
        </w:tc>
        <w:tc>
          <w:tcPr>
            <w:tcW w:w="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240" w:type="dxa"/>
            <w:vAlign w:val="bottom"/>
            <w:shd w:val="clear" w:color="auto" w:fill="CFF0FC"/>
          </w:tcPr>
          <w:p>
            <w:pPr>
              <w:ind w:left="120"/>
              <w:spacing w:after="0" w:line="129" w:lineRule="exact"/>
              <w:rPr>
                <w:sz w:val="20"/>
                <w:szCs w:val="20"/>
                <w:color w:val="auto"/>
              </w:rPr>
            </w:pPr>
            <w:r>
              <w:rPr>
                <w:rFonts w:ascii="Times New Roman" w:cs="Times New Roman" w:eastAsia="Times New Roman" w:hAnsi="Times New Roman"/>
                <w:sz w:val="12"/>
                <w:szCs w:val="12"/>
                <w:color w:val="auto"/>
              </w:rPr>
              <w:t>lenders at ABR plus applicable</w:t>
            </w: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margin</w:t>
            </w: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24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Amortizing Notes</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42,859</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53,804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2,373</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4,899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color w:val="auto"/>
              </w:rPr>
              <w:t>Notes payable and other</w:t>
            </w: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19,419</w:t>
            </w: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19,428</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439</w:t>
            </w:r>
          </w:p>
        </w:tc>
        <w:tc>
          <w:tcPr>
            <w:tcW w:w="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316</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240" w:type="dxa"/>
            <w:vAlign w:val="bottom"/>
          </w:tcPr>
          <w:p>
            <w:pPr>
              <w:spacing w:after="0" w:line="114" w:lineRule="exact"/>
              <w:rPr>
                <w:sz w:val="20"/>
                <w:szCs w:val="20"/>
                <w:color w:val="auto"/>
              </w:rPr>
            </w:pPr>
            <w:r>
              <w:rPr>
                <w:rFonts w:ascii="Times New Roman" w:cs="Times New Roman" w:eastAsia="Times New Roman" w:hAnsi="Times New Roman"/>
                <w:sz w:val="12"/>
                <w:szCs w:val="12"/>
                <w:color w:val="auto"/>
              </w:rPr>
              <w:t>Amortization of deferred financing costs</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spacing w:after="0" w:line="11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jc w:val="right"/>
              <w:spacing w:after="0" w:line="11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2"/>
                <w:szCs w:val="12"/>
                <w:color w:val="auto"/>
              </w:rPr>
              <w:t>(1,031)</w:t>
            </w:r>
          </w:p>
        </w:tc>
        <w:tc>
          <w:tcPr>
            <w:tcW w:w="200" w:type="dxa"/>
            <w:vAlign w:val="bottom"/>
          </w:tcPr>
          <w:p>
            <w:pPr>
              <w:spacing w:after="0"/>
              <w:rPr>
                <w:sz w:val="9"/>
                <w:szCs w:val="9"/>
                <w:color w:val="auto"/>
              </w:rPr>
            </w:pPr>
          </w:p>
        </w:tc>
        <w:tc>
          <w:tcPr>
            <w:tcW w:w="56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2"/>
                <w:szCs w:val="12"/>
                <w:color w:val="auto"/>
              </w:rPr>
              <w:t>(20,774)</w:t>
            </w:r>
          </w:p>
        </w:tc>
        <w:tc>
          <w:tcPr>
            <w:tcW w:w="0" w:type="dxa"/>
            <w:vAlign w:val="bottom"/>
          </w:tcPr>
          <w:p>
            <w:pPr>
              <w:spacing w:after="0"/>
              <w:rPr>
                <w:sz w:val="1"/>
                <w:szCs w:val="1"/>
                <w:color w:val="auto"/>
              </w:rPr>
            </w:pPr>
          </w:p>
        </w:tc>
      </w:tr>
      <w:tr>
        <w:trPr>
          <w:trHeight w:val="129"/>
        </w:trPr>
        <w:tc>
          <w:tcPr>
            <w:tcW w:w="2240" w:type="dxa"/>
            <w:vAlign w:val="bottom"/>
          </w:tcPr>
          <w:p>
            <w:pPr>
              <w:ind w:left="120"/>
              <w:spacing w:after="0" w:line="129" w:lineRule="exact"/>
              <w:rPr>
                <w:sz w:val="20"/>
                <w:szCs w:val="20"/>
                <w:color w:val="auto"/>
              </w:rPr>
            </w:pPr>
            <w:r>
              <w:rPr>
                <w:rFonts w:ascii="Times New Roman" w:cs="Times New Roman" w:eastAsia="Times New Roman" w:hAnsi="Times New Roman"/>
                <w:sz w:val="12"/>
                <w:szCs w:val="12"/>
                <w:color w:val="auto"/>
              </w:rPr>
              <w:t>and other, net of interest income from</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24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color w:val="auto"/>
              </w:rPr>
              <w:t>cash flow hedges</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240" w:type="dxa"/>
            <w:vAlign w:val="bottom"/>
            <w:shd w:val="clear" w:color="auto" w:fill="CFF0FC"/>
          </w:tcPr>
          <w:p>
            <w:pPr>
              <w:spacing w:after="0" w:line="120" w:lineRule="exact"/>
              <w:rPr>
                <w:sz w:val="20"/>
                <w:szCs w:val="20"/>
                <w:color w:val="auto"/>
              </w:rPr>
            </w:pPr>
            <w:r>
              <w:rPr>
                <w:rFonts w:ascii="Times New Roman" w:cs="Times New Roman" w:eastAsia="Times New Roman" w:hAnsi="Times New Roman"/>
                <w:sz w:val="12"/>
                <w:szCs w:val="12"/>
                <w:color w:val="auto"/>
              </w:rPr>
              <w:t>Total debt</w:t>
            </w: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gridSpan w:val="2"/>
            <w:shd w:val="clear" w:color="auto" w:fill="CFF0FC"/>
          </w:tcPr>
          <w:p>
            <w:pPr>
              <w:ind w:left="40"/>
              <w:spacing w:after="0" w:line="120" w:lineRule="exact"/>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2"/>
                <w:szCs w:val="12"/>
                <w:color w:val="auto"/>
              </w:rPr>
              <w:t>2,596,299</w:t>
            </w:r>
          </w:p>
        </w:tc>
        <w:tc>
          <w:tcPr>
            <w:tcW w:w="360" w:type="dxa"/>
            <w:vAlign w:val="bottom"/>
            <w:gridSpan w:val="2"/>
            <w:shd w:val="clear" w:color="auto" w:fill="CFF0FC"/>
          </w:tcPr>
          <w:p>
            <w:pPr>
              <w:jc w:val="right"/>
              <w:ind w:right="106"/>
              <w:spacing w:after="0" w:line="120"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2"/>
                <w:szCs w:val="12"/>
                <w:color w:val="auto"/>
              </w:rPr>
              <w:t>2,683,319</w:t>
            </w:r>
          </w:p>
        </w:tc>
        <w:tc>
          <w:tcPr>
            <w:tcW w:w="280" w:type="dxa"/>
            <w:vAlign w:val="bottom"/>
            <w:gridSpan w:val="3"/>
            <w:shd w:val="clear" w:color="auto" w:fill="CFF0FC"/>
          </w:tcPr>
          <w:p>
            <w:pPr>
              <w:jc w:val="right"/>
              <w:spacing w:after="0" w:line="120"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2"/>
                <w:szCs w:val="12"/>
                <w:color w:val="auto"/>
              </w:rPr>
              <w:t>80,541</w:t>
            </w:r>
          </w:p>
        </w:tc>
        <w:tc>
          <w:tcPr>
            <w:tcW w:w="160" w:type="dxa"/>
            <w:vAlign w:val="bottom"/>
            <w:shd w:val="clear" w:color="auto" w:fill="CFF0FC"/>
          </w:tcPr>
          <w:p>
            <w:pPr>
              <w:spacing w:after="0"/>
              <w:rPr>
                <w:sz w:val="10"/>
                <w:szCs w:val="10"/>
                <w:color w:val="auto"/>
              </w:rPr>
            </w:pPr>
          </w:p>
        </w:tc>
        <w:tc>
          <w:tcPr>
            <w:tcW w:w="200" w:type="dxa"/>
            <w:vAlign w:val="bottom"/>
            <w:shd w:val="clear" w:color="auto" w:fill="CFF0FC"/>
          </w:tcPr>
          <w:p>
            <w:pPr>
              <w:jc w:val="right"/>
              <w:ind w:right="86"/>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2"/>
                <w:szCs w:val="12"/>
                <w:color w:val="auto"/>
              </w:rPr>
              <w:t>190,546</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240" w:type="dxa"/>
            <w:vAlign w:val="bottom"/>
          </w:tcPr>
          <w:p>
            <w:pPr>
              <w:spacing w:after="0"/>
              <w:rPr>
                <w:sz w:val="20"/>
                <w:szCs w:val="20"/>
                <w:color w:val="auto"/>
              </w:rPr>
            </w:pPr>
            <w:r>
              <w:rPr>
                <w:rFonts w:ascii="Times New Roman" w:cs="Times New Roman" w:eastAsia="Times New Roman" w:hAnsi="Times New Roman"/>
                <w:sz w:val="12"/>
                <w:szCs w:val="12"/>
                <w:color w:val="auto"/>
              </w:rPr>
              <w:t>Less: debt issuance costs, net</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67,546</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72,736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240" w:type="dxa"/>
            <w:vAlign w:val="bottom"/>
            <w:shd w:val="clear" w:color="auto" w:fill="CFF0FC"/>
          </w:tcPr>
          <w:p>
            <w:pPr>
              <w:spacing w:after="0" w:line="120" w:lineRule="exact"/>
              <w:rPr>
                <w:sz w:val="20"/>
                <w:szCs w:val="20"/>
                <w:color w:val="auto"/>
              </w:rPr>
            </w:pPr>
            <w:r>
              <w:rPr>
                <w:rFonts w:ascii="Times New Roman" w:cs="Times New Roman" w:eastAsia="Times New Roman" w:hAnsi="Times New Roman"/>
                <w:sz w:val="12"/>
                <w:szCs w:val="12"/>
                <w:color w:val="auto"/>
              </w:rPr>
              <w:t>Total debt, net of debt issuance costs</w:t>
            </w: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2"/>
                <w:szCs w:val="12"/>
                <w:color w:val="auto"/>
              </w:rPr>
              <w:t>2,528,753</w:t>
            </w:r>
          </w:p>
        </w:tc>
        <w:tc>
          <w:tcPr>
            <w:tcW w:w="1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2"/>
                <w:szCs w:val="12"/>
                <w:color w:val="auto"/>
              </w:rPr>
              <w:t>2,610,583</w:t>
            </w:r>
          </w:p>
        </w:tc>
        <w:tc>
          <w:tcPr>
            <w:tcW w:w="80" w:type="dxa"/>
            <w:vAlign w:val="bottom"/>
            <w:shd w:val="clear" w:color="auto" w:fill="CFF0FC"/>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24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Less: current portion of long-term debt</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50,836</w:t>
            </w:r>
          </w:p>
        </w:tc>
        <w:tc>
          <w:tcPr>
            <w:tcW w:w="1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48,725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40" w:type="dxa"/>
            <w:vAlign w:val="bottom"/>
            <w:shd w:val="clear" w:color="auto" w:fill="CFF0FC"/>
          </w:tcPr>
          <w:p>
            <w:pPr>
              <w:spacing w:after="0" w:line="105" w:lineRule="exact"/>
              <w:rPr>
                <w:sz w:val="20"/>
                <w:szCs w:val="20"/>
                <w:color w:val="auto"/>
              </w:rPr>
            </w:pPr>
            <w:r>
              <w:rPr>
                <w:rFonts w:ascii="Times New Roman" w:cs="Times New Roman" w:eastAsia="Times New Roman" w:hAnsi="Times New Roman"/>
                <w:sz w:val="12"/>
                <w:szCs w:val="12"/>
                <w:color w:val="auto"/>
              </w:rPr>
              <w:t>Total long-term debt, net of current</w:t>
            </w:r>
          </w:p>
        </w:tc>
        <w:tc>
          <w:tcPr>
            <w:tcW w:w="6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2,477,917</w:t>
            </w:r>
          </w:p>
        </w:tc>
        <w:tc>
          <w:tcPr>
            <w:tcW w:w="140" w:type="dxa"/>
            <w:vAlign w:val="bottom"/>
            <w:shd w:val="clear" w:color="auto" w:fill="CFF0FC"/>
          </w:tcPr>
          <w:p>
            <w:pPr>
              <w:spacing w:after="0"/>
              <w:rPr>
                <w:sz w:val="9"/>
                <w:szCs w:val="9"/>
                <w:color w:val="auto"/>
              </w:rPr>
            </w:pPr>
          </w:p>
        </w:tc>
        <w:tc>
          <w:tcPr>
            <w:tcW w:w="220" w:type="dxa"/>
            <w:vAlign w:val="bottom"/>
            <w:vMerge w:val="restart"/>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2,561,858</w:t>
            </w:r>
          </w:p>
        </w:tc>
        <w:tc>
          <w:tcPr>
            <w:tcW w:w="80" w:type="dxa"/>
            <w:vAlign w:val="bottom"/>
            <w:shd w:val="clear" w:color="auto" w:fill="CFF0FC"/>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240" w:type="dxa"/>
            <w:vAlign w:val="bottom"/>
            <w:tcBorders>
              <w:bottom w:val="single" w:sz="8" w:color="CFF0FC"/>
            </w:tcBorders>
            <w:shd w:val="clear" w:color="auto" w:fill="CFF0FC"/>
          </w:tcPr>
          <w:p>
            <w:pPr>
              <w:ind w:left="120"/>
              <w:spacing w:after="0" w:line="103" w:lineRule="exact"/>
              <w:rPr>
                <w:sz w:val="20"/>
                <w:szCs w:val="20"/>
                <w:color w:val="auto"/>
              </w:rPr>
            </w:pPr>
            <w:r>
              <w:rPr>
                <w:rFonts w:ascii="Times New Roman" w:cs="Times New Roman" w:eastAsia="Times New Roman" w:hAnsi="Times New Roman"/>
                <w:sz w:val="11"/>
                <w:szCs w:val="11"/>
                <w:color w:val="auto"/>
              </w:rPr>
              <w:t>portion</w:t>
            </w:r>
          </w:p>
        </w:tc>
        <w:tc>
          <w:tcPr>
            <w:tcW w:w="64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vMerge w:val="continue"/>
            <w:shd w:val="clear" w:color="auto" w:fill="CFF0FC"/>
          </w:tcPr>
          <w:p>
            <w:pPr>
              <w:spacing w:after="0"/>
              <w:rPr>
                <w:sz w:val="13"/>
                <w:szCs w:val="13"/>
                <w:color w:val="auto"/>
              </w:rPr>
            </w:pPr>
          </w:p>
        </w:tc>
        <w:tc>
          <w:tcPr>
            <w:tcW w:w="540" w:type="dxa"/>
            <w:vAlign w:val="bottom"/>
            <w:tcBorders>
              <w:bottom w:val="single" w:sz="8" w:color="auto"/>
            </w:tcBorders>
            <w:vMerge w:val="continue"/>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vMerge w:val="continue"/>
            <w:shd w:val="clear" w:color="auto" w:fill="CFF0FC"/>
          </w:tcPr>
          <w:p>
            <w:pPr>
              <w:spacing w:after="0"/>
              <w:rPr>
                <w:sz w:val="13"/>
                <w:szCs w:val="13"/>
                <w:color w:val="auto"/>
              </w:rPr>
            </w:pPr>
          </w:p>
        </w:tc>
        <w:tc>
          <w:tcPr>
            <w:tcW w:w="540" w:type="dxa"/>
            <w:vAlign w:val="bottom"/>
            <w:tcBorders>
              <w:bottom w:val="single" w:sz="8" w:color="auto"/>
            </w:tcBorders>
            <w:vMerge w:val="continue"/>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-19685</wp:posOffset>
            </wp:positionV>
            <wp:extent cx="47625" cy="698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-6350</wp:posOffset>
            </wp:positionV>
            <wp:extent cx="47625" cy="698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4005580</wp:posOffset>
            </wp:positionH>
            <wp:positionV relativeFrom="paragraph">
              <wp:posOffset>-19685</wp:posOffset>
            </wp:positionV>
            <wp:extent cx="47625" cy="698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4005580</wp:posOffset>
            </wp:positionH>
            <wp:positionV relativeFrom="paragraph">
              <wp:posOffset>-6350</wp:posOffset>
            </wp:positionV>
            <wp:extent cx="47625" cy="698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right="999" w:firstLine="516"/>
        <w:spacing w:after="0" w:line="292" w:lineRule="auto"/>
        <w:rPr>
          <w:sz w:val="20"/>
          <w:szCs w:val="20"/>
          <w:color w:val="auto"/>
        </w:rPr>
      </w:pPr>
      <w:r>
        <w:rPr>
          <w:rFonts w:ascii="Times New Roman" w:cs="Times New Roman" w:eastAsia="Times New Roman" w:hAnsi="Times New Roman"/>
          <w:sz w:val="14"/>
          <w:szCs w:val="14"/>
          <w:color w:val="auto"/>
        </w:rPr>
        <w:t>Our Company leverage, as calculated under our First Lien Credit Agreement, was 3.64x and 4.16x at June 30, 2025 and December 31, 2024, respectively.</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Critical Accounting Policies and Use of Estimates</w:t>
      </w:r>
    </w:p>
    <w:p>
      <w:pPr>
        <w:spacing w:after="0" w:line="99" w:lineRule="exact"/>
        <w:rPr>
          <w:sz w:val="20"/>
          <w:szCs w:val="20"/>
          <w:color w:val="auto"/>
        </w:rPr>
      </w:pPr>
    </w:p>
    <w:p>
      <w:pPr>
        <w:ind w:left="640" w:right="739" w:firstLine="351"/>
        <w:spacing w:after="0" w:line="265" w:lineRule="auto"/>
        <w:rPr>
          <w:sz w:val="20"/>
          <w:szCs w:val="20"/>
          <w:color w:val="auto"/>
        </w:rPr>
      </w:pPr>
      <w:r>
        <w:rPr>
          <w:rFonts w:ascii="Times New Roman" w:cs="Times New Roman" w:eastAsia="Times New Roman" w:hAnsi="Times New Roman"/>
          <w:sz w:val="14"/>
          <w:szCs w:val="14"/>
          <w:color w:val="auto"/>
        </w:rPr>
        <w:t>In preparing our unaudited condensed consolidated financial statements in conformity with U.S. GAAP, we must use estimates and assumptions that affect the reported amounts of assets and liabilities and related disclosures and the reported amounts of revenue and expenses. In general, our estimates are based on historical experience and various other assumptions we believe are reasonable under the circumstances. We evaluate our estimates on an ongoing basis and make changes to the estimates and related disclosures as experience develops or new information becomes known. Actual results could differ from those estimates.</w:t>
      </w:r>
    </w:p>
    <w:p>
      <w:pPr>
        <w:spacing w:after="0" w:line="56" w:lineRule="exact"/>
        <w:rPr>
          <w:sz w:val="20"/>
          <w:szCs w:val="20"/>
          <w:color w:val="auto"/>
        </w:rPr>
      </w:pPr>
    </w:p>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We consider our critical accounting policies and estimates to be those that involve significant judgments and uncertainties and may potentially result in materially different results under different assumptions and conditions. There have been no material changes to our critical accounting policies and estimates from those disclosed in Part II, Item 7 of our Annual Report on Form 10-K for the year ended December 31, 2024, which are hereby incorporated by reference.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Impact of Inflation</w:t>
      </w:r>
    </w:p>
    <w:p>
      <w:pPr>
        <w:spacing w:after="0" w:line="101"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Wages and other expenses increase during periods of inflation and when labor shortages occur in the marketplace. The impact of inflation on the Company is primarily in the area of labor costs. The healthcare industry is labor intensive. There can be no guarantee we will not experience increases in the cost of labor, particularly given the shortage of qualified caregivers in our markets, and the demand for homecare services is expected to grow.</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9" w:name="page50"/>
    <w:bookmarkEnd w:id="49"/>
    <w:p>
      <w:pPr>
        <w:ind w:left="640" w:right="839" w:firstLine="351"/>
        <w:spacing w:after="0" w:line="268" w:lineRule="auto"/>
        <w:rPr>
          <w:sz w:val="20"/>
          <w:szCs w:val="20"/>
          <w:color w:val="auto"/>
        </w:rPr>
      </w:pPr>
      <w:r>
        <w:rPr>
          <w:rFonts w:ascii="Times New Roman" w:cs="Times New Roman" w:eastAsia="Times New Roman" w:hAnsi="Times New Roman"/>
          <w:sz w:val="14"/>
          <w:szCs w:val="14"/>
          <w:color w:val="auto"/>
        </w:rPr>
        <w:t>In addition, increases in healthcare costs are typically higher than inflation and impact our costs under our employee benefit plans. Managing these costs remains a significant challenge and priority for us. While we believe the effects of inflation, if any, and labor shortages on our results of operations and financial condition have not been significant, there can be no guarantee we will not experience the effect of inflation in the future.</w:t>
      </w:r>
    </w:p>
    <w:p>
      <w:pPr>
        <w:spacing w:after="0" w:line="54" w:lineRule="exact"/>
        <w:rPr>
          <w:sz w:val="20"/>
          <w:szCs w:val="20"/>
          <w:color w:val="auto"/>
        </w:rPr>
      </w:pPr>
    </w:p>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In addition, suppliers pass along rising costs to us in the form of higher prices, which impacts us primarily in the area of pharmaceutical drug costs in our Pharmacy Solutions segment. Changes in costs of drugs can be accompanied by a change in rate that we pass along to our customers. Additionally, our supply chain efforts have enabled us to effectively manage and mitigate any inflationary impacts in our supply chain over recent years. However, we cannot predict our ability to cover future cost increases.</w:t>
      </w:r>
    </w:p>
    <w:p>
      <w:pPr>
        <w:spacing w:after="0" w:line="54" w:lineRule="exact"/>
        <w:rPr>
          <w:sz w:val="20"/>
          <w:szCs w:val="20"/>
          <w:color w:val="auto"/>
        </w:rPr>
      </w:pPr>
    </w:p>
    <w:p>
      <w:pPr>
        <w:ind w:left="640" w:right="1099" w:firstLine="351"/>
        <w:spacing w:after="0" w:line="292" w:lineRule="auto"/>
        <w:rPr>
          <w:sz w:val="20"/>
          <w:szCs w:val="20"/>
          <w:color w:val="auto"/>
        </w:rPr>
      </w:pPr>
      <w:r>
        <w:rPr>
          <w:rFonts w:ascii="Times New Roman" w:cs="Times New Roman" w:eastAsia="Times New Roman" w:hAnsi="Times New Roman"/>
          <w:sz w:val="14"/>
          <w:szCs w:val="14"/>
          <w:color w:val="auto"/>
        </w:rPr>
        <w:t>We have little or no ability to pass on certain of these increased costs associated with providing services to Medicare and Medicaid patients due to federal and state laws that establish fixed reimbursement rates.</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101" w:lineRule="exact"/>
        <w:rPr>
          <w:sz w:val="20"/>
          <w:szCs w:val="20"/>
          <w:color w:val="auto"/>
        </w:rPr>
      </w:pPr>
    </w:p>
    <w:p>
      <w:pPr>
        <w:ind w:left="640" w:right="819" w:firstLine="351"/>
        <w:spacing w:after="0" w:line="265" w:lineRule="auto"/>
        <w:rPr>
          <w:sz w:val="20"/>
          <w:szCs w:val="20"/>
          <w:color w:val="auto"/>
        </w:rPr>
      </w:pPr>
      <w:r>
        <w:rPr>
          <w:rFonts w:ascii="Times New Roman" w:cs="Times New Roman" w:eastAsia="Times New Roman" w:hAnsi="Times New Roman"/>
          <w:sz w:val="14"/>
          <w:szCs w:val="14"/>
          <w:color w:val="auto"/>
        </w:rPr>
        <w:t>The Company is exposed to interest rate risk related to changes in interest rates for borrowings under our First Lien Facilities. Although we hedge a portion of our interest rate risk through interest rate swaps, any borrowings under our First Lien Facility in excess of the notional amount of the swaps will be subject to variable interest rates. By using a derivative instrument to hedge exposures to changes in interest rates, we expose ourselves to credit risk due to the possible failure of the counterparty to perform under the terms of the derivative contract.</w:t>
      </w:r>
    </w:p>
    <w:p>
      <w:pPr>
        <w:spacing w:after="0" w:line="56"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As of June 30, 2025, our debt outstanding was $2.6 billion and we had three existing interest rate swaps with a combined notional value of $2.0 billion that were designated as cash flow hedges of interest rate risk. A hypothetical 1% increase in interest rates would decrease our net income and our cash flows by $5.3 million on an annual basis based upon our borrowing level at June 30, 2025. The market risks associated with our debt obligations as of June 30, 2025 have not changed from those reported in “Part II. Item 7A. Quantitative and Qualitative Disclosure About Market Risk” in our Annual Report on Form 10-K for the year ended December 31, 2024. See Note 6 within the unaudited condensed consolidated financial statements and related notes, included elsewhere in the Quarterly Report on Form 10-Q.</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Disclosure Controls and Procedures</w:t>
      </w:r>
    </w:p>
    <w:p>
      <w:pPr>
        <w:spacing w:after="0" w:line="99" w:lineRule="exact"/>
        <w:rPr>
          <w:sz w:val="20"/>
          <w:szCs w:val="20"/>
          <w:color w:val="auto"/>
        </w:rPr>
      </w:pPr>
    </w:p>
    <w:p>
      <w:pPr>
        <w:ind w:left="640" w:right="779" w:firstLine="351"/>
        <w:spacing w:after="0" w:line="265" w:lineRule="auto"/>
        <w:rPr>
          <w:sz w:val="20"/>
          <w:szCs w:val="20"/>
          <w:color w:val="auto"/>
        </w:rPr>
      </w:pPr>
      <w:r>
        <w:rPr>
          <w:rFonts w:ascii="Times New Roman" w:cs="Times New Roman" w:eastAsia="Times New Roman" w:hAnsi="Times New Roman"/>
          <w:sz w:val="14"/>
          <w:szCs w:val="14"/>
          <w:color w:val="auto"/>
        </w:rPr>
        <w:t>Under the supervision and with the participation of the Company’s management, including its Chief Executive Officer and Chief Financial Officer, the Company has evaluated the effectiveness of the design and operation of its disclosure controls and procedures (as defined in Rules 13a-15(e) and 15d-15(e) under the Securities Exchange Act of 1934, as amended (the “Exchange Act”)). Based upon this evaluation, the Chief Executive Officer and Chief Financial Officer have concluded that, as of the end of the period covered by this report, the Company’s disclosure controls and procedures were effective.</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99" w:lineRule="exact"/>
        <w:rPr>
          <w:sz w:val="20"/>
          <w:szCs w:val="20"/>
          <w:color w:val="auto"/>
        </w:rPr>
      </w:pPr>
    </w:p>
    <w:p>
      <w:pPr>
        <w:jc w:val="both"/>
        <w:ind w:left="640" w:right="879" w:firstLine="351"/>
        <w:spacing w:after="0" w:line="274" w:lineRule="auto"/>
        <w:rPr>
          <w:sz w:val="20"/>
          <w:szCs w:val="20"/>
          <w:color w:val="auto"/>
        </w:rPr>
      </w:pPr>
      <w:r>
        <w:rPr>
          <w:rFonts w:ascii="Times New Roman" w:cs="Times New Roman" w:eastAsia="Times New Roman" w:hAnsi="Times New Roman"/>
          <w:sz w:val="14"/>
          <w:szCs w:val="14"/>
          <w:color w:val="auto"/>
        </w:rPr>
        <w:t>There were no changes to our internal control over financial reporting (as defined in Rule 13a-15(f) under the Exchange Act) that occurred during the quarter ended June 30, 2025 that have materially affected, or are reasonably likely to materially affect, our internal control over financial reporting.</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4"/>
          <w:szCs w:val="14"/>
          <w:b w:val="1"/>
          <w:bCs w:val="1"/>
          <w:color w:val="auto"/>
        </w:rPr>
        <w:t>PART II—OTHER INFORMATION</w:t>
      </w:r>
    </w:p>
    <w:p>
      <w:pPr>
        <w:spacing w:after="0" w:line="2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99"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From time to time, we are involved in various legal and/or administrative proceedings and subject to claims that arise in the ordinary course of business. We do not believe the ultimate liability, if any, for outstanding proceedings or claims, individually or in the aggregate, in excess of amounts already provided in our consolidated financial statements, will have a material adverse effect on our business, financial condition, or results of operations. It is reasonably possible that an adverse determination might have an impact on a particular period. Regardless of the outcome, litigation has the potential to have an adverse impact on us because of defense and settlement costs, diversion of management resources, and other factors.</w:t>
      </w:r>
    </w:p>
    <w:p>
      <w:pPr>
        <w:spacing w:after="0" w:line="58" w:lineRule="exact"/>
        <w:rPr>
          <w:sz w:val="20"/>
          <w:szCs w:val="20"/>
          <w:color w:val="auto"/>
        </w:rPr>
      </w:pPr>
    </w:p>
    <w:p>
      <w:pPr>
        <w:ind w:left="640" w:right="719" w:firstLine="351"/>
        <w:spacing w:after="0" w:line="292" w:lineRule="auto"/>
        <w:rPr>
          <w:sz w:val="20"/>
          <w:szCs w:val="20"/>
          <w:color w:val="auto"/>
        </w:rPr>
      </w:pPr>
      <w:r>
        <w:rPr>
          <w:rFonts w:ascii="Times New Roman" w:cs="Times New Roman" w:eastAsia="Times New Roman" w:hAnsi="Times New Roman"/>
          <w:sz w:val="14"/>
          <w:szCs w:val="14"/>
          <w:color w:val="auto"/>
        </w:rPr>
        <w:t>For a summary of our material legal proceedings, refer to Note 13 of the unaudited condensed consolidated financial statements and related notes in this Quarterly Report on Form 10-Q.</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99" w:lineRule="exact"/>
        <w:rPr>
          <w:sz w:val="20"/>
          <w:szCs w:val="20"/>
          <w:color w:val="auto"/>
        </w:rPr>
      </w:pPr>
    </w:p>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There have been no material changes to the risk factors affecting our business, financial condition, or results of operations from those set forth under the heading “Summary Risk Factors” or in Part I, Item 1A. “Risk Factors” in our Annual Report on Form 10-K for the year ended December 31, 2024. Additional risks and uncertainties not currently known to us or that we currently deem to be immaterial may also materially adversely affect our business, financial condition, or results of operations.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99" w:lineRule="exact"/>
        <w:rPr>
          <w:sz w:val="20"/>
          <w:szCs w:val="20"/>
          <w:color w:val="auto"/>
        </w:rPr>
      </w:pPr>
    </w:p>
    <w:p>
      <w:pPr>
        <w:ind w:left="640" w:right="719" w:firstLine="516"/>
        <w:spacing w:after="0" w:line="268" w:lineRule="auto"/>
        <w:rPr>
          <w:sz w:val="20"/>
          <w:szCs w:val="20"/>
          <w:color w:val="auto"/>
        </w:rPr>
      </w:pPr>
      <w:r>
        <w:rPr>
          <w:rFonts w:ascii="Times New Roman" w:cs="Times New Roman" w:eastAsia="Times New Roman" w:hAnsi="Times New Roman"/>
          <w:sz w:val="14"/>
          <w:szCs w:val="14"/>
          <w:color w:val="auto"/>
        </w:rPr>
        <w:t>On February 27, 2025, we granted a restricted stock unit for 26,001 shares of common stock to a legal service provider in exchange for services, which award vests in equal tranches on February 28, 2025, May 31, 2025, August 31, 2025, and November 30, 2025. The award was issued in reliance upon an exemption from the registration requirements of the Securities Act afforded by Section 4(a)(2) of the Securities Act.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None.</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Not applicable.</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None.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51" w:name="page52"/>
    <w:bookmarkEnd w:id="51"/>
    <w:p>
      <w:pPr>
        <w:ind w:left="640"/>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80"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92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0" w:type="dxa"/>
            <w:vAlign w:val="bottom"/>
          </w:tcPr>
          <w:p>
            <w:pPr>
              <w:spacing w:after="0"/>
              <w:rPr>
                <w:sz w:val="1"/>
                <w:szCs w:val="1"/>
                <w:color w:val="auto"/>
              </w:rPr>
            </w:pPr>
          </w:p>
        </w:tc>
      </w:tr>
      <w:tr>
        <w:trPr>
          <w:trHeight w:val="90"/>
        </w:trPr>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0" w:type="dxa"/>
            <w:vAlign w:val="bottom"/>
            <w:gridSpan w:val="15"/>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40" w:type="dxa"/>
            <w:vAlign w:val="bottom"/>
            <w:vMerge w:val="restart"/>
          </w:tcPr>
          <w:p>
            <w:pPr>
              <w:spacing w:after="0"/>
              <w:rPr>
                <w:sz w:val="7"/>
                <w:szCs w:val="7"/>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Form</w:t>
            </w:r>
          </w:p>
        </w:tc>
        <w:tc>
          <w:tcPr>
            <w:tcW w:w="80" w:type="dxa"/>
            <w:vAlign w:val="bottom"/>
          </w:tcPr>
          <w:p>
            <w:pPr>
              <w:spacing w:after="0"/>
              <w:rPr>
                <w:sz w:val="7"/>
                <w:szCs w:val="7"/>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60" w:type="dxa"/>
            <w:vAlign w:val="bottom"/>
          </w:tcPr>
          <w:p>
            <w:pPr>
              <w:spacing w:after="0"/>
              <w:rPr>
                <w:sz w:val="7"/>
                <w:szCs w:val="7"/>
                <w:color w:val="auto"/>
              </w:rPr>
            </w:pPr>
          </w:p>
        </w:tc>
        <w:tc>
          <w:tcPr>
            <w:tcW w:w="42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80" w:type="dxa"/>
            <w:vAlign w:val="bottom"/>
          </w:tcPr>
          <w:p>
            <w:pPr>
              <w:spacing w:after="0"/>
              <w:rPr>
                <w:sz w:val="7"/>
                <w:szCs w:val="7"/>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0" w:type="dxa"/>
            <w:vAlign w:val="bottom"/>
          </w:tcPr>
          <w:p>
            <w:pPr>
              <w:spacing w:after="0"/>
              <w:rPr>
                <w:sz w:val="1"/>
                <w:szCs w:val="1"/>
                <w:color w:val="auto"/>
              </w:rPr>
            </w:pPr>
          </w:p>
        </w:tc>
      </w:tr>
      <w:tr>
        <w:trPr>
          <w:trHeight w:val="137"/>
        </w:trPr>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0" w:type="dxa"/>
            <w:vAlign w:val="bottom"/>
            <w:tcBorders>
              <w:bottom w:val="single" w:sz="8" w:color="auto"/>
            </w:tcBorders>
            <w:gridSpan w:val="15"/>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4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9"/>
                <w:szCs w:val="19"/>
                <w:color w:val="auto"/>
              </w:rPr>
            </w:pPr>
          </w:p>
        </w:tc>
        <w:tc>
          <w:tcPr>
            <w:tcW w:w="3680" w:type="dxa"/>
            <w:vAlign w:val="bottom"/>
            <w:gridSpan w:val="21"/>
          </w:tcPr>
          <w:p>
            <w:pPr>
              <w:spacing w:after="0"/>
              <w:rPr>
                <w:rFonts w:ascii="Times New Roman" w:cs="Times New Roman" w:eastAsia="Times New Roman" w:hAnsi="Times New Roman"/>
                <w:sz w:val="14"/>
                <w:szCs w:val="14"/>
                <w:color w:val="0000FF"/>
              </w:rPr>
            </w:pPr>
            <w:hyperlink r:id="rId459">
              <w:r>
                <w:rPr>
                  <w:rFonts w:ascii="Times New Roman" w:cs="Times New Roman" w:eastAsia="Times New Roman" w:hAnsi="Times New Roman"/>
                  <w:sz w:val="14"/>
                  <w:szCs w:val="14"/>
                  <w:color w:val="0000FF"/>
                </w:rPr>
                <w:t>Second Amended and Restated Certificate of Incorporation of</w:t>
              </w:r>
            </w:hyperlink>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001-41938</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1/30/2024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1"/>
          </w:tcPr>
          <w:p>
            <w:pPr>
              <w:spacing w:after="0" w:line="152" w:lineRule="exact"/>
              <w:rPr>
                <w:rFonts w:ascii="Times New Roman" w:cs="Times New Roman" w:eastAsia="Times New Roman" w:hAnsi="Times New Roman"/>
                <w:sz w:val="14"/>
                <w:szCs w:val="14"/>
                <w:color w:val="0000FF"/>
              </w:rPr>
            </w:pPr>
            <w:hyperlink r:id="rId459">
              <w:r>
                <w:rPr>
                  <w:rFonts w:ascii="Times New Roman" w:cs="Times New Roman" w:eastAsia="Times New Roman" w:hAnsi="Times New Roman"/>
                  <w:sz w:val="14"/>
                  <w:szCs w:val="14"/>
                  <w:color w:val="0000FF"/>
                </w:rPr>
                <w:t>BrightSpring Health Services, Inc.</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3"/>
                <w:szCs w:val="13"/>
                <w:color w:val="auto"/>
              </w:rPr>
            </w:pPr>
          </w:p>
        </w:tc>
        <w:tc>
          <w:tcPr>
            <w:tcW w:w="3680" w:type="dxa"/>
            <w:vAlign w:val="bottom"/>
            <w:gridSpan w:val="21"/>
          </w:tcPr>
          <w:p>
            <w:pPr>
              <w:spacing w:after="0" w:line="152" w:lineRule="exact"/>
              <w:rPr>
                <w:rFonts w:ascii="Times New Roman" w:cs="Times New Roman" w:eastAsia="Times New Roman" w:hAnsi="Times New Roman"/>
                <w:sz w:val="14"/>
                <w:szCs w:val="14"/>
                <w:color w:val="0000FF"/>
              </w:rPr>
            </w:pPr>
            <w:hyperlink r:id="rId460">
              <w:r>
                <w:rPr>
                  <w:rFonts w:ascii="Times New Roman" w:cs="Times New Roman" w:eastAsia="Times New Roman" w:hAnsi="Times New Roman"/>
                  <w:sz w:val="14"/>
                  <w:szCs w:val="14"/>
                  <w:color w:val="0000FF"/>
                </w:rPr>
                <w:t>Amended and Restated Bylaws of BrightSpring Health</w:t>
              </w:r>
            </w:hyperlink>
          </w:p>
        </w:tc>
        <w:tc>
          <w:tcPr>
            <w:tcW w:w="4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8-K</w:t>
            </w:r>
          </w:p>
        </w:tc>
        <w:tc>
          <w:tcPr>
            <w:tcW w:w="84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001-41938</w:t>
            </w:r>
          </w:p>
        </w:tc>
        <w:tc>
          <w:tcPr>
            <w:tcW w:w="4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3.2</w:t>
            </w:r>
          </w:p>
        </w:tc>
        <w:tc>
          <w:tcPr>
            <w:tcW w:w="16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1/30/2024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1"/>
          </w:tcPr>
          <w:p>
            <w:pPr>
              <w:spacing w:after="0" w:line="152" w:lineRule="exact"/>
              <w:rPr>
                <w:rFonts w:ascii="Times New Roman" w:cs="Times New Roman" w:eastAsia="Times New Roman" w:hAnsi="Times New Roman"/>
                <w:sz w:val="14"/>
                <w:szCs w:val="14"/>
                <w:color w:val="0000FF"/>
              </w:rPr>
            </w:pPr>
            <w:hyperlink r:id="rId460">
              <w:r>
                <w:rPr>
                  <w:rFonts w:ascii="Times New Roman" w:cs="Times New Roman" w:eastAsia="Times New Roman" w:hAnsi="Times New Roman"/>
                  <w:sz w:val="14"/>
                  <w:szCs w:val="14"/>
                  <w:color w:val="0000FF"/>
                </w:rPr>
                <w:t>Services, Inc.</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3"/>
                <w:szCs w:val="13"/>
                <w:color w:val="auto"/>
              </w:rPr>
            </w:pPr>
          </w:p>
        </w:tc>
        <w:tc>
          <w:tcPr>
            <w:tcW w:w="3680" w:type="dxa"/>
            <w:vAlign w:val="bottom"/>
            <w:gridSpan w:val="21"/>
          </w:tcPr>
          <w:p>
            <w:pPr>
              <w:spacing w:after="0" w:line="152" w:lineRule="exact"/>
              <w:rPr>
                <w:rFonts w:ascii="Times New Roman" w:cs="Times New Roman" w:eastAsia="Times New Roman" w:hAnsi="Times New Roman"/>
                <w:sz w:val="14"/>
                <w:szCs w:val="14"/>
                <w:color w:val="0000FF"/>
              </w:rPr>
            </w:pPr>
            <w:hyperlink r:id="rId461">
              <w:r>
                <w:rPr>
                  <w:rFonts w:ascii="Times New Roman" w:cs="Times New Roman" w:eastAsia="Times New Roman" w:hAnsi="Times New Roman"/>
                  <w:sz w:val="14"/>
                  <w:szCs w:val="14"/>
                  <w:color w:val="0000FF"/>
                </w:rPr>
                <w:t>Purchase Contract Agreement, dated as of January 30, 2024,</w:t>
              </w:r>
            </w:hyperlink>
          </w:p>
        </w:tc>
        <w:tc>
          <w:tcPr>
            <w:tcW w:w="4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8-K</w:t>
            </w:r>
          </w:p>
        </w:tc>
        <w:tc>
          <w:tcPr>
            <w:tcW w:w="84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001-41938</w:t>
            </w:r>
          </w:p>
        </w:tc>
        <w:tc>
          <w:tcPr>
            <w:tcW w:w="4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4.1</w:t>
            </w:r>
          </w:p>
        </w:tc>
        <w:tc>
          <w:tcPr>
            <w:tcW w:w="16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1/30/2024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1"/>
          </w:tcPr>
          <w:p>
            <w:pPr>
              <w:spacing w:after="0" w:line="152" w:lineRule="exact"/>
              <w:rPr>
                <w:rFonts w:ascii="Times New Roman" w:cs="Times New Roman" w:eastAsia="Times New Roman" w:hAnsi="Times New Roman"/>
                <w:sz w:val="14"/>
                <w:szCs w:val="14"/>
                <w:color w:val="0000FF"/>
              </w:rPr>
            </w:pPr>
            <w:hyperlink r:id="rId461">
              <w:r>
                <w:rPr>
                  <w:rFonts w:ascii="Times New Roman" w:cs="Times New Roman" w:eastAsia="Times New Roman" w:hAnsi="Times New Roman"/>
                  <w:sz w:val="14"/>
                  <w:szCs w:val="14"/>
                  <w:color w:val="0000FF"/>
                </w:rPr>
                <w:t>between BrightSpring Health Services, Inc. and U.S. Bank</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1"/>
          </w:tcPr>
          <w:p>
            <w:pPr>
              <w:spacing w:after="0" w:line="152" w:lineRule="exact"/>
              <w:rPr>
                <w:rFonts w:ascii="Times New Roman" w:cs="Times New Roman" w:eastAsia="Times New Roman" w:hAnsi="Times New Roman"/>
                <w:sz w:val="14"/>
                <w:szCs w:val="14"/>
                <w:color w:val="0000FF"/>
              </w:rPr>
            </w:pPr>
            <w:hyperlink r:id="rId461">
              <w:r>
                <w:rPr>
                  <w:rFonts w:ascii="Times New Roman" w:cs="Times New Roman" w:eastAsia="Times New Roman" w:hAnsi="Times New Roman"/>
                  <w:sz w:val="14"/>
                  <w:szCs w:val="14"/>
                  <w:color w:val="0000FF"/>
                </w:rPr>
                <w:t>Trust Company, National Association, as purchase contract</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1"/>
          </w:tcPr>
          <w:p>
            <w:pPr>
              <w:spacing w:after="0" w:line="152" w:lineRule="exact"/>
              <w:rPr>
                <w:rFonts w:ascii="Times New Roman" w:cs="Times New Roman" w:eastAsia="Times New Roman" w:hAnsi="Times New Roman"/>
                <w:sz w:val="14"/>
                <w:szCs w:val="14"/>
                <w:color w:val="0000FF"/>
              </w:rPr>
            </w:pPr>
            <w:hyperlink r:id="rId461">
              <w:r>
                <w:rPr>
                  <w:rFonts w:ascii="Times New Roman" w:cs="Times New Roman" w:eastAsia="Times New Roman" w:hAnsi="Times New Roman"/>
                  <w:sz w:val="14"/>
                  <w:szCs w:val="14"/>
                  <w:color w:val="0000FF"/>
                </w:rPr>
                <w:t>agent, as attorney-in-fact for the Holders from time to time as</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1"/>
          </w:tcPr>
          <w:p>
            <w:pPr>
              <w:spacing w:after="0" w:line="152" w:lineRule="exact"/>
              <w:rPr>
                <w:rFonts w:ascii="Times New Roman" w:cs="Times New Roman" w:eastAsia="Times New Roman" w:hAnsi="Times New Roman"/>
                <w:sz w:val="14"/>
                <w:szCs w:val="14"/>
                <w:color w:val="0000FF"/>
              </w:rPr>
            </w:pPr>
            <w:hyperlink r:id="rId461">
              <w:r>
                <w:rPr>
                  <w:rFonts w:ascii="Times New Roman" w:cs="Times New Roman" w:eastAsia="Times New Roman" w:hAnsi="Times New Roman"/>
                  <w:sz w:val="14"/>
                  <w:szCs w:val="14"/>
                  <w:color w:val="0000FF"/>
                </w:rPr>
                <w:t>provided therein and as trustee under the indenture referred to</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1"/>
          </w:tcPr>
          <w:p>
            <w:pPr>
              <w:spacing w:after="0" w:line="152" w:lineRule="exact"/>
              <w:rPr>
                <w:rFonts w:ascii="Times New Roman" w:cs="Times New Roman" w:eastAsia="Times New Roman" w:hAnsi="Times New Roman"/>
                <w:sz w:val="14"/>
                <w:szCs w:val="14"/>
                <w:color w:val="0000FF"/>
              </w:rPr>
            </w:pPr>
            <w:hyperlink r:id="rId461">
              <w:r>
                <w:rPr>
                  <w:rFonts w:ascii="Times New Roman" w:cs="Times New Roman" w:eastAsia="Times New Roman" w:hAnsi="Times New Roman"/>
                  <w:sz w:val="14"/>
                  <w:szCs w:val="14"/>
                  <w:color w:val="0000FF"/>
                </w:rPr>
                <w:t>therein.</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3"/>
                <w:szCs w:val="13"/>
                <w:color w:val="auto"/>
              </w:rPr>
            </w:pPr>
          </w:p>
        </w:tc>
        <w:tc>
          <w:tcPr>
            <w:tcW w:w="3680" w:type="dxa"/>
            <w:vAlign w:val="bottom"/>
            <w:gridSpan w:val="21"/>
          </w:tcPr>
          <w:p>
            <w:pPr>
              <w:spacing w:after="0" w:line="152" w:lineRule="exact"/>
              <w:rPr>
                <w:rFonts w:ascii="Times New Roman" w:cs="Times New Roman" w:eastAsia="Times New Roman" w:hAnsi="Times New Roman"/>
                <w:sz w:val="14"/>
                <w:szCs w:val="14"/>
                <w:color w:val="0000FF"/>
              </w:rPr>
            </w:pPr>
            <w:hyperlink r:id="rId461">
              <w:r>
                <w:rPr>
                  <w:rFonts w:ascii="Times New Roman" w:cs="Times New Roman" w:eastAsia="Times New Roman" w:hAnsi="Times New Roman"/>
                  <w:sz w:val="14"/>
                  <w:szCs w:val="14"/>
                  <w:color w:val="0000FF"/>
                </w:rPr>
                <w:t>Form of Unit (included in Exhibit 4.1).</w:t>
              </w:r>
            </w:hyperlink>
          </w:p>
        </w:tc>
        <w:tc>
          <w:tcPr>
            <w:tcW w:w="4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8-K</w:t>
            </w:r>
          </w:p>
        </w:tc>
        <w:tc>
          <w:tcPr>
            <w:tcW w:w="84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001-41938</w:t>
            </w:r>
          </w:p>
        </w:tc>
        <w:tc>
          <w:tcPr>
            <w:tcW w:w="4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4.2</w:t>
            </w:r>
          </w:p>
        </w:tc>
        <w:tc>
          <w:tcPr>
            <w:tcW w:w="16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1/30/2024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3"/>
                <w:szCs w:val="13"/>
                <w:color w:val="auto"/>
              </w:rPr>
            </w:pPr>
          </w:p>
        </w:tc>
        <w:tc>
          <w:tcPr>
            <w:tcW w:w="3680" w:type="dxa"/>
            <w:vAlign w:val="bottom"/>
            <w:gridSpan w:val="21"/>
          </w:tcPr>
          <w:p>
            <w:pPr>
              <w:spacing w:after="0" w:line="152" w:lineRule="exact"/>
              <w:rPr>
                <w:rFonts w:ascii="Times New Roman" w:cs="Times New Roman" w:eastAsia="Times New Roman" w:hAnsi="Times New Roman"/>
                <w:sz w:val="14"/>
                <w:szCs w:val="14"/>
                <w:color w:val="0000FF"/>
              </w:rPr>
            </w:pPr>
            <w:hyperlink r:id="rId461">
              <w:r>
                <w:rPr>
                  <w:rFonts w:ascii="Times New Roman" w:cs="Times New Roman" w:eastAsia="Times New Roman" w:hAnsi="Times New Roman"/>
                  <w:sz w:val="14"/>
                  <w:szCs w:val="14"/>
                  <w:color w:val="0000FF"/>
                </w:rPr>
                <w:t>Form of Purchase Contract (included in Exhibit 4.1).</w:t>
              </w:r>
            </w:hyperlink>
          </w:p>
        </w:tc>
        <w:tc>
          <w:tcPr>
            <w:tcW w:w="4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8-K</w:t>
            </w:r>
          </w:p>
        </w:tc>
        <w:tc>
          <w:tcPr>
            <w:tcW w:w="84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001-41938</w:t>
            </w:r>
          </w:p>
        </w:tc>
        <w:tc>
          <w:tcPr>
            <w:tcW w:w="4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4.3</w:t>
            </w:r>
          </w:p>
        </w:tc>
        <w:tc>
          <w:tcPr>
            <w:tcW w:w="16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1/30/2024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3"/>
                <w:szCs w:val="13"/>
                <w:color w:val="auto"/>
              </w:rPr>
            </w:pPr>
          </w:p>
        </w:tc>
        <w:tc>
          <w:tcPr>
            <w:tcW w:w="3680" w:type="dxa"/>
            <w:vAlign w:val="bottom"/>
            <w:gridSpan w:val="21"/>
          </w:tcPr>
          <w:p>
            <w:pPr>
              <w:spacing w:after="0" w:line="152" w:lineRule="exact"/>
              <w:rPr>
                <w:rFonts w:ascii="Times New Roman" w:cs="Times New Roman" w:eastAsia="Times New Roman" w:hAnsi="Times New Roman"/>
                <w:sz w:val="14"/>
                <w:szCs w:val="14"/>
                <w:color w:val="0000FF"/>
              </w:rPr>
            </w:pPr>
            <w:hyperlink r:id="rId462">
              <w:r>
                <w:rPr>
                  <w:rFonts w:ascii="Times New Roman" w:cs="Times New Roman" w:eastAsia="Times New Roman" w:hAnsi="Times New Roman"/>
                  <w:sz w:val="14"/>
                  <w:szCs w:val="14"/>
                  <w:color w:val="0000FF"/>
                </w:rPr>
                <w:t>Indenture, dated as of January 30, 2024, between BrightSpring</w:t>
              </w:r>
            </w:hyperlink>
          </w:p>
        </w:tc>
        <w:tc>
          <w:tcPr>
            <w:tcW w:w="4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8-K</w:t>
            </w:r>
          </w:p>
        </w:tc>
        <w:tc>
          <w:tcPr>
            <w:tcW w:w="84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001-41938</w:t>
            </w:r>
          </w:p>
        </w:tc>
        <w:tc>
          <w:tcPr>
            <w:tcW w:w="4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4.4</w:t>
            </w:r>
          </w:p>
        </w:tc>
        <w:tc>
          <w:tcPr>
            <w:tcW w:w="16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1/30/2024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1"/>
          </w:tcPr>
          <w:p>
            <w:pPr>
              <w:spacing w:after="0" w:line="152" w:lineRule="exact"/>
              <w:rPr>
                <w:rFonts w:ascii="Times New Roman" w:cs="Times New Roman" w:eastAsia="Times New Roman" w:hAnsi="Times New Roman"/>
                <w:sz w:val="14"/>
                <w:szCs w:val="14"/>
                <w:color w:val="0000FF"/>
              </w:rPr>
            </w:pPr>
            <w:hyperlink r:id="rId462">
              <w:r>
                <w:rPr>
                  <w:rFonts w:ascii="Times New Roman" w:cs="Times New Roman" w:eastAsia="Times New Roman" w:hAnsi="Times New Roman"/>
                  <w:sz w:val="14"/>
                  <w:szCs w:val="14"/>
                  <w:color w:val="0000FF"/>
                </w:rPr>
                <w:t>Health Services, Inc. and U.S. Bank Trust Company, National</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1"/>
          </w:tcPr>
          <w:p>
            <w:pPr>
              <w:spacing w:after="0" w:line="152" w:lineRule="exact"/>
              <w:rPr>
                <w:rFonts w:ascii="Times New Roman" w:cs="Times New Roman" w:eastAsia="Times New Roman" w:hAnsi="Times New Roman"/>
                <w:sz w:val="14"/>
                <w:szCs w:val="14"/>
                <w:color w:val="0000FF"/>
              </w:rPr>
            </w:pPr>
            <w:hyperlink r:id="rId462">
              <w:r>
                <w:rPr>
                  <w:rFonts w:ascii="Times New Roman" w:cs="Times New Roman" w:eastAsia="Times New Roman" w:hAnsi="Times New Roman"/>
                  <w:sz w:val="14"/>
                  <w:szCs w:val="14"/>
                  <w:color w:val="0000FF"/>
                </w:rPr>
                <w:t>Association, as trustee.</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3"/>
                <w:szCs w:val="13"/>
                <w:color w:val="auto"/>
              </w:rPr>
            </w:pPr>
          </w:p>
        </w:tc>
        <w:tc>
          <w:tcPr>
            <w:tcW w:w="3680" w:type="dxa"/>
            <w:vAlign w:val="bottom"/>
            <w:gridSpan w:val="21"/>
          </w:tcPr>
          <w:p>
            <w:pPr>
              <w:spacing w:after="0" w:line="152" w:lineRule="exact"/>
              <w:rPr>
                <w:rFonts w:ascii="Times New Roman" w:cs="Times New Roman" w:eastAsia="Times New Roman" w:hAnsi="Times New Roman"/>
                <w:sz w:val="14"/>
                <w:szCs w:val="14"/>
                <w:color w:val="0000FF"/>
              </w:rPr>
            </w:pPr>
            <w:hyperlink r:id="rId463">
              <w:r>
                <w:rPr>
                  <w:rFonts w:ascii="Times New Roman" w:cs="Times New Roman" w:eastAsia="Times New Roman" w:hAnsi="Times New Roman"/>
                  <w:sz w:val="14"/>
                  <w:szCs w:val="14"/>
                  <w:color w:val="0000FF"/>
                </w:rPr>
                <w:t>First Supplemental Indenture, dated as of January 30, 2024,</w:t>
              </w:r>
            </w:hyperlink>
          </w:p>
        </w:tc>
        <w:tc>
          <w:tcPr>
            <w:tcW w:w="4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8-K</w:t>
            </w:r>
          </w:p>
        </w:tc>
        <w:tc>
          <w:tcPr>
            <w:tcW w:w="84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001-41938</w:t>
            </w:r>
          </w:p>
        </w:tc>
        <w:tc>
          <w:tcPr>
            <w:tcW w:w="4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4.5</w:t>
            </w:r>
          </w:p>
        </w:tc>
        <w:tc>
          <w:tcPr>
            <w:tcW w:w="16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1/30/2024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1"/>
          </w:tcPr>
          <w:p>
            <w:pPr>
              <w:spacing w:after="0" w:line="152" w:lineRule="exact"/>
              <w:rPr>
                <w:rFonts w:ascii="Times New Roman" w:cs="Times New Roman" w:eastAsia="Times New Roman" w:hAnsi="Times New Roman"/>
                <w:sz w:val="14"/>
                <w:szCs w:val="14"/>
                <w:color w:val="0000FF"/>
              </w:rPr>
            </w:pPr>
            <w:hyperlink r:id="rId463">
              <w:r>
                <w:rPr>
                  <w:rFonts w:ascii="Times New Roman" w:cs="Times New Roman" w:eastAsia="Times New Roman" w:hAnsi="Times New Roman"/>
                  <w:sz w:val="14"/>
                  <w:szCs w:val="14"/>
                  <w:color w:val="0000FF"/>
                </w:rPr>
                <w:t>between BrightSpring Health Services, Inc. and U.S. Bank</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1"/>
          </w:tcPr>
          <w:p>
            <w:pPr>
              <w:spacing w:after="0" w:line="152" w:lineRule="exact"/>
              <w:rPr>
                <w:rFonts w:ascii="Times New Roman" w:cs="Times New Roman" w:eastAsia="Times New Roman" w:hAnsi="Times New Roman"/>
                <w:sz w:val="14"/>
                <w:szCs w:val="14"/>
                <w:color w:val="0000FF"/>
              </w:rPr>
            </w:pPr>
            <w:hyperlink r:id="rId463">
              <w:r>
                <w:rPr>
                  <w:rFonts w:ascii="Times New Roman" w:cs="Times New Roman" w:eastAsia="Times New Roman" w:hAnsi="Times New Roman"/>
                  <w:sz w:val="14"/>
                  <w:szCs w:val="14"/>
                  <w:color w:val="0000FF"/>
                </w:rPr>
                <w:t>Trust Company, National Association, as trustee, paying agent</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1"/>
          </w:tcPr>
          <w:p>
            <w:pPr>
              <w:spacing w:after="0" w:line="152" w:lineRule="exact"/>
              <w:rPr>
                <w:rFonts w:ascii="Times New Roman" w:cs="Times New Roman" w:eastAsia="Times New Roman" w:hAnsi="Times New Roman"/>
                <w:sz w:val="14"/>
                <w:szCs w:val="14"/>
                <w:color w:val="0000FF"/>
              </w:rPr>
            </w:pPr>
            <w:hyperlink r:id="rId463">
              <w:r>
                <w:rPr>
                  <w:rFonts w:ascii="Times New Roman" w:cs="Times New Roman" w:eastAsia="Times New Roman" w:hAnsi="Times New Roman"/>
                  <w:sz w:val="14"/>
                  <w:szCs w:val="14"/>
                  <w:color w:val="0000FF"/>
                </w:rPr>
                <w:t>and security registrar.</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3"/>
                <w:szCs w:val="13"/>
                <w:color w:val="auto"/>
              </w:rPr>
            </w:pPr>
          </w:p>
        </w:tc>
        <w:tc>
          <w:tcPr>
            <w:tcW w:w="3680" w:type="dxa"/>
            <w:vAlign w:val="bottom"/>
            <w:gridSpan w:val="21"/>
          </w:tcPr>
          <w:p>
            <w:pPr>
              <w:spacing w:after="0" w:line="152" w:lineRule="exact"/>
              <w:rPr>
                <w:rFonts w:ascii="Times New Roman" w:cs="Times New Roman" w:eastAsia="Times New Roman" w:hAnsi="Times New Roman"/>
                <w:sz w:val="14"/>
                <w:szCs w:val="14"/>
                <w:color w:val="0000FF"/>
              </w:rPr>
            </w:pPr>
            <w:hyperlink r:id="rId463">
              <w:r>
                <w:rPr>
                  <w:rFonts w:ascii="Times New Roman" w:cs="Times New Roman" w:eastAsia="Times New Roman" w:hAnsi="Times New Roman"/>
                  <w:sz w:val="14"/>
                  <w:szCs w:val="14"/>
                  <w:color w:val="0000FF"/>
                </w:rPr>
                <w:t>Form of Amortizing Note (included in Exhibit 4.5).</w:t>
              </w:r>
            </w:hyperlink>
          </w:p>
        </w:tc>
        <w:tc>
          <w:tcPr>
            <w:tcW w:w="4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8-K</w:t>
            </w:r>
          </w:p>
        </w:tc>
        <w:tc>
          <w:tcPr>
            <w:tcW w:w="84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001-41938</w:t>
            </w:r>
          </w:p>
        </w:tc>
        <w:tc>
          <w:tcPr>
            <w:tcW w:w="4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4.6</w:t>
            </w:r>
          </w:p>
        </w:tc>
        <w:tc>
          <w:tcPr>
            <w:tcW w:w="16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1/30/2024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3"/>
                <w:szCs w:val="13"/>
                <w:color w:val="auto"/>
              </w:rPr>
            </w:pPr>
          </w:p>
        </w:tc>
        <w:tc>
          <w:tcPr>
            <w:tcW w:w="3680" w:type="dxa"/>
            <w:vAlign w:val="bottom"/>
            <w:gridSpan w:val="21"/>
          </w:tcPr>
          <w:p>
            <w:pPr>
              <w:spacing w:after="0" w:line="152" w:lineRule="exact"/>
              <w:rPr>
                <w:rFonts w:ascii="Times New Roman" w:cs="Times New Roman" w:eastAsia="Times New Roman" w:hAnsi="Times New Roman"/>
                <w:sz w:val="14"/>
                <w:szCs w:val="14"/>
                <w:color w:val="0000FF"/>
              </w:rPr>
            </w:pPr>
            <w:hyperlink r:id="rId464">
              <w:r>
                <w:rPr>
                  <w:rFonts w:ascii="Times New Roman" w:cs="Times New Roman" w:eastAsia="Times New Roman" w:hAnsi="Times New Roman"/>
                  <w:sz w:val="14"/>
                  <w:szCs w:val="14"/>
                  <w:color w:val="0000FF"/>
                </w:rPr>
                <w:t>Registration Rights Agreement, dated December 7, 2017, by</w:t>
              </w:r>
            </w:hyperlink>
          </w:p>
        </w:tc>
        <w:tc>
          <w:tcPr>
            <w:tcW w:w="4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S-1/A</w:t>
            </w:r>
          </w:p>
        </w:tc>
        <w:tc>
          <w:tcPr>
            <w:tcW w:w="84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333-276348</w:t>
            </w:r>
          </w:p>
        </w:tc>
        <w:tc>
          <w:tcPr>
            <w:tcW w:w="4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4.1</w:t>
            </w:r>
          </w:p>
        </w:tc>
        <w:tc>
          <w:tcPr>
            <w:tcW w:w="16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1/10/2024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1"/>
          </w:tcPr>
          <w:p>
            <w:pPr>
              <w:spacing w:after="0" w:line="152" w:lineRule="exact"/>
              <w:rPr>
                <w:rFonts w:ascii="Times New Roman" w:cs="Times New Roman" w:eastAsia="Times New Roman" w:hAnsi="Times New Roman"/>
                <w:sz w:val="14"/>
                <w:szCs w:val="14"/>
                <w:color w:val="0000FF"/>
              </w:rPr>
            </w:pPr>
            <w:hyperlink r:id="rId464">
              <w:r>
                <w:rPr>
                  <w:rFonts w:ascii="Times New Roman" w:cs="Times New Roman" w:eastAsia="Times New Roman" w:hAnsi="Times New Roman"/>
                  <w:sz w:val="14"/>
                  <w:szCs w:val="14"/>
                  <w:color w:val="0000FF"/>
                </w:rPr>
                <w:t>and among Phoenix Parent Holdings Inc., KKR Phoenix</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1"/>
          </w:tcPr>
          <w:p>
            <w:pPr>
              <w:spacing w:after="0" w:line="152" w:lineRule="exact"/>
              <w:rPr>
                <w:rFonts w:ascii="Times New Roman" w:cs="Times New Roman" w:eastAsia="Times New Roman" w:hAnsi="Times New Roman"/>
                <w:sz w:val="14"/>
                <w:szCs w:val="14"/>
                <w:color w:val="0000FF"/>
              </w:rPr>
            </w:pPr>
            <w:hyperlink r:id="rId464">
              <w:r>
                <w:rPr>
                  <w:rFonts w:ascii="Times New Roman" w:cs="Times New Roman" w:eastAsia="Times New Roman" w:hAnsi="Times New Roman"/>
                  <w:sz w:val="14"/>
                  <w:szCs w:val="14"/>
                  <w:color w:val="0000FF"/>
                </w:rPr>
                <w:t>Aggregator L.P., and Walgreens Co.</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3"/>
                <w:szCs w:val="13"/>
                <w:color w:val="auto"/>
              </w:rPr>
            </w:pPr>
          </w:p>
        </w:tc>
        <w:tc>
          <w:tcPr>
            <w:tcW w:w="3680" w:type="dxa"/>
            <w:vAlign w:val="bottom"/>
            <w:gridSpan w:val="21"/>
          </w:tcPr>
          <w:p>
            <w:pPr>
              <w:spacing w:after="0" w:line="152" w:lineRule="exact"/>
              <w:rPr>
                <w:rFonts w:ascii="Times New Roman" w:cs="Times New Roman" w:eastAsia="Times New Roman" w:hAnsi="Times New Roman"/>
                <w:sz w:val="14"/>
                <w:szCs w:val="14"/>
                <w:color w:val="0000FF"/>
              </w:rPr>
            </w:pPr>
            <w:hyperlink r:id="rId465">
              <w:r>
                <w:rPr>
                  <w:rFonts w:ascii="Times New Roman" w:cs="Times New Roman" w:eastAsia="Times New Roman" w:hAnsi="Times New Roman"/>
                  <w:sz w:val="14"/>
                  <w:szCs w:val="14"/>
                  <w:color w:val="0000FF"/>
                </w:rPr>
                <w:t>Severance Agreement, dated April 14, 2025, by and between</w:t>
              </w:r>
            </w:hyperlink>
          </w:p>
        </w:tc>
        <w:tc>
          <w:tcPr>
            <w:tcW w:w="4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8-K/A</w:t>
            </w:r>
          </w:p>
        </w:tc>
        <w:tc>
          <w:tcPr>
            <w:tcW w:w="84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001-41938</w:t>
            </w:r>
          </w:p>
        </w:tc>
        <w:tc>
          <w:tcPr>
            <w:tcW w:w="480" w:type="dxa"/>
            <w:vAlign w:val="bottom"/>
            <w:gridSpan w:val="2"/>
          </w:tcPr>
          <w:p>
            <w:pPr>
              <w:jc w:val="center"/>
              <w:ind w:left="8"/>
              <w:spacing w:after="0" w:line="152" w:lineRule="exact"/>
              <w:rPr>
                <w:sz w:val="20"/>
                <w:szCs w:val="20"/>
                <w:color w:val="auto"/>
              </w:rPr>
            </w:pPr>
            <w:r>
              <w:rPr>
                <w:rFonts w:ascii="Times New Roman" w:cs="Times New Roman" w:eastAsia="Times New Roman" w:hAnsi="Times New Roman"/>
                <w:sz w:val="14"/>
                <w:szCs w:val="14"/>
                <w:color w:val="auto"/>
                <w:w w:val="97"/>
              </w:rPr>
              <w:t>10.1</w:t>
            </w:r>
          </w:p>
        </w:tc>
        <w:tc>
          <w:tcPr>
            <w:tcW w:w="16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4/15/2025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1"/>
          </w:tcPr>
          <w:p>
            <w:pPr>
              <w:spacing w:after="0" w:line="152" w:lineRule="exact"/>
              <w:rPr>
                <w:rFonts w:ascii="Times New Roman" w:cs="Times New Roman" w:eastAsia="Times New Roman" w:hAnsi="Times New Roman"/>
                <w:sz w:val="14"/>
                <w:szCs w:val="14"/>
                <w:color w:val="0000FF"/>
              </w:rPr>
            </w:pPr>
            <w:hyperlink r:id="rId465">
              <w:r>
                <w:rPr>
                  <w:rFonts w:ascii="Times New Roman" w:cs="Times New Roman" w:eastAsia="Times New Roman" w:hAnsi="Times New Roman"/>
                  <w:sz w:val="14"/>
                  <w:szCs w:val="14"/>
                  <w:color w:val="0000FF"/>
                </w:rPr>
                <w:t>Res-Care Inc., d/b/a BrightSpring Health Services, and James</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1"/>
          </w:tcPr>
          <w:p>
            <w:pPr>
              <w:spacing w:after="0" w:line="152" w:lineRule="exact"/>
              <w:rPr>
                <w:rFonts w:ascii="Times New Roman" w:cs="Times New Roman" w:eastAsia="Times New Roman" w:hAnsi="Times New Roman"/>
                <w:sz w:val="14"/>
                <w:szCs w:val="14"/>
                <w:color w:val="0000FF"/>
              </w:rPr>
            </w:pPr>
            <w:hyperlink r:id="rId465">
              <w:r>
                <w:rPr>
                  <w:rFonts w:ascii="Times New Roman" w:cs="Times New Roman" w:eastAsia="Times New Roman" w:hAnsi="Times New Roman"/>
                  <w:sz w:val="14"/>
                  <w:szCs w:val="14"/>
                  <w:color w:val="0000FF"/>
                </w:rPr>
                <w:t>Mattingly.</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3"/>
                <w:szCs w:val="13"/>
                <w:color w:val="auto"/>
              </w:rPr>
            </w:pPr>
          </w:p>
        </w:tc>
        <w:tc>
          <w:tcPr>
            <w:tcW w:w="3680" w:type="dxa"/>
            <w:vAlign w:val="bottom"/>
            <w:gridSpan w:val="21"/>
          </w:tcPr>
          <w:p>
            <w:pPr>
              <w:spacing w:after="0" w:line="152" w:lineRule="exact"/>
              <w:rPr>
                <w:rFonts w:ascii="Times New Roman" w:cs="Times New Roman" w:eastAsia="Times New Roman" w:hAnsi="Times New Roman"/>
                <w:sz w:val="14"/>
                <w:szCs w:val="14"/>
                <w:color w:val="0000FF"/>
              </w:rPr>
            </w:pPr>
            <w:hyperlink r:id="rId466">
              <w:r>
                <w:rPr>
                  <w:rFonts w:ascii="Times New Roman" w:cs="Times New Roman" w:eastAsia="Times New Roman" w:hAnsi="Times New Roman"/>
                  <w:sz w:val="14"/>
                  <w:szCs w:val="14"/>
                  <w:color w:val="0000FF"/>
                </w:rPr>
                <w:t>Resignation Agreement, dated June 20, 2025, by and between</w:t>
              </w:r>
            </w:hyperlink>
          </w:p>
        </w:tc>
        <w:tc>
          <w:tcPr>
            <w:tcW w:w="4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8-K</w:t>
            </w:r>
          </w:p>
        </w:tc>
        <w:tc>
          <w:tcPr>
            <w:tcW w:w="84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001-41938</w:t>
            </w:r>
          </w:p>
        </w:tc>
        <w:tc>
          <w:tcPr>
            <w:tcW w:w="480" w:type="dxa"/>
            <w:vAlign w:val="bottom"/>
            <w:gridSpan w:val="2"/>
          </w:tcPr>
          <w:p>
            <w:pPr>
              <w:jc w:val="center"/>
              <w:ind w:left="8"/>
              <w:spacing w:after="0" w:line="152" w:lineRule="exact"/>
              <w:rPr>
                <w:sz w:val="20"/>
                <w:szCs w:val="20"/>
                <w:color w:val="auto"/>
              </w:rPr>
            </w:pPr>
            <w:r>
              <w:rPr>
                <w:rFonts w:ascii="Times New Roman" w:cs="Times New Roman" w:eastAsia="Times New Roman" w:hAnsi="Times New Roman"/>
                <w:sz w:val="14"/>
                <w:szCs w:val="14"/>
                <w:color w:val="auto"/>
                <w:w w:val="97"/>
              </w:rPr>
              <w:t>10.1</w:t>
            </w:r>
          </w:p>
        </w:tc>
        <w:tc>
          <w:tcPr>
            <w:tcW w:w="16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6/20/2025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right w:val="single" w:sz="8" w:color="0000FF"/>
            </w:tcBorders>
            <w:gridSpan w:val="4"/>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1"/>
          </w:tcPr>
          <w:p>
            <w:pPr>
              <w:spacing w:after="0" w:line="152" w:lineRule="exact"/>
              <w:rPr>
                <w:rFonts w:ascii="Times New Roman" w:cs="Times New Roman" w:eastAsia="Times New Roman" w:hAnsi="Times New Roman"/>
                <w:sz w:val="14"/>
                <w:szCs w:val="14"/>
                <w:color w:val="0000FF"/>
              </w:rPr>
            </w:pPr>
            <w:hyperlink r:id="rId466">
              <w:r>
                <w:rPr>
                  <w:rFonts w:ascii="Times New Roman" w:cs="Times New Roman" w:eastAsia="Times New Roman" w:hAnsi="Times New Roman"/>
                  <w:sz w:val="14"/>
                  <w:szCs w:val="14"/>
                  <w:color w:val="0000FF"/>
                </w:rPr>
                <w:t>Abode Healthcare, Inc. and Michael McMaude.</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gridSpan w:val="4"/>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3"/>
                <w:szCs w:val="13"/>
                <w:color w:val="auto"/>
              </w:rPr>
            </w:pPr>
          </w:p>
        </w:tc>
        <w:tc>
          <w:tcPr>
            <w:tcW w:w="3680" w:type="dxa"/>
            <w:vAlign w:val="bottom"/>
            <w:gridSpan w:val="21"/>
          </w:tcPr>
          <w:p>
            <w:pPr>
              <w:spacing w:after="0" w:line="152" w:lineRule="exact"/>
              <w:rPr>
                <w:sz w:val="20"/>
                <w:szCs w:val="20"/>
                <w:color w:val="auto"/>
              </w:rPr>
            </w:pPr>
            <w:r>
              <w:rPr>
                <w:rFonts w:ascii="Times New Roman" w:cs="Times New Roman" w:eastAsia="Times New Roman" w:hAnsi="Times New Roman"/>
                <w:sz w:val="14"/>
                <w:szCs w:val="14"/>
                <w:color w:val="0000FF"/>
              </w:rPr>
              <w:t>Certification of Principal Executive Officer Pursuant to Rules</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right w:val="single" w:sz="8" w:color="0000FF"/>
            </w:tcBorders>
            <w:gridSpan w:val="4"/>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tcBorders>
              <w:left w:val="single" w:sz="8" w:color="0000FF"/>
            </w:tcBorders>
            <w:gridSpan w:val="8"/>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1"/>
          </w:tcPr>
          <w:p>
            <w:pPr>
              <w:spacing w:after="0" w:line="152" w:lineRule="exact"/>
              <w:rPr>
                <w:sz w:val="20"/>
                <w:szCs w:val="20"/>
                <w:color w:val="auto"/>
              </w:rPr>
            </w:pPr>
            <w:r>
              <w:rPr>
                <w:rFonts w:ascii="Times New Roman" w:cs="Times New Roman" w:eastAsia="Times New Roman" w:hAnsi="Times New Roman"/>
                <w:sz w:val="14"/>
                <w:szCs w:val="14"/>
                <w:color w:val="0000FF"/>
              </w:rPr>
              <w:t>13a-14(a) and 15d-14(a) under the Securities Exchange Act of</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right w:val="single" w:sz="8" w:color="0000FF"/>
            </w:tcBorders>
            <w:gridSpan w:val="4"/>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tcBorders>
              <w:left w:val="single" w:sz="8" w:color="0000FF"/>
            </w:tcBorders>
            <w:gridSpan w:val="8"/>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1"/>
          </w:tcPr>
          <w:p>
            <w:pPr>
              <w:spacing w:after="0" w:line="152" w:lineRule="exact"/>
              <w:rPr>
                <w:sz w:val="20"/>
                <w:szCs w:val="20"/>
                <w:color w:val="auto"/>
              </w:rPr>
            </w:pPr>
            <w:r>
              <w:rPr>
                <w:rFonts w:ascii="Times New Roman" w:cs="Times New Roman" w:eastAsia="Times New Roman" w:hAnsi="Times New Roman"/>
                <w:sz w:val="14"/>
                <w:szCs w:val="14"/>
                <w:color w:val="0000FF"/>
              </w:rPr>
              <w:t>1934, as Adopted Pursuant to Section 302 of the Sarbanes-</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gridSpan w:val="4"/>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tcBorders>
              <w:left w:val="single" w:sz="8" w:color="0000FF"/>
            </w:tcBorders>
            <w:gridSpan w:val="8"/>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1"/>
          </w:tcPr>
          <w:p>
            <w:pPr>
              <w:spacing w:after="0" w:line="152" w:lineRule="exact"/>
              <w:rPr>
                <w:sz w:val="20"/>
                <w:szCs w:val="20"/>
                <w:color w:val="auto"/>
              </w:rPr>
            </w:pPr>
            <w:r>
              <w:rPr>
                <w:rFonts w:ascii="Times New Roman" w:cs="Times New Roman" w:eastAsia="Times New Roman" w:hAnsi="Times New Roman"/>
                <w:sz w:val="14"/>
                <w:szCs w:val="14"/>
                <w:color w:val="0000FF"/>
              </w:rPr>
              <w:t>Oxley Act of 2002.</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EE"/>
            </w:tcBorders>
            <w:gridSpan w:val="4"/>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40" w:type="dxa"/>
            <w:vAlign w:val="bottom"/>
            <w:gridSpan w:val="8"/>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3"/>
                <w:szCs w:val="13"/>
                <w:color w:val="auto"/>
              </w:rPr>
            </w:pPr>
          </w:p>
        </w:tc>
        <w:tc>
          <w:tcPr>
            <w:tcW w:w="3680" w:type="dxa"/>
            <w:vAlign w:val="bottom"/>
            <w:gridSpan w:val="21"/>
          </w:tcPr>
          <w:p>
            <w:pPr>
              <w:spacing w:after="0" w:line="152" w:lineRule="exact"/>
              <w:rPr>
                <w:sz w:val="20"/>
                <w:szCs w:val="20"/>
                <w:color w:val="auto"/>
              </w:rPr>
            </w:pPr>
            <w:r>
              <w:rPr>
                <w:rFonts w:ascii="Times New Roman" w:cs="Times New Roman" w:eastAsia="Times New Roman" w:hAnsi="Times New Roman"/>
                <w:sz w:val="14"/>
                <w:szCs w:val="14"/>
                <w:color w:val="0000FF"/>
              </w:rPr>
              <w:t>Certification of Principal Financial Officer Pursuant to Rules</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right w:val="single" w:sz="8" w:color="0000FF"/>
            </w:tcBorders>
            <w:gridSpan w:val="6"/>
            <w:shd w:val="clear" w:color="auto" w:fill="0000FF"/>
          </w:tcPr>
          <w:p>
            <w:pPr>
              <w:spacing w:after="0" w:line="20" w:lineRule="exact"/>
              <w:rPr>
                <w:sz w:val="1"/>
                <w:szCs w:val="1"/>
                <w:color w:val="auto"/>
              </w:rPr>
            </w:pPr>
          </w:p>
        </w:tc>
        <w:tc>
          <w:tcPr>
            <w:tcW w:w="1440" w:type="dxa"/>
            <w:vAlign w:val="bottom"/>
            <w:tcBorders>
              <w:left w:val="single" w:sz="8" w:color="0000FF"/>
            </w:tcBorders>
            <w:gridSpan w:val="8"/>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1"/>
          </w:tcPr>
          <w:p>
            <w:pPr>
              <w:spacing w:after="0" w:line="152" w:lineRule="exact"/>
              <w:rPr>
                <w:sz w:val="20"/>
                <w:szCs w:val="20"/>
                <w:color w:val="auto"/>
              </w:rPr>
            </w:pPr>
            <w:r>
              <w:rPr>
                <w:rFonts w:ascii="Times New Roman" w:cs="Times New Roman" w:eastAsia="Times New Roman" w:hAnsi="Times New Roman"/>
                <w:sz w:val="14"/>
                <w:szCs w:val="14"/>
                <w:color w:val="0000FF"/>
              </w:rPr>
              <w:t>13a-14(a) and 15d-14(a) under the Securities Exchange Act of</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right w:val="single" w:sz="8" w:color="0000FF"/>
            </w:tcBorders>
            <w:gridSpan w:val="6"/>
            <w:shd w:val="clear" w:color="auto" w:fill="0000FF"/>
          </w:tcPr>
          <w:p>
            <w:pPr>
              <w:spacing w:after="0" w:line="20" w:lineRule="exact"/>
              <w:rPr>
                <w:sz w:val="1"/>
                <w:szCs w:val="1"/>
                <w:color w:val="auto"/>
              </w:rPr>
            </w:pPr>
          </w:p>
        </w:tc>
        <w:tc>
          <w:tcPr>
            <w:tcW w:w="1440" w:type="dxa"/>
            <w:vAlign w:val="bottom"/>
            <w:tcBorders>
              <w:left w:val="single" w:sz="8" w:color="0000FF"/>
            </w:tcBorders>
            <w:gridSpan w:val="8"/>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1"/>
          </w:tcPr>
          <w:p>
            <w:pPr>
              <w:spacing w:after="0" w:line="152" w:lineRule="exact"/>
              <w:rPr>
                <w:sz w:val="20"/>
                <w:szCs w:val="20"/>
                <w:color w:val="auto"/>
              </w:rPr>
            </w:pPr>
            <w:r>
              <w:rPr>
                <w:rFonts w:ascii="Times New Roman" w:cs="Times New Roman" w:eastAsia="Times New Roman" w:hAnsi="Times New Roman"/>
                <w:sz w:val="14"/>
                <w:szCs w:val="14"/>
                <w:color w:val="0000FF"/>
              </w:rPr>
              <w:t>1934, as Adopted Pursuant to Section 302 of the Sarbanes-</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80" w:type="dxa"/>
            <w:vAlign w:val="bottom"/>
            <w:tcBorders>
              <w:right w:val="single" w:sz="8" w:color="0000FF"/>
            </w:tcBorders>
            <w:gridSpan w:val="6"/>
            <w:shd w:val="clear" w:color="auto" w:fill="0000FF"/>
          </w:tcPr>
          <w:p>
            <w:pPr>
              <w:spacing w:after="0" w:line="20" w:lineRule="exact"/>
              <w:rPr>
                <w:sz w:val="1"/>
                <w:szCs w:val="1"/>
                <w:color w:val="auto"/>
              </w:rPr>
            </w:pPr>
          </w:p>
        </w:tc>
        <w:tc>
          <w:tcPr>
            <w:tcW w:w="1440" w:type="dxa"/>
            <w:vAlign w:val="bottom"/>
            <w:tcBorders>
              <w:left w:val="single" w:sz="8" w:color="0000FF"/>
            </w:tcBorders>
            <w:gridSpan w:val="8"/>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1"/>
          </w:tcPr>
          <w:p>
            <w:pPr>
              <w:spacing w:after="0" w:line="152" w:lineRule="exact"/>
              <w:rPr>
                <w:sz w:val="20"/>
                <w:szCs w:val="20"/>
                <w:color w:val="auto"/>
              </w:rPr>
            </w:pPr>
            <w:r>
              <w:rPr>
                <w:rFonts w:ascii="Times New Roman" w:cs="Times New Roman" w:eastAsia="Times New Roman" w:hAnsi="Times New Roman"/>
                <w:sz w:val="14"/>
                <w:szCs w:val="14"/>
                <w:color w:val="0000FF"/>
              </w:rPr>
              <w:t>Oxley Act of 2002.</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EE"/>
            </w:tcBorders>
            <w:gridSpan w:val="4"/>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40" w:type="dxa"/>
            <w:vAlign w:val="bottom"/>
            <w:gridSpan w:val="8"/>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13"/>
                <w:szCs w:val="13"/>
                <w:color w:val="auto"/>
              </w:rPr>
            </w:pPr>
          </w:p>
        </w:tc>
        <w:tc>
          <w:tcPr>
            <w:tcW w:w="3680" w:type="dxa"/>
            <w:vAlign w:val="bottom"/>
            <w:gridSpan w:val="21"/>
          </w:tcPr>
          <w:p>
            <w:pPr>
              <w:spacing w:after="0" w:line="152" w:lineRule="exact"/>
              <w:rPr>
                <w:sz w:val="20"/>
                <w:szCs w:val="20"/>
                <w:color w:val="auto"/>
              </w:rPr>
            </w:pPr>
            <w:r>
              <w:rPr>
                <w:rFonts w:ascii="Times New Roman" w:cs="Times New Roman" w:eastAsia="Times New Roman" w:hAnsi="Times New Roman"/>
                <w:sz w:val="14"/>
                <w:szCs w:val="14"/>
                <w:color w:val="0000FF"/>
              </w:rPr>
              <w:t>Certification of Principal Executive Officer Pursuant to 18</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right w:val="single" w:sz="8" w:color="0000FF"/>
            </w:tcBorders>
            <w:gridSpan w:val="6"/>
            <w:shd w:val="clear" w:color="auto" w:fill="0000FF"/>
          </w:tcPr>
          <w:p>
            <w:pPr>
              <w:spacing w:after="0" w:line="20" w:lineRule="exact"/>
              <w:rPr>
                <w:sz w:val="1"/>
                <w:szCs w:val="1"/>
                <w:color w:val="auto"/>
              </w:rPr>
            </w:pPr>
          </w:p>
        </w:tc>
        <w:tc>
          <w:tcPr>
            <w:tcW w:w="1440" w:type="dxa"/>
            <w:vAlign w:val="bottom"/>
            <w:tcBorders>
              <w:left w:val="single" w:sz="8" w:color="0000FF"/>
            </w:tcBorders>
            <w:gridSpan w:val="8"/>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1"/>
          </w:tcPr>
          <w:p>
            <w:pPr>
              <w:spacing w:after="0" w:line="152" w:lineRule="exact"/>
              <w:rPr>
                <w:sz w:val="20"/>
                <w:szCs w:val="20"/>
                <w:color w:val="auto"/>
              </w:rPr>
            </w:pPr>
            <w:r>
              <w:rPr>
                <w:rFonts w:ascii="Times New Roman" w:cs="Times New Roman" w:eastAsia="Times New Roman" w:hAnsi="Times New Roman"/>
                <w:sz w:val="14"/>
                <w:szCs w:val="14"/>
                <w:color w:val="0000FF"/>
              </w:rPr>
              <w:t>U.S.C. Section 1350, as Adopted Pursuant to Section 906 of</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right w:val="single" w:sz="8" w:color="0000FF"/>
            </w:tcBorders>
            <w:gridSpan w:val="6"/>
            <w:shd w:val="clear" w:color="auto" w:fill="0000FF"/>
          </w:tcPr>
          <w:p>
            <w:pPr>
              <w:spacing w:after="0" w:line="20" w:lineRule="exact"/>
              <w:rPr>
                <w:sz w:val="1"/>
                <w:szCs w:val="1"/>
                <w:color w:val="auto"/>
              </w:rPr>
            </w:pPr>
          </w:p>
        </w:tc>
        <w:tc>
          <w:tcPr>
            <w:tcW w:w="1440" w:type="dxa"/>
            <w:vAlign w:val="bottom"/>
            <w:tcBorders>
              <w:left w:val="single" w:sz="8" w:color="0000FF"/>
            </w:tcBorders>
            <w:gridSpan w:val="8"/>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1"/>
          </w:tcPr>
          <w:p>
            <w:pPr>
              <w:spacing w:after="0" w:line="152" w:lineRule="exact"/>
              <w:rPr>
                <w:sz w:val="20"/>
                <w:szCs w:val="20"/>
                <w:color w:val="auto"/>
              </w:rPr>
            </w:pPr>
            <w:r>
              <w:rPr>
                <w:rFonts w:ascii="Times New Roman" w:cs="Times New Roman" w:eastAsia="Times New Roman" w:hAnsi="Times New Roman"/>
                <w:sz w:val="14"/>
                <w:szCs w:val="14"/>
                <w:color w:val="0000FF"/>
              </w:rPr>
              <w:t>the Sarbanes-Oxley Act of 2002.</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80" w:type="dxa"/>
            <w:vAlign w:val="bottom"/>
            <w:tcBorders>
              <w:right w:val="single" w:sz="8" w:color="0000EE"/>
            </w:tcBorders>
            <w:gridSpan w:val="6"/>
            <w:shd w:val="clear" w:color="auto" w:fill="0000FF"/>
          </w:tcPr>
          <w:p>
            <w:pPr>
              <w:spacing w:after="0" w:line="20" w:lineRule="exact"/>
              <w:rPr>
                <w:sz w:val="1"/>
                <w:szCs w:val="1"/>
                <w:color w:val="auto"/>
              </w:rPr>
            </w:pPr>
          </w:p>
        </w:tc>
        <w:tc>
          <w:tcPr>
            <w:tcW w:w="1440" w:type="dxa"/>
            <w:vAlign w:val="bottom"/>
            <w:gridSpan w:val="8"/>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32.2</w:t>
            </w:r>
          </w:p>
        </w:tc>
        <w:tc>
          <w:tcPr>
            <w:tcW w:w="100" w:type="dxa"/>
            <w:vAlign w:val="bottom"/>
          </w:tcPr>
          <w:p>
            <w:pPr>
              <w:spacing w:after="0"/>
              <w:rPr>
                <w:sz w:val="13"/>
                <w:szCs w:val="13"/>
                <w:color w:val="auto"/>
              </w:rPr>
            </w:pPr>
          </w:p>
        </w:tc>
        <w:tc>
          <w:tcPr>
            <w:tcW w:w="3680" w:type="dxa"/>
            <w:vAlign w:val="bottom"/>
            <w:gridSpan w:val="21"/>
          </w:tcPr>
          <w:p>
            <w:pPr>
              <w:spacing w:after="0" w:line="152" w:lineRule="exact"/>
              <w:rPr>
                <w:sz w:val="20"/>
                <w:szCs w:val="20"/>
                <w:color w:val="auto"/>
              </w:rPr>
            </w:pPr>
            <w:r>
              <w:rPr>
                <w:rFonts w:ascii="Times New Roman" w:cs="Times New Roman" w:eastAsia="Times New Roman" w:hAnsi="Times New Roman"/>
                <w:sz w:val="14"/>
                <w:szCs w:val="14"/>
                <w:color w:val="0000FF"/>
              </w:rPr>
              <w:t>Certification of Principal Financial Officer Pursuant to 18</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20" w:type="dxa"/>
            <w:vAlign w:val="bottom"/>
            <w:gridSpan w:val="14"/>
            <w:shd w:val="clear" w:color="auto" w:fill="0000FF"/>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1"/>
          </w:tcPr>
          <w:p>
            <w:pPr>
              <w:spacing w:after="0" w:line="152" w:lineRule="exact"/>
              <w:rPr>
                <w:sz w:val="20"/>
                <w:szCs w:val="20"/>
                <w:color w:val="auto"/>
              </w:rPr>
            </w:pPr>
            <w:r>
              <w:rPr>
                <w:rFonts w:ascii="Times New Roman" w:cs="Times New Roman" w:eastAsia="Times New Roman" w:hAnsi="Times New Roman"/>
                <w:sz w:val="14"/>
                <w:szCs w:val="14"/>
                <w:color w:val="0000FF"/>
              </w:rPr>
              <w:t>U.S.C. Section 1350, as Adopted Pursuant to Section 906 of</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gridSpan w:val="17"/>
            <w:shd w:val="clear" w:color="auto" w:fill="0000FF"/>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1"/>
          </w:tcPr>
          <w:p>
            <w:pPr>
              <w:spacing w:after="0" w:line="152" w:lineRule="exact"/>
              <w:rPr>
                <w:sz w:val="20"/>
                <w:szCs w:val="20"/>
                <w:color w:val="auto"/>
              </w:rPr>
            </w:pPr>
            <w:r>
              <w:rPr>
                <w:rFonts w:ascii="Times New Roman" w:cs="Times New Roman" w:eastAsia="Times New Roman" w:hAnsi="Times New Roman"/>
                <w:sz w:val="14"/>
                <w:szCs w:val="14"/>
                <w:color w:val="0000FF"/>
              </w:rPr>
              <w:t>the Sarbanes-Oxley Act of 2002.</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80" w:type="dxa"/>
            <w:vAlign w:val="bottom"/>
            <w:tcBorders>
              <w:right w:val="single" w:sz="8" w:color="0000EE"/>
            </w:tcBorders>
            <w:gridSpan w:val="6"/>
            <w:shd w:val="clear" w:color="auto" w:fill="0000FF"/>
          </w:tcPr>
          <w:p>
            <w:pPr>
              <w:spacing w:after="0" w:line="20" w:lineRule="exact"/>
              <w:rPr>
                <w:sz w:val="1"/>
                <w:szCs w:val="1"/>
                <w:color w:val="auto"/>
              </w:rPr>
            </w:pPr>
          </w:p>
        </w:tc>
        <w:tc>
          <w:tcPr>
            <w:tcW w:w="1800" w:type="dxa"/>
            <w:vAlign w:val="bottom"/>
            <w:gridSpan w:val="1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100" w:type="dxa"/>
            <w:vAlign w:val="bottom"/>
          </w:tcPr>
          <w:p>
            <w:pPr>
              <w:spacing w:after="0"/>
              <w:rPr>
                <w:sz w:val="14"/>
                <w:szCs w:val="14"/>
                <w:color w:val="auto"/>
              </w:rPr>
            </w:pPr>
          </w:p>
        </w:tc>
        <w:tc>
          <w:tcPr>
            <w:tcW w:w="368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8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not appear in the Interactive Data File because XBRL tags are</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8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embedded within the Inline XBRL document.</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101.SCH</w:t>
            </w:r>
          </w:p>
        </w:tc>
        <w:tc>
          <w:tcPr>
            <w:tcW w:w="100" w:type="dxa"/>
            <w:vAlign w:val="bottom"/>
          </w:tcPr>
          <w:p>
            <w:pPr>
              <w:spacing w:after="0"/>
              <w:rPr>
                <w:sz w:val="14"/>
                <w:szCs w:val="14"/>
                <w:color w:val="auto"/>
              </w:rPr>
            </w:pPr>
          </w:p>
        </w:tc>
        <w:tc>
          <w:tcPr>
            <w:tcW w:w="368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Inline XBRL Taxonomy Extension Schema With Embedded</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Linkbase Documents</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260" w:right="4239" w:hanging="622"/>
        <w:spacing w:after="0" w:line="272" w:lineRule="auto"/>
        <w:tabs>
          <w:tab w:leader="none" w:pos="1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5" w:lineRule="exact"/>
        <w:rPr>
          <w:sz w:val="20"/>
          <w:szCs w:val="20"/>
          <w:color w:val="auto"/>
        </w:rPr>
      </w:pPr>
    </w:p>
    <w:p>
      <w:pPr>
        <w:ind w:left="640" w:right="819" w:firstLine="351"/>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30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0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BrightSpring Health Services, Inc.</w:t>
            </w:r>
          </w:p>
        </w:tc>
      </w:tr>
      <w:tr>
        <w:trPr>
          <w:trHeight w:val="345"/>
        </w:trPr>
        <w:tc>
          <w:tcPr>
            <w:tcW w:w="30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Date: August 1, 2025</w:t>
            </w:r>
          </w:p>
        </w:tc>
        <w:tc>
          <w:tcPr>
            <w:tcW w:w="168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By:</w:t>
            </w:r>
          </w:p>
        </w:tc>
        <w:tc>
          <w:tcPr>
            <w:tcW w:w="40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/s/ Jon Rousseau</w:t>
            </w:r>
          </w:p>
        </w:tc>
      </w:tr>
      <w:tr>
        <w:trPr>
          <w:trHeight w:val="148"/>
        </w:trPr>
        <w:tc>
          <w:tcPr>
            <w:tcW w:w="30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560" w:type="dxa"/>
            <w:vAlign w:val="bottom"/>
            <w:tcBorders>
              <w:top w:val="single" w:sz="8" w:color="auto"/>
            </w:tcBorders>
          </w:tcPr>
          <w:p>
            <w:pPr>
              <w:jc w:val="center"/>
              <w:spacing w:after="0" w:line="148" w:lineRule="exact"/>
              <w:rPr>
                <w:sz w:val="20"/>
                <w:szCs w:val="20"/>
                <w:color w:val="auto"/>
              </w:rPr>
            </w:pPr>
            <w:r>
              <w:rPr>
                <w:rFonts w:ascii="Times New Roman" w:cs="Times New Roman" w:eastAsia="Times New Roman" w:hAnsi="Times New Roman"/>
                <w:sz w:val="14"/>
                <w:szCs w:val="14"/>
                <w:color w:val="auto"/>
              </w:rPr>
              <w:t>Jon Rousseau</w:t>
            </w:r>
          </w:p>
        </w:tc>
        <w:tc>
          <w:tcPr>
            <w:tcW w:w="520" w:type="dxa"/>
            <w:vAlign w:val="bottom"/>
          </w:tcPr>
          <w:p>
            <w:pPr>
              <w:spacing w:after="0"/>
              <w:rPr>
                <w:sz w:val="12"/>
                <w:szCs w:val="12"/>
                <w:color w:val="auto"/>
              </w:rPr>
            </w:pPr>
          </w:p>
        </w:tc>
      </w:tr>
      <w:tr>
        <w:trPr>
          <w:trHeight w:val="186"/>
        </w:trPr>
        <w:tc>
          <w:tcPr>
            <w:tcW w:w="30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0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tc>
      </w:tr>
      <w:tr>
        <w:trPr>
          <w:trHeight w:val="168"/>
        </w:trPr>
        <w:tc>
          <w:tcPr>
            <w:tcW w:w="3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08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color w:val="auto"/>
                <w:w w:val="98"/>
              </w:rPr>
              <w:t>(Principal Executive Officer)</w:t>
            </w:r>
          </w:p>
        </w:tc>
      </w:tr>
      <w:tr>
        <w:trPr>
          <w:trHeight w:val="349"/>
        </w:trPr>
        <w:tc>
          <w:tcPr>
            <w:tcW w:w="30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Date: August 1, 2025</w:t>
            </w:r>
          </w:p>
        </w:tc>
        <w:tc>
          <w:tcPr>
            <w:tcW w:w="168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By:</w:t>
            </w:r>
          </w:p>
        </w:tc>
        <w:tc>
          <w:tcPr>
            <w:tcW w:w="40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/s/ Jennifer Phipps</w:t>
            </w:r>
          </w:p>
        </w:tc>
      </w:tr>
      <w:tr>
        <w:trPr>
          <w:trHeight w:val="148"/>
        </w:trPr>
        <w:tc>
          <w:tcPr>
            <w:tcW w:w="30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560" w:type="dxa"/>
            <w:vAlign w:val="bottom"/>
            <w:tcBorders>
              <w:top w:val="single" w:sz="8" w:color="auto"/>
            </w:tcBorders>
          </w:tcPr>
          <w:p>
            <w:pPr>
              <w:jc w:val="center"/>
              <w:spacing w:after="0" w:line="148" w:lineRule="exact"/>
              <w:rPr>
                <w:sz w:val="20"/>
                <w:szCs w:val="20"/>
                <w:color w:val="auto"/>
              </w:rPr>
            </w:pPr>
            <w:r>
              <w:rPr>
                <w:rFonts w:ascii="Times New Roman" w:cs="Times New Roman" w:eastAsia="Times New Roman" w:hAnsi="Times New Roman"/>
                <w:sz w:val="14"/>
                <w:szCs w:val="14"/>
                <w:color w:val="auto"/>
              </w:rPr>
              <w:t>Jennifer Phipps</w:t>
            </w:r>
          </w:p>
        </w:tc>
        <w:tc>
          <w:tcPr>
            <w:tcW w:w="520" w:type="dxa"/>
            <w:vAlign w:val="bottom"/>
          </w:tcPr>
          <w:p>
            <w:pPr>
              <w:spacing w:after="0"/>
              <w:rPr>
                <w:sz w:val="12"/>
                <w:szCs w:val="12"/>
                <w:color w:val="auto"/>
              </w:rPr>
            </w:pPr>
          </w:p>
        </w:tc>
      </w:tr>
      <w:tr>
        <w:trPr>
          <w:trHeight w:val="186"/>
        </w:trPr>
        <w:tc>
          <w:tcPr>
            <w:tcW w:w="30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0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r>
        <w:trPr>
          <w:trHeight w:val="168"/>
        </w:trPr>
        <w:tc>
          <w:tcPr>
            <w:tcW w:w="3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08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color w:val="auto"/>
                <w:w w:val="98"/>
              </w:rPr>
              <w:t>(Principal Financial Officer)</w:t>
            </w:r>
          </w:p>
        </w:tc>
      </w:tr>
      <w:tr>
        <w:trPr>
          <w:trHeight w:val="519"/>
        </w:trPr>
        <w:tc>
          <w:tcPr>
            <w:tcW w:w="3020" w:type="dxa"/>
            <w:vAlign w:val="bottom"/>
          </w:tcPr>
          <w:p>
            <w:pPr>
              <w:spacing w:after="0"/>
              <w:rPr>
                <w:sz w:val="24"/>
                <w:szCs w:val="24"/>
                <w:color w:val="auto"/>
              </w:rPr>
            </w:pPr>
          </w:p>
        </w:tc>
        <w:tc>
          <w:tcPr>
            <w:tcW w:w="16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51</w:t>
            </w:r>
          </w:p>
        </w:tc>
        <w:tc>
          <w:tcPr>
            <w:tcW w:w="35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04"/>
        </w:trPr>
        <w:tc>
          <w:tcPr>
            <w:tcW w:w="30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53" w:name="page54"/>
    <w:bookmarkEnd w:id="53"/>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BRIGHTSPRING HEALTH SERVICES, INC.</w:t>
      </w:r>
    </w:p>
    <w:p>
      <w:pPr>
        <w:spacing w:after="0" w:line="120" w:lineRule="exact"/>
        <w:rPr>
          <w:sz w:val="20"/>
          <w:szCs w:val="20"/>
          <w:color w:val="auto"/>
        </w:rPr>
      </w:pPr>
    </w:p>
    <w:p>
      <w:pPr>
        <w:jc w:val="center"/>
        <w:ind w:left="120" w:right="139"/>
        <w:spacing w:after="0" w:line="274" w:lineRule="auto"/>
        <w:rPr>
          <w:sz w:val="20"/>
          <w:szCs w:val="20"/>
          <w:color w:val="auto"/>
        </w:rPr>
      </w:pPr>
      <w:r>
        <w:rPr>
          <w:rFonts w:ascii="Times New Roman" w:cs="Times New Roman" w:eastAsia="Times New Roman" w:hAnsi="Times New Roman"/>
          <w:sz w:val="14"/>
          <w:szCs w:val="14"/>
          <w:color w:val="auto"/>
        </w:rPr>
        <w:t>CERTIFICATION OF CHIEF EXECUTIVE OFFICER PURSUANT TO RULE 13a-14(a) AND RULE 15d-14(a) OF THE SECURITIES EXCHANGE ACT OF 1934 AS ADOPTED PURSUANT TO SECTION 302 OF THE SARBANES-OXLEY ACT OF 2002</w:t>
      </w:r>
    </w:p>
    <w:p>
      <w:pPr>
        <w:spacing w:after="0" w:line="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 Jon Rousseau, certify that:</w:t>
      </w:r>
    </w:p>
    <w:p>
      <w:pPr>
        <w:spacing w:after="0" w:line="129" w:lineRule="exact"/>
        <w:rPr>
          <w:sz w:val="20"/>
          <w:szCs w:val="20"/>
          <w:color w:val="auto"/>
        </w:rPr>
      </w:pPr>
    </w:p>
    <w:p>
      <w:pPr>
        <w:ind w:left="1160" w:right="899" w:hanging="264"/>
        <w:spacing w:after="0" w:line="292" w:lineRule="auto"/>
        <w:tabs>
          <w:tab w:leader="none" w:pos="1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for the period ended June 30, 2025 of BrightSpring Health Services, Inc.;</w:t>
      </w:r>
    </w:p>
    <w:p>
      <w:pPr>
        <w:spacing w:after="0" w:line="59" w:lineRule="exact"/>
        <w:rPr>
          <w:rFonts w:ascii="Times New Roman" w:cs="Times New Roman" w:eastAsia="Times New Roman" w:hAnsi="Times New Roman"/>
          <w:sz w:val="14"/>
          <w:szCs w:val="14"/>
          <w:color w:val="auto"/>
        </w:rPr>
      </w:pPr>
    </w:p>
    <w:p>
      <w:pPr>
        <w:ind w:left="1160" w:right="659" w:hanging="264"/>
        <w:spacing w:after="0" w:line="274" w:lineRule="auto"/>
        <w:tabs>
          <w:tab w:leader="none" w:pos="1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4"/>
          <w:szCs w:val="14"/>
          <w:color w:val="auto"/>
        </w:rPr>
      </w:pPr>
    </w:p>
    <w:p>
      <w:pPr>
        <w:ind w:left="1160" w:right="719" w:hanging="264"/>
        <w:spacing w:after="0" w:line="274" w:lineRule="auto"/>
        <w:tabs>
          <w:tab w:leader="none" w:pos="1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2" w:lineRule="exact"/>
        <w:rPr>
          <w:rFonts w:ascii="Times New Roman" w:cs="Times New Roman" w:eastAsia="Times New Roman" w:hAnsi="Times New Roman"/>
          <w:sz w:val="14"/>
          <w:szCs w:val="14"/>
          <w:color w:val="auto"/>
        </w:rPr>
      </w:pPr>
    </w:p>
    <w:p>
      <w:pPr>
        <w:ind w:left="1160" w:right="999" w:hanging="264"/>
        <w:spacing w:after="0" w:line="274" w:lineRule="auto"/>
        <w:tabs>
          <w:tab w:leader="none" w:pos="1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4"/>
          <w:szCs w:val="14"/>
          <w:color w:val="auto"/>
        </w:rPr>
      </w:pPr>
    </w:p>
    <w:p>
      <w:pPr>
        <w:ind w:left="1660" w:right="699" w:hanging="249"/>
        <w:spacing w:after="0" w:line="268" w:lineRule="auto"/>
        <w:tabs>
          <w:tab w:leader="none" w:pos="166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Times New Roman" w:cs="Times New Roman" w:eastAsia="Times New Roman" w:hAnsi="Times New Roman"/>
          <w:sz w:val="14"/>
          <w:szCs w:val="14"/>
          <w:color w:val="auto"/>
        </w:rPr>
      </w:pPr>
    </w:p>
    <w:p>
      <w:pPr>
        <w:ind w:left="1660" w:right="679" w:hanging="249"/>
        <w:spacing w:after="0" w:line="271" w:lineRule="auto"/>
        <w:tabs>
          <w:tab w:leader="none" w:pos="166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60" w:lineRule="exact"/>
        <w:rPr>
          <w:rFonts w:ascii="Times New Roman" w:cs="Times New Roman" w:eastAsia="Times New Roman" w:hAnsi="Times New Roman"/>
          <w:sz w:val="14"/>
          <w:szCs w:val="14"/>
          <w:color w:val="auto"/>
        </w:rPr>
      </w:pPr>
    </w:p>
    <w:p>
      <w:pPr>
        <w:ind w:left="1660" w:right="699" w:hanging="249"/>
        <w:spacing w:after="0" w:line="274" w:lineRule="auto"/>
        <w:tabs>
          <w:tab w:leader="none" w:pos="166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Times New Roman" w:cs="Times New Roman" w:eastAsia="Times New Roman" w:hAnsi="Times New Roman"/>
          <w:sz w:val="14"/>
          <w:szCs w:val="14"/>
          <w:color w:val="auto"/>
        </w:rPr>
      </w:pPr>
    </w:p>
    <w:p>
      <w:pPr>
        <w:ind w:left="1660" w:right="799" w:hanging="249"/>
        <w:spacing w:after="0" w:line="268" w:lineRule="auto"/>
        <w:tabs>
          <w:tab w:leader="none" w:pos="166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Times New Roman" w:cs="Times New Roman" w:eastAsia="Times New Roman" w:hAnsi="Times New Roman"/>
          <w:sz w:val="14"/>
          <w:szCs w:val="14"/>
          <w:color w:val="auto"/>
        </w:rPr>
      </w:pPr>
    </w:p>
    <w:p>
      <w:pPr>
        <w:ind w:left="1160" w:right="939" w:hanging="264"/>
        <w:spacing w:after="0" w:line="274" w:lineRule="auto"/>
        <w:tabs>
          <w:tab w:leader="none" w:pos="1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rFonts w:ascii="Times New Roman" w:cs="Times New Roman" w:eastAsia="Times New Roman" w:hAnsi="Times New Roman"/>
          <w:sz w:val="14"/>
          <w:szCs w:val="14"/>
          <w:color w:val="auto"/>
        </w:rPr>
      </w:pPr>
    </w:p>
    <w:p>
      <w:pPr>
        <w:ind w:left="1660" w:right="839" w:hanging="249"/>
        <w:spacing w:after="0" w:line="274" w:lineRule="auto"/>
        <w:tabs>
          <w:tab w:leader="none" w:pos="166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Times New Roman" w:cs="Times New Roman" w:eastAsia="Times New Roman" w:hAnsi="Times New Roman"/>
          <w:sz w:val="14"/>
          <w:szCs w:val="14"/>
          <w:color w:val="auto"/>
        </w:rPr>
      </w:pPr>
    </w:p>
    <w:p>
      <w:pPr>
        <w:ind w:left="1660" w:right="699" w:hanging="249"/>
        <w:spacing w:after="0" w:line="292" w:lineRule="auto"/>
        <w:tabs>
          <w:tab w:leader="none" w:pos="166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520" w:type="dxa"/>
            <w:vAlign w:val="bottom"/>
          </w:tcPr>
          <w:p>
            <w:pPr>
              <w:spacing w:after="0"/>
              <w:rPr>
                <w:sz w:val="16"/>
                <w:szCs w:val="16"/>
                <w:color w:val="auto"/>
              </w:rPr>
            </w:pPr>
          </w:p>
        </w:tc>
        <w:tc>
          <w:tcPr>
            <w:tcW w:w="1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August 1, 2025</w:t>
            </w:r>
          </w:p>
        </w:tc>
        <w:tc>
          <w:tcPr>
            <w:tcW w:w="1560" w:type="dxa"/>
            <w:vAlign w:val="bottom"/>
          </w:tcPr>
          <w:p>
            <w:pPr>
              <w:spacing w:after="0"/>
              <w:rPr>
                <w:sz w:val="16"/>
                <w:szCs w:val="16"/>
                <w:color w:val="auto"/>
              </w:rPr>
            </w:pPr>
          </w:p>
        </w:tc>
        <w:tc>
          <w:tcPr>
            <w:tcW w:w="506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color w:val="auto"/>
              </w:rPr>
              <w:t>/s/ Jon Rousseau</w:t>
            </w:r>
          </w:p>
        </w:tc>
      </w:tr>
      <w:tr>
        <w:trPr>
          <w:trHeight w:val="170"/>
        </w:trPr>
        <w:tc>
          <w:tcPr>
            <w:tcW w:w="520" w:type="dxa"/>
            <w:vAlign w:val="bottom"/>
          </w:tcPr>
          <w:p>
            <w:pPr>
              <w:spacing w:after="0"/>
              <w:rPr>
                <w:sz w:val="14"/>
                <w:szCs w:val="14"/>
                <w:color w:val="auto"/>
              </w:rPr>
            </w:pPr>
          </w:p>
        </w:tc>
        <w:tc>
          <w:tcPr>
            <w:tcW w:w="16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Date</w:t>
            </w:r>
          </w:p>
        </w:tc>
        <w:tc>
          <w:tcPr>
            <w:tcW w:w="1560" w:type="dxa"/>
            <w:vAlign w:val="bottom"/>
          </w:tcPr>
          <w:p>
            <w:pPr>
              <w:spacing w:after="0"/>
              <w:rPr>
                <w:sz w:val="14"/>
                <w:szCs w:val="14"/>
                <w:color w:val="auto"/>
              </w:rPr>
            </w:pPr>
          </w:p>
        </w:tc>
        <w:tc>
          <w:tcPr>
            <w:tcW w:w="4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Jon Rousseau</w:t>
            </w:r>
          </w:p>
        </w:tc>
        <w:tc>
          <w:tcPr>
            <w:tcW w:w="840" w:type="dxa"/>
            <w:vAlign w:val="bottom"/>
          </w:tcPr>
          <w:p>
            <w:pPr>
              <w:spacing w:after="0"/>
              <w:rPr>
                <w:sz w:val="14"/>
                <w:szCs w:val="14"/>
                <w:color w:val="auto"/>
              </w:rPr>
            </w:pPr>
          </w:p>
        </w:tc>
      </w:tr>
      <w:tr>
        <w:trPr>
          <w:trHeight w:val="183"/>
        </w:trPr>
        <w:tc>
          <w:tcPr>
            <w:tcW w:w="5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06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tc>
      </w:tr>
      <w:tr>
        <w:trPr>
          <w:trHeight w:val="186"/>
        </w:trPr>
        <w:tc>
          <w:tcPr>
            <w:tcW w:w="5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06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883"/>
        </w:trPr>
        <w:tc>
          <w:tcPr>
            <w:tcW w:w="5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54" w:name="page55"/>
    <w:bookmarkEnd w:id="54"/>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BRIGHTSPRING HEALTH SERVICES, INC.</w:t>
      </w:r>
    </w:p>
    <w:p>
      <w:pPr>
        <w:spacing w:after="0" w:line="120" w:lineRule="exact"/>
        <w:rPr>
          <w:sz w:val="20"/>
          <w:szCs w:val="20"/>
          <w:color w:val="auto"/>
        </w:rPr>
      </w:pPr>
    </w:p>
    <w:p>
      <w:pPr>
        <w:jc w:val="center"/>
        <w:ind w:left="120" w:right="139"/>
        <w:spacing w:after="0" w:line="274" w:lineRule="auto"/>
        <w:rPr>
          <w:sz w:val="20"/>
          <w:szCs w:val="20"/>
          <w:color w:val="auto"/>
        </w:rPr>
      </w:pPr>
      <w:r>
        <w:rPr>
          <w:rFonts w:ascii="Times New Roman" w:cs="Times New Roman" w:eastAsia="Times New Roman" w:hAnsi="Times New Roman"/>
          <w:sz w:val="14"/>
          <w:szCs w:val="14"/>
          <w:color w:val="auto"/>
        </w:rPr>
        <w:t>CERTIFICATION OF CHIEF FINANCIAL OFFICER PURSUANT TO RULE 13a-14(a) AND RULE 15d-14(a) OF THE SECURITIES EXCHANGE ACT OF 1934 AS ADOPTED PURSUANT TO SECTION 302 OF THE SARBANES-OXLEY ACT OF 2002</w:t>
      </w:r>
    </w:p>
    <w:p>
      <w:pPr>
        <w:spacing w:after="0" w:line="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 Jennifer Phipps, certify that:</w:t>
      </w:r>
    </w:p>
    <w:p>
      <w:pPr>
        <w:spacing w:after="0" w:line="129" w:lineRule="exact"/>
        <w:rPr>
          <w:sz w:val="20"/>
          <w:szCs w:val="20"/>
          <w:color w:val="auto"/>
        </w:rPr>
      </w:pPr>
    </w:p>
    <w:p>
      <w:pPr>
        <w:ind w:left="1160" w:right="899" w:hanging="264"/>
        <w:spacing w:after="0" w:line="292" w:lineRule="auto"/>
        <w:tabs>
          <w:tab w:leader="none" w:pos="11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for the period ended June 30, 2025 of BrightSpring Health Services, Inc.;</w:t>
      </w:r>
    </w:p>
    <w:p>
      <w:pPr>
        <w:spacing w:after="0" w:line="59" w:lineRule="exact"/>
        <w:rPr>
          <w:rFonts w:ascii="Times New Roman" w:cs="Times New Roman" w:eastAsia="Times New Roman" w:hAnsi="Times New Roman"/>
          <w:sz w:val="14"/>
          <w:szCs w:val="14"/>
          <w:color w:val="auto"/>
        </w:rPr>
      </w:pPr>
    </w:p>
    <w:p>
      <w:pPr>
        <w:ind w:left="1160" w:right="659" w:hanging="264"/>
        <w:spacing w:after="0" w:line="274" w:lineRule="auto"/>
        <w:tabs>
          <w:tab w:leader="none" w:pos="11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4"/>
          <w:szCs w:val="14"/>
          <w:color w:val="auto"/>
        </w:rPr>
      </w:pPr>
    </w:p>
    <w:p>
      <w:pPr>
        <w:ind w:left="1160" w:right="719" w:hanging="264"/>
        <w:spacing w:after="0" w:line="274" w:lineRule="auto"/>
        <w:tabs>
          <w:tab w:leader="none" w:pos="11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2" w:lineRule="exact"/>
        <w:rPr>
          <w:rFonts w:ascii="Times New Roman" w:cs="Times New Roman" w:eastAsia="Times New Roman" w:hAnsi="Times New Roman"/>
          <w:sz w:val="14"/>
          <w:szCs w:val="14"/>
          <w:color w:val="auto"/>
        </w:rPr>
      </w:pPr>
    </w:p>
    <w:p>
      <w:pPr>
        <w:ind w:left="1160" w:right="999" w:hanging="264"/>
        <w:spacing w:after="0" w:line="274" w:lineRule="auto"/>
        <w:tabs>
          <w:tab w:leader="none" w:pos="11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4"/>
          <w:szCs w:val="14"/>
          <w:color w:val="auto"/>
        </w:rPr>
      </w:pPr>
    </w:p>
    <w:p>
      <w:pPr>
        <w:ind w:left="1660" w:right="699" w:hanging="249"/>
        <w:spacing w:after="0" w:line="268" w:lineRule="auto"/>
        <w:tabs>
          <w:tab w:leader="none" w:pos="166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Times New Roman" w:cs="Times New Roman" w:eastAsia="Times New Roman" w:hAnsi="Times New Roman"/>
          <w:sz w:val="14"/>
          <w:szCs w:val="14"/>
          <w:color w:val="auto"/>
        </w:rPr>
      </w:pPr>
    </w:p>
    <w:p>
      <w:pPr>
        <w:ind w:left="1660" w:right="679" w:hanging="249"/>
        <w:spacing w:after="0" w:line="271" w:lineRule="auto"/>
        <w:tabs>
          <w:tab w:leader="none" w:pos="166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60" w:lineRule="exact"/>
        <w:rPr>
          <w:rFonts w:ascii="Times New Roman" w:cs="Times New Roman" w:eastAsia="Times New Roman" w:hAnsi="Times New Roman"/>
          <w:sz w:val="14"/>
          <w:szCs w:val="14"/>
          <w:color w:val="auto"/>
        </w:rPr>
      </w:pPr>
    </w:p>
    <w:p>
      <w:pPr>
        <w:ind w:left="1660" w:right="699" w:hanging="249"/>
        <w:spacing w:after="0" w:line="274" w:lineRule="auto"/>
        <w:tabs>
          <w:tab w:leader="none" w:pos="166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Times New Roman" w:cs="Times New Roman" w:eastAsia="Times New Roman" w:hAnsi="Times New Roman"/>
          <w:sz w:val="14"/>
          <w:szCs w:val="14"/>
          <w:color w:val="auto"/>
        </w:rPr>
      </w:pPr>
    </w:p>
    <w:p>
      <w:pPr>
        <w:ind w:left="1660" w:right="799" w:hanging="249"/>
        <w:spacing w:after="0" w:line="268" w:lineRule="auto"/>
        <w:tabs>
          <w:tab w:leader="none" w:pos="166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Times New Roman" w:cs="Times New Roman" w:eastAsia="Times New Roman" w:hAnsi="Times New Roman"/>
          <w:sz w:val="14"/>
          <w:szCs w:val="14"/>
          <w:color w:val="auto"/>
        </w:rPr>
      </w:pPr>
    </w:p>
    <w:p>
      <w:pPr>
        <w:ind w:left="1160" w:right="939" w:hanging="264"/>
        <w:spacing w:after="0" w:line="274" w:lineRule="auto"/>
        <w:tabs>
          <w:tab w:leader="none" w:pos="11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rFonts w:ascii="Times New Roman" w:cs="Times New Roman" w:eastAsia="Times New Roman" w:hAnsi="Times New Roman"/>
          <w:sz w:val="14"/>
          <w:szCs w:val="14"/>
          <w:color w:val="auto"/>
        </w:rPr>
      </w:pPr>
    </w:p>
    <w:p>
      <w:pPr>
        <w:ind w:left="1660" w:right="839" w:hanging="249"/>
        <w:spacing w:after="0" w:line="274" w:lineRule="auto"/>
        <w:tabs>
          <w:tab w:leader="none" w:pos="166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Times New Roman" w:cs="Times New Roman" w:eastAsia="Times New Roman" w:hAnsi="Times New Roman"/>
          <w:sz w:val="14"/>
          <w:szCs w:val="14"/>
          <w:color w:val="auto"/>
        </w:rPr>
      </w:pPr>
    </w:p>
    <w:p>
      <w:pPr>
        <w:ind w:left="1660" w:right="699" w:hanging="249"/>
        <w:spacing w:after="0" w:line="292" w:lineRule="auto"/>
        <w:tabs>
          <w:tab w:leader="none" w:pos="166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520" w:type="dxa"/>
            <w:vAlign w:val="bottom"/>
          </w:tcPr>
          <w:p>
            <w:pPr>
              <w:spacing w:after="0"/>
              <w:rPr>
                <w:sz w:val="16"/>
                <w:szCs w:val="16"/>
                <w:color w:val="auto"/>
              </w:rPr>
            </w:pPr>
          </w:p>
        </w:tc>
        <w:tc>
          <w:tcPr>
            <w:tcW w:w="1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August 1, 2025</w:t>
            </w:r>
          </w:p>
        </w:tc>
        <w:tc>
          <w:tcPr>
            <w:tcW w:w="1560" w:type="dxa"/>
            <w:vAlign w:val="bottom"/>
          </w:tcPr>
          <w:p>
            <w:pPr>
              <w:spacing w:after="0"/>
              <w:rPr>
                <w:sz w:val="16"/>
                <w:szCs w:val="16"/>
                <w:color w:val="auto"/>
              </w:rPr>
            </w:pPr>
          </w:p>
        </w:tc>
        <w:tc>
          <w:tcPr>
            <w:tcW w:w="506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color w:val="auto"/>
              </w:rPr>
              <w:t>/s/ Jennifer Phipps</w:t>
            </w:r>
          </w:p>
        </w:tc>
      </w:tr>
      <w:tr>
        <w:trPr>
          <w:trHeight w:val="170"/>
        </w:trPr>
        <w:tc>
          <w:tcPr>
            <w:tcW w:w="520" w:type="dxa"/>
            <w:vAlign w:val="bottom"/>
          </w:tcPr>
          <w:p>
            <w:pPr>
              <w:spacing w:after="0"/>
              <w:rPr>
                <w:sz w:val="14"/>
                <w:szCs w:val="14"/>
                <w:color w:val="auto"/>
              </w:rPr>
            </w:pPr>
          </w:p>
        </w:tc>
        <w:tc>
          <w:tcPr>
            <w:tcW w:w="16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Date</w:t>
            </w:r>
          </w:p>
        </w:tc>
        <w:tc>
          <w:tcPr>
            <w:tcW w:w="1560" w:type="dxa"/>
            <w:vAlign w:val="bottom"/>
          </w:tcPr>
          <w:p>
            <w:pPr>
              <w:spacing w:after="0"/>
              <w:rPr>
                <w:sz w:val="14"/>
                <w:szCs w:val="14"/>
                <w:color w:val="auto"/>
              </w:rPr>
            </w:pPr>
          </w:p>
        </w:tc>
        <w:tc>
          <w:tcPr>
            <w:tcW w:w="4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Jennifer Phipps</w:t>
            </w:r>
          </w:p>
        </w:tc>
        <w:tc>
          <w:tcPr>
            <w:tcW w:w="840" w:type="dxa"/>
            <w:vAlign w:val="bottom"/>
          </w:tcPr>
          <w:p>
            <w:pPr>
              <w:spacing w:after="0"/>
              <w:rPr>
                <w:sz w:val="14"/>
                <w:szCs w:val="14"/>
                <w:color w:val="auto"/>
              </w:rPr>
            </w:pPr>
          </w:p>
        </w:tc>
      </w:tr>
      <w:tr>
        <w:trPr>
          <w:trHeight w:val="183"/>
        </w:trPr>
        <w:tc>
          <w:tcPr>
            <w:tcW w:w="5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06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r>
        <w:trPr>
          <w:trHeight w:val="186"/>
        </w:trPr>
        <w:tc>
          <w:tcPr>
            <w:tcW w:w="5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06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color w:val="auto"/>
              </w:rPr>
              <w:t>(Principal Financial Officer)</w:t>
            </w:r>
          </w:p>
        </w:tc>
      </w:tr>
      <w:tr>
        <w:trPr>
          <w:trHeight w:val="883"/>
        </w:trPr>
        <w:tc>
          <w:tcPr>
            <w:tcW w:w="5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55" w:name="page56"/>
    <w:bookmarkEnd w:id="55"/>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2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b w:val="1"/>
          <w:bCs w:val="1"/>
          <w:color w:val="auto"/>
        </w:rPr>
        <w:t>BRIGHTSPRING HEALTH SERVICES, INC.</w:t>
      </w:r>
    </w:p>
    <w:p>
      <w:pPr>
        <w:spacing w:after="0" w:line="1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CERTIFICATION OF CHIEF EXECUTIVE OFFICER PURSUANT TO 18 U.S.C. SECTION 1350 AS ADOPTED PURSUANT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TO SECTION 906 OF THE SARBANES-OXLEY ACT OF 2002</w:t>
      </w:r>
    </w:p>
    <w:p>
      <w:pPr>
        <w:spacing w:after="0" w:line="200" w:lineRule="exact"/>
        <w:rPr>
          <w:sz w:val="20"/>
          <w:szCs w:val="20"/>
          <w:color w:val="auto"/>
        </w:rPr>
      </w:pPr>
    </w:p>
    <w:p>
      <w:pPr>
        <w:spacing w:after="0" w:line="205" w:lineRule="exact"/>
        <w:rPr>
          <w:sz w:val="20"/>
          <w:szCs w:val="20"/>
          <w:color w:val="auto"/>
        </w:rPr>
      </w:pPr>
    </w:p>
    <w:p>
      <w:pPr>
        <w:ind w:left="640" w:right="679"/>
        <w:spacing w:after="0" w:line="268" w:lineRule="auto"/>
        <w:rPr>
          <w:sz w:val="20"/>
          <w:szCs w:val="20"/>
          <w:color w:val="auto"/>
        </w:rPr>
      </w:pPr>
      <w:r>
        <w:rPr>
          <w:rFonts w:ascii="Times New Roman" w:cs="Times New Roman" w:eastAsia="Times New Roman" w:hAnsi="Times New Roman"/>
          <w:sz w:val="14"/>
          <w:szCs w:val="14"/>
          <w:color w:val="auto"/>
        </w:rPr>
        <w:t>In connection with the Quarterly Report of BrightSpring Health Services, Inc. (the Company) on Form 10-Q for the period ended June 30, 2025, as filed with the Securities and Exchange Commission on the date of the signatures below (the Report), Jon Rousseau, Chairman, President, and Chief Executive Officer of the Company, do hereby certify, pursuant to 18 U.S.C. Section 1350, as adopted pursuant to Section 906 of the Sarbanes-Oxley Act of 2002, that, to the best of their respective knowledge:</w:t>
      </w:r>
    </w:p>
    <w:p>
      <w:pPr>
        <w:spacing w:after="0" w:line="76" w:lineRule="exact"/>
        <w:rPr>
          <w:sz w:val="20"/>
          <w:szCs w:val="20"/>
          <w:color w:val="auto"/>
        </w:rPr>
      </w:pPr>
    </w:p>
    <w:p>
      <w:pPr>
        <w:ind w:left="1160" w:right="819" w:hanging="264"/>
        <w:spacing w:after="0" w:line="292" w:lineRule="auto"/>
        <w:tabs>
          <w:tab w:leader="none" w:pos="11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Section 15(d) of the Securities Exchange Act of 1934; and</w:t>
      </w:r>
    </w:p>
    <w:p>
      <w:pPr>
        <w:spacing w:after="0" w:line="70" w:lineRule="exact"/>
        <w:rPr>
          <w:rFonts w:ascii="Times New Roman" w:cs="Times New Roman" w:eastAsia="Times New Roman" w:hAnsi="Times New Roman"/>
          <w:sz w:val="14"/>
          <w:szCs w:val="14"/>
          <w:color w:val="auto"/>
        </w:rPr>
      </w:pPr>
    </w:p>
    <w:p>
      <w:pPr>
        <w:ind w:left="1160" w:right="1179" w:hanging="264"/>
        <w:spacing w:after="0" w:line="292" w:lineRule="auto"/>
        <w:tabs>
          <w:tab w:leader="none" w:pos="11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349"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1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August 1, 2025</w:t>
            </w:r>
          </w:p>
        </w:tc>
        <w:tc>
          <w:tcPr>
            <w:tcW w:w="1560" w:type="dxa"/>
            <w:vAlign w:val="bottom"/>
          </w:tcPr>
          <w:p>
            <w:pPr>
              <w:spacing w:after="0"/>
              <w:rPr>
                <w:sz w:val="16"/>
                <w:szCs w:val="16"/>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Jon Rousseau</w:t>
            </w:r>
          </w:p>
        </w:tc>
      </w:tr>
      <w:tr>
        <w:trPr>
          <w:trHeight w:val="170"/>
        </w:trPr>
        <w:tc>
          <w:tcPr>
            <w:tcW w:w="1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Date</w:t>
            </w:r>
          </w:p>
        </w:tc>
        <w:tc>
          <w:tcPr>
            <w:tcW w:w="1560" w:type="dxa"/>
            <w:vAlign w:val="bottom"/>
          </w:tcPr>
          <w:p>
            <w:pPr>
              <w:spacing w:after="0"/>
              <w:rPr>
                <w:sz w:val="14"/>
                <w:szCs w:val="14"/>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Jon Rousseau</w:t>
            </w:r>
          </w:p>
        </w:tc>
      </w:tr>
      <w:tr>
        <w:trPr>
          <w:trHeight w:val="183"/>
        </w:trPr>
        <w:tc>
          <w:tcPr>
            <w:tcW w:w="1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tc>
      </w:tr>
      <w:tr>
        <w:trPr>
          <w:trHeight w:val="186"/>
        </w:trPr>
        <w:tc>
          <w:tcPr>
            <w:tcW w:w="16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pacing w:after="0" w:line="276" w:lineRule="exact"/>
        <w:rPr>
          <w:sz w:val="20"/>
          <w:szCs w:val="20"/>
          <w:color w:val="auto"/>
        </w:rPr>
      </w:pPr>
    </w:p>
    <w:p>
      <w:pPr>
        <w:jc w:val="both"/>
        <w:ind w:left="640" w:right="699"/>
        <w:spacing w:after="0" w:line="268" w:lineRule="auto"/>
        <w:rPr>
          <w:sz w:val="20"/>
          <w:szCs w:val="20"/>
          <w:color w:val="auto"/>
        </w:rPr>
      </w:pPr>
      <w:r>
        <w:rPr>
          <w:rFonts w:ascii="Times New Roman" w:cs="Times New Roman" w:eastAsia="Times New Roman" w:hAnsi="Times New Roman"/>
          <w:sz w:val="14"/>
          <w:szCs w:val="14"/>
          <w:color w:val="auto"/>
        </w:rPr>
        <w:t>This certification accompanies the Report to which it relates, is not deemed filed with the Securities and Exchange Commission and is not to be incorporated by reference into any filing of BrightSpring Health Services,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610870</wp:posOffset>
            </wp:positionV>
            <wp:extent cx="5603875" cy="387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56" w:name="page57"/>
    <w:bookmarkEnd w:id="56"/>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2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b w:val="1"/>
          <w:bCs w:val="1"/>
          <w:color w:val="auto"/>
        </w:rPr>
        <w:t>BRIGHTSPRING HEALTH SERVICES, INC.</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CERTIFICATION OF CHIEF FINANCIAL OFFICER PURSUANT TO 18 U.S.C. SECTION 1350 AS ADOPTED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ind w:left="640" w:right="679"/>
        <w:spacing w:after="0" w:line="268" w:lineRule="auto"/>
        <w:rPr>
          <w:sz w:val="20"/>
          <w:szCs w:val="20"/>
          <w:color w:val="auto"/>
        </w:rPr>
      </w:pPr>
      <w:r>
        <w:rPr>
          <w:rFonts w:ascii="Times New Roman" w:cs="Times New Roman" w:eastAsia="Times New Roman" w:hAnsi="Times New Roman"/>
          <w:sz w:val="14"/>
          <w:szCs w:val="14"/>
          <w:color w:val="auto"/>
        </w:rPr>
        <w:t>In connection with the Quarterly Report of BrightSpring Health Services, Inc. (the Company) on Form 10-Q for the period ended June 30, 2025, as filed with the Securities and Exchange Commission on the date of the signatures below (the Report), Jennifer Phipps, Executive Vice President and Chief Financial Officer of the Company, do hereby certify, pursuant to 18 U.S.C. Section 1350, as adopted pursuant to Section 906 of the Sarbanes-Oxley Act of 2002, that, to the best of their respective knowledge:</w:t>
      </w:r>
    </w:p>
    <w:p>
      <w:pPr>
        <w:spacing w:after="0" w:line="76" w:lineRule="exact"/>
        <w:rPr>
          <w:sz w:val="20"/>
          <w:szCs w:val="20"/>
          <w:color w:val="auto"/>
        </w:rPr>
      </w:pPr>
    </w:p>
    <w:p>
      <w:pPr>
        <w:ind w:left="1160" w:right="819" w:hanging="264"/>
        <w:spacing w:after="0" w:line="292" w:lineRule="auto"/>
        <w:tabs>
          <w:tab w:leader="none" w:pos="1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Section 15(d) of the Securities Exchange Act of 1934; and</w:t>
      </w:r>
    </w:p>
    <w:p>
      <w:pPr>
        <w:spacing w:after="0" w:line="70" w:lineRule="exact"/>
        <w:rPr>
          <w:rFonts w:ascii="Times New Roman" w:cs="Times New Roman" w:eastAsia="Times New Roman" w:hAnsi="Times New Roman"/>
          <w:sz w:val="14"/>
          <w:szCs w:val="14"/>
          <w:color w:val="auto"/>
        </w:rPr>
      </w:pPr>
    </w:p>
    <w:p>
      <w:pPr>
        <w:ind w:left="1160" w:right="1179" w:hanging="264"/>
        <w:spacing w:after="0" w:line="292" w:lineRule="auto"/>
        <w:tabs>
          <w:tab w:leader="none" w:pos="1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349"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1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August 1, 2025</w:t>
            </w:r>
          </w:p>
        </w:tc>
        <w:tc>
          <w:tcPr>
            <w:tcW w:w="1560" w:type="dxa"/>
            <w:vAlign w:val="bottom"/>
          </w:tcPr>
          <w:p>
            <w:pPr>
              <w:spacing w:after="0"/>
              <w:rPr>
                <w:sz w:val="16"/>
                <w:szCs w:val="16"/>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Jennifer Phipps</w:t>
            </w:r>
          </w:p>
        </w:tc>
      </w:tr>
      <w:tr>
        <w:trPr>
          <w:trHeight w:val="170"/>
        </w:trPr>
        <w:tc>
          <w:tcPr>
            <w:tcW w:w="1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Date</w:t>
            </w:r>
          </w:p>
        </w:tc>
        <w:tc>
          <w:tcPr>
            <w:tcW w:w="1560" w:type="dxa"/>
            <w:vAlign w:val="bottom"/>
          </w:tcPr>
          <w:p>
            <w:pPr>
              <w:spacing w:after="0"/>
              <w:rPr>
                <w:sz w:val="14"/>
                <w:szCs w:val="14"/>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Jennifer Phipps</w:t>
            </w:r>
          </w:p>
        </w:tc>
      </w:tr>
      <w:tr>
        <w:trPr>
          <w:trHeight w:val="183"/>
        </w:trPr>
        <w:tc>
          <w:tcPr>
            <w:tcW w:w="1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r>
        <w:trPr>
          <w:trHeight w:val="186"/>
        </w:trPr>
        <w:tc>
          <w:tcPr>
            <w:tcW w:w="16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Financial Officer)</w:t>
            </w:r>
          </w:p>
        </w:tc>
      </w:tr>
    </w:tbl>
    <w:p>
      <w:pPr>
        <w:spacing w:after="0" w:line="276" w:lineRule="exact"/>
        <w:rPr>
          <w:sz w:val="20"/>
          <w:szCs w:val="20"/>
          <w:color w:val="auto"/>
        </w:rPr>
      </w:pPr>
    </w:p>
    <w:p>
      <w:pPr>
        <w:jc w:val="both"/>
        <w:ind w:left="640" w:right="699"/>
        <w:spacing w:after="0" w:line="268" w:lineRule="auto"/>
        <w:rPr>
          <w:sz w:val="20"/>
          <w:szCs w:val="20"/>
          <w:color w:val="auto"/>
        </w:rPr>
      </w:pPr>
      <w:r>
        <w:rPr>
          <w:rFonts w:ascii="Times New Roman" w:cs="Times New Roman" w:eastAsia="Times New Roman" w:hAnsi="Times New Roman"/>
          <w:sz w:val="14"/>
          <w:szCs w:val="14"/>
          <w:color w:val="auto"/>
        </w:rPr>
        <w:t>This certification accompanies the Report to which it relates, is not deemed filed with the Securities and Exchange Commission and is not to be incorporated by reference into any filing of BrightSpring Health Services,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610870</wp:posOffset>
            </wp:positionV>
            <wp:extent cx="5603875" cy="387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57" w:name="page58"/>
    <w:bookmarkEnd w:id="5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upperLetter"/>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decimal"/>
    </w:lvl>
    <w:lvl w:ilvl="1">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decimal"/>
    </w:lvl>
    <w:lvl w:ilvl="1">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lvl>
    <w:lvl w:ilvl="1">
      <w:lvlJc w:val="left"/>
      <w:lvlText w:val="•"/>
      <w:numFmt w:val="bullet"/>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4"/>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1"/>
      <w:numFmt w:val="decimal"/>
      <w:start w:val="104"/>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67" Type="http://schemas.openxmlformats.org/officeDocument/2006/relationships/image" Target="media/image452.png"/><Relationship Id="rId468" Type="http://schemas.openxmlformats.org/officeDocument/2006/relationships/image" Target="media/image453.png"/><Relationship Id="rId469" Type="http://schemas.openxmlformats.org/officeDocument/2006/relationships/image" Target="media/image454.png"/><Relationship Id="rId470" Type="http://schemas.openxmlformats.org/officeDocument/2006/relationships/image" Target="media/image455.png"/><Relationship Id="rId471" Type="http://schemas.openxmlformats.org/officeDocument/2006/relationships/image" Target="media/image456.png"/><Relationship Id="rId472" Type="http://schemas.openxmlformats.org/officeDocument/2006/relationships/image" Target="media/image457.png"/><Relationship Id="rId473" Type="http://schemas.openxmlformats.org/officeDocument/2006/relationships/image" Target="media/image458.png"/><Relationship Id="rId474" Type="http://schemas.openxmlformats.org/officeDocument/2006/relationships/image" Target="media/image459.png"/><Relationship Id="rId475" Type="http://schemas.openxmlformats.org/officeDocument/2006/relationships/image" Target="media/image460.png"/><Relationship Id="rId459" Type="http://schemas.openxmlformats.org/officeDocument/2006/relationships/hyperlink" Target="https://www.sec.gov/Archives/edgar/data/1865782/000119312524019479/d925158dex31.htm" TargetMode="External"/><Relationship Id="rId460" Type="http://schemas.openxmlformats.org/officeDocument/2006/relationships/hyperlink" Target="https://www.sec.gov/Archives/edgar/data/1865782/000119312524019479/d925158dex32.htm" TargetMode="External"/><Relationship Id="rId461" Type="http://schemas.openxmlformats.org/officeDocument/2006/relationships/hyperlink" Target="https://www.sec.gov/Archives/edgar/data/1865782/000119312524019479/d925158dex41.htm" TargetMode="External"/><Relationship Id="rId462" Type="http://schemas.openxmlformats.org/officeDocument/2006/relationships/hyperlink" Target="https://www.sec.gov/Archives/edgar/data/1865782/000119312524019479/d925158dex44.htm" TargetMode="External"/><Relationship Id="rId463" Type="http://schemas.openxmlformats.org/officeDocument/2006/relationships/hyperlink" Target="https://www.sec.gov/Archives/edgar/data/1865782/000119312524019479/d925158dex45.htm" TargetMode="External"/><Relationship Id="rId464" Type="http://schemas.openxmlformats.org/officeDocument/2006/relationships/hyperlink" Target="https://www.sec.gov/Archives/edgar/data/1865782/000119312524005605/d251968dex41.htm" TargetMode="External"/><Relationship Id="rId465" Type="http://schemas.openxmlformats.org/officeDocument/2006/relationships/hyperlink" Target="https://www.sec.gov/Archives/edgar/data/1865782/000095017025054320/btsg-ex10_1.htm" TargetMode="External"/><Relationship Id="rId466" Type="http://schemas.openxmlformats.org/officeDocument/2006/relationships/hyperlink" Target="https://www.sec.gov/Archives/edgar/data/1865782/000095017025088587/btsg-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2025-08-01T07:51:26Z</dcterms:created>
  <dcterms:modified xsi:type="dcterms:W3CDTF">2025-08-01T07:51:26Z</dcterms:modified>
</cp:coreProperties>
</file>