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84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Barnes Robert Allen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60"/>
        <w:spacing w:after="0" w:line="343" w:lineRule="auto"/>
        <w:rPr>
          <w:sz w:val="20"/>
          <w:szCs w:val="20"/>
          <w:color w:val="auto"/>
        </w:rPr>
      </w:pPr>
      <w:r>
        <w:rPr>
          <w:rFonts w:ascii="Times New Roman" w:cs="Times New Roman" w:eastAsia="Times New Roman" w:hAnsi="Times New Roman"/>
          <w:sz w:val="17"/>
          <w:szCs w:val="17"/>
          <w:color w:val="0000FF"/>
        </w:rPr>
        <w:t>C/O BRIGHTSPRING HEALTH SERVICES, INC. 805 N. WHITTINGTON PARKWAY</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LOUISVILLE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KY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40222</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BrightSpring Health Services,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BTSG</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20" w:type="dxa"/>
            <w:vAlign w:val="bottom"/>
            <w:tcBorders>
              <w:bottom w:val="single" w:sz="8" w:color="0000EE"/>
            </w:tcBorders>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00" w:type="dxa"/>
            <w:vAlign w:val="bottom"/>
            <w:gridSpan w:val="2"/>
            <w:vMerge w:val="restart"/>
          </w:tcPr>
          <w:p>
            <w:pPr>
              <w:ind w:left="460"/>
              <w:spacing w:after="0"/>
              <w:rPr>
                <w:sz w:val="20"/>
                <w:szCs w:val="20"/>
                <w:color w:val="auto"/>
              </w:rPr>
            </w:pPr>
            <w:r>
              <w:rPr>
                <w:rFonts w:ascii="Times New Roman" w:cs="Times New Roman" w:eastAsia="Times New Roman" w:hAnsi="Times New Roman"/>
                <w:sz w:val="17"/>
                <w:szCs w:val="17"/>
                <w:color w:val="0000FF"/>
              </w:rPr>
              <w:t>President, Community Living</w:t>
            </w:r>
          </w:p>
        </w:tc>
        <w:tc>
          <w:tcPr>
            <w:tcW w:w="0" w:type="dxa"/>
            <w:vAlign w:val="bottom"/>
          </w:tcPr>
          <w:p>
            <w:pPr>
              <w:spacing w:after="0"/>
              <w:rPr>
                <w:sz w:val="1"/>
                <w:szCs w:val="1"/>
                <w:color w:val="auto"/>
              </w:rPr>
            </w:pPr>
          </w:p>
        </w:tc>
      </w:tr>
      <w:tr>
        <w:trPr>
          <w:trHeight w:val="217"/>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03/04/2026</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6.37</w:t>
            </w:r>
          </w:p>
        </w:tc>
        <w:tc>
          <w:tcPr>
            <w:tcW w:w="1080" w:type="dxa"/>
            <w:vAlign w:val="bottom"/>
          </w:tcPr>
          <w:p>
            <w:pPr>
              <w:jc w:val="right"/>
              <w:ind w:right="179"/>
              <w:spacing w:after="0"/>
              <w:rPr>
                <w:sz w:val="20"/>
                <w:szCs w:val="20"/>
                <w:color w:val="auto"/>
              </w:rPr>
            </w:pPr>
            <w:r>
              <w:rPr>
                <w:rFonts w:ascii="Times New Roman" w:cs="Times New Roman" w:eastAsia="Times New Roman" w:hAnsi="Times New Roman"/>
                <w:sz w:val="13"/>
                <w:szCs w:val="13"/>
                <w:color w:val="0000FF"/>
              </w:rPr>
              <w:t>03/03/2026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jc w:val="right"/>
              <w:ind w:right="21"/>
              <w:spacing w:after="0"/>
              <w:rPr>
                <w:sz w:val="20"/>
                <w:szCs w:val="20"/>
                <w:color w:val="auto"/>
              </w:rPr>
            </w:pPr>
            <w:r>
              <w:rPr>
                <w:rFonts w:ascii="Times New Roman" w:cs="Times New Roman" w:eastAsia="Times New Roman" w:hAnsi="Times New Roman"/>
                <w:sz w:val="13"/>
                <w:szCs w:val="13"/>
                <w:color w:val="0000FF"/>
              </w:rPr>
              <w:t>35,331</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09/24/2029</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5"/>
              <w:spacing w:after="0" w:line="194" w:lineRule="exact"/>
              <w:rPr>
                <w:sz w:val="20"/>
                <w:szCs w:val="20"/>
                <w:color w:val="auto"/>
              </w:rPr>
            </w:pPr>
            <w:r>
              <w:rPr>
                <w:rFonts w:ascii="Times New Roman" w:cs="Times New Roman" w:eastAsia="Times New Roman" w:hAnsi="Times New Roman"/>
                <w:sz w:val="17"/>
                <w:szCs w:val="17"/>
                <w:color w:val="0000FF"/>
                <w:w w:val="94"/>
              </w:rPr>
              <w:t>35,331</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jc w:val="right"/>
              <w:ind w:right="201"/>
              <w:spacing w:after="0"/>
              <w:rPr>
                <w:sz w:val="20"/>
                <w:szCs w:val="20"/>
                <w:color w:val="auto"/>
              </w:rPr>
            </w:pPr>
            <w:r>
              <w:rPr>
                <w:rFonts w:ascii="Times New Roman" w:cs="Times New Roman" w:eastAsia="Times New Roman" w:hAnsi="Times New Roman"/>
                <w:sz w:val="13"/>
                <w:szCs w:val="13"/>
                <w:color w:val="0000FF"/>
              </w:rPr>
              <w:t>113,718</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7.01</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03/03/2026</w:t>
            </w:r>
          </w:p>
        </w:tc>
        <w:tc>
          <w:tcPr>
            <w:tcW w:w="110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2,944</w:t>
            </w: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05/12/2030</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0000FF"/>
              </w:rPr>
              <w:t>2,944</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241"/>
              <w:spacing w:after="0"/>
              <w:rPr>
                <w:sz w:val="20"/>
                <w:szCs w:val="20"/>
                <w:color w:val="auto"/>
              </w:rPr>
            </w:pPr>
            <w:r>
              <w:rPr>
                <w:rFonts w:ascii="Times New Roman" w:cs="Times New Roman" w:eastAsia="Times New Roman" w:hAnsi="Times New Roman"/>
                <w:sz w:val="13"/>
                <w:szCs w:val="13"/>
                <w:color w:val="0000FF"/>
              </w:rPr>
              <w:t>11,776</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new stock options have been awarded. The transaction reported herein reflects vesting of performance-based stock options ("2019 Performance Options") previously awarded to the Reporting Person on September 24, 2019, vesting subject to performance conditions that were subsequently satisfied on March 4, 2026. The 2019 Performance Options are fully vested.</w:t>
      </w:r>
    </w:p>
    <w:p>
      <w:pPr>
        <w:spacing w:after="0" w:line="17"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new stock options have been awarded. The transaction reported herein reflects vesting of performance-based stock options ("2020 Performance Options") previously awarded to the Reporting Person on May 12, 2020, vesting subject to performance conditions that were subsequently satisfied on March 4, 2026. The 2020 Performance Options are fully vested.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Jennifer Phipps, as</w:t>
            </w:r>
          </w:p>
        </w:tc>
        <w:tc>
          <w:tcPr>
            <w:tcW w:w="7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03/06/2026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91193" TargetMode="External"/><Relationship Id="rId14" Type="http://schemas.openxmlformats.org/officeDocument/2006/relationships/hyperlink" Target="http://www.sec.gov/cgi-bin/browse-edgar?action=getcompany&amp;CIK=00018657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2026-03-06T18:45:42Z</dcterms:created>
  <dcterms:modified xsi:type="dcterms:W3CDTF">2026-03-06T18:45:42Z</dcterms:modified>
</cp:coreProperties>
</file>