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tsg-20260731.htm"/>
      <w:bookmarkStart w:id="1" w:name="ksbtsg2026073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99" w:type="dxa"/>
        <w:jc w:val="left"/>
        <w:tblInd w:w="0" w:type="dxa"/>
        <w:tblLayout w:type="fixed"/>
        <w:tblCellMar>
          <w:top w:w="28" w:type="dxa"/>
          <w:left w:w="28" w:type="dxa"/>
          <w:bottom w:w="28" w:type="dxa"/>
          <w:right w:w="28" w:type="dxa"/>
        </w:tblCellMar>
      </w:tblPr>
      <w:tblGrid>
        <w:gridCol w:w="5399"/>
      </w:tblGrid>
      <w:tr>
        <w:trPr/>
        <w:tc>
          <w:tcPr>
            <w:tcW w:w="5399" w:type="dxa"/>
            <w:tcBorders/>
            <w:vAlign w:val="center"/>
          </w:tcPr>
          <w:p>
            <w:pPr>
              <w:pStyle w:val="TableContents"/>
              <w:bidi w:val="0"/>
              <w:spacing w:before="0" w:after="283"/>
              <w:jc w:val="left"/>
              <w:rPr>
                <w:sz w:val="4"/>
                <w:szCs w:val="4"/>
              </w:rPr>
            </w:pPr>
            <w:r>
              <w:rPr>
                <w:sz w:val="4"/>
                <w:szCs w:val="4"/>
              </w:rPr>
            </w:r>
          </w:p>
        </w:tc>
      </w:tr>
      <w:tr>
        <w:trPr/>
        <w:tc>
          <w:tcPr>
            <w:tcW w:w="53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July 31,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BrightSpring Health Services,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82-2956404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805 N. Whittington Parkway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Louisville, Kentucky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502</w:t>
            </w:r>
            <w:r>
              <w:rPr>
                <w:rFonts w:ascii="Times New Roman" w:hAnsi="Times New Roman"/>
                <w:color w:val="000000"/>
                <w:sz w:val="20"/>
              </w:rPr>
              <w:t xml:space="preserve"> </w:t>
            </w:r>
            <w:r>
              <w:rPr>
                <w:rFonts w:ascii="Times New Roman" w:hAnsi="Times New Roman"/>
                <w:b/>
                <w:color w:val="000000"/>
                <w:sz w:val="20"/>
              </w:rPr>
              <w:t>394-2100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BTSG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6.75% Tangible Equity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BTSGU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31, 2026, BrightSpring Health Services, Inc. issued a press release announcing its financial results for the quarter ended June 30, 2026. A copy of the press release is furnished as Exhibit 99.1 to this Current Report on Form 8-K and incorporated by reference in this Item 2.02.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(d) Exhibits.</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btsg-ex99_1.htm">
              <w:r>
                <w:rPr>
                  <w:rStyle w:val="InternetLink"/>
                  <w:rFonts w:ascii="Times New Roman" w:hAnsi="Times New Roman"/>
                  <w:color w:val="0000FF"/>
                  <w:sz w:val="20"/>
                  <w:u w:val="single"/>
                </w:rPr>
                <w:t>Press Release of BrightSpring Health Services, Inc., dated July 31,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44" w:type="dxa"/>
        <w:jc w:val="left"/>
        <w:tblInd w:w="0" w:type="dxa"/>
        <w:tblLayout w:type="fixed"/>
        <w:tblCellMar>
          <w:top w:w="28" w:type="dxa"/>
          <w:left w:w="28" w:type="dxa"/>
          <w:bottom w:w="28" w:type="dxa"/>
          <w:right w:w="28" w:type="dxa"/>
        </w:tblCellMar>
      </w:tblPr>
      <w:tblGrid>
        <w:gridCol w:w="556"/>
        <w:gridCol w:w="1216"/>
        <w:gridCol w:w="63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BRIGHTSPRING HEALTH SERVICES,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31,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Jennifer Phipps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Jennifer Phipps</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btsg-ex99_1.htm"/>
      <w:bookmarkStart w:id="3" w:name="ksbtsgex99_1"/>
      <w:bookmarkEnd w:id="2"/>
      <w:bookmarkEnd w:id="3"/>
      <w:r>
        <w:rPr/>
        <w:t> </w:t>
      </w:r>
      <w:r>
        <w:br w:type="page"/>
      </w:r>
    </w:p>
    <w:p>
      <w:pPr>
        <w:pStyle w:val="TextBody"/>
        <w:bidi w:val="0"/>
        <w:jc w:val="right"/>
        <w:rPr/>
      </w:pPr>
      <w:r>
        <w:rPr/>
        <w:t> </w:t>
      </w:r>
    </w:p>
    <w:p>
      <w:pPr>
        <w:pStyle w:val="TextBody"/>
        <w:bidi w:val="0"/>
        <w:jc w:val="center"/>
        <w:rPr>
          <w:rFonts w:ascii="sans-serif" w:hAnsi="sans-serif"/>
          <w:b/>
          <w:color w:val="000000"/>
          <w:sz w:val="24"/>
        </w:rPr>
      </w:pPr>
      <w:r>
        <w:rPr>
          <w:rFonts w:ascii="sans-serif" w:hAnsi="sans-serif"/>
          <w:b/>
          <w:color w:val="000000"/>
          <w:sz w:val="24"/>
        </w:rPr>
        <w:t>BrightSpring Health Services, Inc. Reports Second Quarter 2026 Financial Results and Increases Full Year 2026 Guidance</w:t>
      </w:r>
    </w:p>
    <w:p>
      <w:pPr>
        <w:pStyle w:val="TextBody"/>
        <w:bidi w:val="0"/>
        <w:jc w:val="both"/>
        <w:rPr/>
      </w:pPr>
      <w:r>
        <w:rPr/>
        <w:t> </w:t>
      </w:r>
    </w:p>
    <w:p>
      <w:pPr>
        <w:pStyle w:val="TextBody"/>
        <w:bidi w:val="0"/>
        <w:jc w:val="left"/>
        <w:rPr>
          <w:rFonts w:ascii="Times New Roman" w:hAnsi="Times New Roman"/>
          <w:sz w:val="20"/>
        </w:rPr>
      </w:pPr>
      <w:r>
        <w:rPr>
          <w:rFonts w:ascii="sans-serif" w:hAnsi="sans-serif"/>
          <w:b/>
          <w:color w:val="000000"/>
          <w:sz w:val="22"/>
        </w:rPr>
        <w:t xml:space="preserve">LOUISVILLE, Ky., July 31, 2026 </w:t>
      </w:r>
      <w:r>
        <w:rPr>
          <w:rFonts w:ascii="Times New Roman" w:hAnsi="Times New Roman"/>
          <w:color w:val="000000"/>
          <w:sz w:val="20"/>
        </w:rPr>
        <w:t xml:space="preserve">— </w:t>
      </w:r>
      <w:r>
        <w:rPr>
          <w:rFonts w:ascii="sans-serif" w:hAnsi="sans-serif"/>
          <w:color w:val="000000"/>
          <w:sz w:val="22"/>
        </w:rPr>
        <w:t>BrightSpring Health Services, Inc. (“BrightSpring” or the “Company”) (NASDAQ: BTSG), a leading provider of home and community-based health services for complex populations, today announced financial results for the second quarter ended June 30, 2026, and increased full year 2026 Revenue and Adjusted EBITDA</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guidance.</w:t>
      </w:r>
    </w:p>
    <w:p>
      <w:pPr>
        <w:pStyle w:val="TextBody"/>
        <w:bidi w:val="0"/>
        <w:spacing w:before="0" w:after="12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Highlights</w:t>
      </w:r>
    </w:p>
    <w:p>
      <w:pPr>
        <w:pStyle w:val="TextBody"/>
        <w:bidi w:val="0"/>
        <w:spacing w:before="0" w:after="120"/>
        <w:jc w:val="left"/>
        <w:rPr>
          <w:rFonts w:ascii="Times New Roman" w:hAnsi="Times New Roman"/>
          <w:sz w:val="20"/>
        </w:rPr>
      </w:pPr>
      <w:r>
        <w:rPr>
          <w:rFonts w:ascii="sans-serif" w:hAnsi="sans-serif"/>
          <w:i/>
          <w:color w:val="000000"/>
          <w:sz w:val="22"/>
        </w:rPr>
        <w:t>(note: On March 30, 2026, BrightSpring completed the divestiture of the Community Living business and as such, all financial results provided pertain to continuing operations)</w:t>
      </w:r>
      <w:r>
        <w:rPr>
          <w:rFonts w:ascii="Times New Roman" w:hAnsi="Times New Roman"/>
          <w:color w:val="000000"/>
          <w:sz w:val="20"/>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revenue of $3,873 million, up 23.0% compared to $3,148 million in the second quarter of 2025</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Gross profit of $493 million, up 31.5% compared to $375 million in the second quarter of 2025</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income of $87 million compared to $9 million in the second quarter of 2025</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pPr>
      <w:r>
        <w:rPr>
          <w:rFonts w:ascii="sans-serif" w:hAnsi="sans-serif"/>
          <w:color w:val="000000"/>
          <w:sz w:val="22"/>
        </w:rPr>
        <w:t>Adjusted EBITDA</w:t>
      </w:r>
      <w:r>
        <w:rPr>
          <w:rFonts w:ascii="sans-serif" w:hAnsi="sans-serif"/>
          <w:color w:val="000000"/>
          <w:sz w:val="15"/>
        </w:rPr>
        <w:t>1</w:t>
      </w:r>
      <w:r>
        <w:rPr>
          <w:color w:val="000000"/>
        </w:rPr>
        <w:t xml:space="preserve"> </w:t>
      </w:r>
      <w:r>
        <w:rPr>
          <w:rFonts w:ascii="sans-serif" w:hAnsi="sans-serif"/>
          <w:color w:val="000000"/>
          <w:sz w:val="22"/>
        </w:rPr>
        <w:t>of $206 million, up 44.2% compared to $143 million in the second quarter of 2025</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Leverage of 2.15x as of June 30, 2026, compared to leverage of 2.27x on March 31, 2026</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$300.0M paydown and concurrent modification of the First Lien Facility, including interest rate refinancings that resulted in interest savings</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Completion of an underwritten secondary offering of common stock by affiliates of Kohlberg Kravis Roberts &amp; Co. L.P. and certain members of management in June 2026, and a concurrent $60.0 million repurchase of 1,026,465 shares of common stock from the underwriter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"We are pleased with the Company’s second quarter results that reflect our quality focus, service level performance, and dedication to the patients we serve," said Jon Rousseau, Chairman, President, and Chief Executive Officer of BrightSpring. "We remain grounded in disciplined operational execution and delivering high-quality and effective care. Our service lines have significant long-term opportunity to better address the needs of all healthcare stakeholders, and we remain committed to innovation and leadership in our industry to impact more patients in the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sans-serif" w:hAnsi="sans-serif"/>
          <w:color w:val="000000"/>
          <w:sz w:val="20"/>
        </w:rPr>
        <w:t>Adjusted EBITDA is a non-GAAP financial measure. Please see “Non-GAAP Financial Information” at the end of this press release for a reconciliation of Adjusted EBITDA to net income from continuing operations, the most directly comparable financial measure prepared in accordance with GAAP.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Key Financials</w:t>
      </w:r>
      <w:r>
        <w:rPr>
          <w:rFonts w:ascii="sans-serif" w:hAnsi="sans-serif"/>
          <w:b/>
          <w:color w:val="000000"/>
          <w:sz w:val="15"/>
        </w:rPr>
        <w:t>3</w:t>
      </w:r>
      <w:r>
        <w:rPr>
          <w:rFonts w:ascii="Times New Roman" w:hAnsi="Times New Roman"/>
          <w:color w:val="000000"/>
          <w:sz w:val="20"/>
        </w:rPr>
        <w:t xml:space="preserve"> </w:t>
      </w:r>
    </w:p>
    <w:p>
      <w:pPr>
        <w:pStyle w:val="TextBody"/>
        <w:bidi w:val="0"/>
        <w:jc w:val="left"/>
        <w:rPr/>
      </w:pPr>
      <w:r>
        <w:rPr/>
        <w:t> </w:t>
      </w:r>
    </w:p>
    <w:tbl>
      <w:tblPr>
        <w:tblW w:w="9366" w:type="dxa"/>
        <w:jc w:val="left"/>
        <w:tblInd w:w="0" w:type="dxa"/>
        <w:tblLayout w:type="fixed"/>
        <w:tblCellMar>
          <w:top w:w="28" w:type="dxa"/>
          <w:left w:w="28" w:type="dxa"/>
          <w:bottom w:w="28" w:type="dxa"/>
          <w:right w:w="28" w:type="dxa"/>
        </w:tblCellMar>
      </w:tblPr>
      <w:tblGrid>
        <w:gridCol w:w="2971"/>
        <w:gridCol w:w="1114"/>
        <w:gridCol w:w="157"/>
        <w:gridCol w:w="1114"/>
        <w:gridCol w:w="146"/>
        <w:gridCol w:w="571"/>
        <w:gridCol w:w="146"/>
        <w:gridCol w:w="1114"/>
        <w:gridCol w:w="157"/>
        <w:gridCol w:w="1114"/>
        <w:gridCol w:w="146"/>
        <w:gridCol w:w="616"/>
      </w:tblGrid>
      <w:tr>
        <w:trPr/>
        <w:tc>
          <w:tcPr>
            <w:tcW w:w="29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2026</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2026</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in millions)</w:t>
            </w:r>
          </w:p>
        </w:tc>
        <w:tc>
          <w:tcPr>
            <w:tcW w:w="1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right"/>
              <w:rPr/>
            </w:pPr>
            <w:r>
              <w:rPr/>
              <w:t> </w:t>
            </w:r>
          </w:p>
        </w:tc>
        <w:tc>
          <w:tcPr>
            <w:tcW w:w="1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right"/>
              <w:rPr/>
            </w:pPr>
            <w:r>
              <w:rPr/>
              <w:t> </w:t>
            </w:r>
          </w:p>
        </w:tc>
        <w:tc>
          <w:tcPr>
            <w:tcW w:w="1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Pharmacy Solutions Revenue</w:t>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$ 3,407</w:t>
            </w:r>
            <w:r>
              <w:rPr>
                <w:rFonts w:ascii="Times New Roman" w:hAnsi="Times New Roman"/>
                <w:color w:val="000000"/>
                <w:sz w:val="20"/>
              </w:rPr>
              <w:t xml:space="preserve">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$ 2,790</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$ 6,579</w:t>
            </w:r>
            <w:r>
              <w:rPr>
                <w:rFonts w:ascii="Times New Roman" w:hAnsi="Times New Roman"/>
                <w:color w:val="000000"/>
                <w:sz w:val="20"/>
              </w:rPr>
              <w:t xml:space="preserve">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$ 5,322</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Provider Services Revenue</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466</w:t>
            </w:r>
            <w:r>
              <w:rPr>
                <w:rFonts w:ascii="Times New Roman" w:hAnsi="Times New Roman"/>
                <w:color w:val="000000"/>
                <w:sz w:val="20"/>
              </w:rPr>
              <w:t xml:space="preserve">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358</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908</w:t>
            </w:r>
            <w:r>
              <w:rPr>
                <w:rFonts w:ascii="Times New Roman" w:hAnsi="Times New Roman"/>
                <w:color w:val="000000"/>
                <w:sz w:val="20"/>
              </w:rPr>
              <w:t xml:space="preserve">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704</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r>
      <w:tr>
        <w:trPr/>
        <w:tc>
          <w:tcPr>
            <w:tcW w:w="2971" w:type="dxa"/>
            <w:tcBorders/>
            <w:shd w:fill="CAED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b/>
                <w:color w:val="000000"/>
                <w:sz w:val="20"/>
              </w:rPr>
              <w:t>Total Revenue</w:t>
            </w:r>
          </w:p>
        </w:tc>
        <w:tc>
          <w:tcPr>
            <w:tcW w:w="1114"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b/>
                <w:color w:val="000000"/>
                <w:sz w:val="20"/>
              </w:rPr>
              <w:t>$ 3,873</w:t>
            </w:r>
            <w:r>
              <w:rPr>
                <w:rFonts w:ascii="Times New Roman" w:hAnsi="Times New Roman"/>
                <w:color w:val="000000"/>
                <w:sz w:val="20"/>
              </w:rPr>
              <w:t xml:space="preserve"> </w:t>
            </w:r>
          </w:p>
        </w:tc>
        <w:tc>
          <w:tcPr>
            <w:tcW w:w="157"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114"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b/>
                <w:color w:val="000000"/>
                <w:sz w:val="20"/>
              </w:rPr>
              <w:t>$ 3,148</w:t>
            </w:r>
            <w:r>
              <w:rPr>
                <w:rFonts w:ascii="Times New Roman" w:hAnsi="Times New Roman"/>
                <w:color w:val="000000"/>
                <w:sz w:val="20"/>
              </w:rPr>
              <w:t xml:space="preserve"> </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571" w:type="dxa"/>
            <w:tcBorders/>
            <w:shd w:fill="CAEDFB"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b/>
                <w:color w:val="000000"/>
                <w:sz w:val="20"/>
              </w:rPr>
              <w:t>$ 7,487</w:t>
            </w:r>
            <w:r>
              <w:rPr>
                <w:rFonts w:ascii="Times New Roman" w:hAnsi="Times New Roman"/>
                <w:color w:val="000000"/>
                <w:sz w:val="20"/>
              </w:rPr>
              <w:t xml:space="preserve"> </w:t>
            </w:r>
          </w:p>
        </w:tc>
        <w:tc>
          <w:tcPr>
            <w:tcW w:w="157"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114"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b/>
                <w:color w:val="000000"/>
                <w:sz w:val="20"/>
              </w:rPr>
              <w:t>$ 6,026</w:t>
            </w:r>
            <w:r>
              <w:rPr>
                <w:rFonts w:ascii="Times New Roman" w:hAnsi="Times New Roman"/>
                <w:color w:val="000000"/>
                <w:sz w:val="20"/>
              </w:rPr>
              <w:t xml:space="preserve"> </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616" w:type="dxa"/>
            <w:tcBorders/>
            <w:shd w:fill="CAEDFB"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869"/>
        <w:gridCol w:w="1024"/>
        <w:gridCol w:w="198"/>
        <w:gridCol w:w="1126"/>
        <w:gridCol w:w="146"/>
        <w:gridCol w:w="569"/>
        <w:gridCol w:w="146"/>
        <w:gridCol w:w="1024"/>
        <w:gridCol w:w="199"/>
        <w:gridCol w:w="1125"/>
        <w:gridCol w:w="146"/>
        <w:gridCol w:w="633"/>
      </w:tblGrid>
      <w:tr>
        <w:trPr/>
        <w:tc>
          <w:tcPr>
            <w:tcW w:w="38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869" w:type="dxa"/>
            <w:tcBorders/>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69" w:type="dxa"/>
            <w:tcBorders/>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2026</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6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2026</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r>
      <w:tr>
        <w:trPr/>
        <w:tc>
          <w:tcPr>
            <w:tcW w:w="386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in millions)</w:t>
            </w:r>
          </w:p>
        </w:tc>
        <w:tc>
          <w:tcPr>
            <w:tcW w:w="10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Pharmacy Solutions segment EBITDA</w:t>
            </w:r>
            <w:r>
              <w:rPr>
                <w:rFonts w:ascii="Times New Roman" w:hAnsi="Times New Roman"/>
                <w:color w:val="000000"/>
                <w:sz w:val="20"/>
              </w:rPr>
              <w:t xml:space="preserve"> </w:t>
            </w:r>
          </w:p>
        </w:tc>
        <w:tc>
          <w:tcPr>
            <w:tcW w:w="102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$ 180</w:t>
            </w:r>
            <w:r>
              <w:rPr>
                <w:rFonts w:ascii="Times New Roman" w:hAnsi="Times New Roman"/>
                <w:color w:val="000000"/>
                <w:sz w:val="20"/>
              </w:rPr>
              <w:t xml:space="preserve">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$ 125</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$ 349</w:t>
            </w:r>
            <w:r>
              <w:rPr>
                <w:rFonts w:ascii="Times New Roman" w:hAnsi="Times New Roman"/>
                <w:color w:val="000000"/>
                <w:sz w:val="20"/>
              </w:rPr>
              <w:t xml:space="preserve">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$ 240</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r>
      <w:tr>
        <w:trPr/>
        <w:tc>
          <w:tcPr>
            <w:tcW w:w="386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Provider Services segment EBITDA</w:t>
            </w:r>
          </w:p>
        </w:tc>
        <w:tc>
          <w:tcPr>
            <w:tcW w:w="102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75</w:t>
            </w:r>
            <w:r>
              <w:rPr>
                <w:rFonts w:ascii="Times New Roman" w:hAnsi="Times New Roman"/>
                <w:color w:val="000000"/>
                <w:sz w:val="20"/>
              </w:rPr>
              <w:t xml:space="preserve"> </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56</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0"/>
              </w:rPr>
              <w:t>141</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108</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r>
      <w:tr>
        <w:trPr/>
        <w:tc>
          <w:tcPr>
            <w:tcW w:w="386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Segment Adjusted EBITDA</w:t>
            </w:r>
          </w:p>
        </w:tc>
        <w:tc>
          <w:tcPr>
            <w:tcW w:w="102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$ 255</w:t>
            </w:r>
            <w:r>
              <w:rPr>
                <w:rFonts w:ascii="Times New Roman" w:hAnsi="Times New Roman"/>
                <w:color w:val="000000"/>
                <w:sz w:val="20"/>
              </w:rPr>
              <w:t xml:space="preserve">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$ 181</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$ 490</w:t>
            </w:r>
            <w:r>
              <w:rPr>
                <w:rFonts w:ascii="Times New Roman" w:hAnsi="Times New Roman"/>
                <w:color w:val="000000"/>
                <w:sz w:val="20"/>
              </w:rPr>
              <w:t xml:space="preserve">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$ 348</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r>
      <w:tr>
        <w:trPr/>
        <w:tc>
          <w:tcPr>
            <w:tcW w:w="386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Corporate Costs</w:t>
            </w:r>
          </w:p>
        </w:tc>
        <w:tc>
          <w:tcPr>
            <w:tcW w:w="10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2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sans-serif" w:hAnsi="sans-serif"/>
                <w:color w:val="000000"/>
                <w:sz w:val="20"/>
              </w:rPr>
              <w:t>n.m.</w:t>
            </w:r>
            <w:r>
              <w:rPr>
                <w:rFonts w:ascii="Times New Roman" w:hAnsi="Times New Roman"/>
                <w:color w:val="000000"/>
                <w:sz w:val="20"/>
              </w:rPr>
              <w:t xml:space="preserve"> </w:t>
            </w:r>
          </w:p>
        </w:tc>
      </w:tr>
      <w:tr>
        <w:trPr/>
        <w:tc>
          <w:tcPr>
            <w:tcW w:w="3869" w:type="dxa"/>
            <w:tcBorders/>
            <w:shd w:fill="CAEDFB"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b/>
                <w:color w:val="000000"/>
                <w:sz w:val="20"/>
              </w:rPr>
              <w:t>Total Company Adjusted EBITDA</w:t>
            </w:r>
            <w:r>
              <w:rPr>
                <w:rFonts w:ascii="sans-serif" w:hAnsi="sans-serif"/>
                <w:b/>
                <w:color w:val="000000"/>
                <w:sz w:val="15"/>
              </w:rPr>
              <w:t>(1)</w:t>
            </w:r>
          </w:p>
        </w:tc>
        <w:tc>
          <w:tcPr>
            <w:tcW w:w="1024"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$ 206</w:t>
            </w:r>
          </w:p>
        </w:tc>
        <w:tc>
          <w:tcPr>
            <w:tcW w:w="198"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12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b/>
                <w:color w:val="000000"/>
                <w:sz w:val="20"/>
              </w:rPr>
              <w:t>$ 143</w:t>
            </w:r>
            <w:r>
              <w:rPr>
                <w:rFonts w:ascii="Times New Roman" w:hAnsi="Times New Roman"/>
                <w:color w:val="000000"/>
                <w:sz w:val="20"/>
              </w:rPr>
              <w:t xml:space="preserve"> </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569" w:type="dxa"/>
            <w:tcBorders/>
            <w:shd w:fill="CAEDFB"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$ 395</w:t>
            </w:r>
          </w:p>
        </w:tc>
        <w:tc>
          <w:tcPr>
            <w:tcW w:w="199"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1125"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b/>
                <w:color w:val="000000"/>
                <w:sz w:val="20"/>
              </w:rPr>
              <w:t>$ 274</w:t>
            </w:r>
            <w:r>
              <w:rPr>
                <w:rFonts w:ascii="Times New Roman" w:hAnsi="Times New Roman"/>
                <w:color w:val="000000"/>
                <w:sz w:val="20"/>
              </w:rPr>
              <w:t xml:space="preserve"> </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pPr>
            <w:r>
              <w:rPr/>
              <w:t> </w:t>
            </w:r>
          </w:p>
        </w:tc>
        <w:tc>
          <w:tcPr>
            <w:tcW w:w="633" w:type="dxa"/>
            <w:tcBorders/>
            <w:shd w:fill="CAEDFB"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45%</w:t>
            </w:r>
          </w:p>
        </w:tc>
      </w:tr>
    </w:tbl>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*n.m.: not meaningful</w:t>
      </w:r>
    </w:p>
    <w:p>
      <w:pPr>
        <w:pStyle w:val="TextBody"/>
        <w:bidi w:val="0"/>
        <w:jc w:val="both"/>
        <w:rPr/>
      </w:pPr>
      <w:r>
        <w:rPr/>
        <w:t>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Business Metrics</w:t>
      </w:r>
    </w:p>
    <w:tbl>
      <w:tblPr>
        <w:tblW w:w="10205" w:type="dxa"/>
        <w:jc w:val="left"/>
        <w:tblInd w:w="0" w:type="dxa"/>
        <w:tblLayout w:type="fixed"/>
        <w:tblCellMar>
          <w:top w:w="28" w:type="dxa"/>
          <w:left w:w="28" w:type="dxa"/>
          <w:bottom w:w="28" w:type="dxa"/>
          <w:right w:w="28" w:type="dxa"/>
        </w:tblCellMar>
      </w:tblPr>
      <w:tblGrid>
        <w:gridCol w:w="3327"/>
        <w:gridCol w:w="1230"/>
        <w:gridCol w:w="146"/>
        <w:gridCol w:w="1290"/>
        <w:gridCol w:w="146"/>
        <w:gridCol w:w="552"/>
        <w:gridCol w:w="146"/>
        <w:gridCol w:w="1186"/>
        <w:gridCol w:w="146"/>
        <w:gridCol w:w="1290"/>
        <w:gridCol w:w="146"/>
        <w:gridCol w:w="600"/>
      </w:tblGrid>
      <w:tr>
        <w:trPr/>
        <w:tc>
          <w:tcPr>
            <w:tcW w:w="33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327" w:type="dxa"/>
            <w:tcBorders/>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27" w:type="dxa"/>
            <w:tcBorders/>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9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52"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9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0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w:t>
            </w:r>
          </w:p>
        </w:tc>
      </w:tr>
      <w:tr>
        <w:trPr/>
        <w:tc>
          <w:tcPr>
            <w:tcW w:w="3327"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Pharmacy Solutions</w:t>
            </w:r>
          </w:p>
        </w:tc>
        <w:tc>
          <w:tcPr>
            <w:tcW w:w="1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Prescriptions dispensed</w:t>
            </w:r>
            <w:r>
              <w:rPr>
                <w:rFonts w:ascii="Times New Roman" w:hAnsi="Times New Roman"/>
                <w:color w:val="000000"/>
                <w:sz w:val="20"/>
              </w:rPr>
              <w:t xml:space="preserve"> </w:t>
            </w:r>
          </w:p>
        </w:tc>
        <w:tc>
          <w:tcPr>
            <w:tcW w:w="123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10,844,038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10,851,773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21,573,914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21,729,067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r>
      <w:tr>
        <w:trPr/>
        <w:tc>
          <w:tcPr>
            <w:tcW w:w="332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 per script ($)</w:t>
            </w:r>
          </w:p>
        </w:tc>
        <w:tc>
          <w:tcPr>
            <w:tcW w:w="123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314.20</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257.11</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304.93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244.94</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r>
      <w:tr>
        <w:trPr/>
        <w:tc>
          <w:tcPr>
            <w:tcW w:w="332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 per script ($)</w:t>
            </w:r>
          </w:p>
        </w:tc>
        <w:tc>
          <w:tcPr>
            <w:tcW w:w="1230"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27.50</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21.54</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0"/>
              </w:rPr>
              <w:t>20.14</w:t>
            </w: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r>
      <w:tr>
        <w:trPr/>
        <w:tc>
          <w:tcPr>
            <w:tcW w:w="3327"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Provider Services</w:t>
            </w:r>
          </w:p>
        </w:tc>
        <w:tc>
          <w:tcPr>
            <w:tcW w:w="12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sans-serif" w:hAnsi="sans-serif"/>
                <w:color w:val="000000"/>
                <w:sz w:val="20"/>
              </w:rPr>
              <w:t>Home Health Care average daily</w:t>
            </w:r>
            <w:r>
              <w:rPr>
                <w:rFonts w:ascii="Times New Roman" w:hAnsi="Times New Roman"/>
                <w:color w:val="000000"/>
                <w:sz w:val="20"/>
              </w:rPr>
              <w:t xml:space="preserve"> </w:t>
            </w:r>
          </w:p>
          <w:p>
            <w:pPr>
              <w:pStyle w:val="TableContents"/>
              <w:bidi w:val="0"/>
              <w:spacing w:before="0" w:after="283"/>
              <w:jc w:val="left"/>
              <w:rPr>
                <w:color w:val="000000"/>
              </w:rPr>
            </w:pPr>
            <w:r>
              <w:rPr>
                <w:color w:val="000000"/>
              </w:rPr>
              <w:t>    </w:t>
            </w:r>
            <w:r>
              <w:rPr>
                <w:rFonts w:ascii="sans-serif" w:hAnsi="sans-serif"/>
                <w:color w:val="000000"/>
                <w:sz w:val="20"/>
              </w:rPr>
              <w:t>census</w:t>
            </w:r>
          </w:p>
        </w:tc>
        <w:tc>
          <w:tcPr>
            <w:tcW w:w="123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46,258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r>
      <w:tr>
        <w:trPr/>
        <w:tc>
          <w:tcPr>
            <w:tcW w:w="332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Rehab Care persons served</w:t>
            </w:r>
          </w:p>
        </w:tc>
        <w:tc>
          <w:tcPr>
            <w:tcW w:w="123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7,755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7,688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r>
      <w:tr>
        <w:trPr/>
        <w:tc>
          <w:tcPr>
            <w:tcW w:w="332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Personal Care persons served</w:t>
            </w:r>
          </w:p>
        </w:tc>
        <w:tc>
          <w:tcPr>
            <w:tcW w:w="123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13"/>
        </w:rPr>
        <w:t>1</w:t>
      </w:r>
      <w:r>
        <w:rPr>
          <w:rFonts w:ascii="sans-serif" w:hAnsi="sans-serif"/>
          <w:color w:val="000000"/>
          <w:sz w:val="20"/>
        </w:rPr>
        <w:t>Adjusted EBITDA is a non-GAAP financial measure. Please see “Non-GAAP Financial Information” and the end of this press release for a reconciliation of Adjusted EBITDA to net income from continuing operations, the most directly comparable financial measure prepared in accordance with GAAP.</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3</w:t>
      </w:r>
      <w:r>
        <w:rPr>
          <w:rFonts w:ascii="sans-serif" w:hAnsi="sans-serif"/>
          <w:color w:val="000000"/>
          <w:sz w:val="20"/>
        </w:rPr>
        <w:t>Financial tables may not foot due to rounding.</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Full Year 2026 Financial Guidance</w:t>
      </w:r>
    </w:p>
    <w:p>
      <w:pPr>
        <w:pStyle w:val="TextBody"/>
        <w:bidi w:val="0"/>
        <w:spacing w:before="240" w:after="283"/>
        <w:jc w:val="left"/>
        <w:rPr>
          <w:rFonts w:ascii="sans-serif" w:hAnsi="sans-serif"/>
          <w:color w:val="000000"/>
          <w:sz w:val="22"/>
        </w:rPr>
      </w:pPr>
      <w:r>
        <w:rPr>
          <w:rFonts w:ascii="sans-serif" w:hAnsi="sans-serif"/>
          <w:color w:val="000000"/>
          <w:sz w:val="22"/>
        </w:rPr>
        <w:t>For the full year 2026, BrightSpring is increasing Revenue and Adjusted EBITDA guidance, which excludes the Community Living business and the effects of any future closed acquisitions. All growth rates are shown as compared to the full year 2025 Revenue and Adjusted EBITDA results, excluding the Community Living business: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Revenues of $15,100 million to $15,425 million, or 17.0% to 19.5% growth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Pharmacy Segment Revenue of $13,200 million to $13,500 million, or 15.3% to 17.9% growth </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Provider Segment Revenue of $1,900 million to $1,925 million, or 29.7% to 31.4% growth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color w:val="000000"/>
          <w:sz w:val="22"/>
        </w:rPr>
        <w:t>Total Adjusted EBITDA</w:t>
      </w:r>
      <w:r>
        <w:rPr>
          <w:rFonts w:ascii="sans-serif" w:hAnsi="sans-serif"/>
          <w:color w:val="000000"/>
          <w:sz w:val="15"/>
        </w:rPr>
        <w:t>4</w:t>
      </w:r>
      <w:r>
        <w:rPr>
          <w:color w:val="000000"/>
        </w:rPr>
        <w:t xml:space="preserve"> </w:t>
      </w:r>
      <w:r>
        <w:rPr>
          <w:rFonts w:ascii="sans-serif" w:hAnsi="sans-serif"/>
          <w:color w:val="000000"/>
          <w:sz w:val="22"/>
        </w:rPr>
        <w:t xml:space="preserve">of $820 million to $845 million, or 32.8% to 36.8% growth </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The Amedisys and LHC branches acquisition is expected to contribute approximately $35 million in Adjusted EBITDA in 2026</w:t>
      </w:r>
    </w:p>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sz w:val="20"/>
        </w:rPr>
      </w:pPr>
      <w:r>
        <w:rPr>
          <w:rFonts w:ascii="sans-serif" w:hAnsi="sans-serif"/>
          <w:color w:val="000000"/>
          <w:sz w:val="13"/>
        </w:rPr>
        <w:t>4</w:t>
      </w:r>
      <w:r>
        <w:rPr>
          <w:rFonts w:ascii="sans-serif" w:hAnsi="sans-serif"/>
          <w:color w:val="000000"/>
          <w:sz w:val="20"/>
        </w:rPr>
        <w:t>A reconciliation of the foregoing guidance for the non-GAAP metric of Adjusted EBITDA to GAAP net income from continuing operations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Webcast and Conference Call Details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Company will host a conference call today, July 31</w:t>
      </w:r>
      <w:r>
        <w:rPr>
          <w:rFonts w:ascii="sans-serif" w:hAnsi="sans-serif"/>
          <w:color w:val="000000"/>
          <w:sz w:val="15"/>
        </w:rPr>
        <w:t>st</w:t>
      </w:r>
      <w:r>
        <w:rPr>
          <w:rFonts w:ascii="Times New Roman" w:hAnsi="Times New Roman"/>
          <w:color w:val="000000"/>
          <w:sz w:val="20"/>
        </w:rPr>
        <w:t xml:space="preserve"> </w:t>
      </w:r>
      <w:r>
        <w:rPr>
          <w:rFonts w:ascii="sans-serif" w:hAnsi="sans-serif"/>
          <w:color w:val="000000"/>
          <w:sz w:val="22"/>
        </w:rPr>
        <w:t xml:space="preserve">at 8:30 a.m. Eastern Time. Investors interested in listening to the conference call are required to </w:t>
      </w:r>
      <w:r>
        <w:rPr>
          <w:rFonts w:ascii="sans-serif" w:hAnsi="sans-serif"/>
          <w:sz w:val="22"/>
        </w:rPr>
        <w:t>register online</w:t>
      </w:r>
      <w:r>
        <w:rPr>
          <w:rFonts w:ascii="sans-serif" w:hAnsi="sans-serif"/>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A live and archived webcast of the event will be available on the “Events &amp; Presentations” section of the BrightSpring website at </w:t>
      </w:r>
      <w:r>
        <w:rPr>
          <w:rFonts w:ascii="sans-serif" w:hAnsi="sans-serif"/>
          <w:sz w:val="22"/>
        </w:rPr>
        <w:t>https://ir.brightspringhealth.com/</w:t>
      </w:r>
      <w:r>
        <w:rPr>
          <w:rFonts w:ascii="sans-serif" w:hAnsi="sans-serif"/>
          <w:color w:val="000000"/>
          <w:sz w:val="22"/>
        </w:rPr>
        <w:t>. The Company has posted supplemental information on the second quarter 2026 results that it will reference during the conference call. The supplemental information can be found under the “Events &amp; Presentations” on the Company’s investor relations page.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BrightSpring Health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BrightSpring Health Services provides complementary home- and community-based health solutions for medically complex populations in need of specialized and/or chronic care. Through the Company’s service lines, including pharmacy, home health care, and rehabilitation, we provide comprehensive and more integrated care and clinical solutions in all 50 states to over 485,000 customers, clients and patients daily. BrightSpring has consistently demonstrated strong and industry-leading quality metrics across its services lines, while improving the health and quality of life for high-need individuals and reducing overall healthcare system costs.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pPr>
      <w:r>
        <w:rPr/>
        <w:t> </w:t>
      </w:r>
    </w:p>
    <w:p>
      <w:pPr>
        <w:pStyle w:val="TextBody"/>
        <w:bidi w:val="0"/>
        <w:spacing w:before="0" w:after="240"/>
        <w:jc w:val="left"/>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may relate to matters which include, but are not limited to, industries, business strategy, goals and expectations concerning our market position, future operations, margins, profitability, capital expenditures, liquidity and capital resources and other financial and operating information. In some cases, we have used words such as “anticipate,” “assume,” “believe,” “continue,” “could,” “estimate,” “expect,” “intend,” “may,” “plan,” “potential,” “predict,” “project,” “future,” “will,” “seek,” “foreseeable,” “target,” “guidance,” the negative version of these words, or similar terms and phrases to identify these forward-looking statements.</w:t>
      </w:r>
    </w:p>
    <w:p>
      <w:pPr>
        <w:pStyle w:val="TextBody"/>
        <w:bidi w:val="0"/>
        <w:spacing w:before="0" w:after="240"/>
        <w:jc w:val="left"/>
        <w:rPr>
          <w:rFonts w:ascii="Times New Roman" w:hAnsi="Times New Roman"/>
          <w:sz w:val="20"/>
        </w:rPr>
      </w:pPr>
      <w:r>
        <w:rPr>
          <w:rFonts w:ascii="sans-serif" w:hAnsi="sans-serif"/>
          <w:color w:val="000000"/>
          <w:sz w:val="22"/>
        </w:rPr>
        <w:t>The forward-looking statements are based on management’s current expectations and are not historical facts or guarantees of future performance. The forward-looking statements relate to the future and are therefore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left"/>
        <w:rPr>
          <w:rFonts w:ascii="sans-serif" w:hAnsi="sans-serif"/>
          <w:color w:val="000000"/>
          <w:sz w:val="22"/>
        </w:rPr>
      </w:pPr>
      <w:r>
        <w:rPr>
          <w:rFonts w:ascii="sans-serif" w:hAnsi="sans-serif"/>
          <w:color w:val="000000"/>
          <w:sz w:val="22"/>
        </w:rPr>
        <w:t>many of which are beyond our control. We believe that these factors include but are not limited to the following:</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operation in a highly competitive industry;</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inability to maintain relationships with existing patient referral sources or establish new referral sources;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to Medicare and Medicaid rates or methods governing Medicare and Medicaid payments for our services;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cost containment initiatives of third-party payors, including post-payment audits;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the implementation of alternative payment models and the transition of Medicaid and Medicare beneficiaries to managed care organizations may limit our market share and could adversely affect our revenues;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in the case mix of patients, as well as payor mix and payment methodologies, and decisions and operations of third-party organizations;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reliance on federal and state spending, budget decisions, and continuous governmental operations which may fluctuate under different political conditions;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in drug utilization and/or pricing, PBM contracts, and Medicare Part D/Medicaid reimbursement, which may negatively impact our profitability;</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changes in our relationships with pharmaceutical suppliers, including changes in drug availability or pricing;</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reliance on the continual recruitment and retention of nurses, pharmacists, therapists, caregivers, direct support professionals, and other qualified personnel, including senior management;</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compliance with or changes to federal, state, and local laws and regulations that govern our employment practices, including minimum wage, living wage, and paid time-off requirements;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fluctuation of our results of operations on a quarterly basis;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harm caused by labor relation matters;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limitations in our ability to control reimbursement rates received for our services if we are unable to maintain or reduce our costs to provide such services;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delays in collection or non-collection of our accounts receivable, particularly during the business integration process;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failure to manage our growth effectively, which may inhibit our ability to execute our business plan, maintain high levels of service and satisfaction or adequately address competitive challenges;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ability to identify, successfully complete and manage acquisitions, joint ventures, divestitures and other significant transactions and strategic initiatives;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ability to continue to provide consistently high quality of care;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maintenance of our corporate reputation or the emergence of adverse publicity, including negative information on social media or changes in public perception of our services;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contract continuance, expansion and renewal with our existing customers, including renewals at lower fee levels, customers declining to purchase additional services from us, or reduction in the services received from us pursuant to those contracts;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effective investment in, implementation of improvements to and proper maintenance of the uninterrupted operation and data integrity of our information technology and other business systems;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risks related to credit card payments and other payment methods;</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potential substantial malpractice or other similar claims;</w:t>
      </w:r>
    </w:p>
    <w:p>
      <w:pPr>
        <w:pStyle w:val="TextBody"/>
        <w:bidi w:val="0"/>
        <w:jc w:val="left"/>
        <w:rPr>
          <w:rFonts w:ascii="sans-serif" w:hAnsi="sans-serif"/>
          <w:color w:val="000000"/>
          <w:sz w:val="22"/>
        </w:rPr>
      </w:pPr>
      <w:r>
        <w:rPr>
          <w:rFonts w:ascii="sans-serif" w:hAnsi="sans-serif"/>
          <w:color w:val="000000"/>
          <w:sz w:val="22"/>
        </w:rPr>
        <w:t>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various risks related to governmental inquiries, regulatory actions, and whistleblower and other lawsuits, which may not be entirely covered by insurance;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current insurance program, which may expose us to unexpected costs, particularly if we incur losses not covered by our insurance or if claims or losses differ from our estimates;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factors outside of our control, including those listed, which have required and could in the future require us to record an asset impairment of goodwill;</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 pandemic, epidemic, or outbreak of an infectious disease;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inclement weather, natural disasters, acts of terrorism, riots, civil insurrection or social unrest, looting, protests, strikes, or street demonstrations;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our inability to adequately protect our intellectual property rights;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risks related to our compliance with our regulatory framework;</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the significant interests of KKR Stockholder may conflict with our stockholders’ interests in the future;</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our substantial indebtedness;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 and</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fluctuations in the amount and frequency of repurchases of our common stock.</w:t>
      </w:r>
    </w:p>
    <w:p>
      <w:pPr>
        <w:pStyle w:val="TextBody"/>
        <w:bidi w:val="0"/>
        <w:spacing w:before="0" w:after="240"/>
        <w:jc w:val="left"/>
        <w:rPr>
          <w:rFonts w:ascii="sans-serif" w:hAnsi="sans-serif"/>
          <w:color w:val="000000"/>
          <w:sz w:val="22"/>
        </w:rPr>
      </w:pPr>
      <w:r>
        <w:rPr>
          <w:rFonts w:ascii="sans-serif" w:hAnsi="sans-serif"/>
          <w:color w:val="000000"/>
          <w:sz w:val="22"/>
        </w:rPr>
        <w:t>The forward-looking statements included in this press release are made only as of the date of this press release, and we undertake no obligation to publicly update or revise any forward-looking statement, whether as a result of new information, future developments, or otherwise, except as required by law. These factors should not be construed as exhaustive, and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 looking statements do not reflect the potential impact of any future acquisitions, mergers, dispositions, joint ventures, investments, or other strategic transactions we may make.</w:t>
      </w:r>
    </w:p>
    <w:p>
      <w:pPr>
        <w:pStyle w:val="TextBody"/>
        <w:bidi w:val="0"/>
        <w:spacing w:before="0" w:after="240"/>
        <w:jc w:val="left"/>
        <w:rPr>
          <w:rFonts w:ascii="Times New Roman" w:hAnsi="Times New Roman"/>
          <w:sz w:val="20"/>
        </w:rPr>
      </w:pPr>
      <w:r>
        <w:rPr>
          <w:rFonts w:ascii="sans-serif" w:hAnsi="sans-serif"/>
          <w:color w:val="000000"/>
          <w:sz w:val="22"/>
        </w:rPr>
        <w:t xml:space="preserve">For additional information on these and other factors that could cause BrightSpring’s actual results to differ materially from expected results, please see our filings with the Securities and Exchange Commission (the “SEC”), which are accessible on the SEC’s website at </w:t>
      </w:r>
      <w:r>
        <w:rPr>
          <w:rFonts w:ascii="sans-serif" w:hAnsi="sans-serif"/>
          <w:sz w:val="22"/>
        </w:rPr>
        <w:t>www.sec.gov</w:t>
      </w:r>
      <w:r>
        <w:rPr>
          <w:rFonts w:ascii="sans-serif" w:hAnsi="sans-serif"/>
          <w:color w:val="000000"/>
          <w:sz w:val="22"/>
        </w:rPr>
        <w:t>.</w:t>
      </w:r>
    </w:p>
    <w:p>
      <w:pPr>
        <w:pStyle w:val="TextBody"/>
        <w:bidi w:val="0"/>
        <w:spacing w:before="0" w:after="240"/>
        <w:jc w:val="left"/>
        <w:rPr/>
      </w:pPr>
      <w:r>
        <w:rPr/>
        <w:t> </w:t>
      </w:r>
    </w:p>
    <w:p>
      <w:pPr>
        <w:pStyle w:val="TextBody"/>
        <w:bidi w:val="0"/>
        <w:spacing w:before="0" w:after="240"/>
        <w:jc w:val="left"/>
        <w:rPr>
          <w:rFonts w:ascii="sans-serif" w:hAnsi="sans-serif"/>
          <w:b/>
          <w:color w:val="000000"/>
          <w:sz w:val="22"/>
        </w:rPr>
      </w:pPr>
      <w:r>
        <w:rPr>
          <w:rFonts w:ascii="sans-serif" w:hAnsi="sans-serif"/>
          <w:b/>
          <w:color w:val="000000"/>
          <w:sz w:val="22"/>
        </w:rPr>
        <w:t>Non-GAAP Financial Measures</w:t>
      </w:r>
    </w:p>
    <w:p>
      <w:pPr>
        <w:pStyle w:val="TextBody"/>
        <w:bidi w:val="0"/>
        <w:spacing w:before="0" w:after="240"/>
        <w:jc w:val="left"/>
        <w:rPr>
          <w:rFonts w:ascii="sans-serif" w:hAnsi="sans-serif"/>
          <w:color w:val="000000"/>
          <w:sz w:val="22"/>
        </w:rPr>
      </w:pPr>
      <w:r>
        <w:rPr>
          <w:rFonts w:ascii="sans-serif" w:hAnsi="sans-serif"/>
          <w:color w:val="000000"/>
          <w:sz w:val="22"/>
        </w:rPr>
        <w:t>This press release contains “non-GAAP financial measures,” including “EBITDA,” “Adjusted EBITDA,” and “Adjusted EPS,” which are financial measures that either exclude or include amounts that are not excluded or included in the most directly comparable measures calculated and presented in accordance with accounting principles generally accepted in the United States, or GAAP.</w:t>
      </w:r>
    </w:p>
    <w:p>
      <w:pPr>
        <w:pStyle w:val="TextBody"/>
        <w:bidi w:val="0"/>
        <w:spacing w:before="0" w:after="240"/>
        <w:jc w:val="left"/>
        <w:rPr>
          <w:rFonts w:ascii="Times New Roman" w:hAnsi="Times New Roman"/>
          <w:sz w:val="20"/>
        </w:rPr>
      </w:pPr>
      <w:r>
        <w:rPr>
          <w:rFonts w:ascii="sans-serif" w:hAnsi="sans-serif"/>
          <w:color w:val="000000"/>
          <w:sz w:val="22"/>
        </w:rPr>
        <w:t>EBITDA, Adjusted EBITDA, and Adjusted EPS have been presented in this release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also believes that these measures are useful to investors in highlighting trends in our operating performance,</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left"/>
        <w:rPr>
          <w:rFonts w:ascii="sans-serif" w:hAnsi="sans-serif"/>
          <w:color w:val="000000"/>
          <w:sz w:val="22"/>
        </w:rPr>
      </w:pPr>
      <w:r>
        <w:rPr>
          <w:rFonts w:ascii="sans-serif" w:hAnsi="sans-serif"/>
          <w:color w:val="000000"/>
          <w:sz w:val="22"/>
        </w:rPr>
        <w:t>while other measures can differ significantly depending on long-term strategic decisions regarding capital structure, the tax jurisdictions in which we operate and capital investments. Management uses EBITDA, Adjusted EBITDA, and Adjusted EPS to supplement GAAP measures of performance in the evaluation of the effectiveness of our business strategies, to make budgeting decisions, to establish and award discretionary annual incentive compensation, and to compare our performance against that of other peer companies using similar measures.</w:t>
      </w:r>
    </w:p>
    <w:p>
      <w:pPr>
        <w:pStyle w:val="TextBody"/>
        <w:bidi w:val="0"/>
        <w:spacing w:before="0" w:after="240"/>
        <w:jc w:val="left"/>
        <w:rPr>
          <w:rFonts w:ascii="sans-serif" w:hAnsi="sans-serif"/>
          <w:color w:val="000000"/>
          <w:sz w:val="22"/>
        </w:rPr>
      </w:pPr>
      <w:r>
        <w:rPr>
          <w:rFonts w:ascii="sans-serif" w:hAnsi="sans-serif"/>
          <w:color w:val="000000"/>
          <w:sz w:val="22"/>
        </w:rPr>
        <w:t>Management supplements GAAP results with non-GAAP financial measures to provide a more complete understanding of the factors and trends affecting the business than GAAP results alone. EBITDA, Adjusted EBITDA, and Adjusted EPS are non-GAAP measures of our financial performance and should not be considered as an alternative to net income as a measure of financial performance or any other performance measures derived in accordance with GAAP. Additionally, these measures are not intended to be a measure of free cash flow available for management’s discretionary use as they do not consider certain cash requirements such as tax payments, debt service requirements, total capital expenditures, and certain other cash costs that may recur in the future.</w:t>
      </w:r>
    </w:p>
    <w:p>
      <w:pPr>
        <w:pStyle w:val="TextBody"/>
        <w:bidi w:val="0"/>
        <w:spacing w:before="0" w:after="240"/>
        <w:jc w:val="left"/>
        <w:rPr>
          <w:rFonts w:ascii="sans-serif" w:hAnsi="sans-serif"/>
          <w:color w:val="000000"/>
          <w:sz w:val="22"/>
        </w:rPr>
      </w:pPr>
      <w:r>
        <w:rPr>
          <w:rFonts w:ascii="sans-serif" w:hAnsi="sans-serif"/>
          <w:color w:val="000000"/>
          <w:sz w:val="22"/>
        </w:rPr>
        <w:t>Management defines EBITDA as net income from continuing operations before income tax expense, interest expense, net and depreciation and amortization. Management also defines Adjusted EBITDA as EBITDA, further adjusted to exclude non-cash share-based compensation, acquisition, integration and transaction-related costs, and restructuring and divestiture-related and other costs.</w:t>
      </w:r>
    </w:p>
    <w:p>
      <w:pPr>
        <w:pStyle w:val="TextBody"/>
        <w:bidi w:val="0"/>
        <w:jc w:val="left"/>
        <w:rPr>
          <w:rFonts w:ascii="sans-serif" w:hAnsi="sans-serif"/>
          <w:color w:val="000000"/>
          <w:sz w:val="22"/>
        </w:rPr>
      </w:pPr>
      <w:r>
        <w:rPr>
          <w:rFonts w:ascii="sans-serif" w:hAnsi="sans-serif"/>
          <w:color w:val="000000"/>
          <w:sz w:val="22"/>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Please see the end of this press release for reconciliations of non-GAAP financial measures to the most directly comparable financial measure prepared in accordance with GAAP.</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BrightSpring Contact:</w:t>
      </w:r>
    </w:p>
    <w:p>
      <w:pPr>
        <w:pStyle w:val="TextBody"/>
        <w:bidi w:val="0"/>
        <w:jc w:val="left"/>
        <w:rPr/>
      </w:pPr>
      <w:r>
        <w:rPr/>
        <w:t> </w:t>
      </w:r>
    </w:p>
    <w:p>
      <w:pPr>
        <w:pStyle w:val="TextBody"/>
        <w:bidi w:val="0"/>
        <w:jc w:val="left"/>
        <w:rPr>
          <w:rFonts w:ascii="sans-serif" w:hAnsi="sans-serif"/>
          <w:b/>
          <w:i/>
          <w:color w:val="000000"/>
          <w:sz w:val="22"/>
        </w:rPr>
      </w:pPr>
      <w:r>
        <w:rPr>
          <w:rFonts w:ascii="sans-serif" w:hAnsi="sans-serif"/>
          <w:b/>
          <w:i/>
          <w:color w:val="000000"/>
          <w:sz w:val="22"/>
        </w:rPr>
        <w:t>Investor Relations:</w:t>
      </w:r>
    </w:p>
    <w:p>
      <w:pPr>
        <w:pStyle w:val="TextBody"/>
        <w:bidi w:val="0"/>
        <w:jc w:val="left"/>
        <w:rPr>
          <w:rFonts w:ascii="sans-serif" w:hAnsi="sans-serif"/>
          <w:i/>
          <w:color w:val="000000"/>
          <w:sz w:val="22"/>
        </w:rPr>
      </w:pPr>
      <w:r>
        <w:rPr>
          <w:rFonts w:ascii="sans-serif" w:hAnsi="sans-serif"/>
          <w:i/>
          <w:color w:val="000000"/>
          <w:sz w:val="22"/>
        </w:rPr>
        <w:t>David Deuchler, CFA</w:t>
      </w:r>
    </w:p>
    <w:p>
      <w:pPr>
        <w:pStyle w:val="TextBody"/>
        <w:bidi w:val="0"/>
        <w:jc w:val="left"/>
        <w:rPr>
          <w:rFonts w:ascii="sans-serif" w:hAnsi="sans-serif"/>
          <w:i/>
          <w:color w:val="000000"/>
          <w:sz w:val="22"/>
        </w:rPr>
      </w:pPr>
      <w:r>
        <w:rPr>
          <w:rFonts w:ascii="sans-serif" w:hAnsi="sans-serif"/>
          <w:i/>
          <w:color w:val="000000"/>
          <w:sz w:val="22"/>
        </w:rPr>
        <w:t>SVP, Strategic Finance &amp; Investor Relations</w:t>
      </w:r>
    </w:p>
    <w:p>
      <w:pPr>
        <w:pStyle w:val="TextBody"/>
        <w:bidi w:val="0"/>
        <w:jc w:val="left"/>
        <w:rPr>
          <w:rFonts w:ascii="sans-serif" w:hAnsi="sans-serif"/>
          <w:i/>
          <w:color w:val="000000"/>
          <w:sz w:val="22"/>
        </w:rPr>
      </w:pPr>
      <w:r>
        <w:rPr>
          <w:rFonts w:ascii="sans-serif" w:hAnsi="sans-serif"/>
          <w:i/>
          <w:color w:val="000000"/>
          <w:sz w:val="22"/>
        </w:rPr>
        <w:t>Executive Director, BrightSpring Health Foundation</w:t>
      </w:r>
    </w:p>
    <w:p>
      <w:pPr>
        <w:pStyle w:val="TextBody"/>
        <w:bidi w:val="0"/>
        <w:jc w:val="left"/>
        <w:rPr>
          <w:rFonts w:ascii="sans-serif" w:hAnsi="sans-serif"/>
          <w:i/>
          <w:color w:val="000000"/>
          <w:sz w:val="22"/>
        </w:rPr>
      </w:pPr>
      <w:r>
        <w:rPr>
          <w:rFonts w:ascii="sans-serif" w:hAnsi="sans-serif"/>
          <w:i/>
          <w:color w:val="000000"/>
          <w:sz w:val="22"/>
        </w:rPr>
        <w:t>IR@brightspringhealth.com</w:t>
      </w:r>
    </w:p>
    <w:p>
      <w:pPr>
        <w:pStyle w:val="TextBody"/>
        <w:bidi w:val="0"/>
        <w:jc w:val="left"/>
        <w:rPr>
          <w:rFonts w:ascii="Times New Roman" w:hAnsi="Times New Roman"/>
          <w:sz w:val="20"/>
        </w:rPr>
      </w:pPr>
      <w:r>
        <w:rPr>
          <w:rFonts w:ascii="sans-serif" w:hAnsi="sans-serif"/>
          <w:i/>
          <w:color w:val="000000"/>
          <w:sz w:val="22"/>
        </w:rPr>
        <w:t>917.209.5605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2"/>
        </w:rPr>
        <w:t>Media Contact:</w:t>
        <w:br/>
      </w:r>
      <w:r>
        <w:rPr>
          <w:rFonts w:ascii="sans-serif" w:hAnsi="sans-serif"/>
          <w:i/>
          <w:color w:val="000000"/>
          <w:sz w:val="22"/>
        </w:rPr>
        <w:t>Leigh White</w:t>
        <w:br/>
        <w:t>Vice President, Communications &amp; PR</w:t>
      </w:r>
    </w:p>
    <w:p>
      <w:pPr>
        <w:pStyle w:val="TextBody"/>
        <w:bidi w:val="0"/>
        <w:jc w:val="left"/>
        <w:rPr>
          <w:rFonts w:ascii="sans-serif" w:hAnsi="sans-serif"/>
          <w:i/>
          <w:color w:val="000000"/>
          <w:sz w:val="22"/>
        </w:rPr>
      </w:pPr>
      <w:r>
        <w:rPr>
          <w:rFonts w:ascii="sans-serif" w:hAnsi="sans-serif"/>
          <w:i/>
          <w:color w:val="000000"/>
          <w:sz w:val="22"/>
        </w:rPr>
        <w:t>leigh.white@brightspringhealth.com</w:t>
      </w:r>
    </w:p>
    <w:p>
      <w:pPr>
        <w:pStyle w:val="TextBody"/>
        <w:bidi w:val="0"/>
        <w:jc w:val="left"/>
        <w:rPr>
          <w:rFonts w:ascii="sans-serif" w:hAnsi="sans-serif"/>
          <w:i/>
          <w:color w:val="000000"/>
          <w:sz w:val="22"/>
        </w:rPr>
      </w:pPr>
      <w:r>
        <w:rPr>
          <w:rFonts w:ascii="sans-serif" w:hAnsi="sans-serif"/>
          <w:i/>
          <w:color w:val="000000"/>
          <w:sz w:val="22"/>
        </w:rPr>
        <w:t>502.630.7412</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Condensed Consolidated Balance Sheets</w:t>
      </w:r>
    </w:p>
    <w:p>
      <w:pPr>
        <w:pStyle w:val="TextBody"/>
        <w:bidi w:val="0"/>
        <w:jc w:val="center"/>
        <w:rPr>
          <w:rFonts w:ascii="Times New Roman" w:hAnsi="Times New Roman"/>
          <w:b/>
          <w:color w:val="231F20"/>
          <w:sz w:val="20"/>
        </w:rPr>
      </w:pPr>
      <w:r>
        <w:rPr>
          <w:rFonts w:ascii="Times New Roman" w:hAnsi="Times New Roman"/>
          <w:b/>
          <w:color w:val="231F20"/>
          <w:sz w:val="20"/>
        </w:rPr>
        <w:t>June 30, 2026 and December 31, 2025</w:t>
      </w:r>
    </w:p>
    <w:p>
      <w:pPr>
        <w:pStyle w:val="TextBody"/>
        <w:bidi w:val="0"/>
        <w:jc w:val="center"/>
        <w:rPr>
          <w:rFonts w:ascii="Times New Roman" w:hAnsi="Times New Roman"/>
          <w:i/>
          <w:color w:val="231F20"/>
          <w:sz w:val="20"/>
        </w:rPr>
      </w:pPr>
      <w:r>
        <w:rPr>
          <w:rFonts w:ascii="Times New Roman" w:hAnsi="Times New Roman"/>
          <w:i/>
          <w:color w:val="231F20"/>
          <w:sz w:val="20"/>
        </w:rPr>
        <w:t>(In thousands, except share and per share data)</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12"/>
        <w:gridCol w:w="146"/>
        <w:gridCol w:w="211"/>
        <w:gridCol w:w="931"/>
        <w:gridCol w:w="146"/>
        <w:gridCol w:w="146"/>
        <w:gridCol w:w="262"/>
        <w:gridCol w:w="1159"/>
        <w:gridCol w:w="992"/>
      </w:tblGrid>
      <w:tr>
        <w:trPr/>
        <w:tc>
          <w:tcPr>
            <w:tcW w:w="6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550,381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88,370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receivable,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1,139,420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989,719</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575,009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815,180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118,592</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882,189</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2,469,973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2,894,050</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Property and equipment, net of accumulated depreciation of $438,963 and $404,878 at </w:t>
              <w:br/>
              <w: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204,689</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2,545,673</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514,424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557,555</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171,632</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39,712</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5,985,717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6,413,311</w:t>
            </w:r>
          </w:p>
        </w:tc>
        <w:tc>
          <w:tcPr>
            <w:tcW w:w="9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Redeemable Noncontrolling Interests,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1,090,915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1,217,946</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333,024</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42,936</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obligations under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6,794</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52,340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195,994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1,555,633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1,849,034</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135,420</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Obligations under financing leases,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14,544</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2,455,204</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6,178</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66,565</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3,927,515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4,526,945</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11,227</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Common stock, $0.01 par value, 1,500,000,000 shares authorized, 197,509,491 and</w:t>
              <w:br/>
              <w:t>   192,124,125 shares issued and outstanding at June 30, 2026 and December 31, 2025,</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1,921</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 xml:space="preserve">Preferred stock, $0.01 par value, 250,000,000 authorized, no shares issued and </w:t>
              <w:br/>
              <w:t>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2,004,123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1,954,482</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(74,647</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(6,691</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1,875,065</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1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19"/>
              </w:rPr>
            </w:pPr>
            <w:r>
              <w:rPr>
                <w:rFonts w:ascii="Times New Roman" w:hAnsi="Times New Roman"/>
                <w:b/>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1,875,139</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12"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b/>
                <w:color w:val="000000"/>
                <w:sz w:val="19"/>
              </w:rPr>
            </w:pPr>
            <w:r>
              <w:rPr>
                <w:rFonts w:ascii="Times New Roman" w:hAnsi="Times New Roman"/>
                <w:b/>
                <w:color w:val="000000"/>
                <w:sz w:val="19"/>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5,985,717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6,413,311</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i/>
          <w:color w:val="231F20"/>
          <w:sz w:val="20"/>
        </w:rPr>
      </w:pPr>
      <w:r>
        <w:rPr>
          <w:rFonts w:ascii="Times New Roman" w:hAnsi="Times New Roman"/>
          <w:i/>
          <w:color w:val="231F20"/>
          <w:sz w:val="20"/>
        </w:rPr>
        <w:t>(In thousands, except per share amounts)</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6,025,827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net of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discontinued operations,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noncontrolling interests included in </w:t>
              <w:br/>
              <w:t>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BrightSpring Health Services, Inc. and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income (loss) per share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income (loss) per share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sz w:val="20"/>
        </w:rPr>
      </w:pPr>
      <w:r>
        <w:rPr>
          <w:rFonts w:ascii="Times New Roman" w:hAnsi="Times New Roman"/>
          <w:b/>
          <w:color w:val="231F20"/>
          <w:sz w:val="20"/>
        </w:rPr>
        <w:t>Condensed Consolidated Statements of Cash Flows</w:t>
      </w:r>
      <w:r>
        <w:rPr>
          <w:rFonts w:ascii="Times New Roman" w:hAnsi="Times New Roman"/>
          <w:color w:val="231F2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i/>
          <w:color w:val="231F20"/>
          <w:sz w:val="20"/>
        </w:rPr>
      </w:pPr>
      <w:r>
        <w:rPr>
          <w:rFonts w:ascii="Times New Roman" w:hAnsi="Times New Roman"/>
          <w:i/>
          <w:color w:val="231F20"/>
          <w:sz w:val="20"/>
        </w:rPr>
        <w:t>(In thousands)</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51"/>
        <w:gridCol w:w="146"/>
        <w:gridCol w:w="197"/>
        <w:gridCol w:w="757"/>
        <w:gridCol w:w="182"/>
        <w:gridCol w:w="147"/>
        <w:gridCol w:w="197"/>
        <w:gridCol w:w="696"/>
        <w:gridCol w:w="166"/>
        <w:gridCol w:w="146"/>
        <w:gridCol w:w="196"/>
        <w:gridCol w:w="751"/>
        <w:gridCol w:w="166"/>
        <w:gridCol w:w="146"/>
        <w:gridCol w:w="196"/>
        <w:gridCol w:w="751"/>
        <w:gridCol w:w="814"/>
      </w:tblGrid>
      <w:tr>
        <w:trPr/>
        <w:tc>
          <w:tcPr>
            <w:tcW w:w="4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56,552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contingent consideration,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Payment of contingent consideration in excess of acquisition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(gain) on sale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operating assets and liabilities, net of acquisitions and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(112,756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(78,341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53,277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color w:val="000000"/>
              </w:rPr>
            </w:pPr>
            <w:r>
              <w:rPr>
                <w:color w:val="000000"/>
              </w:rPr>
              <w:t>        </w:t>
            </w:r>
            <w:r>
              <w:rPr>
                <w:rFonts w:ascii="Times New Roman" w:hAnsi="Times New Roman"/>
                <w:color w:val="000000"/>
                <w:sz w:val="18"/>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150,674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(47,434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Long-term debt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(308,138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Repayments of the Revolving Credit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Repurchases of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shares issued under share-based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20,323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of financing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(354,134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(94,261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(338,416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888,797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61,253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550,381</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included in assets held for sale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included in continuing operations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550,381</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70,070</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Reconciliation of EBITDA and Adjusted EBITDA</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reconciles net income from continuing operations to EBITDA and Adjusted EBITDA:</w:t>
      </w:r>
    </w:p>
    <w:p>
      <w:pPr>
        <w:pStyle w:val="TextBody"/>
        <w:bidi w:val="0"/>
        <w:jc w:val="left"/>
        <w:rPr/>
      </w:pPr>
      <w:r>
        <w:rPr/>
        <w:t> </w:t>
      </w:r>
    </w:p>
    <w:tbl>
      <w:tblPr>
        <w:tblW w:w="9922" w:type="dxa"/>
        <w:jc w:val="left"/>
        <w:tblInd w:w="0" w:type="dxa"/>
        <w:tblLayout w:type="fixed"/>
        <w:tblCellMar>
          <w:top w:w="28" w:type="dxa"/>
          <w:left w:w="28" w:type="dxa"/>
          <w:bottom w:w="28" w:type="dxa"/>
          <w:right w:w="28" w:type="dxa"/>
        </w:tblCellMar>
      </w:tblPr>
      <w:tblGrid>
        <w:gridCol w:w="4741"/>
        <w:gridCol w:w="146"/>
        <w:gridCol w:w="211"/>
        <w:gridCol w:w="781"/>
        <w:gridCol w:w="146"/>
        <w:gridCol w:w="146"/>
        <w:gridCol w:w="211"/>
        <w:gridCol w:w="781"/>
        <w:gridCol w:w="146"/>
        <w:gridCol w:w="146"/>
        <w:gridCol w:w="211"/>
        <w:gridCol w:w="781"/>
        <w:gridCol w:w="146"/>
        <w:gridCol w:w="146"/>
        <w:gridCol w:w="211"/>
        <w:gridCol w:w="78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integration, and transaction-related costs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divestiture-related and other costs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non-cash share-based compensation to certain members of our management and full-time employees.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costs associated with restructuring-related activities, including closure, and related license impairment, and severance expenses associated with certain enterprise-wide or significant business line cost-savings measures.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BrightSpring Health Services, Inc. and Subsidiaries</w:t>
      </w:r>
    </w:p>
    <w:p>
      <w:pPr>
        <w:pStyle w:val="TextBody"/>
        <w:bidi w:val="0"/>
        <w:jc w:val="center"/>
        <w:rPr>
          <w:rFonts w:ascii="Times New Roman" w:hAnsi="Times New Roman"/>
          <w:b/>
          <w:color w:val="231F20"/>
          <w:sz w:val="20"/>
        </w:rPr>
      </w:pPr>
      <w:r>
        <w:rPr>
          <w:rFonts w:ascii="Times New Roman" w:hAnsi="Times New Roman"/>
          <w:b/>
          <w:color w:val="231F20"/>
          <w:sz w:val="20"/>
        </w:rPr>
        <w:t>Reconciliation of Adjusted EPS</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i/>
          <w:color w:val="231F20"/>
          <w:sz w:val="20"/>
        </w:rPr>
      </w:pPr>
      <w:r>
        <w:rPr>
          <w:rFonts w:ascii="Times New Roman" w:hAnsi="Times New Roman"/>
          <w:i/>
          <w:color w:val="231F20"/>
          <w:sz w:val="20"/>
        </w:rPr>
        <w:t>(Unaudited)</w:t>
      </w:r>
    </w:p>
    <w:p>
      <w:pPr>
        <w:pStyle w:val="TextBody"/>
        <w:bidi w:val="0"/>
        <w:jc w:val="center"/>
        <w:rPr/>
      </w:pPr>
      <w:r>
        <w:rPr/>
        <w:t>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The following table reconciles diluted EPS to Adjusted EPS: </w:t>
      </w:r>
    </w:p>
    <w:p>
      <w:pPr>
        <w:pStyle w:val="TextBody"/>
        <w:bidi w:val="0"/>
        <w:ind w:left="0" w:right="0" w:firstLine="720"/>
        <w:jc w:val="left"/>
        <w:rPr/>
      </w:pPr>
      <w:r>
        <w:rPr/>
        <w:t>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81"/>
        <w:gridCol w:w="166"/>
        <w:gridCol w:w="146"/>
        <w:gridCol w:w="211"/>
        <w:gridCol w:w="781"/>
        <w:gridCol w:w="166"/>
        <w:gridCol w:w="146"/>
        <w:gridCol w:w="211"/>
        <w:gridCol w:w="781"/>
        <w:gridCol w:w="166"/>
        <w:gridCol w:w="146"/>
        <w:gridCol w:w="211"/>
        <w:gridCol w:w="781"/>
        <w:gridCol w:w="21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(shares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integration, and transaction-related costs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divestiture-related and other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impact on adjustments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used in calculating </w:t>
              <w:br/>
              <w:t>     diluted U.S. GAAP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used in calculating </w:t>
              <w:br/>
              <w:t>     diluted Non-GAAP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This adjustment reflects the per share impact of the adjustment reflected within the definition of Adjusted EBITDA.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income tax impact of non-GAAP adjustments is calculated using the estimated tax rate for the respective non-GAAP adjustment. For all periods presented, the income tax impact on adjustments is inclusive of a discrete tax benefit related to share-based compensation.</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4817</Words>
  <Characters>27644</Characters>
  <CharactersWithSpaces>33111</CharactersWithSpaces>
  <Paragraphs>2556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