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Nigam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65" w:lineRule="auto"/>
        <w:rPr>
          <w:sz w:val="20"/>
          <w:szCs w:val="20"/>
          <w:color w:val="auto"/>
        </w:rPr>
      </w:pPr>
      <w:r>
        <w:rPr>
          <w:rFonts w:ascii="Times New Roman" w:cs="Times New Roman" w:eastAsia="Times New Roman" w:hAnsi="Times New Roman"/>
          <w:sz w:val="17"/>
          <w:szCs w:val="17"/>
          <w:color w:val="0000FF"/>
        </w:rPr>
        <w:t>C/O BRIGHTSPRING HEALTH SERVICES, INC. 805 N. WHITTINGTON PARKWAY</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BrightSpring Health Services,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BTSG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4,013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4,013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2026, the Reporting Person was granted restricted stock units ("RSUs") which fully vest on the earlier of (i) June 11, 2027 and (ii) the day before the Issuer's 2027 annual meeting of stockholders. Each RSU represents a contingent right to receive one share of common stock upon settlement.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Phipps,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9500" TargetMode="External"/><Relationship Id="rId14" Type="http://schemas.openxmlformats.org/officeDocument/2006/relationships/hyperlink" Target="http://www.sec.gov/cgi-bin/browse-edgar?action=getcompany&amp;CIK=0001865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2026-06-12T17:34:04Z</dcterms:created>
  <dcterms:modified xsi:type="dcterms:W3CDTF">2026-06-12T17:34:04Z</dcterms:modified>
</cp:coreProperties>
</file>