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641350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654685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jc w:val="center"/>
        <w:ind w:left="3060" w:right="759" w:hanging="2412"/>
        <w:spacing w:after="0" w:line="374" w:lineRule="auto"/>
        <w:tabs>
          <w:tab w:leader="none" w:pos="959"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5" w:lineRule="exact"/>
        <w:rPr>
          <w:sz w:val="24"/>
          <w:szCs w:val="24"/>
          <w:color w:val="auto"/>
        </w:rPr>
      </w:pPr>
    </w:p>
    <w:p>
      <w:pPr>
        <w:ind w:left="29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82-2956404</w:t>
            </w:r>
          </w:p>
        </w:tc>
      </w:tr>
    </w:tbl>
    <w:p>
      <w:pPr>
        <w:spacing w:after="0" w:line="1" w:lineRule="exact"/>
        <w:rPr>
          <w:sz w:val="24"/>
          <w:szCs w:val="24"/>
          <w:color w:val="auto"/>
        </w:rPr>
      </w:pPr>
    </w:p>
    <w:p>
      <w:pPr>
        <w:sectPr>
          <w:pgSz w:w="11900" w:h="16838" w:orient="portrait"/>
          <w:cols w:equalWidth="0" w:num="1">
            <w:col w:w="9019"/>
          </w:cols>
          <w:pgMar w:left="1440" w:top="1132" w:right="1440" w:bottom="1440" w:gutter="0" w:footer="0" w:header="0"/>
        </w:sectPr>
      </w:pPr>
    </w:p>
    <w:p>
      <w:pPr>
        <w:ind w:left="1940"/>
        <w:spacing w:after="0" w:line="224" w:lineRule="auto"/>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1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24" w:lineRule="exact"/>
        <w:rPr>
          <w:sz w:val="24"/>
          <w:szCs w:val="24"/>
          <w:color w:val="auto"/>
        </w:rPr>
      </w:pPr>
    </w:p>
    <w:p>
      <w:pPr>
        <w:sectPr>
          <w:pgSz w:w="11900" w:h="16838" w:orient="portrait"/>
          <w:cols w:equalWidth="0" w:num="2">
            <w:col w:w="5320" w:space="720"/>
            <w:col w:w="2979"/>
          </w:cols>
          <w:pgMar w:left="1440" w:top="1132"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3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9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8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BTSG</w:t>
            </w:r>
          </w:p>
        </w:tc>
        <w:tc>
          <w:tcPr>
            <w:tcW w:w="80" w:type="dxa"/>
            <w:vAlign w:val="bottom"/>
          </w:tcPr>
          <w:p>
            <w:pPr>
              <w:spacing w:after="0"/>
              <w:rPr>
                <w:sz w:val="12"/>
                <w:szCs w:val="12"/>
                <w:color w:val="auto"/>
              </w:rPr>
            </w:pPr>
          </w:p>
        </w:tc>
        <w:tc>
          <w:tcPr>
            <w:tcW w:w="34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6.75% Tangible Equity Units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BTSGU</w:t>
            </w:r>
          </w:p>
        </w:tc>
        <w:tc>
          <w:tcPr>
            <w:tcW w:w="8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640" w:right="69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3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79"/>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39"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640" w:right="1519"/>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April 28, 2026 was 193,918,398.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748030</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85090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99060</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650"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 w:name="page3"/>
    <w:bookmarkEnd w:id="2"/>
    <w:p>
      <w:pPr>
        <w:ind w:left="640" w:right="879"/>
        <w:spacing w:after="0" w:line="292" w:lineRule="auto"/>
        <w:rPr>
          <w:sz w:val="20"/>
          <w:szCs w:val="20"/>
          <w:color w:val="auto"/>
        </w:rPr>
      </w:pPr>
      <w:r>
        <w:rPr>
          <w:rFonts w:ascii="Times New Roman" w:cs="Times New Roman" w:eastAsia="Times New Roman" w:hAnsi="Times New Roman"/>
          <w:sz w:val="14"/>
          <w:szCs w:val="14"/>
          <w:color w:val="auto"/>
        </w:rPr>
        <w:t>Unless the context requires otherwise, references in this Quarterly Report on Form 10-Q (this “Form 10-Q”) to “BrightSpring,” the “Company,” “we,” “us,” and “our” refer to BrightSpring Health Services, Inc. and its consolidated subsidiaries.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1019" w:firstLine="516"/>
        <w:spacing w:after="0" w:line="268"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that reflect our current views with respect to, among other things, our operations, and financial performance. We have used words such as “anticipate,” “assume,” “believe,” “continue,” “could,” “estimate,” “expect,” “intend,” “may,” “plan,” “potential,” “predict,” “project,” “future,” “will,” “seek,” “foreseeable,” the negative version of these words, or similar terms and phrases to identify forward-looking statements.</w:t>
      </w:r>
    </w:p>
    <w:p>
      <w:pPr>
        <w:spacing w:after="0" w:line="54" w:lineRule="exact"/>
        <w:rPr>
          <w:sz w:val="20"/>
          <w:szCs w:val="20"/>
          <w:color w:val="auto"/>
        </w:rPr>
      </w:pPr>
    </w:p>
    <w:p>
      <w:pPr>
        <w:ind w:left="640" w:right="679" w:firstLine="516"/>
        <w:spacing w:after="0" w:line="268"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We believe that these factors include but are not limited to the following:</w:t>
      </w:r>
    </w:p>
    <w:p>
      <w:pPr>
        <w:spacing w:after="0" w:line="54" w:lineRule="exact"/>
        <w:rPr>
          <w:sz w:val="20"/>
          <w:szCs w:val="20"/>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 in a highly competitive industry;</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relationships with existing patient referral sources or establish new referral sources;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w:t>
      </w:r>
    </w:p>
    <w:p>
      <w:pPr>
        <w:spacing w:after="0" w:line="96" w:lineRule="exact"/>
        <w:rPr>
          <w:rFonts w:ascii="Times New Roman" w:cs="Times New Roman" w:eastAsia="Times New Roman" w:hAnsi="Times New Roman"/>
          <w:sz w:val="14"/>
          <w:szCs w:val="14"/>
          <w:color w:val="auto"/>
        </w:rPr>
      </w:pPr>
    </w:p>
    <w:p>
      <w:pPr>
        <w:ind w:left="1420" w:right="6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spacing w:after="0" w:line="37" w:lineRule="exact"/>
        <w:rPr>
          <w:rFonts w:ascii="Times New Roman" w:cs="Times New Roman" w:eastAsia="Times New Roman" w:hAnsi="Times New Roman"/>
          <w:sz w:val="14"/>
          <w:szCs w:val="14"/>
          <w:color w:val="auto"/>
        </w:rPr>
      </w:pPr>
    </w:p>
    <w:p>
      <w:pPr>
        <w:ind w:left="1420" w:right="8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w:t>
      </w:r>
    </w:p>
    <w:p>
      <w:pPr>
        <w:spacing w:after="0" w:line="37" w:lineRule="exact"/>
        <w:rPr>
          <w:rFonts w:ascii="Times New Roman" w:cs="Times New Roman" w:eastAsia="Times New Roman" w:hAnsi="Times New Roman"/>
          <w:sz w:val="14"/>
          <w:szCs w:val="14"/>
          <w:color w:val="auto"/>
        </w:rPr>
      </w:pPr>
    </w:p>
    <w:p>
      <w:pPr>
        <w:ind w:left="1420" w:right="11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federal and state spending, budget decisions, and continuous governmental operations which may fluctuate under different political conditions;</w:t>
      </w:r>
    </w:p>
    <w:p>
      <w:pPr>
        <w:spacing w:after="0" w:line="37" w:lineRule="exact"/>
        <w:rPr>
          <w:rFonts w:ascii="Times New Roman" w:cs="Times New Roman" w:eastAsia="Times New Roman" w:hAnsi="Times New Roman"/>
          <w:sz w:val="14"/>
          <w:szCs w:val="14"/>
          <w:color w:val="auto"/>
        </w:rPr>
      </w:pPr>
    </w:p>
    <w:p>
      <w:pPr>
        <w:ind w:left="1420" w:right="8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which may negatively impact our profitability;</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w:t>
      </w:r>
    </w:p>
    <w:p>
      <w:pPr>
        <w:spacing w:after="0" w:line="96" w:lineRule="exact"/>
        <w:rPr>
          <w:rFonts w:ascii="Times New Roman" w:cs="Times New Roman" w:eastAsia="Times New Roman" w:hAnsi="Times New Roman"/>
          <w:sz w:val="14"/>
          <w:szCs w:val="14"/>
          <w:color w:val="auto"/>
        </w:rPr>
      </w:pPr>
    </w:p>
    <w:p>
      <w:pPr>
        <w:ind w:left="1420" w:right="12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continual recruitment and retention of nurses, pharmacists, therapists, caregivers, direct support professionals, and other qualified personnel, including senior management;</w:t>
      </w:r>
    </w:p>
    <w:p>
      <w:pPr>
        <w:spacing w:after="0" w:line="37" w:lineRule="exact"/>
        <w:rPr>
          <w:rFonts w:ascii="Times New Roman" w:cs="Times New Roman" w:eastAsia="Times New Roman" w:hAnsi="Times New Roman"/>
          <w:sz w:val="14"/>
          <w:szCs w:val="14"/>
          <w:color w:val="auto"/>
        </w:rPr>
      </w:pPr>
    </w:p>
    <w:p>
      <w:pPr>
        <w:ind w:left="1420" w:right="10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to federal, state, and local laws and regulations that govern our employment practices, including minimum wage, living wage, and paid time-off requirements;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 of our results of operations on a quarterly basis;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caused by labor relation matters;</w:t>
      </w:r>
    </w:p>
    <w:p>
      <w:pPr>
        <w:spacing w:after="0" w:line="96" w:lineRule="exact"/>
        <w:rPr>
          <w:rFonts w:ascii="Times New Roman" w:cs="Times New Roman" w:eastAsia="Times New Roman" w:hAnsi="Times New Roman"/>
          <w:sz w:val="14"/>
          <w:szCs w:val="14"/>
          <w:color w:val="auto"/>
        </w:rPr>
      </w:pPr>
    </w:p>
    <w:p>
      <w:pPr>
        <w:ind w:left="1420" w:right="7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in our ability to control reimbursement rates received for our services if we are unable to maintain or reduce our costs to provide such services;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w:t>
      </w:r>
    </w:p>
    <w:p>
      <w:pPr>
        <w:spacing w:after="0" w:line="96" w:lineRule="exact"/>
        <w:rPr>
          <w:rFonts w:ascii="Times New Roman" w:cs="Times New Roman" w:eastAsia="Times New Roman" w:hAnsi="Times New Roman"/>
          <w:sz w:val="14"/>
          <w:szCs w:val="14"/>
          <w:color w:val="auto"/>
        </w:rPr>
      </w:pPr>
    </w:p>
    <w:p>
      <w:pPr>
        <w:ind w:left="1420" w:right="6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manage our growth effectively, which may inhibit our ability to execute our business plan, maintain high levels of service and satisfaction or adequately address competitive challenges;</w:t>
      </w:r>
    </w:p>
    <w:p>
      <w:pPr>
        <w:spacing w:after="0" w:line="37" w:lineRule="exact"/>
        <w:rPr>
          <w:rFonts w:ascii="Times New Roman" w:cs="Times New Roman" w:eastAsia="Times New Roman" w:hAnsi="Times New Roman"/>
          <w:sz w:val="14"/>
          <w:szCs w:val="14"/>
          <w:color w:val="auto"/>
        </w:rPr>
      </w:pPr>
    </w:p>
    <w:p>
      <w:pPr>
        <w:ind w:left="1420" w:right="81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successfully complete and manage acquisitions, joint ventures, divestitures and other significant transactions and strategic initiatives;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provide consistently high quality of care;</w:t>
      </w:r>
    </w:p>
    <w:p>
      <w:pPr>
        <w:spacing w:after="0" w:line="96" w:lineRule="exact"/>
        <w:rPr>
          <w:rFonts w:ascii="Times New Roman" w:cs="Times New Roman" w:eastAsia="Times New Roman" w:hAnsi="Times New Roman"/>
          <w:sz w:val="14"/>
          <w:szCs w:val="14"/>
          <w:color w:val="auto"/>
        </w:rPr>
      </w:pPr>
    </w:p>
    <w:p>
      <w:pPr>
        <w:ind w:left="1420" w:right="71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corporate reputation or the emergence of adverse publicity, including negative information on social media or changes in public perception of our services;</w:t>
      </w:r>
    </w:p>
    <w:p>
      <w:pPr>
        <w:spacing w:after="0" w:line="37" w:lineRule="exact"/>
        <w:rPr>
          <w:rFonts w:ascii="Times New Roman" w:cs="Times New Roman" w:eastAsia="Times New Roman" w:hAnsi="Times New Roman"/>
          <w:sz w:val="14"/>
          <w:szCs w:val="14"/>
          <w:color w:val="auto"/>
        </w:rPr>
      </w:pPr>
    </w:p>
    <w:p>
      <w:pPr>
        <w:ind w:left="1420" w:right="899" w:hanging="267"/>
        <w:spacing w:after="0" w:line="274"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continuance, expansion and renewal with our existing customers, including renewals at lower fee levels, customers declining to purchase additional services from us, or reduction in the services received from us pursuant to those contracts;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 w:name="page4"/>
    <w:bookmarkEnd w:id="3"/>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investment in, implementation of improvements to and proper maintenance of the uninterrupted operation and data integrity of our information technology and other business systems;</w:t>
      </w:r>
    </w:p>
    <w:p>
      <w:pPr>
        <w:spacing w:after="0" w:line="37" w:lineRule="exact"/>
        <w:rPr>
          <w:rFonts w:ascii="Times New Roman" w:cs="Times New Roman" w:eastAsia="Times New Roman" w:hAnsi="Times New Roman"/>
          <w:sz w:val="14"/>
          <w:szCs w:val="14"/>
          <w:color w:val="auto"/>
        </w:rPr>
      </w:pPr>
    </w:p>
    <w:p>
      <w:pPr>
        <w:jc w:val="both"/>
        <w:ind w:left="1420" w:right="699" w:hanging="267"/>
        <w:spacing w:after="0" w:line="268"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spacing w:after="0" w:line="54"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credit card payments and other payment methods;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substantial malpractice or other similar claims;</w:t>
      </w:r>
    </w:p>
    <w:p>
      <w:pPr>
        <w:spacing w:after="0" w:line="96" w:lineRule="exact"/>
        <w:rPr>
          <w:rFonts w:ascii="Times New Roman" w:cs="Times New Roman" w:eastAsia="Times New Roman" w:hAnsi="Times New Roman"/>
          <w:sz w:val="14"/>
          <w:szCs w:val="14"/>
          <w:color w:val="auto"/>
        </w:rPr>
      </w:pPr>
    </w:p>
    <w:p>
      <w:pPr>
        <w:ind w:left="1420" w:right="71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risks related to governmental inquiries, regulatory actions, and whistleblower and other lawsuits, which may not be entirely covered by insurance;</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which may expose us to unexpected costs, particularly if we incur losses not covered by our insurance or if claims or losses differ from our estimates;</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which have required and could in the future require us to record an asset impairment of goodwill;</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w:t>
      </w:r>
    </w:p>
    <w:p>
      <w:pPr>
        <w:spacing w:after="0" w:line="96" w:lineRule="exact"/>
        <w:rPr>
          <w:rFonts w:ascii="Times New Roman" w:cs="Times New Roman" w:eastAsia="Times New Roman" w:hAnsi="Times New Roman"/>
          <w:sz w:val="14"/>
          <w:szCs w:val="14"/>
          <w:color w:val="auto"/>
        </w:rPr>
      </w:pPr>
    </w:p>
    <w:p>
      <w:pPr>
        <w:ind w:left="1420" w:right="79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adequately protect our intellectual property rights;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compliance with our regulatory framework;</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interests of KKR Stockholder may conflict with our stockholders’ interests in the future;</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w:t>
      </w:r>
    </w:p>
    <w:p>
      <w:pPr>
        <w:spacing w:after="0" w:line="96" w:lineRule="exact"/>
        <w:rPr>
          <w:rFonts w:ascii="Times New Roman" w:cs="Times New Roman" w:eastAsia="Times New Roman" w:hAnsi="Times New Roman"/>
          <w:sz w:val="14"/>
          <w:szCs w:val="14"/>
          <w:color w:val="auto"/>
        </w:rPr>
      </w:pPr>
    </w:p>
    <w:p>
      <w:pPr>
        <w:ind w:left="1420" w:right="739" w:hanging="267"/>
        <w:spacing w:after="0" w:line="274"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spacing w:after="0" w:line="50"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frequency of our stock repurchases may fluctuate.</w:t>
      </w:r>
    </w:p>
    <w:p>
      <w:pPr>
        <w:spacing w:after="0" w:line="97" w:lineRule="exact"/>
        <w:rPr>
          <w:sz w:val="20"/>
          <w:szCs w:val="20"/>
          <w:color w:val="auto"/>
        </w:rPr>
      </w:pPr>
    </w:p>
    <w:p>
      <w:pPr>
        <w:ind w:left="640" w:right="659" w:firstLine="551"/>
        <w:spacing w:after="0" w:line="259" w:lineRule="auto"/>
        <w:rPr>
          <w:sz w:val="20"/>
          <w:szCs w:val="20"/>
          <w:color w:val="auto"/>
        </w:rPr>
      </w:pPr>
      <w:r>
        <w:rPr>
          <w:rFonts w:ascii="Times New Roman" w:cs="Times New Roman" w:eastAsia="Times New Roman" w:hAnsi="Times New Roman"/>
          <w:sz w:val="14"/>
          <w:szCs w:val="14"/>
          <w:color w:val="auto"/>
        </w:rPr>
        <w:t>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2025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888,797</w:t>
            </w:r>
          </w:p>
        </w:tc>
        <w:tc>
          <w:tcPr>
            <w:tcW w:w="12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88,370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1,113,534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989,719</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560,166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815,180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118,592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882,189</w:t>
            </w:r>
          </w:p>
        </w:tc>
        <w:tc>
          <w:tcPr>
            <w:tcW w:w="80" w:type="dxa"/>
            <w:vAlign w:val="bottom"/>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top w:val="single" w:sz="8" w:color="CFF0FC"/>
            </w:tcBorders>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2,689,303</w:t>
            </w:r>
          </w:p>
        </w:tc>
        <w:tc>
          <w:tcPr>
            <w:tcW w:w="12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2,894,050</w:t>
            </w:r>
          </w:p>
        </w:tc>
        <w:tc>
          <w:tcPr>
            <w:tcW w:w="80" w:type="dxa"/>
            <w:vAlign w:val="bottom"/>
            <w:tcBorders>
              <w:top w:val="single" w:sz="8" w:color="CFF0FC"/>
            </w:tcBorders>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$421,329 and $404,878 at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201,885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204,689</w:t>
            </w:r>
          </w:p>
        </w:tc>
        <w:tc>
          <w:tcPr>
            <w:tcW w:w="80" w:type="dxa"/>
            <w:vAlign w:val="bottom"/>
            <w:shd w:val="clear" w:color="auto" w:fill="CFF0FC"/>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2,533,555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2,545,673</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536,884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557,555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171,632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78,354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39,712</w:t>
            </w:r>
          </w:p>
        </w:tc>
        <w:tc>
          <w:tcPr>
            <w:tcW w:w="80" w:type="dxa"/>
            <w:vAlign w:val="bottom"/>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6,213,314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6,413,311</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1,091,434</w:t>
            </w:r>
          </w:p>
        </w:tc>
        <w:tc>
          <w:tcPr>
            <w:tcW w:w="12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1,217,946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351,891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333,024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45,391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42,936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1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195,994</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1,548,413</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1,849,034</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2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136,724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135,420</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2,444,871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2,455,204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79,226</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66,565</w:t>
            </w:r>
          </w:p>
        </w:tc>
        <w:tc>
          <w:tcPr>
            <w:tcW w:w="80" w:type="dxa"/>
            <w:vAlign w:val="bottom"/>
            <w:tcBorders>
              <w:bottom w:val="single" w:sz="8" w:color="CFF0FC"/>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4,223,421</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4,526,945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12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10,512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11,227</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30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Common stock, $0.01 par value, 1,500,000,000 shares authorized, 193,209,722 and</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1,932</w:t>
            </w:r>
          </w:p>
        </w:tc>
        <w:tc>
          <w:tcPr>
            <w:tcW w:w="120" w:type="dxa"/>
            <w:vAlign w:val="bottom"/>
          </w:tcPr>
          <w:p>
            <w:pPr>
              <w:spacing w:after="0"/>
              <w:rPr>
                <w:sz w:val="12"/>
                <w:szCs w:val="12"/>
                <w:color w:val="auto"/>
              </w:rPr>
            </w:pPr>
          </w:p>
        </w:tc>
        <w:tc>
          <w:tcPr>
            <w:tcW w:w="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192,124,125 shares issued and outstanding at March 31, 2026 and December 31, 2025,</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53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Preferred stock, $0.01 par value, 250,000,000 authorized, no shares issued and</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78"/>
        </w:trPr>
        <w:tc>
          <w:tcPr>
            <w:tcW w:w="20" w:type="dxa"/>
            <w:vAlign w:val="bottom"/>
          </w:tcPr>
          <w:p>
            <w:pPr>
              <w:spacing w:after="0"/>
              <w:rPr>
                <w:sz w:val="15"/>
                <w:szCs w:val="15"/>
                <w:color w:val="auto"/>
              </w:rPr>
            </w:pPr>
          </w:p>
        </w:tc>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outstanding at March 31, 2026 and December 31, 2025</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1,964,516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1,954,482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(74,647)</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(6,691)</w:t>
            </w: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Total shareholders' equity</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1,979,318</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1,875,065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1,979,381</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1,875,139</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1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6,213,314</w:t>
            </w:r>
          </w:p>
        </w:tc>
        <w:tc>
          <w:tcPr>
            <w:tcW w:w="120" w:type="dxa"/>
            <w:vAlign w:val="bottom"/>
          </w:tcPr>
          <w:p>
            <w:pPr>
              <w:spacing w:after="0"/>
              <w:rPr>
                <w:sz w:val="13"/>
                <w:szCs w:val="13"/>
                <w:color w:val="auto"/>
              </w:rPr>
            </w:pP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6,413,311</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-3900170</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-3900170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-2113280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-2113280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-1607820</wp:posOffset>
            </wp:positionV>
            <wp:extent cx="73025"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-1607820</wp:posOffset>
            </wp:positionV>
            <wp:extent cx="73025"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-347345</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-347345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-128905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4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4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3,171,349</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2,532,171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442,372</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345,958</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3,613,721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2,878,129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2,870,575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2,328,215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482,222</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338,369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360,773</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287,630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121,449</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38,615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82,834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net of income taxes</w:t>
            </w:r>
          </w:p>
        </w:tc>
        <w:tc>
          <w:tcPr>
            <w:tcW w:w="3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74,283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148,610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29,010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interests included in continuing operations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attributable to BrightSpring Health Services, Inc. and subsidiaries</w:t>
            </w: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148,767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29,542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per common share (Note 10):</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income per share attributable to common shareholders: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 per share</w:t>
            </w:r>
          </w:p>
        </w:tc>
        <w:tc>
          <w:tcPr>
            <w:tcW w:w="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 income per share attributable to common shareholders: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 per share</w:t>
            </w:r>
          </w:p>
        </w:tc>
        <w:tc>
          <w:tcPr>
            <w:tcW w:w="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204,712</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-3035935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-3035935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-2476500</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-2476500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-1460500</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-1447165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-1576705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-1460500</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-1447165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-1576705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148,610</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29,010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(3,287)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154,036</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25,723</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attributable to BrightSpring Health Services, Inc. and subsidiaries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154,193</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-476885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-476885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79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$(1,935) and $(33) for the three months ended March 31, 2026 and 2025, respectively.</w:t>
      </w:r>
    </w:p>
    <w:p>
      <w:pPr>
        <w:spacing w:after="0" w:line="72" w:lineRule="exact"/>
        <w:rPr>
          <w:rFonts w:ascii="Times New Roman" w:cs="Times New Roman" w:eastAsia="Times New Roman" w:hAnsi="Times New Roman"/>
          <w:sz w:val="19"/>
          <w:szCs w:val="19"/>
          <w:color w:val="auto"/>
          <w:vertAlign w:val="superscript"/>
        </w:rPr>
      </w:pPr>
    </w:p>
    <w:p>
      <w:pPr>
        <w:ind w:left="980" w:right="85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$144 and $1,087 for the three months ended March 31, 2026 and 2025,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9"/>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2026</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120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ind w:right="323"/>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4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tcPr>
          <w:p>
            <w:pPr>
              <w:jc w:val="right"/>
              <w:ind w:right="44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960" w:type="dxa"/>
            <w:vAlign w:val="bottom"/>
            <w:gridSpan w:val="3"/>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60" w:type="dxa"/>
            <w:vAlign w:val="bottom"/>
          </w:tcPr>
          <w:p>
            <w:pPr>
              <w:spacing w:after="0"/>
              <w:rPr>
                <w:sz w:val="11"/>
                <w:szCs w:val="11"/>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bottom w:val="single" w:sz="8" w:color="auto"/>
            </w:tcBorders>
            <w:gridSpan w:val="2"/>
          </w:tcPr>
          <w:p>
            <w:pPr>
              <w:jc w:val="right"/>
              <w:ind w:right="56"/>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Balances at December 31, 2025</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192,124,125</w:t>
            </w:r>
          </w:p>
        </w:tc>
        <w:tc>
          <w:tcPr>
            <w:tcW w:w="16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1,954,482</w:t>
            </w:r>
          </w:p>
        </w:tc>
        <w:tc>
          <w:tcPr>
            <w:tcW w:w="160" w:type="dxa"/>
            <w:vAlign w:val="bottom"/>
            <w:shd w:val="clear" w:color="auto" w:fill="CFF0FC"/>
          </w:tcPr>
          <w:p>
            <w:pPr>
              <w:spacing w:after="0"/>
              <w:rPr>
                <w:sz w:val="13"/>
                <w:szCs w:val="13"/>
                <w:color w:val="auto"/>
              </w:rPr>
            </w:pPr>
          </w:p>
        </w:tc>
        <w:tc>
          <w:tcPr>
            <w:tcW w:w="3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(74,647)</w:t>
            </w:r>
          </w:p>
        </w:tc>
        <w:tc>
          <w:tcPr>
            <w:tcW w:w="260" w:type="dxa"/>
            <w:vAlign w:val="bottom"/>
            <w:gridSpan w:val="3"/>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(6,691)</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1,875,139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 xml:space="preserve">Net income </w:t>
            </w:r>
            <w:r>
              <w:rPr>
                <w:rFonts w:ascii="Times New Roman" w:cs="Times New Roman" w:eastAsia="Times New Roman" w:hAnsi="Times New Roman"/>
                <w:sz w:val="17"/>
                <w:szCs w:val="17"/>
                <w:color w:val="auto"/>
                <w:vertAlign w:val="superscript"/>
              </w:rPr>
              <w:t>(1)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148,767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920" w:type="dxa"/>
            <w:vAlign w:val="bottom"/>
            <w:gridSpan w:val="2"/>
            <w:shd w:val="clear" w:color="auto" w:fill="CFF0FC"/>
          </w:tcPr>
          <w:p>
            <w:pPr>
              <w:jc w:val="right"/>
              <w:ind w:right="16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left w:val="single" w:sz="8" w:color="CFF0FC"/>
            </w:tcBorders>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5,426</w:t>
            </w:r>
          </w:p>
        </w:tc>
        <w:tc>
          <w:tcPr>
            <w:tcW w:w="14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1,377,708</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12,078</w:t>
            </w:r>
          </w:p>
        </w:tc>
        <w:tc>
          <w:tcPr>
            <w:tcW w:w="160" w:type="dxa"/>
            <w:vAlign w:val="bottom"/>
            <w:shd w:val="clear" w:color="auto" w:fill="CFF0FC"/>
          </w:tcPr>
          <w:p>
            <w:pPr>
              <w:spacing w:after="0"/>
              <w:rPr>
                <w:sz w:val="14"/>
                <w:szCs w:val="14"/>
                <w:color w:val="auto"/>
              </w:rPr>
            </w:pPr>
          </w:p>
        </w:tc>
        <w:tc>
          <w:tcPr>
            <w:tcW w:w="380" w:type="dxa"/>
            <w:vAlign w:val="bottom"/>
            <w:tcBorders>
              <w:left w:val="single" w:sz="8" w:color="CFF0FC"/>
            </w:tcBorders>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for settlement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1,316,385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RSUs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 of net share settlement of equity</w:t>
            </w: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(143,689)</w:t>
            </w:r>
          </w:p>
        </w:tc>
        <w:tc>
          <w:tcPr>
            <w:tcW w:w="200" w:type="dxa"/>
            <w:vAlign w:val="bottom"/>
            <w:tcBorders>
              <w:left w:val="single" w:sz="8" w:color="CFF0FC"/>
            </w:tcBorders>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160" w:type="dxa"/>
            <w:vAlign w:val="bottom"/>
            <w:shd w:val="clear" w:color="auto" w:fill="CFF0FC"/>
          </w:tcPr>
          <w:p>
            <w:pPr>
              <w:spacing w:after="0"/>
              <w:rPr>
                <w:sz w:val="13"/>
                <w:szCs w:val="13"/>
                <w:color w:val="auto"/>
              </w:rPr>
            </w:pPr>
          </w:p>
        </w:tc>
        <w:tc>
          <w:tcPr>
            <w:tcW w:w="380" w:type="dxa"/>
            <w:vAlign w:val="bottom"/>
            <w:tcBorders>
              <w:left w:val="single" w:sz="8" w:color="CFF0FC"/>
            </w:tcBorders>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(5,708)</w:t>
            </w:r>
          </w:p>
        </w:tc>
        <w:tc>
          <w:tcPr>
            <w:tcW w:w="0" w:type="dxa"/>
            <w:vAlign w:val="bottom"/>
          </w:tcPr>
          <w:p>
            <w:pPr>
              <w:spacing w:after="0"/>
              <w:rPr>
                <w:sz w:val="1"/>
                <w:szCs w:val="1"/>
                <w:color w:val="auto"/>
              </w:rPr>
            </w:pPr>
          </w:p>
        </w:tc>
      </w:tr>
      <w:tr>
        <w:trPr>
          <w:trHeight w:val="172"/>
        </w:trPr>
        <w:tc>
          <w:tcPr>
            <w:tcW w:w="27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awards</w:t>
            </w:r>
          </w:p>
        </w:tc>
        <w:tc>
          <w:tcPr>
            <w:tcW w:w="84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Share repurchase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(1,464,807)</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(59,985)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(60,000)</w:t>
            </w:r>
          </w:p>
        </w:tc>
        <w:tc>
          <w:tcPr>
            <w:tcW w:w="0" w:type="dxa"/>
            <w:vAlign w:val="bottom"/>
          </w:tcPr>
          <w:p>
            <w:pPr>
              <w:spacing w:after="0"/>
              <w:rPr>
                <w:sz w:val="1"/>
                <w:szCs w:val="1"/>
                <w:color w:val="auto"/>
              </w:rPr>
            </w:pPr>
          </w:p>
        </w:tc>
      </w:tr>
      <w:tr>
        <w:trPr>
          <w:trHeight w:val="161"/>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8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2700" w:type="dxa"/>
            <w:vAlign w:val="bottom"/>
            <w:tcBorders>
              <w:right w:val="single" w:sz="8" w:color="auto"/>
            </w:tcBorders>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Balances at March 31, 2026</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193,209,722</w:t>
            </w:r>
          </w:p>
        </w:tc>
        <w:tc>
          <w:tcPr>
            <w:tcW w:w="160" w:type="dxa"/>
            <w:vAlign w:val="bottom"/>
          </w:tcPr>
          <w:p>
            <w:pPr>
              <w:spacing w:after="0"/>
              <w:rPr>
                <w:sz w:val="13"/>
                <w:szCs w:val="13"/>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1,964,516</w:t>
            </w:r>
          </w:p>
        </w:tc>
        <w:tc>
          <w:tcPr>
            <w:tcW w:w="1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14,135</w:t>
            </w: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(1,265)</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1,979,381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7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9"/>
          </w:tcPr>
          <w:p>
            <w:pPr>
              <w:jc w:val="right"/>
              <w:ind w:right="9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2025</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ind w:right="263"/>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tcPr>
          <w:p>
            <w:pPr>
              <w:jc w:val="right"/>
              <w:ind w:right="50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96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2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ind w:right="197"/>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bottom w:val="single" w:sz="8" w:color="auto"/>
            </w:tcBorders>
            <w:gridSpan w:val="2"/>
          </w:tcPr>
          <w:p>
            <w:pPr>
              <w:jc w:val="right"/>
              <w:ind w:right="16"/>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Balances at December 31, 2024</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174,245,990</w:t>
            </w:r>
          </w:p>
        </w:tc>
        <w:tc>
          <w:tcPr>
            <w:tcW w:w="16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1,866,850</w:t>
            </w:r>
          </w:p>
        </w:tc>
        <w:tc>
          <w:tcPr>
            <w:tcW w:w="160" w:type="dxa"/>
            <w:vAlign w:val="bottom"/>
            <w:shd w:val="clear" w:color="auto" w:fill="CFF0FC"/>
          </w:tcPr>
          <w:p>
            <w:pPr>
              <w:spacing w:after="0"/>
              <w:rPr>
                <w:sz w:val="13"/>
                <w:szCs w:val="13"/>
                <w:color w:val="auto"/>
              </w:rPr>
            </w:pPr>
          </w:p>
        </w:tc>
        <w:tc>
          <w:tcPr>
            <w:tcW w:w="38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(222,155)</w:t>
            </w: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4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1,647,855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7"/>
                <w:szCs w:val="17"/>
                <w:color w:val="auto"/>
                <w:vertAlign w:val="superscript"/>
              </w:rPr>
              <w:t>(1)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9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left w:val="single" w:sz="8" w:color="CFF0FC"/>
            </w:tcBorders>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(3,287)</w:t>
            </w:r>
          </w:p>
        </w:tc>
        <w:tc>
          <w:tcPr>
            <w:tcW w:w="160" w:type="dxa"/>
            <w:vAlign w:val="bottom"/>
            <w:tcBorders>
              <w:lef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(3,287)</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36,253</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60" w:type="dxa"/>
            <w:vAlign w:val="bottom"/>
            <w:shd w:val="clear" w:color="auto" w:fill="CFF0FC"/>
          </w:tcPr>
          <w:p>
            <w:pPr>
              <w:spacing w:after="0"/>
              <w:rPr>
                <w:sz w:val="14"/>
                <w:szCs w:val="14"/>
                <w:color w:val="auto"/>
              </w:rPr>
            </w:pPr>
          </w:p>
        </w:tc>
        <w:tc>
          <w:tcPr>
            <w:tcW w:w="380" w:type="dxa"/>
            <w:vAlign w:val="bottom"/>
            <w:tcBorders>
              <w:left w:val="single" w:sz="8" w:color="CFF0FC"/>
            </w:tcBorders>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for settlement of</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1,052,536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color w:val="auto"/>
              </w:rPr>
              <w:t>(11)</w:t>
            </w:r>
          </w:p>
        </w:tc>
        <w:tc>
          <w:tcPr>
            <w:tcW w:w="3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 of net share settlement of equity</w:t>
            </w: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(151,345)</w:t>
            </w:r>
          </w:p>
        </w:tc>
        <w:tc>
          <w:tcPr>
            <w:tcW w:w="200" w:type="dxa"/>
            <w:vAlign w:val="bottom"/>
            <w:tcBorders>
              <w:left w:val="single" w:sz="8" w:color="CFF0FC"/>
            </w:tcBorders>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left w:val="single" w:sz="8" w:color="CFF0FC"/>
            </w:tcBorders>
            <w:shd w:val="clear" w:color="auto" w:fill="CFF0FC"/>
          </w:tcPr>
          <w:p>
            <w:pPr>
              <w:spacing w:after="0"/>
              <w:rPr>
                <w:sz w:val="13"/>
                <w:szCs w:val="13"/>
                <w:color w:val="auto"/>
              </w:rPr>
            </w:pPr>
          </w:p>
        </w:tc>
        <w:tc>
          <w:tcPr>
            <w:tcW w:w="9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3"/>
                <w:szCs w:val="13"/>
                <w:color w:val="auto"/>
              </w:rPr>
              <w:t>(2,766)</w:t>
            </w:r>
          </w:p>
        </w:tc>
        <w:tc>
          <w:tcPr>
            <w:tcW w:w="380" w:type="dxa"/>
            <w:vAlign w:val="bottom"/>
            <w:tcBorders>
              <w:left w:val="single" w:sz="8" w:color="CFF0FC"/>
            </w:tcBorders>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(2,767)</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40" w:type="dxa"/>
            <w:vAlign w:val="bottom"/>
            <w:tcBorders>
              <w:bottom w:val="single" w:sz="8" w:color="auto"/>
              <w:right w:val="single" w:sz="8" w:color="CFF0FC"/>
            </w:tcBorders>
            <w:shd w:val="clear" w:color="auto" w:fill="CFF0FC"/>
          </w:tcPr>
          <w:p>
            <w:pPr>
              <w:spacing w:after="0"/>
              <w:rPr>
                <w:sz w:val="14"/>
                <w:szCs w:val="14"/>
                <w:color w:val="auto"/>
              </w:rPr>
            </w:pP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bottom w:val="single" w:sz="8" w:color="auto"/>
            </w:tcBorders>
            <w:shd w:val="clear" w:color="auto" w:fill="CFF0FC"/>
          </w:tcPr>
          <w:p>
            <w:pPr>
              <w:spacing w:after="0"/>
              <w:rPr>
                <w:sz w:val="14"/>
                <w:szCs w:val="14"/>
                <w:color w:val="auto"/>
              </w:rPr>
            </w:pPr>
          </w:p>
        </w:tc>
        <w:tc>
          <w:tcPr>
            <w:tcW w:w="380" w:type="dxa"/>
            <w:vAlign w:val="bottom"/>
            <w:tcBorders>
              <w:bottom w:val="single" w:sz="8" w:color="auto"/>
              <w:right w:val="single" w:sz="8" w:color="CFF0FC"/>
            </w:tcBorders>
            <w:shd w:val="clear" w:color="auto" w:fill="CFF0FC"/>
          </w:tcPr>
          <w:p>
            <w:pPr>
              <w:spacing w:after="0"/>
              <w:rPr>
                <w:sz w:val="14"/>
                <w:szCs w:val="14"/>
                <w:color w:val="auto"/>
              </w:rPr>
            </w:pP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760" w:type="dxa"/>
            <w:vAlign w:val="bottom"/>
            <w:tcBorders>
              <w:bottom w:val="single" w:sz="8" w:color="auto"/>
              <w:right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left w:val="single" w:sz="8" w:color="CFF0FC"/>
              <w:bottom w:val="single" w:sz="8" w:color="auto"/>
            </w:tcBorders>
            <w:shd w:val="clear" w:color="auto" w:fill="CFF0FC"/>
          </w:tcPr>
          <w:p>
            <w:pPr>
              <w:spacing w:after="0"/>
              <w:rPr>
                <w:sz w:val="14"/>
                <w:szCs w:val="14"/>
                <w:color w:val="auto"/>
              </w:rPr>
            </w:pPr>
          </w:p>
        </w:tc>
        <w:tc>
          <w:tcPr>
            <w:tcW w:w="760" w:type="dxa"/>
            <w:vAlign w:val="bottom"/>
            <w:tcBorders>
              <w:bottom w:val="single" w:sz="8" w:color="auto"/>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right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left w:val="single" w:sz="8" w:color="CFF0FC"/>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Balances at March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175,183,434</w:t>
            </w:r>
          </w:p>
        </w:tc>
        <w:tc>
          <w:tcPr>
            <w:tcW w:w="160" w:type="dxa"/>
            <w:vAlign w:val="bottom"/>
          </w:tcPr>
          <w:p>
            <w:pPr>
              <w:spacing w:after="0"/>
              <w:rPr>
                <w:sz w:val="13"/>
                <w:szCs w:val="13"/>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160" w:type="dxa"/>
            <w:vAlign w:val="bottom"/>
          </w:tcPr>
          <w:p>
            <w:pPr>
              <w:spacing w:after="0"/>
              <w:rPr>
                <w:sz w:val="13"/>
                <w:szCs w:val="1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1,880,099</w:t>
            </w:r>
          </w:p>
        </w:tc>
        <w:tc>
          <w:tcPr>
            <w:tcW w:w="16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(192,613)</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(1,869)</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1,687,244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-1602105</wp:posOffset>
            </wp:positionV>
            <wp:extent cx="679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-1602105</wp:posOffset>
            </wp:positionV>
            <wp:extent cx="679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-1602105</wp:posOffset>
            </wp:positionV>
            <wp:extent cx="679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-1602105</wp:posOffset>
            </wp:positionV>
            <wp:extent cx="679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-1602105</wp:posOffset>
            </wp:positionV>
            <wp:extent cx="615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-1602105</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-1602105</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-128905</wp:posOffset>
            </wp:positionV>
            <wp:extent cx="679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-128905</wp:posOffset>
            </wp:positionV>
            <wp:extent cx="679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-128905</wp:posOffset>
            </wp:positionV>
            <wp:extent cx="6794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-128905</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-128905</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-128905</wp:posOffset>
            </wp:positionV>
            <wp:extent cx="615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-128905</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52" w:lineRule="exact"/>
        <w:rPr>
          <w:sz w:val="20"/>
          <w:szCs w:val="20"/>
          <w:color w:val="auto"/>
        </w:rPr>
      </w:pPr>
    </w:p>
    <w:p>
      <w:pPr>
        <w:ind w:right="120" w:firstLine="1"/>
        <w:spacing w:after="0" w:line="250" w:lineRule="auto"/>
        <w:tabs>
          <w:tab w:leader="none" w:pos="133"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income (loss) to the Company for the three months ended March 31, 2026 and 2025 excludes $(159) and $(407), respectively, allocable to the redeemable noncontrolling interests for our joint venture arrangements.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96" w:right="7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4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148,610</w:t>
            </w:r>
          </w:p>
        </w:tc>
        <w:tc>
          <w:tcPr>
            <w:tcW w:w="18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Change in fair value of contingent consideration, net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(7,193)</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(103,412)</w:t>
            </w:r>
          </w:p>
        </w:tc>
        <w:tc>
          <w:tcPr>
            <w:tcW w:w="2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 and dispositions: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(114,125)</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(79,449)</w:t>
            </w:r>
          </w:p>
        </w:tc>
      </w:tr>
      <w:tr>
        <w:trPr>
          <w:trHeight w:val="172"/>
        </w:trPr>
        <w:tc>
          <w:tcPr>
            <w:tcW w:w="20" w:type="dxa"/>
            <w:vAlign w:val="bottom"/>
          </w:tcPr>
          <w:p>
            <w:pPr>
              <w:spacing w:after="0"/>
              <w:rPr>
                <w:sz w:val="14"/>
                <w:szCs w:val="14"/>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(7,791)</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254,833</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103,300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(86,987)</w:t>
            </w: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(53,871)</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11,030</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(28,095)</w:t>
            </w: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(7,348)</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122,943</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101,598</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(21,544)</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(17,632)</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of businesses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(42,203)</w:t>
            </w: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(6,754)</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sale of discontinued operations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810,908</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747,393</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(24,191)</w:t>
            </w:r>
          </w:p>
        </w:tc>
      </w:tr>
      <w:tr>
        <w:trPr>
          <w:trHeight w:val="163"/>
        </w:trPr>
        <w:tc>
          <w:tcPr>
            <w:tcW w:w="20" w:type="dxa"/>
            <w:vAlign w:val="bottom"/>
          </w:tcPr>
          <w:p>
            <w:pPr>
              <w:spacing w:after="0"/>
              <w:rPr>
                <w:sz w:val="14"/>
                <w:szCs w:val="14"/>
                <w:color w:val="auto"/>
              </w:rPr>
            </w:pPr>
          </w:p>
        </w:tc>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Long-term debt repayments</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(12,353)</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(11,792)</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(63,300)</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(60,000)</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shares issued under share-based compensation plan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(5,708)</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(2,763)</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(5,100)</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Payments of financing lease obligations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(4,047)</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(3,408)</w:t>
            </w: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(70,016)</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(86,018)</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800,320</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(8,611)</w:t>
            </w: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88,477</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61,253</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888,797</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52,642</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assets held for sale at end of period</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top w:val="single" w:sz="8" w:color="CFF0FC"/>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continuing operations at end of period</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888,797</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52,337</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49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paid for:</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Interest, net</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18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Financing lease obligations</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shd w:val="clear" w:color="auto" w:fill="CFF0FC"/>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8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-3028950</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-3028950</wp:posOffset>
            </wp:positionV>
            <wp:extent cx="47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-2360930</wp:posOffset>
            </wp:positionV>
            <wp:extent cx="47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-2360930</wp:posOffset>
            </wp:positionV>
            <wp:extent cx="47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-1480820</wp:posOffset>
            </wp:positionV>
            <wp:extent cx="47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-1480820</wp:posOffset>
            </wp:positionV>
            <wp:extent cx="47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-1024255</wp:posOffset>
            </wp:positionV>
            <wp:extent cx="47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-1024255</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-792480</wp:posOffset>
            </wp:positionV>
            <wp:extent cx="47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-778510</wp:posOffset>
            </wp:positionV>
            <wp:extent cx="47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-792480</wp:posOffset>
            </wp:positionV>
            <wp:extent cx="47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-778510</wp:posOffset>
            </wp:positionV>
            <wp:extent cx="47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Index to Notes to Condensed Consolidated Financial Statements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Page</w:t>
            </w:r>
          </w:p>
        </w:tc>
        <w:tc>
          <w:tcPr>
            <w:tcW w:w="920" w:type="dxa"/>
            <w:vAlign w:val="bottom"/>
          </w:tcPr>
          <w:p>
            <w:pPr>
              <w:spacing w:after="0"/>
              <w:rPr>
                <w:sz w:val="11"/>
                <w:szCs w:val="11"/>
                <w:color w:val="auto"/>
              </w:rPr>
            </w:pPr>
          </w:p>
        </w:tc>
      </w:tr>
      <w:tr>
        <w:trPr>
          <w:trHeight w:val="302"/>
        </w:trPr>
        <w:tc>
          <w:tcPr>
            <w:tcW w:w="920" w:type="dxa"/>
            <w:vAlign w:val="bottom"/>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Note 1 - Significant Accounting Policies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spacing w:after="0"/>
              <w:rPr>
                <w:sz w:val="24"/>
                <w:szCs w:val="24"/>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2 - Discontinued Operations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3 - Revenue</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12</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4 - Acquisitions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5 - Goodwill and Intangible Assets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15</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6</w:t>
            </w:r>
          </w:p>
        </w:tc>
        <w:tc>
          <w:tcPr>
            <w:tcW w:w="278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Debt and Derivatives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7</w:t>
            </w:r>
          </w:p>
        </w:tc>
        <w:tc>
          <w:tcPr>
            <w:tcW w:w="278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TEUs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8</w:t>
            </w:r>
          </w:p>
        </w:tc>
        <w:tc>
          <w:tcPr>
            <w:tcW w:w="278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Income Taxes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9</w:t>
            </w:r>
          </w:p>
        </w:tc>
        <w:tc>
          <w:tcPr>
            <w:tcW w:w="278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Detail of Certain Balance Sheet Accounts</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10 - Earnings Per Share</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11 - Segment Information</w:t>
            </w:r>
          </w:p>
        </w:tc>
        <w:tc>
          <w:tcPr>
            <w:tcW w:w="37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tcPr>
          <w:p>
            <w:pPr>
              <w:spacing w:after="0"/>
              <w:rPr>
                <w:sz w:val="13"/>
                <w:szCs w:val="13"/>
                <w:color w:val="auto"/>
              </w:rPr>
            </w:pPr>
          </w:p>
        </w:tc>
      </w:tr>
      <w:tr>
        <w:trPr>
          <w:trHeight w:val="527"/>
        </w:trPr>
        <w:tc>
          <w:tcPr>
            <w:tcW w:w="9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tcPr>
          <w:p>
            <w:pPr>
              <w:jc w:val="right"/>
              <w:ind w:right="2828"/>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BrightSpring Health Services, Inc. and its subsidiaries (“BrightSpring”, the “Company”, “we,” “us,” or “our”)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54" w:lineRule="exact"/>
        <w:rPr>
          <w:sz w:val="20"/>
          <w:szCs w:val="20"/>
          <w:color w:val="auto"/>
        </w:rPr>
      </w:pPr>
    </w:p>
    <w:p>
      <w:pPr>
        <w:ind w:left="640" w:right="739"/>
        <w:spacing w:after="0" w:line="263"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or “KKR Stockholder”) and Walgreens Boots Alliance, Inc. (“WBA”) purchased PharMerica Corporation (“PharMerica”) and on March 5, 2019, expanded with the acquisition of BrightSpring Health Holdings Corp. The surviving entity was renamed BrightSpring Health Services, Inc. WBA sold their remaining ownership interests in the Company in 2025 through open market transactions and is no longer considered a related party of the Company. As a result of the registered secondary public offerings in 2025, the Company no longer qualifies as a “controlled company” under the Nasdaq Stock Market LLC listing standards.</w:t>
      </w:r>
    </w:p>
    <w:p>
      <w:pPr>
        <w:spacing w:after="0" w:line="58"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to divest its community living services, home and community based waiver programs, and intermediate care facilities (the “Community Living business”). The transaction closed on March 30, 2026.</w:t>
      </w:r>
    </w:p>
    <w:p>
      <w:pPr>
        <w:spacing w:after="0" w:line="50" w:lineRule="exact"/>
        <w:rPr>
          <w:sz w:val="20"/>
          <w:szCs w:val="20"/>
          <w:color w:val="auto"/>
        </w:rPr>
      </w:pPr>
    </w:p>
    <w:p>
      <w:pPr>
        <w:ind w:left="640" w:right="779"/>
        <w:spacing w:after="0" w:line="261" w:lineRule="auto"/>
        <w:rPr>
          <w:sz w:val="20"/>
          <w:szCs w:val="20"/>
          <w:color w:val="auto"/>
        </w:rPr>
      </w:pPr>
      <w:r>
        <w:rPr>
          <w:rFonts w:ascii="Times New Roman" w:cs="Times New Roman" w:eastAsia="Times New Roman" w:hAnsi="Times New Roman"/>
          <w:sz w:val="14"/>
          <w:szCs w:val="14"/>
          <w:color w:val="auto"/>
        </w:rPr>
        <w:t>In March 2026, KKR Stockholder and certain management selling stockholders completed an additional registered secondary public offering of 20,000,000 shares of the Company's common stock (the “March 2026 Offering”) and the Company concurrently repurchased 1,464,807 shares of common stock from the underwriter at the same price the underwriter purchased the shares from the selling stockholders. The Company did not sell any shares of common stock that were offered in the March 2026 Offering. The Company did not receive any proceeds from the March 2026 Offering, other than proceeds received in connection with the cash exercise of stock options by the management selling stockholders in connection with the March 2026 Offering. The par value of the shares repurchased and the amount paid to repurchase the shares in excess of the par value were recorded as common stock and retained earnings, respectively, in the unaudited condensed consolidated balance sheets.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spacing w:after="0" w:line="5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spacing w:after="0" w:line="54" w:lineRule="exact"/>
        <w:rPr>
          <w:sz w:val="20"/>
          <w:szCs w:val="20"/>
          <w:color w:val="auto"/>
        </w:rPr>
      </w:pPr>
    </w:p>
    <w:p>
      <w:pPr>
        <w:ind w:left="640" w:right="759"/>
        <w:spacing w:after="0" w:line="263" w:lineRule="auto"/>
        <w:rPr>
          <w:sz w:val="20"/>
          <w:szCs w:val="20"/>
          <w:color w:val="auto"/>
        </w:rPr>
      </w:pPr>
      <w:r>
        <w:rPr>
          <w:rFonts w:ascii="Times New Roman" w:cs="Times New Roman" w:eastAsia="Times New Roman" w:hAnsi="Times New Roman"/>
          <w:sz w:val="14"/>
          <w:szCs w:val="14"/>
          <w:color w:val="auto"/>
        </w:rPr>
        <w:t>As discussed in Note 2, the Community Living business met the criteria to be reported as discontinued operations and held for sale during the first fiscal quarter of 2025. Therefore, the Company has reported the historical results of the Community Living business, including the results of operations and cash flows as discontinued operations for all periods presented herein, and related assets and liabilities, as held for sale as of December 31, 2025. Unless otherwise noted, all activities and amounts reported in the accompanying notes to the unaudited condensed consolidated financial statements relate to the continuing operations of the Company and exclude activities and amounts related to the Community Living business.</w:t>
      </w:r>
    </w:p>
    <w:p>
      <w:pPr>
        <w:spacing w:after="0" w:line="58"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This report should be read in conjunction with our consolidated financial statements and related notes thereto included in our Annual Report on Form 10-K for the year ended December 31, 2025, which includes information and disclosures not included herein. Certain information and footnote disclosures normally included in annual financial statements prepared in accordance with U.S. GAAP have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1" w:name="page12"/>
    <w:bookmarkEnd w:id="11"/>
    <w:p>
      <w:pPr>
        <w:ind w:left="640" w:right="779"/>
        <w:spacing w:after="0" w:line="292" w:lineRule="auto"/>
        <w:rPr>
          <w:sz w:val="20"/>
          <w:szCs w:val="20"/>
          <w:color w:val="auto"/>
        </w:rPr>
      </w:pPr>
      <w:r>
        <w:rPr>
          <w:rFonts w:ascii="Times New Roman" w:cs="Times New Roman" w:eastAsia="Times New Roman" w:hAnsi="Times New Roman"/>
          <w:sz w:val="14"/>
          <w:szCs w:val="14"/>
          <w:color w:val="auto"/>
        </w:rPr>
        <w:t>been condensed or omitted from the interim financial information presented, as allowed by the rules and regulations of the Securities and Exchange Commission.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The preparation of the unaudited condensed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intangible assets, derivatives, contingent consideration, taxes, insurance reserves, share-based compensation, and goodwill. Actual amounts may differ from these estimates.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Commitments and Contingencies</w:t>
      </w:r>
    </w:p>
    <w:p>
      <w:pPr>
        <w:spacing w:after="0" w:line="99"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The Company is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Related Party Transactions</w:t>
      </w:r>
    </w:p>
    <w:p>
      <w:pPr>
        <w:spacing w:after="0" w:line="185" w:lineRule="exact"/>
        <w:rPr>
          <w:sz w:val="20"/>
          <w:szCs w:val="20"/>
          <w:color w:val="auto"/>
        </w:rPr>
      </w:pPr>
    </w:p>
    <w:p>
      <w:pPr>
        <w:ind w:left="640" w:right="719"/>
        <w:spacing w:after="0" w:line="292" w:lineRule="auto"/>
        <w:rPr>
          <w:sz w:val="20"/>
          <w:szCs w:val="20"/>
          <w:color w:val="auto"/>
        </w:rPr>
      </w:pPr>
      <w:r>
        <w:rPr>
          <w:rFonts w:ascii="Times New Roman" w:cs="Times New Roman" w:eastAsia="Times New Roman" w:hAnsi="Times New Roman"/>
          <w:sz w:val="14"/>
          <w:szCs w:val="14"/>
          <w:color w:val="auto"/>
        </w:rPr>
        <w:t>There were no related party transactions for the periods presented other than those disclosed elsewhere in these notes to the unaudited condensed consolidated financial statements.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There were no new accounting standards adopted during the three months ended March 31, 2026.</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7" w:lineRule="exact"/>
        <w:rPr>
          <w:sz w:val="20"/>
          <w:szCs w:val="20"/>
          <w:color w:val="auto"/>
        </w:rPr>
      </w:pPr>
    </w:p>
    <w:p>
      <w:pPr>
        <w:ind w:left="640" w:right="739"/>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 (Subtopic 220-40): Disaggregation of Income Statement Expenses</w:t>
      </w:r>
      <w:r>
        <w:rPr>
          <w:rFonts w:ascii="Times New Roman" w:cs="Times New Roman" w:eastAsia="Times New Roman" w:hAnsi="Times New Roman"/>
          <w:sz w:val="14"/>
          <w:szCs w:val="14"/>
          <w:color w:val="auto"/>
        </w:rPr>
        <w:t>, which was further clarified in January 2025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issuance of ASU 2025-01. These ASUs require 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these ASUs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spacing w:after="0" w:line="60"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Targeted Improvements to the Accounting for Internal-Use Software</w:t>
      </w:r>
      <w:r>
        <w:rPr>
          <w:rFonts w:ascii="Times New Roman" w:cs="Times New Roman" w:eastAsia="Times New Roman" w:hAnsi="Times New Roman"/>
          <w:sz w:val="14"/>
          <w:szCs w:val="14"/>
          <w:color w:val="auto"/>
        </w:rPr>
        <w:t>, which modernizes the accounting for internal-use software costs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consolidated financial statements and related disclosures.</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Discontinued Operations</w:t>
      </w:r>
    </w:p>
    <w:p>
      <w:pPr>
        <w:spacing w:after="0" w:line="185" w:lineRule="exact"/>
        <w:rPr>
          <w:sz w:val="20"/>
          <w:szCs w:val="20"/>
          <w:color w:val="auto"/>
        </w:rPr>
      </w:pPr>
    </w:p>
    <w:p>
      <w:pPr>
        <w:ind w:left="640" w:right="759"/>
        <w:spacing w:after="0" w:line="274" w:lineRule="auto"/>
        <w:rPr>
          <w:sz w:val="20"/>
          <w:szCs w:val="20"/>
          <w:color w:val="auto"/>
        </w:rPr>
      </w:pPr>
      <w:r>
        <w:rPr>
          <w:rFonts w:ascii="Times New Roman" w:cs="Times New Roman" w:eastAsia="Times New Roman" w:hAnsi="Times New Roman"/>
          <w:sz w:val="14"/>
          <w:szCs w:val="14"/>
          <w:color w:val="auto"/>
        </w:rPr>
        <w:t>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On March 30,</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640" w:right="819"/>
        <w:spacing w:after="0" w:line="292" w:lineRule="auto"/>
        <w:rPr>
          <w:sz w:val="20"/>
          <w:szCs w:val="20"/>
          <w:color w:val="auto"/>
        </w:rPr>
      </w:pPr>
      <w:r>
        <w:rPr>
          <w:rFonts w:ascii="Times New Roman" w:cs="Times New Roman" w:eastAsia="Times New Roman" w:hAnsi="Times New Roman"/>
          <w:sz w:val="14"/>
          <w:szCs w:val="14"/>
          <w:color w:val="auto"/>
        </w:rPr>
        <w:t>2026, the Company completed the transaction pursuant to the terms of the definitive agreement for cash proceeds of $810.9 million, resulting in a pre-tax gain on sale of $103.4 million.</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following tables reconciles the gross proceeds on sale of the Community Living business: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r>
      <w:tr>
        <w:trPr>
          <w:trHeight w:val="137"/>
        </w:trPr>
        <w:tc>
          <w:tcPr>
            <w:tcW w:w="4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09"/>
        </w:trPr>
        <w:tc>
          <w:tcPr>
            <w:tcW w:w="4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660" w:type="dxa"/>
            <w:vAlign w:val="bottom"/>
            <w:tcBorders>
              <w:top w:val="single" w:sz="8" w:color="auto"/>
              <w:bottom w:val="single" w:sz="8" w:color="auto"/>
            </w:tcBorders>
          </w:tcPr>
          <w:p>
            <w:pPr>
              <w:jc w:val="center"/>
              <w:ind w:right="7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r>
      <w:tr>
        <w:trPr>
          <w:trHeight w:val="16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835,000</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Less: certain post-closing adjustments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11,073</w:t>
            </w:r>
          </w:p>
        </w:tc>
        <w:tc>
          <w:tcPr>
            <w:tcW w:w="80" w:type="dxa"/>
            <w:vAlign w:val="bottom"/>
          </w:tcPr>
          <w:p>
            <w:pPr>
              <w:spacing w:after="0"/>
              <w:rPr>
                <w:sz w:val="14"/>
                <w:szCs w:val="14"/>
                <w:color w:val="auto"/>
              </w:rPr>
            </w:pPr>
          </w:p>
        </w:tc>
      </w:tr>
      <w:tr>
        <w:trPr>
          <w:trHeight w:val="17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direct costs to sell</w:t>
            </w: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13,854</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Less: carrying amount of Community Living business</w:t>
            </w: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706,661</w:t>
            </w:r>
          </w:p>
        </w:tc>
        <w:tc>
          <w:tcPr>
            <w:tcW w:w="80" w:type="dxa"/>
            <w:vAlign w:val="bottom"/>
          </w:tcPr>
          <w:p>
            <w:pPr>
              <w:spacing w:after="0"/>
              <w:rPr>
                <w:sz w:val="14"/>
                <w:szCs w:val="14"/>
                <w:color w:val="auto"/>
              </w:rPr>
            </w:pPr>
          </w:p>
        </w:tc>
      </w:tr>
      <w:tr>
        <w:trPr>
          <w:trHeight w:val="16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103,412</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and deferred tax impact</w:t>
            </w: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72,218</w:t>
            </w:r>
          </w:p>
        </w:tc>
        <w:tc>
          <w:tcPr>
            <w:tcW w:w="80" w:type="dxa"/>
            <w:vAlign w:val="bottom"/>
          </w:tcPr>
          <w:p>
            <w:pPr>
              <w:spacing w:after="0"/>
              <w:rPr>
                <w:sz w:val="14"/>
                <w:szCs w:val="14"/>
                <w:color w:val="auto"/>
              </w:rPr>
            </w:pPr>
          </w:p>
        </w:tc>
      </w:tr>
      <w:tr>
        <w:trPr>
          <w:trHeight w:val="18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gain on sale of discontinued operations</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31,194</w:t>
            </w:r>
          </w:p>
        </w:tc>
        <w:tc>
          <w:tcPr>
            <w:tcW w:w="80" w:type="dxa"/>
            <w:vAlign w:val="bottom"/>
            <w:shd w:val="clear" w:color="auto" w:fill="CFF0FC"/>
          </w:tcPr>
          <w:p>
            <w:pPr>
              <w:spacing w:after="0"/>
              <w:rPr>
                <w:sz w:val="15"/>
                <w:szCs w:val="15"/>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 xml:space="preserve">The Company determined the divestiture of the Community Living business represents a strategic shift that will have a major effect on its business and concluded the criteria for classification as discontinued operations were met during the first fiscal quarter of 2025. Accordingly, the Community Living business is reported as discontinued operations in accordance with Accounting Standards Codification (“ASC”) 205-20,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The Community Living business was historically presented as a part of the Provider Services reportable segment.</w:t>
      </w:r>
    </w:p>
    <w:p>
      <w:pPr>
        <w:spacing w:after="0" w:line="54"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 xml:space="preserve">In accordance with ASC 205-20, </w:t>
      </w:r>
      <w:r>
        <w:rPr>
          <w:rFonts w:ascii="Times New Roman" w:cs="Times New Roman" w:eastAsia="Times New Roman" w:hAnsi="Times New Roman"/>
          <w:sz w:val="14"/>
          <w:szCs w:val="14"/>
          <w:i w:val="1"/>
          <w:iCs w:val="1"/>
          <w:color w:val="auto"/>
        </w:rPr>
        <w:t>Allocation of Interest to Discontinued Operations</w:t>
      </w:r>
      <w:r>
        <w:rPr>
          <w:rFonts w:ascii="Times New Roman" w:cs="Times New Roman" w:eastAsia="Times New Roman" w:hAnsi="Times New Roman"/>
          <w:sz w:val="14"/>
          <w:szCs w:val="14"/>
          <w:color w:val="auto"/>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entered into a transition services agreement (“TSA”) with the Purchaser to support the Purchaser's post-closing operations of the Community Living business by providing the Purchaser with certain transition services in exchange for service fees in the form of both fixed-price and pass through costs over the 18 months following the close of the transaction. Transition services primarily include finance and accounting, human resources, IT, facilities management, and compliance services.</w:t>
      </w:r>
    </w:p>
    <w:p>
      <w:pPr>
        <w:spacing w:after="0" w:line="61" w:lineRule="exact"/>
        <w:rPr>
          <w:sz w:val="20"/>
          <w:szCs w:val="20"/>
          <w:color w:val="auto"/>
        </w:rPr>
      </w:pPr>
    </w:p>
    <w:p>
      <w:pPr>
        <w:ind w:left="640" w:right="939"/>
        <w:spacing w:after="0" w:line="274" w:lineRule="auto"/>
        <w:rPr>
          <w:sz w:val="20"/>
          <w:szCs w:val="20"/>
          <w:color w:val="auto"/>
        </w:rPr>
      </w:pPr>
      <w:r>
        <w:rPr>
          <w:rFonts w:ascii="Times New Roman" w:cs="Times New Roman" w:eastAsia="Times New Roman" w:hAnsi="Times New Roman"/>
          <w:sz w:val="14"/>
          <w:szCs w:val="14"/>
          <w:color w:val="auto"/>
        </w:rPr>
        <w:t>The financial results of the Community Living business are presented as income from discontinued operations on our unaudited condensed consolidated statements of operations through March 31, 2026. The following table presents the financial results of the Community Living business (in thousands):</w:t>
      </w:r>
    </w:p>
    <w:p>
      <w:pPr>
        <w:spacing w:after="0" w:line="1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20" w:type="dxa"/>
        <w:tblCellMar>
          <w:top w:w="0" w:type="dxa"/>
          <w:left w:w="0" w:type="dxa"/>
          <w:bottom w:w="0" w:type="dxa"/>
          <w:right w:w="0" w:type="dxa"/>
        </w:tblCellMar>
      </w:tblPr>
      <w:tr>
        <w:trPr>
          <w:trHeight w:val="109"/>
        </w:trPr>
        <w:tc>
          <w:tcPr>
            <w:tcW w:w="5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306,646</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299,106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206,585</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204,183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100,061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94,923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37,966</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60,744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 of discontinued operations</w:t>
            </w:r>
          </w:p>
        </w:tc>
        <w:tc>
          <w:tcPr>
            <w:tcW w:w="1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62,095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34,179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1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103,412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Income of discontinued operations before incomes taxes</w:t>
            </w:r>
          </w:p>
        </w:tc>
        <w:tc>
          <w:tcPr>
            <w:tcW w:w="17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158,830</w:t>
            </w: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26,272</w:t>
            </w:r>
          </w:p>
        </w:tc>
        <w:tc>
          <w:tcPr>
            <w:tcW w:w="8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of discontinued operations</w:t>
            </w:r>
          </w:p>
        </w:tc>
        <w:tc>
          <w:tcPr>
            <w:tcW w:w="17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20" w:type="dxa"/>
            <w:vAlign w:val="bottom"/>
            <w:vMerge w:val="restart"/>
          </w:tcPr>
          <w:p>
            <w:pPr>
              <w:jc w:val="right"/>
              <w:ind w:right="126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-1083945</wp:posOffset>
            </wp:positionV>
            <wp:extent cx="476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-1083945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-858520</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-858520</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3" w:name="page14"/>
    <w:bookmarkEnd w:id="13"/>
    <w:p>
      <w:pPr>
        <w:ind w:left="640" w:right="75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aggregate carrying amounts of assets and liabilities held for sale for the Community Living business as of December 31, 2025 in the unaudited condensed consolidated balance sheet (in thousands):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136,875</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06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 held for sale</w:t>
            </w:r>
          </w:p>
        </w:tc>
        <w:tc>
          <w:tcPr>
            <w:tcW w:w="128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142,993</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$104,314</w:t>
            </w: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83,465</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216,192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129,005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5060" w:type="dxa"/>
            <w:vAlign w:val="bottom"/>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1740" w:type="dxa"/>
            <w:vAlign w:val="bottom"/>
            <w:gridSpan w:val="2"/>
            <w:shd w:val="clear" w:color="auto" w:fill="CFF0FC"/>
          </w:tcPr>
          <w:p>
            <w:pPr>
              <w:jc w:val="right"/>
              <w:ind w:right="4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882,189</w:t>
            </w:r>
          </w:p>
        </w:tc>
        <w:tc>
          <w:tcPr>
            <w:tcW w:w="80" w:type="dxa"/>
            <w:vAlign w:val="bottom"/>
            <w:shd w:val="clear" w:color="auto" w:fill="CFF0FC"/>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50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8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59,038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28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06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 held for sale</w:t>
            </w:r>
          </w:p>
        </w:tc>
        <w:tc>
          <w:tcPr>
            <w:tcW w:w="1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124,559</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06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57,771</w:t>
            </w: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1740" w:type="dxa"/>
            <w:vAlign w:val="bottom"/>
            <w:gridSpan w:val="2"/>
            <w:shd w:val="clear" w:color="auto" w:fill="CFF0FC"/>
          </w:tcPr>
          <w:p>
            <w:pPr>
              <w:jc w:val="right"/>
              <w:ind w:right="4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195,994</w:t>
            </w:r>
          </w:p>
        </w:tc>
        <w:tc>
          <w:tcPr>
            <w:tcW w:w="80" w:type="dxa"/>
            <w:vAlign w:val="bottom"/>
            <w:shd w:val="clear" w:color="auto" w:fill="CFF0FC"/>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-1915795</wp:posOffset>
            </wp:positionV>
            <wp:extent cx="476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-1288415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-1274445</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-654050</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significant non-cash items and purchases of property and equipment for the discontinued operations that are included in the accompanying unaudited condensed consolidated statements of cash flows (in thousands):</w:t>
      </w:r>
    </w:p>
    <w:p>
      <w:pPr>
        <w:spacing w:after="0" w:line="11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 of discontinued operations:</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(9,301)</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(103,412)</w:t>
            </w:r>
          </w:p>
        </w:tc>
        <w:tc>
          <w:tcPr>
            <w:tcW w:w="2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Cash flows used in investing activities of discontinued operations: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18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during the periods presented. The following tables set forth revenue by payor type (in millions):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37"/>
        </w:trPr>
        <w:tc>
          <w:tcPr>
            <w:tcW w:w="3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6"/>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jc w:val="right"/>
              <w:ind w:right="67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9"/>
                <w:szCs w:val="9"/>
                <w:color w:val="auto"/>
              </w:rPr>
            </w:pPr>
          </w:p>
        </w:tc>
        <w:tc>
          <w:tcPr>
            <w:tcW w:w="76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r>
      <w:tr>
        <w:trPr>
          <w:trHeight w:val="16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959.4</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23.4%</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16.9%</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6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38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63"/>
        </w:trPr>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2,532.2</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88.0%</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2"/>
        </w:trPr>
        <w:tc>
          <w:tcPr>
            <w:tcW w:w="38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6"/>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jc w:val="right"/>
              <w:ind w:right="67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9"/>
                <w:szCs w:val="9"/>
                <w:color w:val="auto"/>
              </w:rPr>
            </w:pPr>
          </w:p>
        </w:tc>
        <w:tc>
          <w:tcPr>
            <w:tcW w:w="76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r>
      <w:tr>
        <w:trPr>
          <w:trHeight w:val="16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6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220" w:type="dxa"/>
            <w:vAlign w:val="bottom"/>
            <w:tcBorders>
              <w:right w:val="single" w:sz="8" w:color="CFF0FC"/>
            </w:tcBorders>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262"/>
        </w:trPr>
        <w:tc>
          <w:tcPr>
            <w:tcW w:w="38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6"/>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jc w:val="right"/>
              <w:ind w:right="67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9"/>
        </w:trPr>
        <w:tc>
          <w:tcPr>
            <w:tcW w:w="3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9"/>
                <w:szCs w:val="9"/>
                <w:color w:val="auto"/>
              </w:rPr>
            </w:pPr>
          </w:p>
        </w:tc>
        <w:tc>
          <w:tcPr>
            <w:tcW w:w="76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r>
      <w:tr>
        <w:trPr>
          <w:trHeight w:val="16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1,014.3</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715.9</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24.8%</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118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r>
      <w:tr>
        <w:trPr>
          <w:trHeight w:val="17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6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tcBorders>
              <w:right w:val="single" w:sz="8" w:color="CFF0FC"/>
            </w:tcBorders>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38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63"/>
        </w:trPr>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3,613.7</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2,878.1</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-2700020</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-2700020</wp:posOffset>
            </wp:positionV>
            <wp:extent cx="889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-2700020</wp:posOffset>
            </wp:positionV>
            <wp:extent cx="476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-2700020</wp:posOffset>
            </wp:positionV>
            <wp:extent cx="889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-1356360</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-1343025</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-1356360</wp:posOffset>
            </wp:positionV>
            <wp:extent cx="889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-1343025</wp:posOffset>
            </wp:positionV>
            <wp:extent cx="889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-1356360</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-1343025</wp:posOffset>
            </wp:positionV>
            <wp:extent cx="47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-1356360</wp:posOffset>
            </wp:positionV>
            <wp:extent cx="889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-1343025</wp:posOffset>
            </wp:positionV>
            <wp:extent cx="889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-135890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-135890</wp:posOffset>
            </wp:positionV>
            <wp:extent cx="889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-135890</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Refer to Note 11 for the disaggregation of revenue by reportable segment.</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2026 Acquisitions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There were no acquisitions completed during the three months ended March 31, 2026.</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2025 Acquisitions</w:t>
      </w:r>
    </w:p>
    <w:p>
      <w:pPr>
        <w:spacing w:after="0" w:line="99" w:lineRule="exact"/>
        <w:rPr>
          <w:sz w:val="20"/>
          <w:szCs w:val="20"/>
          <w:color w:val="auto"/>
        </w:rPr>
      </w:pPr>
    </w:p>
    <w:p>
      <w:pPr>
        <w:ind w:left="640" w:right="1059"/>
        <w:spacing w:after="0" w:line="268" w:lineRule="auto"/>
        <w:rPr>
          <w:sz w:val="20"/>
          <w:szCs w:val="20"/>
          <w:color w:val="auto"/>
        </w:rPr>
      </w:pPr>
      <w:r>
        <w:rPr>
          <w:rFonts w:ascii="Times New Roman" w:cs="Times New Roman" w:eastAsia="Times New Roman" w:hAnsi="Times New Roman"/>
          <w:sz w:val="14"/>
          <w:szCs w:val="14"/>
          <w:color w:val="auto"/>
        </w:rPr>
        <w:t>During the year ended December 31, 2025, we completed three acquisitions within the Provider Services segment for aggregate consideration net of cash acquired of $247.0 million. We entered into these transactions in order to expand our services and geographic offerings. The operating results of these acquisitions are included in our unaudited condensed consolidated financial statements from the respective dates of the acquisition.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Amedisys and LHC Branches Acquisition</w:t>
      </w:r>
    </w:p>
    <w:p>
      <w:pPr>
        <w:spacing w:after="0" w:line="99" w:lineRule="exact"/>
        <w:rPr>
          <w:sz w:val="20"/>
          <w:szCs w:val="20"/>
          <w:color w:val="auto"/>
        </w:rPr>
      </w:pPr>
    </w:p>
    <w:p>
      <w:pPr>
        <w:ind w:left="640" w:right="879"/>
        <w:spacing w:after="0" w:line="274" w:lineRule="auto"/>
        <w:rPr>
          <w:sz w:val="20"/>
          <w:szCs w:val="20"/>
          <w:color w:val="auto"/>
        </w:rPr>
      </w:pPr>
      <w:r>
        <w:rPr>
          <w:rFonts w:ascii="Times New Roman" w:cs="Times New Roman" w:eastAsia="Times New Roman" w:hAnsi="Times New Roman"/>
          <w:sz w:val="14"/>
          <w:szCs w:val="14"/>
          <w:color w:val="auto"/>
        </w:rPr>
        <w:t>The Company entered into a purchase agreement with Amedisys, Inc., UnitedHealth Group Incorporated and certain of their respective subsidiaries, to purchase certain Amedisys home health and hospice care centers and certain UnitedHealth Group care centers (the “Amedisys and LHC Branches Acquisition”), which is comprised of 110 branches, for a total purchase price of $246.4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15" w:name="page16"/>
    <w:bookmarkEnd w:id="15"/>
    <w:p>
      <w:pPr>
        <w:ind w:left="640" w:right="699" w:firstLine="36"/>
        <w:spacing w:after="0" w:line="268" w:lineRule="auto"/>
        <w:rPr>
          <w:sz w:val="20"/>
          <w:szCs w:val="20"/>
          <w:color w:val="auto"/>
        </w:rPr>
      </w:pPr>
      <w:r>
        <w:rPr>
          <w:rFonts w:ascii="Times New Roman" w:cs="Times New Roman" w:eastAsia="Times New Roman" w:hAnsi="Times New Roman"/>
          <w:sz w:val="14"/>
          <w:szCs w:val="14"/>
          <w:color w:val="auto"/>
        </w:rPr>
        <w:t>million, net of cash acquired. On December 1, 2025 and December 31, 2025, the Company closed on 103 branches and 4 branches, respectively, as a part of the Amedisys and LHC Branches Acquisition for aggregate consideration of $238.5 million net of cash acquired of which $42.2 million was paid in the first fiscal quarter of 2026. The closing of the remaining three branches is expected to occur in fiscal year 2026, subject to customary regulatory approvals and other closing conditions.</w:t>
      </w:r>
    </w:p>
    <w:p>
      <w:pPr>
        <w:spacing w:after="0" w:line="140" w:lineRule="exact"/>
        <w:rPr>
          <w:sz w:val="20"/>
          <w:szCs w:val="20"/>
          <w:color w:val="auto"/>
        </w:rPr>
      </w:pPr>
    </w:p>
    <w:p>
      <w:pPr>
        <w:ind w:left="640" w:right="1039"/>
        <w:spacing w:after="0" w:line="265" w:lineRule="auto"/>
        <w:rPr>
          <w:sz w:val="20"/>
          <w:szCs w:val="20"/>
          <w:color w:val="auto"/>
        </w:rPr>
      </w:pPr>
      <w:r>
        <w:rPr>
          <w:rFonts w:ascii="Times New Roman" w:cs="Times New Roman" w:eastAsia="Times New Roman" w:hAnsi="Times New Roman"/>
          <w:sz w:val="14"/>
          <w:szCs w:val="14"/>
          <w:color w:val="auto"/>
        </w:rPr>
        <w:t>Upon closing, we entered into a one-year TSA with the sellers to support our post-closing operations of the Amedisys and LHC Branches Acquisition. The sellers will continue to provide certain transition services in exchange for fixed-price service fees. Transition services primarily include finance and accounting, human resources, IT, and legal and compliance services. The fees associated with the services rendered under the TSA are not material to our results of operations and are recorded within selling, general, and administrative expenses in our unaudited condensed consolidated statements of operations.</w:t>
      </w:r>
    </w:p>
    <w:p>
      <w:pPr>
        <w:spacing w:after="0" w:line="142" w:lineRule="exact"/>
        <w:rPr>
          <w:sz w:val="20"/>
          <w:szCs w:val="20"/>
          <w:color w:val="auto"/>
        </w:rPr>
      </w:pPr>
    </w:p>
    <w:p>
      <w:pPr>
        <w:ind w:left="640" w:right="659"/>
        <w:spacing w:after="0" w:line="174" w:lineRule="exact"/>
        <w:rPr>
          <w:sz w:val="20"/>
          <w:szCs w:val="20"/>
          <w:color w:val="auto"/>
        </w:rPr>
      </w:pPr>
      <w:r>
        <w:rPr>
          <w:rFonts w:ascii="Times New Roman" w:cs="Times New Roman" w:eastAsia="Times New Roman" w:hAnsi="Times New Roman"/>
          <w:sz w:val="14"/>
          <w:szCs w:val="14"/>
          <w:color w:val="auto"/>
        </w:rPr>
        <w:t>The Amedisys and LHC Branches Acquisition provides home health and hospice care services through several legal entities in 18 states, of which 17 states have closed as of March 31, 2026. Its results are consolidated within the Provider Services segment. The allocation of the purchase price is provisional as of March 31, 2026. Provisional amounts primarily relate to the valuation of intangible assets, certain lease right-of-use assets and lease liabilities, working capital accounts (accounts receivable and certain accruals), and the valuation of redeemable noncontrolling interests. The provisional status is due to pending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valuations, receipt of additional information from the sellers, and completion of certain closing procedures. We expect to complete the purchase price allocation no later than December 1, 2026. During the measurement period, we will record adjustments to provisional amounts with a corresponding adjustment to goodwill, reflecting facts and circumstances that existed as of the acquisition dates. The following table summarizes the consideration paid (in thousands) for the Amedisys and LHC Branches Acquisition and the provisional fair value of the assets acquired and the liabilities assumed at the respective acquisition dates.</w:t>
      </w:r>
    </w:p>
    <w:p>
      <w:pPr>
        <w:spacing w:after="0" w:line="346"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35,715</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162,986</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62,897</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10,813</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1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238,459</w:t>
            </w:r>
          </w:p>
        </w:tc>
        <w:tc>
          <w:tcPr>
            <w:tcW w:w="80" w:type="dxa"/>
            <w:vAlign w:val="bottom"/>
            <w:shd w:val="clear" w:color="auto" w:fill="CFF0FC"/>
          </w:tcPr>
          <w:p>
            <w:pPr>
              <w:spacing w:after="0"/>
              <w:rPr>
                <w:sz w:val="15"/>
                <w:szCs w:val="15"/>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640" w:right="859"/>
        <w:spacing w:after="0" w:line="292" w:lineRule="auto"/>
        <w:rPr>
          <w:sz w:val="20"/>
          <w:szCs w:val="20"/>
          <w:color w:val="auto"/>
        </w:rPr>
      </w:pPr>
      <w:r>
        <w:rPr>
          <w:rFonts w:ascii="Times New Roman" w:cs="Times New Roman" w:eastAsia="Times New Roman" w:hAnsi="Times New Roman"/>
          <w:sz w:val="14"/>
          <w:szCs w:val="14"/>
          <w:color w:val="auto"/>
        </w:rPr>
        <w:t>The Company acquired eight joint ventures as a part of the transaction which are recorded either as redeemable noncontrolling interests or noncontrolling interest on the unaudited condensed consolidated balance sheets based on the nature of the joint venture.</w:t>
      </w:r>
    </w:p>
    <w:p>
      <w:pPr>
        <w:spacing w:after="0" w:line="124"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fair value of acquired licenses of $62.9 million was based upon a third-party valuation, of which $56.0 million were assigned an indefinite life. The definite-lived licenses have an estimated weighted average useful life of 10.0 years. We expect all of the goodwill will be deductible for tax purposes. The Company believes the resulting amount of goodwill reflects its expectation of synergistic benefits of the acquisition.</w:t>
      </w:r>
    </w:p>
    <w:p>
      <w:pPr>
        <w:spacing w:after="0" w:line="140" w:lineRule="exact"/>
        <w:rPr>
          <w:sz w:val="20"/>
          <w:szCs w:val="20"/>
          <w:color w:val="auto"/>
        </w:rPr>
      </w:pPr>
    </w:p>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The Amedisys and LHC Branches Acquisition contributed $78.5 million in revenue and $7.4 million in operating income during the three months ended March 31, 2026. The Amedisys and LHC Branches Acquisition was not completed until the fourth fiscal quarter of 2025, as such it did not contribute any revenue or operating income during the three months ended March 31, 2025.</w:t>
      </w:r>
    </w:p>
    <w:p>
      <w:pPr>
        <w:spacing w:after="0" w:line="136" w:lineRule="exact"/>
        <w:rPr>
          <w:sz w:val="20"/>
          <w:szCs w:val="20"/>
          <w:color w:val="auto"/>
        </w:rPr>
      </w:pPr>
    </w:p>
    <w:p>
      <w:pPr>
        <w:ind w:left="640" w:right="1079"/>
        <w:spacing w:after="0" w:line="292" w:lineRule="auto"/>
        <w:rPr>
          <w:sz w:val="20"/>
          <w:szCs w:val="20"/>
          <w:color w:val="auto"/>
        </w:rPr>
      </w:pPr>
      <w:r>
        <w:rPr>
          <w:rFonts w:ascii="Times New Roman" w:cs="Times New Roman" w:eastAsia="Times New Roman" w:hAnsi="Times New Roman"/>
          <w:sz w:val="14"/>
          <w:szCs w:val="14"/>
          <w:color w:val="auto"/>
        </w:rPr>
        <w:t>The following table contains the unaudited pro forma consolidated financial information, assuming that the Amedisys and LHC Branches Acquisition transaction closed on January 1, 2025 (in thousands):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6" w:name="page17"/>
    <w:bookmarkEnd w:id="16"/>
    <w:tbl>
      <w:tblPr>
        <w:tblLayout w:type="fixed"/>
        <w:tblInd w:w="64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For The Three Months</w:t>
            </w:r>
          </w:p>
        </w:tc>
      </w:tr>
      <w:tr>
        <w:trPr>
          <w:trHeight w:val="150"/>
        </w:trPr>
        <w:tc>
          <w:tcPr>
            <w:tcW w:w="6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Ended</w:t>
            </w:r>
          </w:p>
        </w:tc>
      </w:tr>
      <w:tr>
        <w:trPr>
          <w:trHeight w:val="159"/>
        </w:trPr>
        <w:tc>
          <w:tcPr>
            <w:tcW w:w="6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63"/>
        </w:trPr>
        <w:tc>
          <w:tcPr>
            <w:tcW w:w="6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4"/>
                <w:szCs w:val="14"/>
                <w:color w:val="auto"/>
              </w:rPr>
            </w:pPr>
          </w:p>
        </w:tc>
      </w:tr>
      <w:tr>
        <w:trPr>
          <w:trHeight w:val="16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2,963,594</w:t>
            </w:r>
          </w:p>
        </w:tc>
        <w:tc>
          <w:tcPr>
            <w:tcW w:w="80" w:type="dxa"/>
            <w:vAlign w:val="bottom"/>
            <w:shd w:val="clear" w:color="auto" w:fill="CFF0FC"/>
          </w:tcPr>
          <w:p>
            <w:pPr>
              <w:spacing w:after="0"/>
              <w:rPr>
                <w:sz w:val="14"/>
                <w:szCs w:val="14"/>
                <w:color w:val="auto"/>
              </w:rPr>
            </w:pPr>
          </w:p>
        </w:tc>
      </w:tr>
      <w:tr>
        <w:trPr>
          <w:trHeight w:val="17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80" w:type="dxa"/>
            <w:vAlign w:val="bottom"/>
          </w:tcPr>
          <w:p>
            <w:pPr>
              <w:spacing w:after="0"/>
              <w:rPr>
                <w:sz w:val="14"/>
                <w:szCs w:val="14"/>
                <w:color w:val="auto"/>
              </w:rPr>
            </w:pPr>
          </w:p>
        </w:tc>
      </w:tr>
      <w:tr>
        <w:trPr>
          <w:trHeight w:val="17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 attributable to BrightSpring Health Services, Inc. and subsidiaries</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w:t>
            </w:r>
          </w:p>
        </w:tc>
        <w:tc>
          <w:tcPr>
            <w:tcW w:w="80" w:type="dxa"/>
            <w:vAlign w:val="bottom"/>
            <w:shd w:val="clear" w:color="auto" w:fill="CFF0FC"/>
          </w:tcPr>
          <w:p>
            <w:pPr>
              <w:spacing w:after="0"/>
              <w:rPr>
                <w:sz w:val="14"/>
                <w:szCs w:val="14"/>
                <w:color w:val="auto"/>
              </w:rPr>
            </w:pPr>
          </w:p>
        </w:tc>
      </w:tr>
    </w:tbl>
    <w:p>
      <w:pPr>
        <w:spacing w:after="0" w:line="157" w:lineRule="exact"/>
        <w:rPr>
          <w:sz w:val="20"/>
          <w:szCs w:val="20"/>
          <w:color w:val="auto"/>
        </w:rPr>
      </w:pPr>
    </w:p>
    <w:p>
      <w:pPr>
        <w:ind w:left="640" w:right="899"/>
        <w:spacing w:after="0" w:line="265" w:lineRule="auto"/>
        <w:rPr>
          <w:sz w:val="20"/>
          <w:szCs w:val="20"/>
          <w:color w:val="auto"/>
        </w:rPr>
      </w:pPr>
      <w:r>
        <w:rPr>
          <w:rFonts w:ascii="Times New Roman" w:cs="Times New Roman" w:eastAsia="Times New Roman" w:hAnsi="Times New Roman"/>
          <w:sz w:val="14"/>
          <w:szCs w:val="14"/>
          <w:color w:val="auto"/>
        </w:rPr>
        <w:t>These pro forma results include adjustments for current factors that would affect the business, including non-recurring transaction costs, depreciation, amortization of acquired intangible assets, and income taxes based on the Company's statutory tax rate. The unaudited pro forma financial information is not necessarily indicative of either future results of operations or results of operations that might have been achieved had the acquisition been consummated as of January 1, 2025 and does not reflect any operating efficiencies and cost savings that may be realized from the integration of the acquisition.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Others</w:t>
      </w:r>
    </w:p>
    <w:p>
      <w:pPr>
        <w:spacing w:after="0" w:line="185"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Aggregate consideration for the two other acquisitions completed in 2025 was approximately $8.5 million. No cash was acquired as a part of these transactions. The operating results of the acquisitions are not material to our results of operations.</w:t>
      </w:r>
    </w:p>
    <w:p>
      <w:pPr>
        <w:spacing w:after="0" w:line="124"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The Company expects to finalize the purchase price allocation for the 2025 acquisitions prior to the one-year anniversary date of each acquisition. During the three months ended March 31, 2025, the Company incurred immaterial transaction costs related to all 2025 acquisitions, including those acquisitions completed in subsequent quarters of 2025. These costs are included in selling, general, and administrative expenses in our unaudited condensed consolidated statements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by reportable segment, is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1"/>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73"/>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1,704,621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2,545,673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(12,056)</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(12,056)</w:t>
            </w:r>
          </w:p>
        </w:tc>
      </w:tr>
      <w:tr>
        <w:trPr>
          <w:trHeight w:val="172"/>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r>
      <w:tr>
        <w:trPr>
          <w:trHeight w:val="163"/>
        </w:trPr>
        <w:tc>
          <w:tcPr>
            <w:tcW w:w="20" w:type="dxa"/>
            <w:vAlign w:val="bottom"/>
          </w:tcPr>
          <w:p>
            <w:pPr>
              <w:spacing w:after="0"/>
              <w:rPr>
                <w:sz w:val="14"/>
                <w:szCs w:val="14"/>
                <w:color w:val="auto"/>
              </w:rPr>
            </w:pPr>
          </w:p>
        </w:tc>
        <w:tc>
          <w:tcPr>
            <w:tcW w:w="3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Goodwill at March 31, 2026*</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1,692,503</w:t>
            </w: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2,533,555</w:t>
            </w:r>
          </w:p>
        </w:tc>
        <w:tc>
          <w:tcPr>
            <w:tcW w:w="8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-135890</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-135890</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79" w:hanging="2"/>
        <w:spacing w:after="0" w:line="292" w:lineRule="auto"/>
        <w:tabs>
          <w:tab w:leader="none" w:pos="74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presented, the carrying amount of goodwill is presented net of accumulated impairment losses of $40.9 million, which were incurred in fiscal year 2022.</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Intangible assets are as follows (in thousands):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Life</w:t>
            </w:r>
          </w:p>
        </w:tc>
        <w:tc>
          <w:tcPr>
            <w:tcW w:w="0" w:type="dxa"/>
            <w:vAlign w:val="bottom"/>
          </w:tcPr>
          <w:p>
            <w:pPr>
              <w:spacing w:after="0"/>
              <w:rPr>
                <w:sz w:val="1"/>
                <w:szCs w:val="1"/>
                <w:color w:val="auto"/>
              </w:rPr>
            </w:pPr>
          </w:p>
        </w:tc>
      </w:tr>
      <w:tr>
        <w:trPr>
          <w:trHeight w:val="83"/>
        </w:trPr>
        <w:tc>
          <w:tcPr>
            <w:tcW w:w="1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60" w:type="dxa"/>
            <w:vAlign w:val="bottom"/>
          </w:tcPr>
          <w:p>
            <w:pPr>
              <w:spacing w:after="0"/>
              <w:rPr>
                <w:sz w:val="7"/>
                <w:szCs w:val="7"/>
                <w:color w:val="auto"/>
              </w:rPr>
            </w:pPr>
          </w:p>
        </w:tc>
        <w:tc>
          <w:tcPr>
            <w:tcW w:w="60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3"/>
          </w:tcPr>
          <w:p>
            <w:pPr>
              <w:jc w:val="center"/>
              <w:ind w:right="160"/>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2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80" w:type="dxa"/>
            <w:vAlign w:val="bottom"/>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10"/>
                <w:szCs w:val="10"/>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501,510</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368,679</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132,831</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502,160</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356,146</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146,014</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158,645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164,167</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67,395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47,422</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18,886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48,509</w:t>
            </w:r>
          </w:p>
        </w:tc>
        <w:tc>
          <w:tcPr>
            <w:tcW w:w="86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3"/>
                <w:szCs w:val="13"/>
                <w:color w:val="auto"/>
                <w:w w:val="98"/>
              </w:rPr>
              <w:t>10-20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5-8</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w w:val="92"/>
              </w:rPr>
              <w:t>2-7</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2,624</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5-7</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909,477</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565,843</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343,634</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911,567</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364,305</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0" w:type="dxa"/>
            <w:vAlign w:val="bottom"/>
          </w:tcPr>
          <w:p>
            <w:pPr>
              <w:spacing w:after="0"/>
              <w:rPr>
                <w:sz w:val="1"/>
                <w:szCs w:val="1"/>
                <w:color w:val="auto"/>
              </w:rPr>
            </w:pPr>
          </w:p>
        </w:tc>
      </w:tr>
      <w:tr>
        <w:trPr>
          <w:trHeight w:val="17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1,102,727</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565,843</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536,884</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1,104,817</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557,555</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-19685</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-6350</wp:posOffset>
            </wp:positionV>
            <wp:extent cx="546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-19685</wp:posOffset>
            </wp:positionV>
            <wp:extent cx="546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-6350</wp:posOffset>
            </wp:positionV>
            <wp:extent cx="546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-19685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-6350</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-19685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-6350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-19685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-6350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-19685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-6350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Amortization expense for the three months ended March 31, 2026 and 2025 was $20.7 million and $23.4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color w:val="auto"/>
        </w:rPr>
        <w:t>6.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40" w:type="dxa"/>
            <w:vAlign w:val="bottom"/>
            <w:gridSpan w:val="3"/>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60" w:type="dxa"/>
            <w:vAlign w:val="bottom"/>
          </w:tcPr>
          <w:p>
            <w:pPr>
              <w:spacing w:after="0"/>
              <w:rPr>
                <w:sz w:val="11"/>
                <w:szCs w:val="11"/>
                <w:color w:val="auto"/>
              </w:rPr>
            </w:pPr>
          </w:p>
        </w:tc>
        <w:tc>
          <w:tcPr>
            <w:tcW w:w="142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09"/>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00" w:type="dxa"/>
            <w:vAlign w:val="bottom"/>
            <w:tcBorders>
              <w:top w:val="single" w:sz="8" w:color="auto"/>
              <w:bottom w:val="single" w:sz="8" w:color="auto"/>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42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9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47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First Lien Incremental Term Loan Tranche B-5 - payable to lenders at SOFR</w:t>
            </w:r>
          </w:p>
        </w:tc>
        <w:tc>
          <w:tcPr>
            <w:tcW w:w="7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6.17%</w:t>
            </w:r>
          </w:p>
        </w:tc>
        <w:tc>
          <w:tcPr>
            <w:tcW w:w="7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$ 2,514,872</w:t>
            </w:r>
          </w:p>
        </w:tc>
        <w:tc>
          <w:tcPr>
            <w:tcW w:w="740" w:type="dxa"/>
            <w:vAlign w:val="bottom"/>
            <w:gridSpan w:val="3"/>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6.22%</w:t>
            </w:r>
          </w:p>
        </w:tc>
        <w:tc>
          <w:tcPr>
            <w:tcW w:w="7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$ 2,521,255</w:t>
            </w:r>
          </w:p>
        </w:tc>
        <w:tc>
          <w:tcPr>
            <w:tcW w:w="80" w:type="dxa"/>
            <w:vAlign w:val="bottom"/>
            <w:shd w:val="clear" w:color="auto" w:fill="CFF0FC"/>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plus applicable margin</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 applicable margin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6.47%</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 applicable margin</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8.50%</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25,394</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17,125</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2,557,391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2,569,744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62,200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2,497,831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2,507,544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52,960</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 net of current portion</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$ 2,444,871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$ 2,455,204</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-586105</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-586105</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-360680</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-135890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color w:val="auto"/>
        </w:rPr>
        <w:t>(1)</w:t>
        <w:tab/>
        <w:t>See Note 7 for discussion of Amortizing Notes.</w:t>
      </w:r>
    </w:p>
    <w:p>
      <w:pPr>
        <w:spacing w:after="0" w:line="183"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discussion summarizes the debt agreements for the three months ended March 31, 2026 and the year ended December 31, 2025.</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w:t>
      </w:r>
    </w:p>
    <w:p>
      <w:pPr>
        <w:spacing w:after="0" w:line="38"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On December 11, 2024, we amended the First Lien to refinance the outstanding principal by establishing a Tranche B-5 Term Loan (“Tranche B-5”) in an aggregate principal amount of $2,553.2 million at a rate equal to Secured Overnight Financing Rate (“SOFR”) plus 2.50% or Alternate Base Rate (“ABR”) plus 1.50% with a maturity date of February 21, 2031. Principal payments are due on the last business day of each quarter, which commenced in the first fiscal quarter of 2025 and equate to 0.25% of the principal at issuance, with a balloon payment due February 21, 2031.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The First Lien also extends credit in the form of a Revolving Credit Facility with a borrowing capacity of $475.0 million (the “Revolver”), of which up to $50.0 million is available as swingline loans and up to $82.5 million is available as letters of credit (the “LC Sublimit”). The Revolver will mature on June 30, 2028. Borrowings bear interest at a rate equal to SOFR (with a floor of 0.00%) plus 3.00% for the Revolving Credit Loans and ABR (with a floor of 0.00%) plus 2.00% for the Swingline Loans. As of March 31, 2026 and December 31, 2025, the Company had $475.0 million of borrowing capacity available under the Revolver as there were no borrowings under the Revolver or letters of credit outstanding.</w:t>
      </w:r>
    </w:p>
    <w:p>
      <w:pPr>
        <w:spacing w:after="0" w:line="58"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The Company’s First Lien also provides for an additional $65.0 million of letter of credit commitments (the “LC Facility”), which are not subject to the LC Sublimit and do not reduce the Revolver borrowing capacity. As of March 31, 2026, there were $62.9 million of letters of credit outstanding under the LC Facility, resulting in an available borrowing capacity of $2.1 million. As of December 31, 2025, there were $62.8 million of letters of credit outstanding under the LC Facility, resulting in an available borrowing capacity of $2.2 million.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interest rates, the Company entered into receive-variable, pay-fixed interest rate swap agreements. The following table summarizes our interest rate swaps designated as cash flow hedges (in millions):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8" w:name="page19"/>
    <w:bookmarkEnd w:id="18"/>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Notional Amount as of</w:t>
            </w:r>
          </w:p>
        </w:tc>
        <w:tc>
          <w:tcPr>
            <w:tcW w:w="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56"/>
              <w:spacing w:after="0" w:line="90"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160" w:type="dxa"/>
            <w:vAlign w:val="bottom"/>
          </w:tcPr>
          <w:p>
            <w:pPr>
              <w:spacing w:after="0"/>
              <w:rPr>
                <w:sz w:val="7"/>
                <w:szCs w:val="7"/>
                <w:color w:val="auto"/>
              </w:rPr>
            </w:pPr>
          </w:p>
        </w:tc>
        <w:tc>
          <w:tcPr>
            <w:tcW w:w="72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10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Fixed Rates</w:t>
            </w:r>
          </w:p>
        </w:tc>
        <w:tc>
          <w:tcPr>
            <w:tcW w:w="0" w:type="dxa"/>
            <w:vAlign w:val="bottom"/>
          </w:tcPr>
          <w:p>
            <w:pPr>
              <w:spacing w:after="0"/>
              <w:rPr>
                <w:sz w:val="1"/>
                <w:szCs w:val="1"/>
                <w:color w:val="auto"/>
              </w:rPr>
            </w:pPr>
          </w:p>
        </w:tc>
      </w:tr>
      <w:tr>
        <w:trPr>
          <w:trHeight w:val="137"/>
        </w:trPr>
        <w:tc>
          <w:tcPr>
            <w:tcW w:w="2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w w:val="99"/>
              </w:rPr>
              <w:t>Credit Agricole Corporate and Investment Bank</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300" w:type="dxa"/>
            <w:vAlign w:val="bottom"/>
            <w:gridSpan w:val="2"/>
            <w:shd w:val="clear" w:color="auto" w:fill="CFF0FC"/>
          </w:tcPr>
          <w:p>
            <w:pPr>
              <w:jc w:val="right"/>
              <w:ind w:right="26"/>
              <w:spacing w:after="0" w:line="15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1-year period ending September 30, 2026</w:t>
            </w:r>
          </w:p>
        </w:tc>
        <w:tc>
          <w:tcPr>
            <w:tcW w:w="820" w:type="dxa"/>
            <w:vAlign w:val="bottom"/>
            <w:gridSpan w:val="3"/>
            <w:shd w:val="clear" w:color="auto" w:fill="CFF0FC"/>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3.72500%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Mizuho Capital Markets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1-year period ending September 30, 2026</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3.61121%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Credit Agricole Corporate and Investment Bank</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4"/>
                <w:szCs w:val="14"/>
                <w:color w:val="auto"/>
              </w:rPr>
            </w:pP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3-year period ending September 30, 2028</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3.33150%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3-year period ending September 30, 2028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3.17700%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shd w:val="clear" w:color="auto" w:fill="CFF0FC"/>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Existing contracts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1,500</w:t>
            </w:r>
          </w:p>
        </w:tc>
        <w:tc>
          <w:tcPr>
            <w:tcW w:w="300" w:type="dxa"/>
            <w:vAlign w:val="bottom"/>
            <w:gridSpan w:val="2"/>
            <w:shd w:val="clear" w:color="auto" w:fill="CFF0FC"/>
          </w:tcPr>
          <w:p>
            <w:pPr>
              <w:jc w:val="right"/>
              <w:ind w:right="26"/>
              <w:spacing w:after="0" w:line="15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1,500</w:t>
            </w:r>
          </w:p>
        </w:tc>
        <w:tc>
          <w:tcPr>
            <w:tcW w:w="16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Mizuho Capital Markets</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2-year period ending September 30, 2028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3.20220%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00" w:type="dxa"/>
            <w:vAlign w:val="bottom"/>
            <w:vMerge w:val="restart"/>
          </w:tcPr>
          <w:p>
            <w:pPr>
              <w:ind w:left="20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Forward starting contracts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-353695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-340360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-353695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-340360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-231140</wp:posOffset>
            </wp:positionV>
            <wp:extent cx="4909820" cy="1092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09820" cy="109220"/>
                    </a:xfrm>
                    <a:prstGeom prst="rect">
                      <a:avLst/>
                    </a:prstGeom>
                    <a:noFill/>
                  </pic:spPr>
                </pic:pic>
              </a:graphicData>
            </a:graphic>
          </wp:anchor>
        </w:drawing>
      </w:r>
    </w:p>
    <w:p>
      <w:pPr>
        <w:spacing w:after="0" w:line="51" w:lineRule="exact"/>
        <w:rPr>
          <w:sz w:val="20"/>
          <w:szCs w:val="20"/>
          <w:color w:val="auto"/>
        </w:rPr>
      </w:pPr>
    </w:p>
    <w:p>
      <w:pPr>
        <w:ind w:left="1340" w:right="739" w:hanging="352"/>
        <w:spacing w:after="0" w:line="268"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fiscal quarter of 2025, we entered into a forward starting interest rate swap agreement, with a $500 million notional amount, to hedge the cash flow risk of variability in interest payment on our variable rate borrowings. The effective date of the forward starting interest rate swap agreement is September 30, 2026. As of March 31, 2026, this contract meets the criteria of a cash flow hedge.</w:t>
      </w:r>
    </w:p>
    <w:p>
      <w:pPr>
        <w:spacing w:after="0" w:line="140"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4"/>
          <w:szCs w:val="14"/>
          <w:color w:val="auto"/>
        </w:rPr>
        <w:t>The net fair value of the cash flow hedges as of March 31, 2026 and December 31, 2025 was a $6.9 million asset and a $0.4 million liability, respectively, and is reflected in prepaid expenses and other current assets, other assets, accrued expenses and long-term liabilities, as applicable, in the unaudited condensed consolidated balance sheets. Refer to Note 9 for details. 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w:t>
      </w:r>
    </w:p>
    <w:p>
      <w:pPr>
        <w:spacing w:after="0" w:line="58" w:lineRule="exact"/>
        <w:rPr>
          <w:sz w:val="20"/>
          <w:szCs w:val="20"/>
          <w:color w:val="auto"/>
        </w:rPr>
      </w:pPr>
    </w:p>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Amounts reported in accumulated other comprehensive income (“AOCI”) related to derivatives will be reclassified to interest expense as interest payments are made on the Company’s variable-rate debt. Interest received, including payments made or received under the cash flow hedges, was $0.6 million and $4.4 million for the three months ended March 31, 2026 and 2025, respectively. The Company expects approximately $3.0 million of pre-tax gains to be reclassified out of AOCI into earnings within the next twelve months.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Tangible Equity Units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TEUs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Concurrently with the IPO in 2024,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w:t>
      </w:r>
    </w:p>
    <w:p>
      <w:pPr>
        <w:spacing w:after="0" w:line="142"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The value allocated to the Amortizing Notes is reflected in long-term debt, with payments expected in the next twelve months reflected in current portion of long-term debt, in the unaudited condensed consolidated balance sheets. The long-term portion of the Amortizing Notes as of December 31, 2025 was $6.6 million. The full value of the Amortizing Notes as of March 31, 2026 was included in current portion of long-term debt since the final installment payment date is due within one-year of the period end. The current portion of the Amortizing Notes as of March 31, 2026 and December 31, 2025 was $25.4 million and $24.8 million, respectively. Issuance costs related to the Amortizing Notes are reflected as a reduction of the carrying amount and are amortized through the maturity date using the effective interest rate method.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Amortizing Notes</w:t>
      </w:r>
    </w:p>
    <w:p>
      <w:pPr>
        <w:spacing w:after="0" w:line="185"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The Company pays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are the equivalent of</w:t>
      </w:r>
    </w:p>
    <w:p>
      <w:pPr>
        <w:spacing w:after="0" w:line="2" w:lineRule="exact"/>
        <w:rPr>
          <w:sz w:val="20"/>
          <w:szCs w:val="20"/>
          <w:color w:val="auto"/>
        </w:rPr>
      </w:pPr>
    </w:p>
    <w:p>
      <w:pPr>
        <w:ind w:left="640" w:right="819"/>
        <w:spacing w:after="0" w:line="261" w:lineRule="auto"/>
        <w:rPr>
          <w:sz w:val="20"/>
          <w:szCs w:val="20"/>
          <w:color w:val="auto"/>
        </w:rPr>
      </w:pPr>
      <w:r>
        <w:rPr>
          <w:rFonts w:ascii="Times New Roman" w:cs="Times New Roman" w:eastAsia="Times New Roman" w:hAnsi="Times New Roman"/>
          <w:sz w:val="14"/>
          <w:szCs w:val="14"/>
          <w:color w:val="auto"/>
        </w:rPr>
        <w:t>6.75% per year. Each installment payment constitutes a payment of interest and a partial repayment of principal. The Company paid $6.8 million and $6.7 million in TEU installment payments during the three months ended March 31, 2026 and 2025, respectively. The Amortizing Notes rank equally in right of payment with all other existing and future unsecured senior indebtedness and rank senior to all of our existing and future indebtedness, if any, that is subordinated to the Amortizing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i w:val="1"/>
          <w:iCs w:val="1"/>
          <w:color w:val="auto"/>
        </w:rPr>
        <w:t>Purchase Contracts</w:t>
      </w:r>
    </w:p>
    <w:p>
      <w:pPr>
        <w:spacing w:after="0" w:line="185"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three months ended March 31, 2026 and 2025, no TEUs were converted at the holder's option.</w:t>
      </w:r>
    </w:p>
    <w:p>
      <w:pPr>
        <w:spacing w:after="0" w:line="56"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of our common stock.</w:t>
      </w:r>
    </w:p>
    <w:p>
      <w:pPr>
        <w:spacing w:after="0" w:line="50" w:lineRule="exact"/>
        <w:rPr>
          <w:sz w:val="20"/>
          <w:szCs w:val="20"/>
          <w:color w:val="auto"/>
        </w:rPr>
      </w:pPr>
    </w:p>
    <w:p>
      <w:pPr>
        <w:ind w:left="640" w:right="799"/>
        <w:spacing w:after="0" w:line="263"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10).</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185"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reconciliation of the Company’s effective tax rate is as follows:</w:t>
      </w:r>
    </w:p>
    <w:p>
      <w:pPr>
        <w:spacing w:after="0" w:line="17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514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9"/>
                <w:szCs w:val="9"/>
                <w:color w:val="auto"/>
              </w:rPr>
            </w:pPr>
          </w:p>
        </w:tc>
      </w:tr>
      <w:tr>
        <w:trPr>
          <w:trHeight w:val="163"/>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Estimated annual effective tax rate before discrete items</w:t>
            </w: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25.7%</w:t>
            </w:r>
          </w:p>
        </w:tc>
      </w:tr>
      <w:tr>
        <w:trPr>
          <w:trHeight w:val="172"/>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Discrete items recognized</w:t>
            </w:r>
          </w:p>
        </w:tc>
        <w:tc>
          <w:tcPr>
            <w:tcW w:w="7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r>
      <w:tr>
        <w:trPr>
          <w:trHeight w:val="20"/>
        </w:trPr>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Effective tax rate recognized in the statements of operations</w:t>
            </w:r>
          </w:p>
        </w:tc>
        <w:tc>
          <w:tcPr>
            <w:tcW w:w="7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-19685</wp:posOffset>
            </wp:positionV>
            <wp:extent cx="11620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-6350</wp:posOffset>
            </wp:positionV>
            <wp:extent cx="11620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-19685</wp:posOffset>
            </wp:positionV>
            <wp:extent cx="11620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-6350</wp:posOffset>
            </wp:positionV>
            <wp:extent cx="11620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37" w:lineRule="exact"/>
        <w:rPr>
          <w:sz w:val="20"/>
          <w:szCs w:val="20"/>
          <w:color w:val="auto"/>
        </w:rPr>
      </w:pPr>
    </w:p>
    <w:p>
      <w:pPr>
        <w:ind w:left="640" w:right="879"/>
        <w:spacing w:after="0" w:line="265" w:lineRule="auto"/>
        <w:rPr>
          <w:sz w:val="20"/>
          <w:szCs w:val="20"/>
          <w:color w:val="auto"/>
        </w:rPr>
      </w:pPr>
      <w:r>
        <w:rPr>
          <w:rFonts w:ascii="Times New Roman" w:cs="Times New Roman" w:eastAsia="Times New Roman" w:hAnsi="Times New Roman"/>
          <w:sz w:val="14"/>
          <w:szCs w:val="14"/>
          <w:color w:val="auto"/>
        </w:rPr>
        <w:t>During the three months ended March 31, 2026, the Company’s effective tax rate was lower than the U.S. federal income tax rate, primarily as a result of including $12.5 million in net tax benefits resulting from the recognition of excess tax benefits from share-based compensation, partially offset by limitations on the deductibility of certain executive compensation. During the three months ended March 31, 2025, the Company's effective tax rate was lower than the U.S. federal income tax rate, primarily as a result of including $2.4 million in tax benefits resulting from the recognition of excess tax benefits from share-based compensation.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56,584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38,196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Dues and subscriptions</w:t>
            </w:r>
          </w:p>
        </w:tc>
        <w:tc>
          <w:tcPr>
            <w:tcW w:w="1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Prepaid maintenance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6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126,806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118,592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8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-967740</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-967740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78,354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39,712</w:t>
            </w:r>
          </w:p>
        </w:tc>
        <w:tc>
          <w:tcPr>
            <w:tcW w:w="80" w:type="dxa"/>
            <w:vAlign w:val="bottom"/>
            <w:shd w:val="clear" w:color="auto" w:fill="CFF0FC"/>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15"/>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134,331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131,162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33,077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23,554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Property insurance reserves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8,324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351,891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333,024</w:t>
            </w:r>
          </w:p>
        </w:tc>
        <w:tc>
          <w:tcPr>
            <w:tcW w:w="80" w:type="dxa"/>
            <w:vAlign w:val="bottom"/>
            <w:shd w:val="clear" w:color="auto" w:fill="CFF0FC"/>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15"/>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liabilities consist of the following (in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25,032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66,565</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-3415665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-3402330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-3415665</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-3402330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-1343025</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-1329055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-1343025</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-1329055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-135890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Earnings Per Share (“EPS”)</w:t>
      </w:r>
    </w:p>
    <w:p>
      <w:pPr>
        <w:spacing w:after="0" w:line="185" w:lineRule="exact"/>
        <w:rPr>
          <w:sz w:val="20"/>
          <w:szCs w:val="20"/>
          <w:color w:val="auto"/>
        </w:rPr>
      </w:pPr>
    </w:p>
    <w:p>
      <w:pPr>
        <w:ind w:left="640" w:right="779"/>
        <w:spacing w:after="0" w:line="263" w:lineRule="auto"/>
        <w:rPr>
          <w:sz w:val="20"/>
          <w:szCs w:val="20"/>
          <w:color w:val="auto"/>
        </w:rPr>
      </w:pPr>
      <w:r>
        <w:rPr>
          <w:rFonts w:ascii="Times New Roman" w:cs="Times New Roman" w:eastAsia="Times New Roman" w:hAnsi="Times New Roman"/>
          <w:sz w:val="14"/>
          <w:szCs w:val="14"/>
          <w:color w:val="auto"/>
        </w:rPr>
        <w:t>Basic net income per share of common stock excludes dilution and is reported separately for continuing operations and discontinued operations. Basic net income per share of common stock for continuing operations and discontinued operations is calculated by dividing net income from continuing operations and discontinued operations attributable to common shareholders by the weighted average number of shares outstanding for the reporting period. Diluted net income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1" w:name="page22"/>
    <w:bookmarkEnd w:id="21"/>
    <w:p>
      <w:pPr>
        <w:ind w:left="640" w:right="939"/>
        <w:spacing w:after="0" w:line="29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and stock option awards is calculated using the treasury stock method, if dilutive.</w:t>
      </w:r>
    </w:p>
    <w:p>
      <w:pPr>
        <w:spacing w:after="0" w:line="38" w:lineRule="exact"/>
        <w:rPr>
          <w:sz w:val="20"/>
          <w:szCs w:val="20"/>
          <w:color w:val="auto"/>
        </w:rPr>
      </w:pPr>
    </w:p>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For the three months ended March 31, 2026 and 2025, the TEUs were assumed to be outstanding at the minimum settlement amount for weighted-average shares for basic EPS. For the three months ended March 31, 2026 and 2025, the Company's average applicable market value was greater than $15.28, resulting in no dilutive impact to EPS for TEUs. See Note 7 for further discussion of TEUs.</w:t>
      </w:r>
    </w:p>
    <w:p>
      <w:pPr>
        <w:spacing w:after="0" w:line="50" w:lineRule="exact"/>
        <w:rPr>
          <w:sz w:val="20"/>
          <w:szCs w:val="20"/>
          <w:color w:val="auto"/>
        </w:rPr>
      </w:pPr>
    </w:p>
    <w:p>
      <w:pPr>
        <w:ind w:left="640" w:right="1019"/>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common shareholders (in thousands, except per share amounts):</w:t>
      </w:r>
    </w:p>
    <w:p>
      <w:pPr>
        <w:spacing w:after="0" w:line="119"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4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74,283</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common shareholders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74,440</w:t>
            </w: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9,748</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from discontinued operations</w:t>
            </w: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74,327</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148,767</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204,712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RSUs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TEUs</w:t>
            </w:r>
          </w:p>
        </w:tc>
        <w:tc>
          <w:tcPr>
            <w:tcW w:w="2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Borders>
              <w:top w:val="single" w:sz="8" w:color="CFF0FC"/>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214,927</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Basic income per share attributable to common shareholders: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per share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Diluted income per share attributable to common shareholders: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per share</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-2536190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-2536190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-2311400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-2311400</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-1847215</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-1833880</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-1847215</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-1833880</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-1165225</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-1151890</wp:posOffset>
            </wp:positionV>
            <wp:extent cx="476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-1281430</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-1165225</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-1151890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-1281430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-708660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19"/>
        <w:spacing w:after="0" w:line="292" w:lineRule="auto"/>
        <w:rPr>
          <w:sz w:val="20"/>
          <w:szCs w:val="20"/>
          <w:color w:val="auto"/>
        </w:rPr>
      </w:pPr>
      <w:r>
        <w:rPr>
          <w:rFonts w:ascii="Times New Roman" w:cs="Times New Roman" w:eastAsia="Times New Roman" w:hAnsi="Times New Roman"/>
          <w:sz w:val="14"/>
          <w:szCs w:val="14"/>
          <w:color w:val="auto"/>
        </w:rPr>
        <w:t>The following potentially common share equivalents were excluded from the computation of diluted net income per share because their effect would have been anti-dilutive for the periods presented (in thousands):</w:t>
      </w:r>
    </w:p>
    <w:p>
      <w:pPr>
        <w:spacing w:after="0" w:line="11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530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3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r>
      <w:tr>
        <w:trPr>
          <w:trHeight w:val="163"/>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shd w:val="clear" w:color="auto" w:fill="CFF0FC"/>
          </w:tcPr>
          <w:p>
            <w:pPr>
              <w:spacing w:after="0"/>
              <w:rPr>
                <w:sz w:val="14"/>
                <w:szCs w:val="14"/>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TEUs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Segment Information</w:t>
      </w:r>
    </w:p>
    <w:p>
      <w:pPr>
        <w:spacing w:after="0" w:line="18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640" w:right="859"/>
        <w:spacing w:after="0" w:line="292" w:lineRule="auto"/>
        <w:rPr>
          <w:sz w:val="20"/>
          <w:szCs w:val="20"/>
          <w:color w:val="auto"/>
        </w:rPr>
      </w:pPr>
      <w:r>
        <w:rPr>
          <w:rFonts w:ascii="Times New Roman" w:cs="Times New Roman" w:eastAsia="Times New Roman" w:hAnsi="Times New Roman"/>
          <w:sz w:val="14"/>
          <w:szCs w:val="14"/>
          <w:color w:val="auto"/>
        </w:rPr>
        <w:t>and is utilized in the evaluation of segment operating performance as it is a profit measure that is generally within the control of the operating segments.</w:t>
      </w:r>
    </w:p>
    <w:p>
      <w:pPr>
        <w:spacing w:after="0" w:line="38" w:lineRule="exact"/>
        <w:rPr>
          <w:sz w:val="20"/>
          <w:szCs w:val="20"/>
          <w:color w:val="auto"/>
        </w:rPr>
      </w:pPr>
    </w:p>
    <w:p>
      <w:pPr>
        <w:jc w:val="both"/>
        <w:ind w:left="640" w:right="739"/>
        <w:spacing w:after="0" w:line="274" w:lineRule="auto"/>
        <w:rPr>
          <w:sz w:val="20"/>
          <w:szCs w:val="20"/>
          <w:color w:val="auto"/>
        </w:rPr>
      </w:pPr>
      <w:r>
        <w:rPr>
          <w:rFonts w:ascii="Times New Roman" w:cs="Times New Roman" w:eastAsia="Times New Roman" w:hAnsi="Times New Roman"/>
          <w:sz w:val="14"/>
          <w:szCs w:val="14"/>
          <w:color w:val="231F20"/>
        </w:rPr>
        <w:t>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w:t>
      </w:r>
    </w:p>
    <w:p>
      <w:pPr>
        <w:spacing w:after="0" w:line="50" w:lineRule="exact"/>
        <w:rPr>
          <w:sz w:val="20"/>
          <w:szCs w:val="20"/>
          <w:color w:val="auto"/>
        </w:rPr>
      </w:pPr>
    </w:p>
    <w:p>
      <w:pPr>
        <w:ind w:left="640" w:right="919"/>
        <w:spacing w:after="0" w:line="268" w:lineRule="auto"/>
        <w:rPr>
          <w:sz w:val="20"/>
          <w:szCs w:val="20"/>
          <w:color w:val="auto"/>
        </w:rPr>
      </w:pPr>
      <w:r>
        <w:rPr>
          <w:rFonts w:ascii="Times New Roman" w:cs="Times New Roman" w:eastAsia="Times New Roman" w:hAnsi="Times New Roman"/>
          <w:sz w:val="14"/>
          <w:szCs w:val="14"/>
          <w:color w:val="auto"/>
        </w:rPr>
        <w:t>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w:t>
      </w:r>
    </w:p>
    <w:p>
      <w:pPr>
        <w:spacing w:after="0" w:line="54" w:lineRule="exact"/>
        <w:rPr>
          <w:sz w:val="20"/>
          <w:szCs w:val="20"/>
          <w:color w:val="auto"/>
        </w:rPr>
      </w:pPr>
    </w:p>
    <w:p>
      <w:pPr>
        <w:ind w:left="640" w:right="679"/>
        <w:spacing w:after="0" w:line="274" w:lineRule="auto"/>
        <w:rPr>
          <w:sz w:val="20"/>
          <w:szCs w:val="20"/>
          <w:color w:val="auto"/>
        </w:rPr>
      </w:pPr>
      <w:r>
        <w:rPr>
          <w:rFonts w:ascii="Times New Roman" w:cs="Times New Roman" w:eastAsia="Times New Roman" w:hAnsi="Times New Roman"/>
          <w:sz w:val="14"/>
          <w:szCs w:val="14"/>
          <w:color w:val="auto"/>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2026</w:t>
            </w:r>
          </w:p>
        </w:tc>
        <w:tc>
          <w:tcPr>
            <w:tcW w:w="80" w:type="dxa"/>
            <w:vAlign w:val="bottom"/>
          </w:tcPr>
          <w:p>
            <w:pPr>
              <w:spacing w:after="0"/>
              <w:rPr>
                <w:sz w:val="11"/>
                <w:szCs w:val="1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3,171,349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3,171,349</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442,372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442,372</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2,672,793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2,672,793</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260,924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197,782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197,782</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279,456</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32,282</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169,068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65,980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235,048</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2025</w:t>
            </w: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2,532,171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2,532,171</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345,958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345,958</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2,147,576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2,147,576</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211,545</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180,639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180,639</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205,840</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27,508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34,277</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115,726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51,080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166,806</w:t>
            </w:r>
          </w:p>
        </w:tc>
        <w:tc>
          <w:tcPr>
            <w:tcW w:w="80" w:type="dxa"/>
            <w:vAlign w:val="bottom"/>
          </w:tcPr>
          <w:p>
            <w:pPr>
              <w:spacing w:after="0"/>
              <w:rPr>
                <w:sz w:val="16"/>
                <w:szCs w:val="16"/>
                <w:color w:val="auto"/>
              </w:rPr>
            </w:pPr>
          </w:p>
        </w:tc>
      </w:tr>
    </w:tbl>
    <w:p>
      <w:pPr>
        <w:spacing w:after="0" w:line="141" w:lineRule="exact"/>
        <w:rPr>
          <w:sz w:val="20"/>
          <w:szCs w:val="20"/>
          <w:color w:val="auto"/>
        </w:rPr>
      </w:pPr>
    </w:p>
    <w:p>
      <w:pPr>
        <w:ind w:left="980" w:right="679" w:hanging="342"/>
        <w:spacing w:after="0" w:line="266"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primarily includes direct labor costs, delivery costs, insurance, and depreciation and amortization expense that relates to revenue-generating assets.</w:t>
      </w:r>
    </w:p>
    <w:p>
      <w:pPr>
        <w:ind w:left="980" w:right="919" w:hanging="342"/>
        <w:spacing w:after="0" w:line="256"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and administrative expense includes indirect labor costs, depreciation and amortization, insurance, rent, lease, supplies, professional services, maintenance, repairs, utilities, and communications expense.</w:t>
      </w:r>
    </w:p>
    <w:p>
      <w:pPr>
        <w:ind w:left="980" w:right="839" w:hanging="342"/>
        <w:spacing w:after="0" w:line="272"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segment depreciation and amortization expense is presented in other direct costs, costs of services, and segment general and administrative expenses, based on the associated asset.</w:t>
      </w:r>
    </w:p>
    <w:p>
      <w:pPr>
        <w:spacing w:after="0" w:line="154"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20" w:type="dxa"/>
        <w:tblCellMar>
          <w:top w:w="0" w:type="dxa"/>
          <w:left w:w="0" w:type="dxa"/>
          <w:bottom w:w="0" w:type="dxa"/>
          <w:right w:w="0" w:type="dxa"/>
        </w:tblCellMar>
      </w:tblPr>
      <w:tr>
        <w:trPr>
          <w:trHeight w:val="109"/>
        </w:trPr>
        <w:tc>
          <w:tcPr>
            <w:tcW w:w="5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Reconciliation of income:</w:t>
            </w:r>
          </w:p>
        </w:tc>
        <w:tc>
          <w:tcPr>
            <w:tcW w:w="2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2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235,048</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166,806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depreciation and amortization</w:t>
            </w:r>
          </w:p>
        </w:tc>
        <w:tc>
          <w:tcPr>
            <w:tcW w:w="2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34,277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Expenses not allocated at segment level:</w:t>
            </w: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74,505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75,235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2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38,615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0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74,283</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60" w:type="dxa"/>
            <w:vAlign w:val="bottom"/>
          </w:tcPr>
          <w:p>
            <w:pPr>
              <w:jc w:val="right"/>
              <w:ind w:right="1308"/>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-742950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-728980</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2025 (our “Form 10-K”). Factors that could cause or contribute to such difference are not limited to those identified in “Risk Factors.” When used in the following discussion, “Senior” patients and populations mean individuals who are aged 65 and older, and “Specialty” patients and populations mean individuals who have unique, specialized and most often chronic/life-long health conditions and needs.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475,000 patients daily through our approximately 12,400 clinical providers and pharmacists; and our services make a profound impact in the lives and communities of the people we serve.</w:t>
      </w:r>
    </w:p>
    <w:p>
      <w:pPr>
        <w:spacing w:after="0" w:line="63" w:lineRule="exact"/>
        <w:rPr>
          <w:sz w:val="20"/>
          <w:szCs w:val="20"/>
          <w:color w:val="auto"/>
        </w:rPr>
      </w:pPr>
    </w:p>
    <w:p>
      <w:pPr>
        <w:jc w:val="both"/>
        <w:ind w:left="640" w:right="1099" w:firstLine="516"/>
        <w:spacing w:after="0" w:line="274" w:lineRule="auto"/>
        <w:rPr>
          <w:sz w:val="20"/>
          <w:szCs w:val="20"/>
          <w:color w:val="auto"/>
        </w:rPr>
      </w:pPr>
      <w:r>
        <w:rPr>
          <w:rFonts w:ascii="Times New Roman" w:cs="Times New Roman" w:eastAsia="Times New Roman" w:hAnsi="Times New Roman"/>
          <w:sz w:val="14"/>
          <w:szCs w:val="14"/>
          <w:color w:val="auto"/>
        </w:rPr>
        <w:t>Unless otherwise noted, amounts and disclosures throughout this Management’s Discussion and Analysis relate to our continuing operations. Refer to “PART I - Item 1. Note 2” of our Form 10-K for additional information regarding discontinued operations.</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For additional overview of our business, see “PART I - Item 1. Business” of our Form 10-K.</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First Quarter of 2026 Key Highlights</w:t>
      </w:r>
    </w:p>
    <w:p>
      <w:pPr>
        <w:spacing w:after="0" w:line="97" w:lineRule="exact"/>
        <w:rPr>
          <w:sz w:val="20"/>
          <w:szCs w:val="20"/>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Completed the divestiture of the Community Living business on March 30, 2026</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5"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Completed an underwritten secondary offering of our common stock by affiliates Kohlberg Kravis Roberts &amp; Co. L.P. and certain members of management in March 2026</w:t>
      </w:r>
    </w:p>
    <w:p>
      <w:pPr>
        <w:spacing w:after="0" w:line="33"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Repurchased 1,464,807 shares of common stock in connection with the March 2026 secondary offering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leverage of 2.27x at March 31, 2026</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First Quarter of 2026 Compared to First Quarter of 2025</w:t>
      </w:r>
    </w:p>
    <w:p>
      <w:pPr>
        <w:spacing w:after="0" w:line="97" w:lineRule="exact"/>
        <w:rPr>
          <w:sz w:val="20"/>
          <w:szCs w:val="20"/>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$735.6 million, or 25.6%, to $3.6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$639.2 million, or 25.2%, to $3.2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$96.4 million, or 27.9%, to $442.4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income increased by $65.1 million to $74.3 million</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$58.7 million, or 44.8%, to $189.8 million</w:t>
      </w:r>
    </w:p>
    <w:p>
      <w:pPr>
        <w:spacing w:after="0" w:line="5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increased by $53.3 million, or 46.1%, to $169.1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$14.9 million, or 29.2%, to $66.0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Diluted EPS increased by $0.29 from $0.05 to $0.34</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EPS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$0.20 from $0.19 to $0.39</w:t>
      </w:r>
    </w:p>
    <w:p>
      <w:pPr>
        <w:spacing w:after="0" w:line="154" w:lineRule="exact"/>
        <w:rPr>
          <w:rFonts w:ascii="Times New Roman" w:cs="Times New Roman" w:eastAsia="Times New Roman" w:hAnsi="Times New Roman"/>
          <w:sz w:val="14"/>
          <w:szCs w:val="14"/>
          <w:color w:val="auto"/>
        </w:rPr>
      </w:pPr>
    </w:p>
    <w:p>
      <w:pPr>
        <w:jc w:val="center"/>
        <w:ind w:left="4440" w:right="999" w:hanging="3802"/>
        <w:spacing w:after="0" w:line="463" w:lineRule="auto"/>
        <w:tabs>
          <w:tab w:leader="none" w:pos="79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241300</wp:posOffset>
            </wp:positionV>
            <wp:extent cx="56038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9" w:lineRule="exact"/>
        <w:rPr>
          <w:sz w:val="20"/>
          <w:szCs w:val="20"/>
          <w:color w:val="auto"/>
        </w:rPr>
      </w:pPr>
    </w:p>
    <w:p>
      <w:pPr>
        <w:ind w:left="640" w:right="719" w:firstLine="516"/>
        <w:spacing w:after="0" w:line="259"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with National Mentor Holding, Inc. to divest our community living services, home and community based waiver programs, and intermediate care facilities (the “Community Living business”), for $835 million, subject to typical adjustments for working capital and other customary items. The divestiture closed on March 30, 2026. The Company has determined the divestiture of the Community Living business represents a strategic shift that will have a major effect on its business and therefore met the criteria for classification as discontinued operations in the first fiscal quarter of 2025. This transaction provides for continuity of important intellectual and developmental disability services while BrightSpring focuses on a concentrated group of customers, patients and stakeholders in the future. We believe the Company’s streamlined service offerings will result in increased strategic focus, operational efficiencies, a refined payer mix, and greater clinical integration and business synergy across the Provider Services segment. The divestiture will also augment our expected revenue and Adjusted EBITDA growth rates and maximize exposure to target growth markets that require BrightSpring’s needed and valuable solutions, such as home health, hospice, rehab, and primary care. Unless otherwise noted, amounts and disclosures throughout this Management’s Discussion and Analysis relate to our continuing operations. Refer to “PART I - Item 1. Note 2” of our Form 10-K for additional information regarding discontinued operations.</w:t>
      </w:r>
    </w:p>
    <w:p>
      <w:pPr>
        <w:spacing w:after="0" w:line="147" w:lineRule="exact"/>
        <w:rPr>
          <w:sz w:val="20"/>
          <w:szCs w:val="20"/>
          <w:color w:val="auto"/>
        </w:rPr>
      </w:pPr>
    </w:p>
    <w:p>
      <w:pPr>
        <w:ind w:left="640" w:right="719" w:firstLine="516"/>
        <w:spacing w:after="0" w:line="265" w:lineRule="auto"/>
        <w:rPr>
          <w:sz w:val="20"/>
          <w:szCs w:val="20"/>
          <w:color w:val="auto"/>
        </w:rPr>
      </w:pPr>
      <w:r>
        <w:rPr>
          <w:rFonts w:ascii="Times New Roman" w:cs="Times New Roman" w:eastAsia="Times New Roman" w:hAnsi="Times New Roman"/>
          <w:sz w:val="14"/>
          <w:szCs w:val="14"/>
          <w:color w:val="auto"/>
        </w:rPr>
        <w:t>On March 4, 2026, KKR Stockholder and certain management selling stockholders completed a registered secondary public offering of 20,000,000 shares of the Company’s common stock (the “March 2026 Offering”). The Company did not sell any shares of common stock that were offered in the March 2026 Offering. Also, the Company did not receive any proceeds from the March 2026 Offering, other than proceeds received in connection with the cash exercise of stock options by the management selling stockholders in connection with the March 2026 Offering.</w:t>
      </w:r>
    </w:p>
    <w:p>
      <w:pPr>
        <w:spacing w:after="0" w:line="56"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In connection with the March 2026 Offering, the Company concurrently purchased from the underwriter, out of the aggregate of 20,000,000 shares of common stock that were the subject of the March 2026 Offering, 1,464,807 shares of common stock at a price of $40.96 per share, for a total purchase price of $60.0 million. The purchase price reflected a discount to the closing market price on the date of purchase. The repurchase was reviewed and approved by the Audit Committee of our Board of Directors.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4"/>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right"/>
              <w:ind w:right="723"/>
              <w:spacing w:after="0" w:line="109"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14"/>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260" w:type="dxa"/>
            <w:vAlign w:val="bottom"/>
          </w:tcPr>
          <w:p>
            <w:pPr>
              <w:spacing w:after="0"/>
              <w:rPr>
                <w:sz w:val="9"/>
                <w:szCs w:val="9"/>
                <w:color w:val="auto"/>
              </w:rPr>
            </w:pPr>
          </w:p>
        </w:tc>
        <w:tc>
          <w:tcPr>
            <w:tcW w:w="800" w:type="dxa"/>
            <w:vAlign w:val="bottom"/>
            <w:tcBorders>
              <w:bottom w:val="single" w:sz="8" w:color="auto"/>
            </w:tcBorders>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2"/>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9"/>
                <w:szCs w:val="9"/>
                <w:color w:val="auto"/>
              </w:rPr>
            </w:pPr>
          </w:p>
        </w:tc>
        <w:tc>
          <w:tcPr>
            <w:tcW w:w="860" w:type="dxa"/>
            <w:vAlign w:val="bottom"/>
            <w:tcBorders>
              <w:bottom w:val="single" w:sz="8" w:color="auto"/>
            </w:tcBorders>
          </w:tcPr>
          <w:p>
            <w:pPr>
              <w:jc w:val="right"/>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260" w:type="dxa"/>
            <w:vAlign w:val="bottom"/>
            <w:tcBorders>
              <w:right w:val="single" w:sz="8" w:color="CFF0FC"/>
            </w:tcBorders>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2,532.2</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Consolidated BrightSpring</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3,613.7</w:t>
            </w:r>
          </w:p>
        </w:tc>
        <w:tc>
          <w:tcPr>
            <w:tcW w:w="260" w:type="dxa"/>
            <w:vAlign w:val="bottom"/>
            <w:tcBorders>
              <w:right w:val="single" w:sz="8" w:color="CFF0FC"/>
            </w:tcBorders>
            <w:shd w:val="clear" w:color="auto" w:fill="CFF0FC"/>
          </w:tcPr>
          <w:p>
            <w:pPr>
              <w:spacing w:after="0"/>
              <w:rPr>
                <w:sz w:val="15"/>
                <w:szCs w:val="15"/>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2,878.</w:t>
            </w:r>
            <w:r>
              <w:rPr>
                <w:rFonts w:ascii="Times New Roman" w:cs="Times New Roman" w:eastAsia="Times New Roman" w:hAnsi="Times New Roman"/>
                <w:sz w:val="14"/>
                <w:szCs w:val="14"/>
                <w:u w:val="single" w:color="auto"/>
                <w:color w:val="auto"/>
              </w:rPr>
              <w:t>1</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-19685</wp:posOffset>
            </wp:positionV>
            <wp:extent cx="889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-6350</wp:posOffset>
            </wp:positionV>
            <wp:extent cx="889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-19685</wp:posOffset>
            </wp:positionV>
            <wp:extent cx="476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-6350</wp:posOffset>
            </wp:positionV>
            <wp:extent cx="476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-19685</wp:posOffset>
            </wp:positionV>
            <wp:extent cx="889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-6350</wp:posOffset>
            </wp:positionV>
            <wp:extent cx="889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6% of total Company revenue for the three months ended March 31, 2026 and 2025.</w:t>
      </w:r>
    </w:p>
    <w:p>
      <w:pPr>
        <w:spacing w:after="0" w:line="54"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We provide our services across all 50 states, Puerto Rico and Canada, with our top 10 states of operations comprising 52% and 53% of total Company revenues for the three months ended March 31, 2026 and 2025, respectively. The federal, state, and local programs under which we operate are subject to legislative and budgetary changes that can influence reimbursement rates.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5" w:name="page26"/>
    <w:bookmarkEnd w:id="25"/>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7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2026</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6"/>
        </w:trPr>
        <w:tc>
          <w:tcPr>
            <w:tcW w:w="1740" w:type="dxa"/>
            <w:vAlign w:val="bottom"/>
          </w:tcPr>
          <w:p>
            <w:pPr>
              <w:spacing w:after="0"/>
              <w:rPr>
                <w:sz w:val="8"/>
                <w:szCs w:val="8"/>
                <w:color w:val="auto"/>
              </w:rPr>
            </w:pPr>
          </w:p>
        </w:tc>
        <w:tc>
          <w:tcPr>
            <w:tcW w:w="980" w:type="dxa"/>
            <w:vAlign w:val="bottom"/>
            <w:gridSpan w:val="3"/>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9"/>
              </w:rPr>
              <w:t>Commercial</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680" w:type="dxa"/>
            <w:vAlign w:val="bottom"/>
            <w:gridSpan w:val="2"/>
          </w:tcPr>
          <w:p>
            <w:pPr>
              <w:jc w:val="right"/>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20" w:type="dxa"/>
            <w:vAlign w:val="bottom"/>
            <w:gridSpan w:val="3"/>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4"/>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820" w:type="dxa"/>
            <w:vAlign w:val="bottom"/>
            <w:gridSpan w:val="5"/>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w w:val="95"/>
              </w:rPr>
              <w:t>Private &amp;</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8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insurance</w:t>
            </w:r>
          </w:p>
        </w:tc>
        <w:tc>
          <w:tcPr>
            <w:tcW w:w="180" w:type="dxa"/>
            <w:vAlign w:val="bottom"/>
          </w:tcPr>
          <w:p>
            <w:pPr>
              <w:spacing w:after="0"/>
              <w:rPr>
                <w:sz w:val="11"/>
                <w:szCs w:val="11"/>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w w:val="95"/>
              </w:rPr>
              <w:t>Medicaid</w:t>
            </w:r>
          </w:p>
        </w:tc>
        <w:tc>
          <w:tcPr>
            <w:tcW w:w="240" w:type="dxa"/>
            <w:vAlign w:val="bottom"/>
          </w:tcPr>
          <w:p>
            <w:pPr>
              <w:spacing w:after="0"/>
              <w:rPr>
                <w:sz w:val="11"/>
                <w:szCs w:val="11"/>
                <w:color w:val="auto"/>
              </w:rPr>
            </w:pPr>
          </w:p>
        </w:tc>
        <w:tc>
          <w:tcPr>
            <w:tcW w:w="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00" w:type="dxa"/>
            <w:vAlign w:val="bottom"/>
          </w:tcPr>
          <w:p>
            <w:pPr>
              <w:spacing w:after="0"/>
              <w:rPr>
                <w:sz w:val="11"/>
                <w:szCs w:val="11"/>
                <w:color w:val="auto"/>
              </w:rPr>
            </w:pPr>
          </w:p>
        </w:tc>
        <w:tc>
          <w:tcPr>
            <w:tcW w:w="4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8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23.9%</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7.2%</w:t>
            </w:r>
          </w:p>
        </w:tc>
        <w:tc>
          <w:tcPr>
            <w:tcW w:w="760" w:type="dxa"/>
            <w:vAlign w:val="bottom"/>
            <w:tcBorders>
              <w:right w:val="single" w:sz="8" w:color="CFF0FC"/>
            </w:tcBorders>
            <w:gridSpan w:val="3"/>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16.7%</w:t>
            </w:r>
          </w:p>
        </w:tc>
        <w:tc>
          <w:tcPr>
            <w:tcW w:w="720" w:type="dxa"/>
            <w:vAlign w:val="bottom"/>
            <w:gridSpan w:val="4"/>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23.6%</w:t>
            </w:r>
          </w:p>
        </w:tc>
        <w:tc>
          <w:tcPr>
            <w:tcW w:w="640" w:type="dxa"/>
            <w:vAlign w:val="bottom"/>
            <w:gridSpan w:val="3"/>
            <w:shd w:val="clear" w:color="auto" w:fill="CFF0FC"/>
          </w:tcPr>
          <w:p>
            <w:pPr>
              <w:ind w:left="380"/>
              <w:spacing w:after="0" w:line="109" w:lineRule="exact"/>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73.2%</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2.6%</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76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3.8%</w:t>
            </w:r>
          </w:p>
        </w:tc>
        <w:tc>
          <w:tcPr>
            <w:tcW w:w="6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4"/>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6.1%</w:t>
            </w:r>
          </w:p>
        </w:tc>
        <w:tc>
          <w:tcPr>
            <w:tcW w:w="640" w:type="dxa"/>
            <w:vAlign w:val="bottom"/>
            <w:gridSpan w:val="3"/>
          </w:tcPr>
          <w:p>
            <w:pPr>
              <w:ind w:left="38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14.6%</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8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26.5%</w:t>
            </w:r>
          </w:p>
        </w:tc>
        <w:tc>
          <w:tcPr>
            <w:tcW w:w="78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76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3.8%</w:t>
            </w:r>
          </w:p>
        </w:tc>
        <w:tc>
          <w:tcPr>
            <w:tcW w:w="6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16.7%</w:t>
            </w:r>
          </w:p>
        </w:tc>
        <w:tc>
          <w:tcPr>
            <w:tcW w:w="720" w:type="dxa"/>
            <w:vAlign w:val="bottom"/>
            <w:gridSpan w:val="4"/>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29.7%</w:t>
            </w:r>
          </w:p>
        </w:tc>
        <w:tc>
          <w:tcPr>
            <w:tcW w:w="720" w:type="dxa"/>
            <w:vAlign w:val="bottom"/>
            <w:gridSpan w:val="4"/>
            <w:shd w:val="clear" w:color="auto" w:fill="CFF0FC"/>
          </w:tcPr>
          <w:p>
            <w:pPr>
              <w:ind w:left="380"/>
              <w:spacing w:after="0" w:line="109" w:lineRule="exact"/>
              <w:rPr>
                <w:sz w:val="20"/>
                <w:szCs w:val="20"/>
                <w:color w:val="auto"/>
              </w:rPr>
            </w:pPr>
            <w:r>
              <w:rPr>
                <w:rFonts w:ascii="Times New Roman" w:cs="Times New Roman" w:eastAsia="Times New Roman" w:hAnsi="Times New Roman"/>
                <w:sz w:val="11"/>
                <w:szCs w:val="11"/>
                <w:b w:val="1"/>
                <w:bCs w:val="1"/>
                <w:color w:val="auto"/>
              </w:rPr>
              <w:t>2.0%</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87.8%</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6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4.7%</w:t>
            </w:r>
          </w:p>
        </w:tc>
        <w:tc>
          <w:tcPr>
            <w:tcW w:w="6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0"/>
                <w:szCs w:val="10"/>
                <w:color w:val="auto"/>
              </w:rPr>
            </w:pPr>
          </w:p>
        </w:tc>
        <w:tc>
          <w:tcPr>
            <w:tcW w:w="64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tcPr>
          <w:p>
            <w:pPr>
              <w:ind w:left="38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7.3%</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8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78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60" w:type="dxa"/>
            <w:vAlign w:val="bottom"/>
            <w:tcBorders>
              <w:right w:val="single" w:sz="8" w:color="CFF0FC"/>
            </w:tcBorders>
            <w:gridSpan w:val="3"/>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shd w:val="clear" w:color="auto" w:fill="CFF0FC"/>
          </w:tcPr>
          <w:p>
            <w:pPr>
              <w:ind w:left="38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2.1%</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76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tcPr>
          <w:p>
            <w:pPr>
              <w:ind w:left="38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2.8%</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8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8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2.7%</w:t>
            </w:r>
          </w:p>
        </w:tc>
        <w:tc>
          <w:tcPr>
            <w:tcW w:w="76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4.7%</w:t>
            </w:r>
          </w:p>
        </w:tc>
        <w:tc>
          <w:tcPr>
            <w:tcW w:w="6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0.0%</w:t>
            </w:r>
          </w:p>
        </w:tc>
        <w:tc>
          <w:tcPr>
            <w:tcW w:w="720" w:type="dxa"/>
            <w:vAlign w:val="bottom"/>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w:t>
            </w:r>
          </w:p>
        </w:tc>
        <w:tc>
          <w:tcPr>
            <w:tcW w:w="80" w:type="dxa"/>
            <w:vAlign w:val="bottom"/>
            <w:shd w:val="clear" w:color="auto" w:fill="CFF0FC"/>
          </w:tcPr>
          <w:p>
            <w:pPr>
              <w:spacing w:after="0"/>
              <w:rPr>
                <w:sz w:val="9"/>
                <w:szCs w:val="9"/>
                <w:color w:val="auto"/>
              </w:rPr>
            </w:pPr>
          </w:p>
        </w:tc>
        <w:tc>
          <w:tcPr>
            <w:tcW w:w="640" w:type="dxa"/>
            <w:vAlign w:val="bottom"/>
            <w:gridSpan w:val="3"/>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4"/>
            <w:shd w:val="clear" w:color="auto" w:fill="CFF0FC"/>
          </w:tcPr>
          <w:p>
            <w:pPr>
              <w:ind w:left="38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12.2%</w:t>
            </w: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8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28.0%</w:t>
            </w:r>
          </w:p>
        </w:tc>
        <w:tc>
          <w:tcPr>
            <w:tcW w:w="7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11.2%</w:t>
            </w:r>
          </w:p>
        </w:tc>
        <w:tc>
          <w:tcPr>
            <w:tcW w:w="76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6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18.5%</w:t>
            </w:r>
          </w:p>
        </w:tc>
        <w:tc>
          <w:tcPr>
            <w:tcW w:w="720" w:type="dxa"/>
            <w:vAlign w:val="bottom"/>
            <w:gridSpan w:val="4"/>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29.7%</w:t>
            </w:r>
          </w:p>
        </w:tc>
        <w:tc>
          <w:tcPr>
            <w:tcW w:w="720" w:type="dxa"/>
            <w:vAlign w:val="bottom"/>
            <w:gridSpan w:val="4"/>
          </w:tcPr>
          <w:p>
            <w:pPr>
              <w:ind w:left="380"/>
              <w:spacing w:after="0" w:line="109" w:lineRule="exact"/>
              <w:rPr>
                <w:sz w:val="20"/>
                <w:szCs w:val="20"/>
                <w:color w:val="auto"/>
              </w:rPr>
            </w:pPr>
            <w:r>
              <w:rPr>
                <w:rFonts w:ascii="Times New Roman" w:cs="Times New Roman" w:eastAsia="Times New Roman" w:hAnsi="Times New Roman"/>
                <w:sz w:val="11"/>
                <w:szCs w:val="11"/>
                <w:b w:val="1"/>
                <w:bCs w:val="1"/>
                <w:color w:val="auto"/>
              </w:rPr>
              <w:t>3.5%</w:t>
            </w:r>
          </w:p>
        </w:tc>
        <w:tc>
          <w:tcPr>
            <w:tcW w:w="100" w:type="dxa"/>
            <w:vAlign w:val="bottom"/>
          </w:tcPr>
          <w:p>
            <w:pPr>
              <w:spacing w:after="0"/>
              <w:rPr>
                <w:sz w:val="9"/>
                <w:szCs w:val="9"/>
                <w:color w:val="auto"/>
              </w:rPr>
            </w:pPr>
          </w:p>
        </w:tc>
        <w:tc>
          <w:tcPr>
            <w:tcW w:w="5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17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2025</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40" w:type="dxa"/>
            <w:vAlign w:val="bottom"/>
          </w:tcPr>
          <w:p>
            <w:pPr>
              <w:spacing w:after="0"/>
              <w:rPr>
                <w:sz w:val="8"/>
                <w:szCs w:val="8"/>
                <w:color w:val="auto"/>
              </w:rPr>
            </w:pPr>
          </w:p>
        </w:tc>
        <w:tc>
          <w:tcPr>
            <w:tcW w:w="980" w:type="dxa"/>
            <w:vAlign w:val="bottom"/>
            <w:gridSpan w:val="3"/>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w w:val="85"/>
              </w:rPr>
              <w:t>Medicare</w:t>
            </w:r>
          </w:p>
        </w:tc>
        <w:tc>
          <w:tcPr>
            <w:tcW w:w="680" w:type="dxa"/>
            <w:vAlign w:val="bottom"/>
            <w:gridSpan w:val="2"/>
          </w:tcPr>
          <w:p>
            <w:pPr>
              <w:jc w:val="right"/>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85"/>
              </w:rPr>
              <w:t>Medicare</w:t>
            </w:r>
          </w:p>
        </w:tc>
        <w:tc>
          <w:tcPr>
            <w:tcW w:w="720" w:type="dxa"/>
            <w:vAlign w:val="bottom"/>
            <w:gridSpan w:val="3"/>
          </w:tcPr>
          <w:p>
            <w:pPr>
              <w:jc w:val="right"/>
              <w:ind w:right="22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80" w:type="dxa"/>
            <w:vAlign w:val="bottom"/>
          </w:tcPr>
          <w:p>
            <w:pPr>
              <w:spacing w:after="0"/>
              <w:rPr>
                <w:sz w:val="8"/>
                <w:szCs w:val="8"/>
                <w:color w:val="auto"/>
              </w:rPr>
            </w:pPr>
          </w:p>
        </w:tc>
        <w:tc>
          <w:tcPr>
            <w:tcW w:w="64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80" w:type="dxa"/>
            <w:vAlign w:val="bottom"/>
          </w:tcPr>
          <w:p>
            <w:pPr>
              <w:spacing w:after="0"/>
              <w:rPr>
                <w:sz w:val="8"/>
                <w:szCs w:val="8"/>
                <w:color w:val="auto"/>
              </w:rPr>
            </w:pPr>
          </w:p>
        </w:tc>
        <w:tc>
          <w:tcPr>
            <w:tcW w:w="740" w:type="dxa"/>
            <w:vAlign w:val="bottom"/>
            <w:gridSpan w:val="4"/>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insurance</w:t>
            </w:r>
          </w:p>
        </w:tc>
        <w:tc>
          <w:tcPr>
            <w:tcW w:w="260" w:type="dxa"/>
            <w:vAlign w:val="bottom"/>
            <w:gridSpan w:val="2"/>
          </w:tcPr>
          <w:p>
            <w:pPr>
              <w:spacing w:after="0"/>
              <w:rPr>
                <w:sz w:val="11"/>
                <w:szCs w:val="1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40" w:type="dxa"/>
            <w:vAlign w:val="bottom"/>
          </w:tcPr>
          <w:p>
            <w:pPr>
              <w:spacing w:after="0"/>
              <w:rPr>
                <w:sz w:val="11"/>
                <w:szCs w:val="11"/>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80" w:type="dxa"/>
            <w:vAlign w:val="bottom"/>
            <w:gridSpan w:val="2"/>
          </w:tcPr>
          <w:p>
            <w:pPr>
              <w:spacing w:after="0"/>
              <w:rPr>
                <w:sz w:val="11"/>
                <w:szCs w:val="11"/>
                <w:color w:val="auto"/>
              </w:rPr>
            </w:pPr>
          </w:p>
        </w:tc>
        <w:tc>
          <w:tcPr>
            <w:tcW w:w="4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00" w:type="dxa"/>
            <w:vAlign w:val="bottom"/>
          </w:tcPr>
          <w:p>
            <w:pPr>
              <w:spacing w:after="0"/>
              <w:rPr>
                <w:sz w:val="11"/>
                <w:szCs w:val="11"/>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gridSpan w:val="2"/>
          </w:tcPr>
          <w:p>
            <w:pPr>
              <w:spacing w:after="0"/>
              <w:rPr>
                <w:sz w:val="11"/>
                <w:szCs w:val="11"/>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8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20.7%</w:t>
            </w:r>
          </w:p>
        </w:tc>
        <w:tc>
          <w:tcPr>
            <w:tcW w:w="780" w:type="dxa"/>
            <w:vAlign w:val="bottom"/>
            <w:tcBorders>
              <w:right w:val="single" w:sz="8" w:color="CFF0FC"/>
            </w:tcBorders>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6.2%</w:t>
            </w:r>
          </w:p>
        </w:tc>
        <w:tc>
          <w:tcPr>
            <w:tcW w:w="760" w:type="dxa"/>
            <w:vAlign w:val="bottom"/>
            <w:tcBorders>
              <w:right w:val="single" w:sz="8" w:color="CFF0FC"/>
            </w:tcBorders>
            <w:gridSpan w:val="3"/>
            <w:shd w:val="clear" w:color="auto" w:fill="CFF0FC"/>
          </w:tcPr>
          <w:p>
            <w:pPr>
              <w:jc w:val="right"/>
              <w:ind w:right="3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0.7%</w:t>
            </w:r>
          </w:p>
        </w:tc>
        <w:tc>
          <w:tcPr>
            <w:tcW w:w="720" w:type="dxa"/>
            <w:vAlign w:val="bottom"/>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16.9%</w:t>
            </w:r>
          </w:p>
        </w:tc>
        <w:tc>
          <w:tcPr>
            <w:tcW w:w="720" w:type="dxa"/>
            <w:vAlign w:val="bottom"/>
            <w:gridSpan w:val="4"/>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22.3%</w:t>
            </w:r>
          </w:p>
        </w:tc>
        <w:tc>
          <w:tcPr>
            <w:tcW w:w="820" w:type="dxa"/>
            <w:vAlign w:val="bottom"/>
            <w:gridSpan w:val="5"/>
            <w:shd w:val="clear" w:color="auto" w:fill="CFF0FC"/>
          </w:tcPr>
          <w:p>
            <w:pPr>
              <w:ind w:left="480"/>
              <w:spacing w:after="0" w:line="109" w:lineRule="exact"/>
              <w:rPr>
                <w:sz w:val="20"/>
                <w:szCs w:val="20"/>
                <w:color w:val="auto"/>
              </w:rPr>
            </w:pPr>
            <w:r>
              <w:rPr>
                <w:rFonts w:ascii="Times New Roman" w:cs="Times New Roman" w:eastAsia="Times New Roman" w:hAnsi="Times New Roman"/>
                <w:sz w:val="11"/>
                <w:szCs w:val="11"/>
                <w:color w:val="auto"/>
              </w:rPr>
              <w:t>0.9%</w:t>
            </w:r>
          </w:p>
        </w:tc>
        <w:tc>
          <w:tcPr>
            <w:tcW w:w="5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67.7%</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2.1%</w:t>
            </w:r>
          </w:p>
        </w:tc>
        <w:tc>
          <w:tcPr>
            <w:tcW w:w="5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4.9%</w:t>
            </w:r>
          </w:p>
        </w:tc>
        <w:tc>
          <w:tcPr>
            <w:tcW w:w="20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4"/>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9.3%</w:t>
            </w:r>
          </w:p>
        </w:tc>
        <w:tc>
          <w:tcPr>
            <w:tcW w:w="820" w:type="dxa"/>
            <w:vAlign w:val="bottom"/>
            <w:gridSpan w:val="5"/>
          </w:tcPr>
          <w:p>
            <w:pPr>
              <w:ind w:left="48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20.3%</w:t>
            </w:r>
          </w:p>
        </w:tc>
      </w:tr>
      <w:tr>
        <w:trPr>
          <w:trHeight w:val="20"/>
        </w:trPr>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80" w:type="dxa"/>
            <w:vAlign w:val="bottom"/>
            <w:tcBorders>
              <w:right w:val="single" w:sz="8" w:color="CFF0FC"/>
            </w:tcBorders>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23.4%</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8.3%</w:t>
            </w:r>
          </w:p>
        </w:tc>
        <w:tc>
          <w:tcPr>
            <w:tcW w:w="76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4.9%</w:t>
            </w:r>
          </w:p>
        </w:tc>
        <w:tc>
          <w:tcPr>
            <w:tcW w:w="6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0.7%</w:t>
            </w:r>
          </w:p>
        </w:tc>
        <w:tc>
          <w:tcPr>
            <w:tcW w:w="720" w:type="dxa"/>
            <w:vAlign w:val="bottom"/>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16.9%</w:t>
            </w:r>
          </w:p>
        </w:tc>
        <w:tc>
          <w:tcPr>
            <w:tcW w:w="720" w:type="dxa"/>
            <w:vAlign w:val="bottom"/>
            <w:gridSpan w:val="4"/>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31.6%</w:t>
            </w:r>
          </w:p>
        </w:tc>
        <w:tc>
          <w:tcPr>
            <w:tcW w:w="820" w:type="dxa"/>
            <w:vAlign w:val="bottom"/>
            <w:gridSpan w:val="5"/>
            <w:shd w:val="clear" w:color="auto" w:fill="CFF0FC"/>
          </w:tcPr>
          <w:p>
            <w:pPr>
              <w:ind w:left="480"/>
              <w:spacing w:after="0" w:line="109" w:lineRule="exact"/>
              <w:rPr>
                <w:sz w:val="20"/>
                <w:szCs w:val="20"/>
                <w:color w:val="auto"/>
              </w:rPr>
            </w:pPr>
            <w:r>
              <w:rPr>
                <w:rFonts w:ascii="Times New Roman" w:cs="Times New Roman" w:eastAsia="Times New Roman" w:hAnsi="Times New Roman"/>
                <w:sz w:val="11"/>
                <w:szCs w:val="11"/>
                <w:b w:val="1"/>
                <w:bCs w:val="1"/>
                <w:color w:val="auto"/>
              </w:rPr>
              <w:t>2.2%</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88.0%</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5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4.3%</w:t>
            </w:r>
          </w:p>
        </w:tc>
        <w:tc>
          <w:tcPr>
            <w:tcW w:w="200" w:type="dxa"/>
            <w:vAlign w:val="bottom"/>
          </w:tcPr>
          <w:p>
            <w:pPr>
              <w:spacing w:after="0"/>
              <w:rPr>
                <w:sz w:val="10"/>
                <w:szCs w:val="10"/>
                <w:color w:val="auto"/>
              </w:rPr>
            </w:pPr>
          </w:p>
        </w:tc>
        <w:tc>
          <w:tcPr>
            <w:tcW w:w="6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2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0"/>
                <w:szCs w:val="10"/>
                <w:color w:val="auto"/>
              </w:rPr>
            </w:pPr>
          </w:p>
        </w:tc>
        <w:tc>
          <w:tcPr>
            <w:tcW w:w="64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5"/>
          </w:tcPr>
          <w:p>
            <w:pPr>
              <w:ind w:left="48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6.2%</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80" w:type="dxa"/>
            <w:vAlign w:val="bottom"/>
            <w:tcBorders>
              <w:right w:val="single" w:sz="8" w:color="CFF0FC"/>
            </w:tcBorders>
            <w:gridSpan w:val="3"/>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78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60" w:type="dxa"/>
            <w:vAlign w:val="bottom"/>
            <w:tcBorders>
              <w:right w:val="single" w:sz="8" w:color="CFF0FC"/>
            </w:tcBorders>
            <w:gridSpan w:val="3"/>
            <w:shd w:val="clear" w:color="auto" w:fill="CFF0FC"/>
          </w:tcPr>
          <w:p>
            <w:pPr>
              <w:jc w:val="right"/>
              <w:ind w:right="3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3"/>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5"/>
            <w:shd w:val="clear" w:color="auto" w:fill="CFF0FC"/>
          </w:tcPr>
          <w:p>
            <w:pPr>
              <w:ind w:left="480"/>
              <w:spacing w:after="0" w:line="119" w:lineRule="exact"/>
              <w:rPr>
                <w:sz w:val="20"/>
                <w:szCs w:val="20"/>
                <w:color w:val="auto"/>
              </w:rPr>
            </w:pPr>
            <w:r>
              <w:rPr>
                <w:rFonts w:ascii="Times New Roman" w:cs="Times New Roman" w:eastAsia="Times New Roman" w:hAnsi="Times New Roman"/>
                <w:sz w:val="11"/>
                <w:szCs w:val="11"/>
                <w:color w:val="auto"/>
              </w:rPr>
              <w:t>0.7%</w:t>
            </w:r>
          </w:p>
        </w:tc>
        <w:tc>
          <w:tcPr>
            <w:tcW w:w="5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2.4%</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2.1%</w:t>
            </w:r>
          </w:p>
        </w:tc>
        <w:tc>
          <w:tcPr>
            <w:tcW w:w="760" w:type="dxa"/>
            <w:vAlign w:val="bottom"/>
            <w:gridSpan w:val="3"/>
          </w:tcPr>
          <w:p>
            <w:pPr>
              <w:jc w:val="right"/>
              <w:ind w:right="3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5"/>
          </w:tcPr>
          <w:p>
            <w:pPr>
              <w:ind w:left="48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3.4%</w:t>
            </w:r>
          </w:p>
        </w:tc>
      </w:tr>
      <w:tr>
        <w:trPr>
          <w:trHeight w:val="20"/>
        </w:trPr>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80" w:type="dxa"/>
            <w:vAlign w:val="bottom"/>
            <w:tcBorders>
              <w:right w:val="single" w:sz="8" w:color="CFF0FC"/>
            </w:tcBorders>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1.4%</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3.0%</w:t>
            </w:r>
          </w:p>
        </w:tc>
        <w:tc>
          <w:tcPr>
            <w:tcW w:w="76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4.3%</w:t>
            </w:r>
          </w:p>
        </w:tc>
        <w:tc>
          <w:tcPr>
            <w:tcW w:w="6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0.1%</w:t>
            </w:r>
          </w:p>
        </w:tc>
        <w:tc>
          <w:tcPr>
            <w:tcW w:w="720" w:type="dxa"/>
            <w:vAlign w:val="bottom"/>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FF0FC"/>
          </w:tcPr>
          <w:p>
            <w:pPr>
              <w:spacing w:after="0"/>
              <w:rPr>
                <w:sz w:val="9"/>
                <w:szCs w:val="9"/>
                <w:color w:val="auto"/>
              </w:rPr>
            </w:pPr>
          </w:p>
        </w:tc>
        <w:tc>
          <w:tcPr>
            <w:tcW w:w="640" w:type="dxa"/>
            <w:vAlign w:val="bottom"/>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5"/>
            <w:shd w:val="clear" w:color="auto" w:fill="CFF0FC"/>
          </w:tcPr>
          <w:p>
            <w:pPr>
              <w:ind w:left="480"/>
              <w:spacing w:after="0" w:line="109" w:lineRule="exact"/>
              <w:rPr>
                <w:sz w:val="20"/>
                <w:szCs w:val="20"/>
                <w:color w:val="auto"/>
              </w:rPr>
            </w:pPr>
            <w:r>
              <w:rPr>
                <w:rFonts w:ascii="Times New Roman" w:cs="Times New Roman" w:eastAsia="Times New Roman" w:hAnsi="Times New Roman"/>
                <w:sz w:val="11"/>
                <w:szCs w:val="11"/>
                <w:b w:val="1"/>
                <w:bCs w:val="1"/>
                <w:color w:val="auto"/>
              </w:rPr>
              <w:t>2.1%</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12.0%</w:t>
            </w:r>
          </w:p>
        </w:tc>
      </w:tr>
      <w:tr>
        <w:trPr>
          <w:trHeight w:val="20"/>
        </w:trPr>
        <w:tc>
          <w:tcPr>
            <w:tcW w:w="174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80" w:type="dxa"/>
            <w:vAlign w:val="bottom"/>
            <w:gridSpan w:val="3"/>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24.8%</w:t>
            </w:r>
          </w:p>
        </w:tc>
        <w:tc>
          <w:tcPr>
            <w:tcW w:w="7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11.3%</w:t>
            </w:r>
          </w:p>
        </w:tc>
        <w:tc>
          <w:tcPr>
            <w:tcW w:w="760" w:type="dxa"/>
            <w:vAlign w:val="bottom"/>
            <w:gridSpan w:val="3"/>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9.2%</w:t>
            </w:r>
          </w:p>
        </w:tc>
        <w:tc>
          <w:tcPr>
            <w:tcW w:w="6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0.8%</w:t>
            </w:r>
          </w:p>
        </w:tc>
        <w:tc>
          <w:tcPr>
            <w:tcW w:w="72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18.0%</w:t>
            </w:r>
          </w:p>
        </w:tc>
        <w:tc>
          <w:tcPr>
            <w:tcW w:w="720" w:type="dxa"/>
            <w:vAlign w:val="bottom"/>
            <w:gridSpan w:val="4"/>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31.6%</w:t>
            </w:r>
          </w:p>
        </w:tc>
        <w:tc>
          <w:tcPr>
            <w:tcW w:w="820" w:type="dxa"/>
            <w:vAlign w:val="bottom"/>
            <w:gridSpan w:val="5"/>
          </w:tcPr>
          <w:p>
            <w:pPr>
              <w:ind w:left="480"/>
              <w:spacing w:after="0" w:line="109" w:lineRule="exact"/>
              <w:rPr>
                <w:sz w:val="20"/>
                <w:szCs w:val="20"/>
                <w:color w:val="auto"/>
              </w:rPr>
            </w:pPr>
            <w:r>
              <w:rPr>
                <w:rFonts w:ascii="Times New Roman" w:cs="Times New Roman" w:eastAsia="Times New Roman" w:hAnsi="Times New Roman"/>
                <w:sz w:val="11"/>
                <w:szCs w:val="11"/>
                <w:b w:val="1"/>
                <w:bCs w:val="1"/>
                <w:color w:val="auto"/>
              </w:rPr>
              <w:t>4.3%</w:t>
            </w:r>
          </w:p>
        </w:tc>
        <w:tc>
          <w:tcPr>
            <w:tcW w:w="5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-1104265</wp:posOffset>
            </wp:positionV>
            <wp:extent cx="749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-1104265</wp:posOffset>
            </wp:positionV>
            <wp:extent cx="7493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-1104265</wp:posOffset>
            </wp:positionV>
            <wp:extent cx="749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-1104265</wp:posOffset>
            </wp:positionV>
            <wp:extent cx="7493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-1104265</wp:posOffset>
            </wp:positionV>
            <wp:extent cx="7493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-1104265</wp:posOffset>
            </wp:positionV>
            <wp:extent cx="7493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-1104265</wp:posOffset>
            </wp:positionV>
            <wp:extent cx="749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-1104265</wp:posOffset>
            </wp:positionV>
            <wp:extent cx="7493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-101600</wp:posOffset>
            </wp:positionV>
            <wp:extent cx="7493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-101600</wp:posOffset>
            </wp:positionV>
            <wp:extent cx="7493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-101600</wp:posOffset>
            </wp:positionV>
            <wp:extent cx="7493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-101600</wp:posOffset>
            </wp:positionV>
            <wp:extent cx="7493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-101600</wp:posOffset>
            </wp:positionV>
            <wp:extent cx="7493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-101600</wp:posOffset>
            </wp:positionV>
            <wp:extent cx="7493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-101600</wp:posOffset>
            </wp:positionV>
            <wp:extent cx="7493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7493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ind w:left="640" w:right="1059" w:firstLine="351"/>
        <w:spacing w:after="0" w:line="292" w:lineRule="auto"/>
        <w:rPr>
          <w:sz w:val="20"/>
          <w:szCs w:val="20"/>
          <w:color w:val="auto"/>
        </w:rPr>
      </w:pPr>
      <w:r>
        <w:rPr>
          <w:rFonts w:ascii="Times New Roman" w:cs="Times New Roman" w:eastAsia="Times New Roman" w:hAnsi="Times New Roman"/>
          <w:sz w:val="14"/>
          <w:szCs w:val="14"/>
          <w:color w:val="auto"/>
        </w:rPr>
        <w:t>See Note 3 of the unaudited condensed consolidated financial statements and related notes in this Form 10-Q for more information regarding revenue by payor type for each reportable segment for the three months ended March 31, 2026 and 2025.</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Expansion of our Pharmacy Solutions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We are a leading independent pharmacy provider in our respective pharmacy patient markets, and we expect to continue to increase our share, including home infusion patients, specialty oncology patients, behavioral patients, in-home Seniors, and hospice patients.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spacing w:after="0" w:line="5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Since 2019,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56"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23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58"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We believe de novo investments facilitate more integrated care capability and are a meaningful organic growth driver for the Company.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59"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9,000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Continue CareRx is aimed at providing medication risk and therapy management continuously and longitudinally post discharge from hospitals and skilled nursing customers. Within provider services, patients often transition from home health to hospice services and can receive therapy and supportive care services concurrent with each other and with home health and hospice.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several accountable care organization (“ACO”) arrangements to participate in shared savings from its attributed primary care patients and other ACO partnerships and contract as a preferred provider.</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3" w:lineRule="exact"/>
        <w:rPr>
          <w:sz w:val="20"/>
          <w:szCs w:val="20"/>
          <w:color w:val="auto"/>
        </w:rPr>
      </w:pPr>
    </w:p>
    <w:p>
      <w:pPr>
        <w:ind w:left="640" w:right="7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53"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53"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53"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the debt service costs associated with our various debt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51" w:lineRule="exact"/>
        <w:rPr>
          <w:sz w:val="20"/>
          <w:szCs w:val="20"/>
          <w:color w:val="auto"/>
        </w:rPr>
      </w:pPr>
    </w:p>
    <w:p>
      <w:pPr>
        <w:ind w:left="640" w:right="83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Our provision for income taxes is based on permanent book/tax differences and statutory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in the various jurisdictions in which we operate. Significant estimates and judgments are required in determining the provision for income taxes.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to Three Months Ended March 31,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ind w:left="60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3,171,349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2,532,171</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639,178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442,372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345,958</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96,414</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3,613,721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2,878,129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735,592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2,870,575</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2,328,215</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542,360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260,924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482,222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338,369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143,853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360,773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121,449</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50,739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70,710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(3,148)</w:t>
            </w:r>
          </w:p>
        </w:tc>
        <w:tc>
          <w:tcPr>
            <w:tcW w:w="2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82,834</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73,858</w:t>
            </w: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74,283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65,067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131,062</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-1267460</wp:posOffset>
            </wp:positionV>
            <wp:extent cx="4762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-1267460</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-1267460</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-1267460</wp:posOffset>
            </wp:positionV>
            <wp:extent cx="1162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-701675</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-701675</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-701675</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-701675</wp:posOffset>
            </wp:positionV>
            <wp:extent cx="11620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-135890</wp:posOffset>
            </wp:positionV>
            <wp:extent cx="4762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-135890</wp:posOffset>
            </wp:positionV>
            <wp:extent cx="4762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-135890</wp:posOffset>
            </wp:positionV>
            <wp:extent cx="4762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-135890</wp:posOffset>
            </wp:positionV>
            <wp:extent cx="11620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Reconciliation of GAAP to non-GAAP results is provided below under the section entitled “Non-GAAP Financial Measures.”</w:t>
      </w:r>
    </w:p>
    <w:p>
      <w:pPr>
        <w:spacing w:after="0" w:line="183"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Revenues were $3,613.7 million for the three months ended March 31, 2026, as compared with $2,878.1 million for the three months ended March 31, 2025, an increase of $735.6 million or 25.6%.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$2,870.6 million for the three months ended March 31, 2026, as compared with $2,328.2 million for the three months ended March 31, 2025, an increase of $542.4 million or 23.3%. The increase resulted from an increase in Pharmacy Solutions cost of goods.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$260.9 million for the three months ended March 31, 2026, as compared with $211.5 million for the three months ended March 31, 2025, an increase of $49.4 million or 23.3%. The increase resulted from an increase in Provider Services cost of services.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$360.8 million for the three months ended March 31, 2026, as compared with $287.6 million for the three months ended March 31, 2025, an increase of $73.1 million or 25.4%. The increase primarily resulted from the following segment activity and factors:</w:t>
      </w:r>
    </w:p>
    <w:p>
      <w:pPr>
        <w:spacing w:after="0" w:line="50" w:lineRule="exact"/>
        <w:rPr>
          <w:sz w:val="20"/>
          <w:szCs w:val="20"/>
          <w:color w:val="auto"/>
        </w:rPr>
      </w:pPr>
    </w:p>
    <w:p>
      <w:pPr>
        <w:jc w:val="both"/>
        <w:ind w:left="1340" w:right="799" w:hanging="352"/>
        <w:spacing w:after="0" w:line="274"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$73.6 million, or 25.6%, on consolidated 2025 selling, general, and administrative expenses,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$0.5 million, or 0.2%, in consolidated first quarter of 2025 selling, general, and administrative expenses, as a result of a decrease in other operational expenses year-over-year.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Interest expense, net was $38.6 million for the three months ended March 31, 2026, as compared with $41.8 million for the three months ended March 31, 2025, a decrease of $3.1 million or 7.5%. The decrease primarily resulted from a decrease in both the variable-rate and applicable margin for the three months ended March 31, 2026 as compared to the prior period and lower outstanding term debt as compared to the prior period, and was partially offset by a $3.9 million decrease in interest income received related to cash flow hedges of interest rate risk.</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 (Benefit)</w:t>
      </w:r>
    </w:p>
    <w:p>
      <w:pPr>
        <w:spacing w:after="0" w:line="99"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Income tax expense was $8.6 million for the three months ended March 31, 2026, as compared with an income tax benefit of $0.2 million for the three months ended March 31, 2025. The $8.8 million increase in the income tax expense is primarily driven by the increase in pre-tax book income for the three months ended March 31, 2026 as compared to the three months ended March 31, 2025, and an increase in the effective tax rate for the three months ended March 31, 2026 of 10.3% compared to (2.7)% for the three months ended March 31, 2025. The increase in the effective tax rate is primarily attributable to the comparatively favorable impact of year-to-date discrete tax benefits on pre-tax income in each respective period.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Net income was $74.3 million for the three months ended March 31, 2026, as compared with $9.2 million for the three months ended March 31, 2025, an increase of $65.1 million. The increase in net income is primarily attributable to the increase in gross profit and the aforementioned decrease in interest expense, net, partially offset by an increase in selling, general, and administrative expenses and income tax expense.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$189.8 million for the three months ended March 31, 2026, as compared with $131.1 million for the three months ended March 31, 2025, an increase of $58.7 million or 44.8%. The increase primarily resulted from the following segment activity and factors:</w:t>
      </w:r>
    </w:p>
    <w:p>
      <w:pPr>
        <w:spacing w:after="0" w:line="50" w:lineRule="exact"/>
        <w:rPr>
          <w:sz w:val="20"/>
          <w:szCs w:val="20"/>
          <w:color w:val="auto"/>
        </w:rPr>
      </w:pPr>
    </w:p>
    <w:p>
      <w:pPr>
        <w:ind w:left="1340" w:right="699" w:hanging="352"/>
        <w:spacing w:after="0" w:line="274" w:lineRule="auto"/>
        <w:tabs>
          <w:tab w:leader="none" w:pos="13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$68.2 million, or 52.0%, on consolidated first quarter of 2025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$9.5 million, or 7.2%, on consolidated first quarter of 2025 Adjusted EBITDA, as a result of increases in certain public company costs incurred, investments in information technology, and positions to support growth within the business.</w:t>
      </w:r>
    </w:p>
    <w:p>
      <w:pPr>
        <w:spacing w:after="0" w:line="125"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to Three Months Ended March 31,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 for Pharmacy Solutions.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2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3,171,349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2,532,171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639,178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2,328,215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542,360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300,774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203,956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96,818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143,740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88,218</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55,522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169,068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10,729,876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10,877,294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(147,418)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-667385</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-667385</wp:posOffset>
            </wp:positionV>
            <wp:extent cx="4762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-667385</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-667385</wp:posOffset>
            </wp:positionV>
            <wp:extent cx="11620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Revenues were $3,171.3 million for the three months ended March 31, 2026, as compared with $2,532.2 million for the three months ended March 31, 2025, an increase of $639.2 million or 25.2%. The increase primarily resulted from volume growth in prescriptions dispensed within Infusion and Specialty Pharmacy partially offset by a decline in prescriptions dispensed within Home and Community Pharmacy. Revenues attributable to Infusion and Specialty Pharmacy were $2,644.2 million for the three months ended March 31, 2026, as compared with $1,951.5 million for the three months ended March 31, 2025, an increase of $692.7 million or 35.5% attributable to an increase in prescriptions dispensed on certain specialty branded drugs. Revenues attributable to Home and Community Pharmacy were $527.1 million for the three months ended March 31, 2026, as compared with $580.7 million for the three months ended March 31, 2025, a decrease of $53.6 million or 9.2%, primarily attributable to impacts from the Inflation Reduction Act which, has resulted in significant reductions in federal healthcare spending, including through mandatory Medicare drug price negotiations and rebates, and statutory caps on negotiated prices.</w:t>
      </w:r>
    </w:p>
    <w:p>
      <w:pPr>
        <w:spacing w:after="0" w:line="60"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$2,870.6 million for the three months ended March 31, 2026, as compared with $2,328.2 million for the three months ended March 31, 2025, an increase of $542.4 million or 23.3%.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Gross profit was $300.8 million for the three months ended March 31, 2026, as compared with $204.0 million for the three months ended March 31, 2025, an increase of $96.8 million or 47.5%. The increase primarily resulted from the aforementioned revenue growth in the period, primarily the result of outsized volume growth as well as mix in certain specialty branded drugs, which have lower margins.</w:t>
      </w:r>
    </w:p>
    <w:p>
      <w:pPr>
        <w:spacing w:after="0" w:line="5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three months ended March 31, 2026 was 9.5% compared to 8.1% for the three months ended March 31, 2025. The increase in gross profit margin is due to mix shift in the Pharmacy Solutions segment with greater relative volume growth in Infusion and Specialty Pharmacy, along with product-level mix shifts and rate changes, partially offset by an increase in the fulfillment cost per script in Home and Community Pharmacy.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$157.0 million for the three months ended March 31, 2026, as compared with $115.7 million for the three months ended March 31, 2025, an increase of $41.3 million or 35.7%.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$169.1 million for the three months ended March 31, 2026, as compared with $115.7 million for the three months ended March 31, 2025, an increase of $53.3 million or 46.1%. The increase primarily resulted from the aforementioned revenue and gross profit growth in the period. See Note 11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to Three Months Ended March 31,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 for Provider Services.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442,372</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345,958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96,414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181,448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47,035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59,026</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44,311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14,715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65,980</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51,080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46,066</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15,825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Revenues were $442.4 million for the three months ended March 31, 2026, as compared with $345.9 million for the three months ended March 31, 2025, an increase of $96.4 million or 27.9%. The increase primarily resulted from the following segment activity and factors:</w:t>
      </w:r>
    </w:p>
    <w:p>
      <w:pPr>
        <w:spacing w:after="0" w:line="50" w:lineRule="exact"/>
        <w:rPr>
          <w:sz w:val="20"/>
          <w:szCs w:val="20"/>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$78.5 million, or 22.7%, increase from the Amedisys and LHC Branches acquisition;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$17.9 million, or 5.2%, increase primarily from volume growth as well as rate increases received during the period.</w:t>
      </w:r>
    </w:p>
    <w:p>
      <w:pPr>
        <w:spacing w:after="0" w:line="97" w:lineRule="exact"/>
        <w:rPr>
          <w:sz w:val="20"/>
          <w:szCs w:val="20"/>
          <w:color w:val="auto"/>
        </w:rPr>
      </w:pPr>
    </w:p>
    <w:p>
      <w:pPr>
        <w:ind w:left="640" w:right="779" w:firstLine="516"/>
        <w:spacing w:after="0" w:line="263" w:lineRule="auto"/>
        <w:rPr>
          <w:sz w:val="20"/>
          <w:szCs w:val="20"/>
          <w:color w:val="auto"/>
        </w:rPr>
      </w:pPr>
      <w:r>
        <w:rPr>
          <w:rFonts w:ascii="Times New Roman" w:cs="Times New Roman" w:eastAsia="Times New Roman" w:hAnsi="Times New Roman"/>
          <w:sz w:val="14"/>
          <w:szCs w:val="14"/>
          <w:color w:val="auto"/>
        </w:rPr>
        <w:t>Revenues attributable to Home Health Care were $265.7 million for the three months ended March 31, 2026, as compared with $178.4 million for the three months ended March 31, 2025, an increase of $87.3 million or 48.9%. Revenues attributable to Rehab Care were $74.8 million for the three months ended March 31, 2026, as compared with $69.8 million for the three months ended March 31, 2025, an increase of $5.0 million or 7.2%. Revenues attributable to Personal Care were $101.9 million for the three months ended March 31, 2026, as compared with $97.7 million for the three months ended March 31, 2025, an increase of $4.2 million or 4.3%.</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$260.9 million for the three months ended March 31, 2026, as compared with $211.5 million for the three months ended March 31, 2025, an increase of $49.4 million or 23.3%. The increase primarily resulted from the aforementioned revenue growth.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2" w:name="page33"/>
    <w:bookmarkEnd w:id="32"/>
    <w:p>
      <w:pPr>
        <w:ind w:left="640" w:right="999" w:firstLine="351"/>
        <w:spacing w:after="0" w:line="274" w:lineRule="auto"/>
        <w:rPr>
          <w:sz w:val="20"/>
          <w:szCs w:val="20"/>
          <w:color w:val="auto"/>
        </w:rPr>
      </w:pPr>
      <w:r>
        <w:rPr>
          <w:rFonts w:ascii="Times New Roman" w:cs="Times New Roman" w:eastAsia="Times New Roman" w:hAnsi="Times New Roman"/>
          <w:sz w:val="14"/>
          <w:szCs w:val="14"/>
          <w:color w:val="auto"/>
        </w:rPr>
        <w:t>Gross profit was $181.4 million for the three months ended March 31, 2026, as compared with $134.4 million for the three months ended March 31, 2025, an increase of $47.0 million or 35.0%. The increase primarily resulted from the aforementioned revenue growth and costs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$122.4 million for the three months ended March 31, 2026, as compared with $90.1 million for the three months ended March 31, 2025, an increase of $32.3 million or 35.9%.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$66.0 million for the three months ended March 31, 2026, as compared with $51.1 million for the three months ended March 31, 2025, an increase of $14.9 million or 29.2%. The increase primarily resulted from the aforementioned revenue growth. See Note 11 “Segment Information" to our unaudited condensed consolidated financial statements and related notes included elsewhere in this Quarterly Report on Form 10-Q for further discussion.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and diluted EPS. Rather, we present EBITDA, Adjusted EBITDA, and Adjusted EPS as supplemental measures of our performance.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759" w:firstLine="516"/>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before income tax expense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and restructuring and divestiture-related and other costs.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The financial measure calculated under U.S. GAAP which is most directly comparable to Adjusted EPS is diluted EPS.</w:t>
      </w:r>
    </w:p>
    <w:p>
      <w:pPr>
        <w:spacing w:after="0" w:line="63"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4"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income, diluted EPS or other financial measures calculated in accordance with U.S. GAAP. Our method of determining non-GAAP financial measures may differ from other companies’ financial measures and therefore may not be comparable to methods used by other companies.</w:t>
      </w:r>
    </w:p>
    <w:p>
      <w:pPr>
        <w:spacing w:after="0" w:line="54" w:lineRule="exact"/>
        <w:rPr>
          <w:sz w:val="20"/>
          <w:szCs w:val="20"/>
          <w:color w:val="auto"/>
        </w:rPr>
      </w:pPr>
    </w:p>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income from continuing operations to EBITDA and Adjusted EBITDA:</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3" w:name="page34"/>
    <w:bookmarkEnd w:id="33"/>
    <w:tbl>
      <w:tblPr>
        <w:tblLayout w:type="fixed"/>
        <w:tblInd w:w="640" w:type="dxa"/>
        <w:tblCellMar>
          <w:top w:w="0" w:type="dxa"/>
          <w:left w:w="0" w:type="dxa"/>
          <w:bottom w:w="0" w:type="dxa"/>
          <w:right w:w="0" w:type="dxa"/>
        </w:tblCellMar>
      </w:tblPr>
      <w:tr>
        <w:trPr>
          <w:trHeight w:val="126"/>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240" w:type="dxa"/>
            <w:vAlign w:val="bottom"/>
          </w:tcPr>
          <w:p>
            <w:pPr>
              <w:spacing w:after="0"/>
              <w:rPr>
                <w:sz w:val="11"/>
                <w:szCs w:val="11"/>
                <w:color w:val="auto"/>
              </w:rPr>
            </w:pPr>
          </w:p>
        </w:tc>
        <w:tc>
          <w:tcPr>
            <w:tcW w:w="218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74,283</w:t>
            </w:r>
          </w:p>
        </w:tc>
        <w:tc>
          <w:tcPr>
            <w:tcW w:w="4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38,615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39,094</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40,832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160,543</w:t>
            </w:r>
          </w:p>
        </w:tc>
        <w:tc>
          <w:tcPr>
            <w:tcW w:w="4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(3)</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29,218</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39,491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131,062</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hanging="342"/>
        <w:spacing w:after="0"/>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and full-time employees.</w:t>
      </w:r>
    </w:p>
    <w:p>
      <w:pPr>
        <w:spacing w:after="0" w:line="96" w:lineRule="exact"/>
        <w:rPr>
          <w:rFonts w:ascii="Times New Roman" w:cs="Times New Roman" w:eastAsia="Times New Roman" w:hAnsi="Times New Roman"/>
          <w:sz w:val="14"/>
          <w:szCs w:val="14"/>
          <w:color w:val="auto"/>
        </w:rPr>
      </w:pPr>
    </w:p>
    <w:p>
      <w:pPr>
        <w:ind w:left="980" w:right="719" w:hanging="342"/>
        <w:spacing w:after="0" w:line="268"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w:t>
      </w:r>
    </w:p>
    <w:p>
      <w:pPr>
        <w:spacing w:after="0" w:line="54" w:lineRule="exact"/>
        <w:rPr>
          <w:rFonts w:ascii="Times New Roman" w:cs="Times New Roman" w:eastAsia="Times New Roman" w:hAnsi="Times New Roman"/>
          <w:sz w:val="14"/>
          <w:szCs w:val="14"/>
          <w:color w:val="auto"/>
        </w:rPr>
      </w:pPr>
    </w:p>
    <w:p>
      <w:pPr>
        <w:ind w:left="980" w:right="1239" w:hanging="342"/>
        <w:spacing w:after="0" w:line="292"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and related license impairment, and severance expenses associated with certain enterprise-wide or significant business line cost-savings measures.</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240" w:type="dxa"/>
            <w:vAlign w:val="bottom"/>
          </w:tcPr>
          <w:p>
            <w:pPr>
              <w:spacing w:after="0"/>
              <w:rPr>
                <w:sz w:val="11"/>
                <w:szCs w:val="11"/>
                <w:color w:val="auto"/>
              </w:rPr>
            </w:pPr>
          </w:p>
        </w:tc>
        <w:tc>
          <w:tcPr>
            <w:tcW w:w="2180" w:type="dxa"/>
            <w:vAlign w:val="bottom"/>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impact on adjustments (2)</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(0.09)</w:t>
            </w: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24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221,321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214,927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 U.S. GAAP net income per share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221,321</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214,927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diluted Non-GAAP income per share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-681355</wp:posOffset>
            </wp:positionV>
            <wp:extent cx="4762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-681355</wp:posOffset>
            </wp:positionV>
            <wp:extent cx="4762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980" w:hanging="342"/>
        <w:spacing w:after="0"/>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6" w:lineRule="exact"/>
        <w:rPr>
          <w:rFonts w:ascii="Times New Roman" w:cs="Times New Roman" w:eastAsia="Times New Roman" w:hAnsi="Times New Roman"/>
          <w:sz w:val="14"/>
          <w:szCs w:val="14"/>
          <w:color w:val="auto"/>
        </w:rPr>
      </w:pPr>
    </w:p>
    <w:p>
      <w:pPr>
        <w:ind w:left="980" w:right="659" w:hanging="342"/>
        <w:spacing w:after="0" w:line="274"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 For all periods presented, the income tax impact on adjustments is inclusive of a discrete tax benefit related to share-based compensation.</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cash flows are primarily provided by the continuing operations of the Company.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34" w:name="page35"/>
    <w:bookmarkEnd w:id="34"/>
    <w:p>
      <w:pPr>
        <w:ind w:left="640" w:right="879"/>
        <w:spacing w:after="0" w:line="292" w:lineRule="auto"/>
        <w:rPr>
          <w:sz w:val="20"/>
          <w:szCs w:val="20"/>
          <w:color w:val="auto"/>
        </w:rPr>
      </w:pPr>
      <w:r>
        <w:rPr>
          <w:rFonts w:ascii="Times New Roman" w:cs="Times New Roman" w:eastAsia="Times New Roman" w:hAnsi="Times New Roman"/>
          <w:sz w:val="14"/>
          <w:szCs w:val="14"/>
          <w:color w:val="auto"/>
        </w:rPr>
        <w:t>indebtedness may contain significant financial and other covenants that may significantly restrict our operations. We cannot assure you that we could obtain refinancing or additional financing on favorable terms or at all.</w:t>
      </w:r>
    </w:p>
    <w:p>
      <w:pPr>
        <w:spacing w:after="0" w:line="38"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88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200" w:type="dxa"/>
            <w:vAlign w:val="bottom"/>
          </w:tcPr>
          <w:p>
            <w:pPr>
              <w:spacing w:after="0"/>
              <w:rPr>
                <w:sz w:val="11"/>
                <w:szCs w:val="11"/>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11"/>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1220" w:type="dxa"/>
            <w:vAlign w:val="bottom"/>
            <w:tcBorders>
              <w:top w:val="single" w:sz="8" w:color="auto"/>
              <w:bottom w:val="single" w:sz="8" w:color="auto"/>
            </w:tcBorders>
          </w:tcPr>
          <w:p>
            <w:pPr>
              <w:jc w:val="center"/>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Revolving Credit Facility Rollforward</w:t>
            </w: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Beginning Revolving Credit Facility balance</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Ending Revolving Credit Facility balance</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Calculation of Revolving Credit Facility and LC Facility availability</w:t>
            </w:r>
          </w:p>
        </w:tc>
        <w:tc>
          <w:tcPr>
            <w:tcW w:w="30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 and LC Facility limit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Revolving Credit Facility balance</w:t>
            </w: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Less: outstanding letters of credit subject to LC Sublimit</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letters of credit under the LC Facility</w:t>
            </w:r>
          </w:p>
        </w:tc>
        <w:tc>
          <w:tcPr>
            <w:tcW w:w="3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62,940</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62,790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End of period Revolving Credit Facility and LC Facility availability</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477,060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 cash balance</w:t>
            </w:r>
          </w:p>
        </w:tc>
        <w:tc>
          <w:tcPr>
            <w:tcW w:w="3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888,797</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88,370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Total Liquidity, end of period</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1,365,857</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-1029335</wp:posOffset>
            </wp:positionV>
            <wp:extent cx="4762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-1029335</wp:posOffset>
            </wp:positionV>
            <wp:extent cx="4762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-360680</wp:posOffset>
            </wp:positionV>
            <wp:extent cx="4762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-135890</wp:posOffset>
            </wp:positionV>
            <wp:extent cx="476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activity discussed in this section relates to our consolidated company results and includes the impacts of discontinued operations.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Three Months Ended March 31, 2026 and 2025</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a summary of our cash flows provided by (used in) operating, investing, and financing activities for the periods presented:</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7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80" w:type="dxa"/>
            <w:vAlign w:val="bottom"/>
            <w:gridSpan w:val="8"/>
          </w:tcPr>
          <w:p>
            <w:pPr>
              <w:ind w:left="3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09"/>
        </w:trPr>
        <w:tc>
          <w:tcPr>
            <w:tcW w:w="3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172"/>
              <w:spacing w:after="0" w:line="109" w:lineRule="exact"/>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Pr>
          <w:p>
            <w:pPr>
              <w:spacing w:after="0"/>
              <w:rPr>
                <w:sz w:val="9"/>
                <w:szCs w:val="9"/>
                <w:color w:val="auto"/>
              </w:rPr>
            </w:pPr>
          </w:p>
        </w:tc>
      </w:tr>
      <w:tr>
        <w:trPr>
          <w:trHeight w:val="16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122,943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101,598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21,345</w:t>
            </w:r>
          </w:p>
        </w:tc>
        <w:tc>
          <w:tcPr>
            <w:tcW w:w="100" w:type="dxa"/>
            <w:vAlign w:val="bottom"/>
            <w:shd w:val="clear" w:color="auto" w:fill="CFF0FC"/>
          </w:tcPr>
          <w:p>
            <w:pPr>
              <w:spacing w:after="0"/>
              <w:rPr>
                <w:sz w:val="14"/>
                <w:szCs w:val="14"/>
                <w:color w:val="auto"/>
              </w:rPr>
            </w:pPr>
          </w:p>
        </w:tc>
      </w:tr>
      <w:tr>
        <w:trPr>
          <w:trHeight w:val="17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747,393</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(24,191)</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771,584</w:t>
            </w:r>
          </w:p>
        </w:tc>
        <w:tc>
          <w:tcPr>
            <w:tcW w:w="100" w:type="dxa"/>
            <w:vAlign w:val="bottom"/>
          </w:tcPr>
          <w:p>
            <w:pPr>
              <w:spacing w:after="0"/>
              <w:rPr>
                <w:sz w:val="14"/>
                <w:szCs w:val="14"/>
                <w:color w:val="auto"/>
              </w:rPr>
            </w:pPr>
          </w:p>
        </w:tc>
      </w:tr>
      <w:tr>
        <w:trPr>
          <w:trHeight w:val="172"/>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(70,016)</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(86,018)</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16,002</w:t>
            </w:r>
          </w:p>
        </w:tc>
        <w:tc>
          <w:tcPr>
            <w:tcW w:w="100" w:type="dxa"/>
            <w:vAlign w:val="bottom"/>
            <w:shd w:val="clear" w:color="auto" w:fill="CFF0FC"/>
          </w:tcPr>
          <w:p>
            <w:pPr>
              <w:spacing w:after="0"/>
              <w:rPr>
                <w:sz w:val="14"/>
                <w:szCs w:val="14"/>
                <w:color w:val="auto"/>
              </w:rPr>
            </w:pP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Net cash provided by operating activities was $122.9 million for the three months ended March 31, 2026, compared to $101.6 million for the three months ended March 31, 2025. The change was primarily due to the following:</w:t>
      </w:r>
    </w:p>
    <w:p>
      <w:pPr>
        <w:spacing w:after="0" w:line="38" w:lineRule="exact"/>
        <w:rPr>
          <w:sz w:val="20"/>
          <w:szCs w:val="20"/>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$70.7 million increase in operating income from continuing operations in 2026 as compared to 2025;</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$11.1 million decrease in cash outflows for interest, net primarily as a result of a reduction in the variable interest rates applicable to our outstanding term debt; offset by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$0.2 million increase in cash outflows for income taxes;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$48.5 million increase in cash outflows for employee incentives paid in the first fiscal quarter of 2026; and</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$17.0 million increase in transaction costs related to the closing of the Community Living divestiture in the first fiscal quarter of 2026.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(used in) investing activities increased by $771.6 million, from a cash outflow of $24.2 million in the three months ended March 31, 2025 to a cash inflow of $747.4 million in the three months ended March 31, 2026. The increase was primarily due to proceeds from the sale of our Community Living business of $810.9 million, offset by a $35.4 million decrease in cash paid for acquisitions in 2026 compared to 2025.</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jc w:val="both"/>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was $70.0 million for the three months ended March 31, 2026, primarily attributable to repayments on our long-term debt of $12.4 million, repurchase of shares of common stock of $60.0 million in connection with the March 2026 secondary offering, and payment of finance lease obligations of $4.0 million, offset by other financing activities.</w:t>
      </w:r>
    </w:p>
    <w:p>
      <w:pPr>
        <w:spacing w:after="0" w:line="50" w:lineRule="exact"/>
        <w:rPr>
          <w:sz w:val="20"/>
          <w:szCs w:val="20"/>
          <w:color w:val="auto"/>
        </w:rPr>
      </w:pPr>
    </w:p>
    <w:p>
      <w:pPr>
        <w:jc w:val="both"/>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was $86.0 million for the three months ended March 31, 2025, primarily attributable to repayments on our long-term debt of $11.8 million, net repayments on our Revolving Credit Facility of $63.3 million, payment of financing lease obligations of $3.4 million, and other financing activities.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jc w:val="both"/>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 Below is a summary of our long-term indebtedness as of March 31, 2026 and December 31, 2025.</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On December 11, 2024 we amended the First Lien to refinance the outstanding principal by establishing Tranche B-5 in an aggregate principal amount of $2,553.2 million at a rate equal to SOFR plus 2.50% or ABR plus 1.50% with a maturity date of February 21, 2031.</w:t>
      </w:r>
    </w:p>
    <w:p>
      <w:pPr>
        <w:spacing w:after="0" w:line="56"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First Lien Credit Agreement, see Note 6 of the unaudited condensed consolidated financial statements and related notes in this Quarterly Report on Form 10-Q.</w:t>
      </w:r>
    </w:p>
    <w:p>
      <w:pPr>
        <w:spacing w:after="0" w:line="3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were in compliance with all applicable financial covenants as of March 31, 2026 and December 31, 2025.</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 total borrowing capacity under the Revolving Credit Facility included in the First Lien Credit Agreement (the “Revolver”) was $475.0 million as of March 31, 2026 and December 31, 2025. As of March 31, 2026 and December 31, 2025, the Company had $475.0 million of borrowing capacity available under the Revolver as there were no borrowings under the Revolver or letters of credit outstanding.</w:t>
      </w:r>
    </w:p>
    <w:p>
      <w:pPr>
        <w:spacing w:after="0" w:line="54" w:lineRule="exact"/>
        <w:rPr>
          <w:sz w:val="20"/>
          <w:szCs w:val="20"/>
          <w:color w:val="auto"/>
        </w:rPr>
      </w:pPr>
    </w:p>
    <w:p>
      <w:pPr>
        <w:ind w:left="640" w:right="679" w:firstLine="351"/>
        <w:spacing w:after="0" w:line="267" w:lineRule="auto"/>
        <w:rPr>
          <w:sz w:val="20"/>
          <w:szCs w:val="20"/>
          <w:color w:val="auto"/>
        </w:rPr>
      </w:pPr>
      <w:r>
        <w:rPr>
          <w:rFonts w:ascii="Times New Roman" w:cs="Times New Roman" w:eastAsia="Times New Roman" w:hAnsi="Times New Roman"/>
          <w:sz w:val="14"/>
          <w:szCs w:val="14"/>
          <w:color w:val="auto"/>
        </w:rPr>
        <w:t>The First Lien Credit Agreement, as amended on September 17, 2024, provides for an additional $65.0 million of letter of credit commitments, or the LC Facility, which are not subject to the LC Sublimit. As of March 31, 2026, there were $62.9 million of letters of credit outstanding under the LC Facility, resulting in an available borrowing capacity of $2.1 million. As of December 31, 2025, there were $62.8 million of letters of credit outstanding under the LC Facility, resulting in an available borrowing capacity of $2.2 million.</w:t>
      </w:r>
    </w:p>
    <w:p>
      <w:pPr>
        <w:spacing w:after="0" w:line="229"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Revolving Credit Facility and LC Facility, see Note 6 of the unaudited condensed consolidated financial statements and related notes in this Quarterly Report on Form 10-Q.</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679" w:firstLine="516"/>
        <w:spacing w:after="0" w:line="265"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interest rates, the Company entered into receive-variable, pay-fixed interest rate swap agreements. For the three months ended March 31, 2026 and the year ended December 31, 2025, interest expense, net includes interest income received related to cash flow hedges of interest rate risk of $0.6 million and $15.2 million, respectively. Refer to Note 6 within our unaudited condensed consolidated financial statements and related notes in this Quarterly Report on Form 10-Q for further discussion.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Tangible Equity Units</w:t>
      </w:r>
    </w:p>
    <w:p>
      <w:pPr>
        <w:spacing w:after="0" w:line="99" w:lineRule="exact"/>
        <w:rPr>
          <w:sz w:val="20"/>
          <w:szCs w:val="20"/>
          <w:color w:val="auto"/>
        </w:rPr>
      </w:pPr>
    </w:p>
    <w:p>
      <w:pPr>
        <w:ind w:left="640" w:right="699" w:firstLine="516"/>
        <w:spacing w:after="0" w:line="261"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will be equivalent of 6.75% per year. Each installment payment constitutes a payment of interest and a partial repayment of principal. Each TEU may be separated by a holder into its constituent Purchase Contract and Amortizing Note. Refer to Note 7 within our unaudited condensed consolidated financial statements and related notes in this Quarterly Report on Form 10-Q for further discussion.</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700" w:type="dxa"/>
            <w:vAlign w:val="bottom"/>
          </w:tcPr>
          <w:p>
            <w:pPr>
              <w:spacing w:after="0"/>
              <w:rPr>
                <w:sz w:val="12"/>
                <w:szCs w:val="12"/>
                <w:color w:val="auto"/>
              </w:rPr>
            </w:pPr>
          </w:p>
        </w:tc>
        <w:tc>
          <w:tcPr>
            <w:tcW w:w="1260" w:type="dxa"/>
            <w:vAlign w:val="bottom"/>
            <w:gridSpan w:val="3"/>
            <w:vMerge w:val="restart"/>
          </w:tcPr>
          <w:p>
            <w:pPr>
              <w:jc w:val="right"/>
              <w:ind w:right="9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1620" w:type="dxa"/>
            <w:vAlign w:val="bottom"/>
            <w:gridSpan w:val="5"/>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Long-term obligation and note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payable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900" w:type="dxa"/>
            <w:vAlign w:val="bottom"/>
            <w:tcBorders>
              <w:top w:val="single" w:sz="8" w:color="auto"/>
            </w:tcBorders>
            <w:gridSpan w:val="2"/>
          </w:tcPr>
          <w:p>
            <w:pPr>
              <w:jc w:val="center"/>
              <w:ind w:right="183"/>
              <w:spacing w:after="0" w:line="90"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860" w:type="dxa"/>
            <w:vAlign w:val="bottom"/>
            <w:tcBorders>
              <w:top w:val="single" w:sz="8" w:color="auto"/>
            </w:tcBorders>
          </w:tcPr>
          <w:p>
            <w:pPr>
              <w:jc w:val="right"/>
              <w:ind w:right="62"/>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0"/>
              <w:spacing w:after="0" w:line="90"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jc w:val="right"/>
              <w:ind w:right="19"/>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Borders>
              <w:top w:val="single" w:sz="8" w:color="auto"/>
            </w:tcBorders>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Fiscal Year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900" w:type="dxa"/>
            <w:vAlign w:val="bottom"/>
            <w:gridSpan w:val="2"/>
            <w:shd w:val="clear" w:color="auto" w:fill="CFF0FC"/>
          </w:tcPr>
          <w:p>
            <w:pPr>
              <w:jc w:val="right"/>
              <w:ind w:right="43"/>
              <w:spacing w:after="0" w:line="105" w:lineRule="exact"/>
              <w:rPr>
                <w:sz w:val="20"/>
                <w:szCs w:val="20"/>
                <w:color w:val="auto"/>
              </w:rPr>
            </w:pPr>
            <w:r>
              <w:rPr>
                <w:rFonts w:ascii="Times New Roman" w:cs="Times New Roman" w:eastAsia="Times New Roman" w:hAnsi="Times New Roman"/>
                <w:sz w:val="12"/>
                <w:szCs w:val="12"/>
                <w:color w:val="auto"/>
              </w:rPr>
              <w:t>6.17%</w:t>
            </w:r>
          </w:p>
        </w:tc>
        <w:tc>
          <w:tcPr>
            <w:tcW w:w="1060" w:type="dxa"/>
            <w:vAlign w:val="bottom"/>
            <w:gridSpan w:val="2"/>
            <w:shd w:val="clear" w:color="auto" w:fill="CFF0FC"/>
          </w:tcPr>
          <w:p>
            <w:pPr>
              <w:jc w:val="right"/>
              <w:ind w:right="100"/>
              <w:spacing w:after="0" w:line="105" w:lineRule="exact"/>
              <w:rPr>
                <w:sz w:val="20"/>
                <w:szCs w:val="20"/>
                <w:color w:val="auto"/>
              </w:rPr>
            </w:pPr>
            <w:r>
              <w:rPr>
                <w:rFonts w:ascii="Times New Roman" w:cs="Times New Roman" w:eastAsia="Times New Roman" w:hAnsi="Times New Roman"/>
                <w:sz w:val="12"/>
                <w:szCs w:val="12"/>
                <w:color w:val="auto"/>
              </w:rPr>
              <w:t>6.22%</w:t>
            </w:r>
          </w:p>
        </w:tc>
        <w:tc>
          <w:tcPr>
            <w:tcW w:w="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2,514,872</w:t>
            </w:r>
          </w:p>
        </w:tc>
        <w:tc>
          <w:tcPr>
            <w:tcW w:w="360" w:type="dxa"/>
            <w:vAlign w:val="bottom"/>
            <w:gridSpan w:val="2"/>
            <w:shd w:val="clear" w:color="auto" w:fill="CFF0FC"/>
          </w:tcPr>
          <w:p>
            <w:pPr>
              <w:jc w:val="right"/>
              <w:ind w:right="106"/>
              <w:spacing w:after="0" w:line="105"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2,521,255</w:t>
            </w:r>
          </w:p>
        </w:tc>
        <w:tc>
          <w:tcPr>
            <w:tcW w:w="260" w:type="dxa"/>
            <w:vAlign w:val="bottom"/>
            <w:gridSpan w:val="3"/>
            <w:shd w:val="clear" w:color="auto" w:fill="CFF0FC"/>
          </w:tcPr>
          <w:p>
            <w:pPr>
              <w:ind w:left="160"/>
              <w:spacing w:after="0" w:line="105"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32,590</w:t>
            </w:r>
          </w:p>
        </w:tc>
        <w:tc>
          <w:tcPr>
            <w:tcW w:w="280" w:type="dxa"/>
            <w:vAlign w:val="bottom"/>
            <w:gridSpan w:val="2"/>
            <w:shd w:val="clear" w:color="auto" w:fill="CFF0FC"/>
          </w:tcPr>
          <w:p>
            <w:pPr>
              <w:ind w:left="140"/>
              <w:spacing w:after="0" w:line="10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146,482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2"/>
                <w:szCs w:val="12"/>
                <w:color w:val="auto"/>
              </w:rPr>
              <w:t>Tranche B-5 - payable to lenders at</w:t>
            </w: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8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Revolving Credit Loans - payable to</w:t>
            </w:r>
          </w:p>
        </w:tc>
        <w:tc>
          <w:tcPr>
            <w:tcW w:w="900" w:type="dxa"/>
            <w:vAlign w:val="bottom"/>
            <w:gridSpan w:val="2"/>
          </w:tcPr>
          <w:p>
            <w:pPr>
              <w:jc w:val="right"/>
              <w:ind w:right="43"/>
              <w:spacing w:after="0" w:line="114" w:lineRule="exact"/>
              <w:rPr>
                <w:sz w:val="20"/>
                <w:szCs w:val="20"/>
                <w:color w:val="auto"/>
              </w:rPr>
            </w:pPr>
            <w:r>
              <w:rPr>
                <w:rFonts w:ascii="Times New Roman" w:cs="Times New Roman" w:eastAsia="Times New Roman" w:hAnsi="Times New Roman"/>
                <w:sz w:val="12"/>
                <w:szCs w:val="12"/>
                <w:color w:val="auto"/>
              </w:rPr>
              <w:t>6.42%</w:t>
            </w:r>
          </w:p>
        </w:tc>
        <w:tc>
          <w:tcPr>
            <w:tcW w:w="10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6.47%</w:t>
            </w:r>
          </w:p>
        </w:tc>
        <w:tc>
          <w:tcPr>
            <w:tcW w:w="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Swingline/Base Rate - payable to</w:t>
            </w:r>
          </w:p>
        </w:tc>
        <w:tc>
          <w:tcPr>
            <w:tcW w:w="900" w:type="dxa"/>
            <w:vAlign w:val="bottom"/>
            <w:gridSpan w:val="2"/>
            <w:shd w:val="clear" w:color="auto" w:fill="CFF0FC"/>
          </w:tcPr>
          <w:p>
            <w:pPr>
              <w:jc w:val="right"/>
              <w:ind w:right="43"/>
              <w:spacing w:after="0" w:line="114" w:lineRule="exact"/>
              <w:rPr>
                <w:sz w:val="20"/>
                <w:szCs w:val="20"/>
                <w:color w:val="auto"/>
              </w:rPr>
            </w:pPr>
            <w:r>
              <w:rPr>
                <w:rFonts w:ascii="Times New Roman" w:cs="Times New Roman" w:eastAsia="Times New Roman" w:hAnsi="Times New Roman"/>
                <w:sz w:val="12"/>
                <w:szCs w:val="12"/>
                <w:color w:val="auto"/>
              </w:rPr>
              <w:t>8.50%</w:t>
            </w:r>
          </w:p>
        </w:tc>
        <w:tc>
          <w:tcPr>
            <w:tcW w:w="1060" w:type="dxa"/>
            <w:vAlign w:val="bottom"/>
            <w:gridSpan w:val="2"/>
            <w:shd w:val="clear" w:color="auto" w:fill="CFF0FC"/>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8.50%</w:t>
            </w: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2,093</w:t>
            </w: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6,996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ABR plus applicable</w:t>
            </w: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Amortizing Notes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25,394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31,360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685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Notes payable and other</w:t>
            </w: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17,125</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17,129</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218</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886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8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Amortization of deferred financing</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3,029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2"/>
                <w:szCs w:val="12"/>
                <w:color w:val="auto"/>
              </w:rPr>
              <w:t>(1,236)</w:t>
            </w:r>
          </w:p>
        </w:tc>
        <w:tc>
          <w:tcPr>
            <w:tcW w:w="0" w:type="dxa"/>
            <w:vAlign w:val="bottom"/>
          </w:tcPr>
          <w:p>
            <w:pPr>
              <w:spacing w:after="0"/>
              <w:rPr>
                <w:sz w:val="1"/>
                <w:szCs w:val="1"/>
                <w:color w:val="auto"/>
              </w:rPr>
            </w:pPr>
          </w:p>
        </w:tc>
      </w:tr>
      <w:tr>
        <w:trPr>
          <w:trHeight w:val="129"/>
        </w:trPr>
        <w:tc>
          <w:tcPr>
            <w:tcW w:w="20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costs and other, net of interest</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income from cash flow hedges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8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color w:val="auto"/>
              </w:rPr>
              <w:t>Total debt</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2,557,391</w:t>
            </w:r>
          </w:p>
        </w:tc>
        <w:tc>
          <w:tcPr>
            <w:tcW w:w="360" w:type="dxa"/>
            <w:vAlign w:val="bottom"/>
            <w:gridSpan w:val="2"/>
            <w:shd w:val="clear" w:color="auto" w:fill="CFF0FC"/>
          </w:tcPr>
          <w:p>
            <w:pPr>
              <w:jc w:val="right"/>
              <w:ind w:right="106"/>
              <w:spacing w:after="0" w:line="120"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2,569,744</w:t>
            </w:r>
          </w:p>
        </w:tc>
        <w:tc>
          <w:tcPr>
            <w:tcW w:w="260" w:type="dxa"/>
            <w:vAlign w:val="bottom"/>
            <w:gridSpan w:val="3"/>
            <w:shd w:val="clear" w:color="auto" w:fill="CFF0FC"/>
          </w:tcPr>
          <w:p>
            <w:pPr>
              <w:ind w:left="160"/>
              <w:spacing w:after="0" w:line="120"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38,615</w:t>
            </w:r>
          </w:p>
        </w:tc>
        <w:tc>
          <w:tcPr>
            <w:tcW w:w="280" w:type="dxa"/>
            <w:vAlign w:val="bottom"/>
            <w:gridSpan w:val="2"/>
            <w:shd w:val="clear" w:color="auto" w:fill="CFF0FC"/>
          </w:tcPr>
          <w:p>
            <w:pPr>
              <w:ind w:left="140"/>
              <w:spacing w:after="0" w:line="12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157,311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59,560</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8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color w:val="auto"/>
              </w:rPr>
              <w:t>Total debt, net of debt issuance costs</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2,497,831</w:t>
            </w: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2,507,544</w:t>
            </w:r>
          </w:p>
        </w:tc>
        <w:tc>
          <w:tcPr>
            <w:tcW w:w="80" w:type="dxa"/>
            <w:vAlign w:val="bottom"/>
            <w:shd w:val="clear" w:color="auto" w:fill="CFF0FC"/>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current portion of long-term debt</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52,960</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52,340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Total long-term debt, net of current</w:t>
            </w: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2,444,871</w:t>
            </w:r>
          </w:p>
        </w:tc>
        <w:tc>
          <w:tcPr>
            <w:tcW w:w="14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2,455,204</w:t>
            </w:r>
          </w:p>
        </w:tc>
        <w:tc>
          <w:tcPr>
            <w:tcW w:w="80" w:type="dxa"/>
            <w:vAlign w:val="bottom"/>
            <w:shd w:val="clear" w:color="auto" w:fill="CFF0FC"/>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80" w:type="dxa"/>
            <w:vAlign w:val="bottom"/>
            <w:tcBorders>
              <w:bottom w:val="single" w:sz="8" w:color="CFF0FC"/>
            </w:tcBorders>
            <w:shd w:val="clear" w:color="auto" w:fill="CFF0FC"/>
          </w:tcPr>
          <w:p>
            <w:pPr>
              <w:ind w:left="120"/>
              <w:spacing w:after="0" w:line="103" w:lineRule="exact"/>
              <w:rPr>
                <w:sz w:val="20"/>
                <w:szCs w:val="20"/>
                <w:color w:val="auto"/>
              </w:rPr>
            </w:pPr>
            <w:r>
              <w:rPr>
                <w:rFonts w:ascii="Times New Roman" w:cs="Times New Roman" w:eastAsia="Times New Roman" w:hAnsi="Times New Roman"/>
                <w:sz w:val="11"/>
                <w:szCs w:val="11"/>
                <w:color w:val="auto"/>
              </w:rPr>
              <w:t>portion</w:t>
            </w:r>
          </w:p>
        </w:tc>
        <w:tc>
          <w:tcPr>
            <w:tcW w:w="7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vMerge w:val="continue"/>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-19685</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-6350</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-19685</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-6350</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Our Company leverage, as calculated under our First Lien Credit Agreement, was 2.27x and 2.99x at March 31, 2026 and December 31, 2025, respectively. The results of the Community Living business are excluded from the calculation for March 31, 2026 since the Company divested the Community Living business prior to the end of the period. The results of the Community Living business are included in the calculation for December 31, 2025 pursuant to the terms of our First Lien Credit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6"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There have been no material changes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7" w:name="page38"/>
    <w:bookmarkEnd w:id="37"/>
    <w:p>
      <w:pPr>
        <w:ind w:left="640" w:right="919"/>
        <w:spacing w:after="0" w:line="292" w:lineRule="auto"/>
        <w:rPr>
          <w:sz w:val="20"/>
          <w:szCs w:val="20"/>
          <w:color w:val="auto"/>
        </w:rPr>
      </w:pPr>
      <w:r>
        <w:rPr>
          <w:rFonts w:ascii="Times New Roman" w:cs="Times New Roman" w:eastAsia="Times New Roman" w:hAnsi="Times New Roman"/>
          <w:sz w:val="14"/>
          <w:szCs w:val="14"/>
          <w:color w:val="auto"/>
        </w:rPr>
        <w:t>to our critical accounting policies and estimates from those disclosed in Part II, Item 7 of our Annual Report on Form 10-K for the year ended December 31, 2025, which are hereby incorporated by reference.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54"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54" w:lineRule="exact"/>
        <w:rPr>
          <w:sz w:val="20"/>
          <w:szCs w:val="20"/>
          <w:color w:val="auto"/>
        </w:rPr>
      </w:pPr>
    </w:p>
    <w:p>
      <w:pPr>
        <w:ind w:left="640" w:right="1099" w:firstLine="351"/>
        <w:spacing w:after="0" w:line="292"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The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spacing w:after="0" w:line="5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As of March 31, 2026, our debt outstanding was $2.6 billion and we had interest rate swaps with a combined notional value of $1.5 billion that were designated as cash flow hedges of interest rate risk. A hypothetical 1% increase in interest rates would decrease our net income and our cash flows by $10.1 million on an annual basis based upon our borrowing level at March 31, 2026. The market risks associated with our debt obligations as of March 31, 2026 have not changed from those reported in “Part II. Item 7A.</w:t>
      </w:r>
    </w:p>
    <w:p>
      <w:pPr>
        <w:spacing w:after="0" w:line="1" w:lineRule="exact"/>
        <w:rPr>
          <w:sz w:val="20"/>
          <w:szCs w:val="20"/>
          <w:color w:val="auto"/>
        </w:rPr>
      </w:pPr>
    </w:p>
    <w:p>
      <w:pPr>
        <w:ind w:left="640" w:right="879"/>
        <w:spacing w:after="0" w:line="264" w:lineRule="auto"/>
        <w:rPr>
          <w:sz w:val="20"/>
          <w:szCs w:val="20"/>
          <w:color w:val="auto"/>
        </w:rPr>
      </w:pPr>
      <w:r>
        <w:rPr>
          <w:rFonts w:ascii="Times New Roman" w:cs="Times New Roman" w:eastAsia="Times New Roman" w:hAnsi="Times New Roman"/>
          <w:sz w:val="14"/>
          <w:szCs w:val="14"/>
          <w:color w:val="auto"/>
        </w:rPr>
        <w:t>Quantitative and Qualitative Disclosure About Market Risk” in our Annual Report on Form 10-K for the year ended December 31, 2025. See Note 6 within the unaudited condensed consolidated financial statements and related notes, included elsewhere in the Quarterly Report on Form 10-Q.</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9"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(as defined in Rule 13a-15(f) under the Exchange Act) that occurred during the quarter ended March 31, 2026 that have materially affected, or are reasonably likely to materially affect, our internal control over financial reporting.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2025. Additional risks and uncertainties not currently known to us or that we currently deem to be immaterial may also materially adversely affect our business, financial condition, or 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90"/>
        </w:trPr>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gridSpan w:val="1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 w:type="dxa"/>
            <w:vAlign w:val="bottom"/>
            <w:vMerge w:val="restart"/>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7"/>
                <w:szCs w:val="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37"/>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1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9"/>
                <w:szCs w:val="19"/>
                <w:color w:val="auto"/>
              </w:rPr>
            </w:pPr>
          </w:p>
        </w:tc>
        <w:tc>
          <w:tcPr>
            <w:tcW w:w="3680" w:type="dxa"/>
            <w:vAlign w:val="bottom"/>
            <w:gridSpan w:val="20"/>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Purchase Agreement, dated January 17, 2025, by and among</w:t>
              </w:r>
            </w:hyperlink>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1/21/2025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Res-Care, Inc., certain other affiliated entities, National Mentor</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Holdings, Inc., and BrightSpring Health Services, Inc. (solely</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for purposes of Section 5.24).</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First Amendment to Purchase Agreement, dated December 5,</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10-K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2/27/2026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2025, by and among Res-Care, Inc., certain other affiliated</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entities, National Mentor Holdings, Inc., and BrightSpring</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Health 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Second Amended and Restated Certificate of Incorporation of</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BrightSpring Health 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Amended and Restated Bylaws of BrightSpring Health</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Purchase Contract Agreement,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Trust Company, National Association, as purchase contract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agent, as attorney-in-fact for the Holders from time to time as</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provided therein and as trustee under the indenture referred to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therein.</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Form of Unit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Form of Purchase Contract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Indenture, dated as of January 30, 2024, between BrightSpring</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Health Services, Inc. and U.S. Bank Trust Company, National</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Association, as trustee.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First Supplemental Indenture,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Trust Company, National Association, as trustee, paying agent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and security registrar.</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Form of Amortizing Note (included in Exhibit 4.5).</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Registration Rights Agreement, dated December 7, 2017, by</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S-1/A</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333-276348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1/10/2024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and among Phoenix Parent Holdings Inc., KKR Phoenix</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Aggregator L.P., and Walgreens Co.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1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60" w:right="4239" w:hanging="622"/>
        <w:spacing w:after="0" w:line="272" w:lineRule="auto"/>
        <w:tabs>
          <w:tab w:leader="none" w:pos="1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37" w:lineRule="exact"/>
        <w:rPr>
          <w:sz w:val="20"/>
          <w:szCs w:val="20"/>
          <w:color w:val="auto"/>
        </w:rPr>
      </w:pPr>
    </w:p>
    <w:p>
      <w:pPr>
        <w:jc w:val="both"/>
        <w:ind w:left="640" w:right="659" w:hanging="2"/>
        <w:spacing w:after="0" w:line="285" w:lineRule="auto"/>
        <w:tabs>
          <w:tab w:leader="none" w:pos="78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have been omitted pursuant to Item 601(a)(5) of Regulation S-K. The registrant hereby undertakes to furnish supplementally copies of any of the omitted schedules or similar attachments upon request by the SEC or its staff.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tc>
      </w:tr>
      <w:tr>
        <w:trPr>
          <w:trHeight w:val="345"/>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 2026</w:t>
            </w:r>
          </w:p>
        </w:tc>
        <w:tc>
          <w:tcPr>
            <w:tcW w:w="17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48"/>
        </w:trPr>
        <w:tc>
          <w:tcPr>
            <w:tcW w:w="2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Jon Rousseau</w:t>
            </w:r>
          </w:p>
        </w:tc>
        <w:tc>
          <w:tcPr>
            <w:tcW w:w="520" w:type="dxa"/>
            <w:vAlign w:val="bottom"/>
          </w:tcPr>
          <w:p>
            <w:pPr>
              <w:spacing w:after="0"/>
              <w:rPr>
                <w:sz w:val="12"/>
                <w:szCs w:val="12"/>
                <w:color w:val="auto"/>
              </w:rPr>
            </w:pPr>
          </w:p>
        </w:tc>
      </w:tr>
      <w:tr>
        <w:trPr>
          <w:trHeight w:val="186"/>
        </w:trPr>
        <w:tc>
          <w:tcPr>
            <w:tcW w:w="2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68"/>
        </w:trPr>
        <w:tc>
          <w:tcPr>
            <w:tcW w:w="2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349"/>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 2026</w:t>
            </w:r>
          </w:p>
        </w:tc>
        <w:tc>
          <w:tcPr>
            <w:tcW w:w="17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48"/>
        </w:trPr>
        <w:tc>
          <w:tcPr>
            <w:tcW w:w="2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Jennifer Phipps</w:t>
            </w:r>
          </w:p>
        </w:tc>
        <w:tc>
          <w:tcPr>
            <w:tcW w:w="520" w:type="dxa"/>
            <w:vAlign w:val="bottom"/>
          </w:tcPr>
          <w:p>
            <w:pPr>
              <w:spacing w:after="0"/>
              <w:rPr>
                <w:sz w:val="12"/>
                <w:szCs w:val="12"/>
                <w:color w:val="auto"/>
              </w:rPr>
            </w:pPr>
          </w:p>
        </w:tc>
      </w:tr>
      <w:tr>
        <w:trPr>
          <w:trHeight w:val="186"/>
        </w:trPr>
        <w:tc>
          <w:tcPr>
            <w:tcW w:w="2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68"/>
        </w:trPr>
        <w:tc>
          <w:tcPr>
            <w:tcW w:w="2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Financial Officer)</w:t>
            </w:r>
          </w:p>
        </w:tc>
      </w:tr>
      <w:tr>
        <w:trPr>
          <w:trHeight w:val="519"/>
        </w:trPr>
        <w:tc>
          <w:tcPr>
            <w:tcW w:w="2960" w:type="dxa"/>
            <w:vAlign w:val="bottom"/>
          </w:tcPr>
          <w:p>
            <w:pPr>
              <w:spacing w:after="0"/>
              <w:rPr>
                <w:sz w:val="24"/>
                <w:szCs w:val="24"/>
                <w:color w:val="auto"/>
              </w:rPr>
            </w:pPr>
          </w:p>
        </w:tc>
        <w:tc>
          <w:tcPr>
            <w:tcW w:w="1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39</w:t>
            </w:r>
          </w:p>
        </w:tc>
        <w:tc>
          <w:tcPr>
            <w:tcW w:w="35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29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1" w:name="page42"/>
    <w:bookmarkEnd w:id="4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29" w:lineRule="exact"/>
        <w:rPr>
          <w:sz w:val="20"/>
          <w:szCs w:val="20"/>
          <w:color w:val="auto"/>
        </w:rPr>
      </w:pPr>
    </w:p>
    <w:p>
      <w:pPr>
        <w:ind w:left="1160" w:right="799" w:hanging="264"/>
        <w:spacing w:after="0" w:line="292" w:lineRule="auto"/>
        <w:tabs>
          <w:tab w:leader="none" w:pos="1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2026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1560" w:type="dxa"/>
            <w:vAlign w:val="bottom"/>
          </w:tcPr>
          <w:p>
            <w:pPr>
              <w:spacing w:after="0"/>
              <w:rPr>
                <w:sz w:val="16"/>
                <w:szCs w:val="16"/>
                <w:color w:val="auto"/>
              </w:rPr>
            </w:pPr>
          </w:p>
        </w:tc>
        <w:tc>
          <w:tcPr>
            <w:tcW w:w="50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2" w:name="page43"/>
    <w:bookmarkEnd w:id="4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Jennifer Phipps, certify that:</w:t>
      </w:r>
    </w:p>
    <w:p>
      <w:pPr>
        <w:spacing w:after="0" w:line="129" w:lineRule="exact"/>
        <w:rPr>
          <w:sz w:val="20"/>
          <w:szCs w:val="20"/>
          <w:color w:val="auto"/>
        </w:rPr>
      </w:pPr>
    </w:p>
    <w:p>
      <w:pPr>
        <w:ind w:left="1160" w:right="799" w:hanging="264"/>
        <w:spacing w:after="0" w:line="292" w:lineRule="auto"/>
        <w:tabs>
          <w:tab w:leader="none" w:pos="1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2026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3" w:name="page44"/>
    <w:bookmarkEnd w:id="4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SECTION 906 OF THE SARBANES-OXLEY ACT OF 2002</w:t>
      </w:r>
    </w:p>
    <w:p>
      <w:pPr>
        <w:spacing w:after="0" w:line="115"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March 31, 2026,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59"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65"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4" w:name="page45"/>
    <w:bookmarkEnd w:id="44"/>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15"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March 31, 2026, as filed with the Securities and Exchange Commission on the date of the signatures below (the Report), Jennifer Phipps, Executive Vice President and Chief Financial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59"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65"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lvl>
    <w:lvl w:ilvl="1">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66" Type="http://schemas.openxmlformats.org/officeDocument/2006/relationships/hyperlink" Target="https://www.sec.gov/Archives/edgar/data/1865782/000095017025006965/btsg-ex2_1.htm" TargetMode="External"/><Relationship Id="rId267" Type="http://schemas.openxmlformats.org/officeDocument/2006/relationships/hyperlink" Target="https://www.sec.gov/Archives/edgar/data/1865782/000119312526079454/btsg-ex2_2.htm" TargetMode="External"/><Relationship Id="rId268" Type="http://schemas.openxmlformats.org/officeDocument/2006/relationships/hyperlink" Target="https://www.sec.gov/Archives/edgar/data/1865782/000119312524019479/d925158dex31.htm" TargetMode="External"/><Relationship Id="rId269" Type="http://schemas.openxmlformats.org/officeDocument/2006/relationships/hyperlink" Target="https://www.sec.gov/Archives/edgar/data/1865782/000119312524019479/d925158dex32.htm" TargetMode="External"/><Relationship Id="rId270" Type="http://schemas.openxmlformats.org/officeDocument/2006/relationships/hyperlink" Target="https://www.sec.gov/Archives/edgar/data/1865782/000119312524019479/d925158dex41.htm" TargetMode="External"/><Relationship Id="rId271" Type="http://schemas.openxmlformats.org/officeDocument/2006/relationships/hyperlink" Target="https://www.sec.gov/Archives/edgar/data/1865782/000119312524019479/d925158dex44.htm" TargetMode="External"/><Relationship Id="rId272" Type="http://schemas.openxmlformats.org/officeDocument/2006/relationships/hyperlink" Target="https://www.sec.gov/Archives/edgar/data/1865782/000119312524019479/d925158dex45.htm" TargetMode="External"/><Relationship Id="rId273" Type="http://schemas.openxmlformats.org/officeDocument/2006/relationships/hyperlink" Target="https://www.sec.gov/Archives/edgar/data/1865782/000119312524005605/d2519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2026-05-01T08:21:31Z</dcterms:created>
  <dcterms:modified xsi:type="dcterms:W3CDTF">2026-05-01T08:21:31Z</dcterms:modified>
</cp:coreProperties>
</file>