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BrightSpring Health Services,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001-41938</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82-2956404</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805 N. Whittington Parkway</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Louisville, Kentucky</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502 394-2100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BTSG</w:t>
            </w:r>
          </w:p>
        </w:tc>
        <w:tc>
          <w:tcPr>
            <w:tcW w:w="8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 Tangible Equity Units</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BTSGU</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right="8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left="660" w:right="660" w:firstLine="743"/>
        <w:spacing w:after="0" w:line="258" w:lineRule="auto"/>
        <w:rPr>
          <w:sz w:val="20"/>
          <w:szCs w:val="20"/>
          <w:color w:val="auto"/>
        </w:rPr>
      </w:pPr>
      <w:r>
        <w:rPr>
          <w:rFonts w:ascii="Times New Roman" w:cs="Times New Roman" w:eastAsia="Times New Roman" w:hAnsi="Times New Roman"/>
          <w:sz w:val="18"/>
          <w:szCs w:val="18"/>
          <w:color w:val="auto"/>
        </w:rPr>
        <w:t>On June 11, 2026, the board of directors (the “Board”) of BrightSpring Health Services, Inc. (the “Company”) increased the number of directors serving on the Board from seven (7) to eight (8) members and appointed Dr. Nigam H. Shah to the Board as a Class III director to fill the resulting vacancy. Dr. Shah will serve until his successor shall be elected and qualified, or until his earlier death, resignation, retirement, disqualification or removal from office. The Board also appointed Dr. Shah to serve as a member of the Quality and Compliance Committee of the Board.</w:t>
      </w:r>
    </w:p>
    <w:p>
      <w:pPr>
        <w:spacing w:after="0" w:line="170" w:lineRule="exact"/>
        <w:rPr>
          <w:sz w:val="20"/>
          <w:szCs w:val="20"/>
          <w:color w:val="auto"/>
        </w:rPr>
      </w:pPr>
    </w:p>
    <w:p>
      <w:pPr>
        <w:jc w:val="both"/>
        <w:ind w:left="660" w:right="660" w:firstLine="743"/>
        <w:spacing w:after="0" w:line="261" w:lineRule="auto"/>
        <w:rPr>
          <w:sz w:val="20"/>
          <w:szCs w:val="20"/>
          <w:color w:val="auto"/>
        </w:rPr>
      </w:pPr>
      <w:r>
        <w:rPr>
          <w:rFonts w:ascii="Times New Roman" w:cs="Times New Roman" w:eastAsia="Times New Roman" w:hAnsi="Times New Roman"/>
          <w:sz w:val="18"/>
          <w:szCs w:val="18"/>
          <w:color w:val="auto"/>
        </w:rPr>
        <w:t>Dr. Shah will be compensated for his service as a director in accordance with the Company’s policy on non-employee director compensation. In connection with Dr. Shah’s appointment to the Board, the Company intends to enter into an indemnification agreement with Dr. Shah in substantially the same form as the Company has entered into with each of the Company’s existing directors and as previously filed with the Securities and Exchange Commission.</w:t>
      </w:r>
    </w:p>
    <w:p>
      <w:pPr>
        <w:spacing w:after="0" w:line="180" w:lineRule="exact"/>
        <w:rPr>
          <w:sz w:val="20"/>
          <w:szCs w:val="20"/>
          <w:color w:val="auto"/>
        </w:rPr>
      </w:pPr>
    </w:p>
    <w:p>
      <w:pPr>
        <w:jc w:val="both"/>
        <w:ind w:left="660" w:right="660" w:firstLine="743"/>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Shah and any other person pursuant to which he was selected as a director. There has been no transaction, nor is there any currently proposed transaction, between Dr. Shah and the Company that would require disclosure under Item 404(a) of Regulation S-K.</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left="660" w:right="660" w:firstLine="740"/>
        <w:spacing w:after="0" w:line="282" w:lineRule="auto"/>
        <w:rPr>
          <w:sz w:val="20"/>
          <w:szCs w:val="20"/>
          <w:color w:val="auto"/>
        </w:rPr>
      </w:pPr>
      <w:r>
        <w:rPr>
          <w:rFonts w:ascii="Times New Roman" w:cs="Times New Roman" w:eastAsia="Times New Roman" w:hAnsi="Times New Roman"/>
          <w:sz w:val="18"/>
          <w:szCs w:val="18"/>
          <w:color w:val="auto"/>
        </w:rPr>
        <w:t>In connection with the appointment of Dr. Shah to the Board, the Company issued a press release on June 12, 2026. A copy of the press release is furnished as Exhibit 99.1 to this Current Report on Form 8-K and incorporated by reference in this Item 7.01.</w:t>
      </w:r>
    </w:p>
    <w:p>
      <w:pPr>
        <w:spacing w:after="0" w:line="13" w:lineRule="exact"/>
        <w:rPr>
          <w:sz w:val="20"/>
          <w:szCs w:val="20"/>
          <w:color w:val="auto"/>
        </w:rPr>
      </w:pPr>
    </w:p>
    <w:p>
      <w:pPr>
        <w:jc w:val="both"/>
        <w:ind w:left="660" w:right="660" w:firstLine="74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19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9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940" w:type="dxa"/>
            <w:vAlign w:val="bottom"/>
          </w:tcPr>
          <w:p>
            <w:pPr>
              <w:jc w:val="right"/>
              <w:ind w:right="719"/>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of BrightSpring Health Services, Inc., dated June 12, 2026.</w:t>
            </w:r>
          </w:p>
        </w:tc>
        <w:tc>
          <w:tcPr>
            <w:tcW w:w="0" w:type="dxa"/>
            <w:vAlign w:val="bottom"/>
          </w:tcPr>
          <w:p>
            <w:pPr>
              <w:spacing w:after="0"/>
              <w:rPr>
                <w:sz w:val="1"/>
                <w:szCs w:val="1"/>
                <w:color w:val="auto"/>
              </w:rPr>
            </w:pPr>
          </w:p>
        </w:tc>
      </w:tr>
      <w:tr>
        <w:trPr>
          <w:trHeight w:val="20"/>
        </w:trPr>
        <w:tc>
          <w:tcPr>
            <w:tcW w:w="1940" w:type="dxa"/>
            <w:vAlign w:val="bottom"/>
            <w:tcBorders>
              <w:right w:val="single" w:sz="8" w:color="0000EE"/>
            </w:tcBorders>
          </w:tcPr>
          <w:p>
            <w:pPr>
              <w:spacing w:after="0" w:line="20" w:lineRule="exact"/>
              <w:rPr>
                <w:sz w:val="1"/>
                <w:szCs w:val="1"/>
                <w:color w:val="auto"/>
              </w:rPr>
            </w:pPr>
          </w:p>
        </w:tc>
        <w:tc>
          <w:tcPr>
            <w:tcW w:w="528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104</w:t>
            </w: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81"/>
        </w:trPr>
        <w:tc>
          <w:tcPr>
            <w:tcW w:w="19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BRIGHTSPRING HEALTH SERVICES,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June 12, 2026</w:t>
      </w:r>
      <w:r>
        <w:rPr>
          <w:sz w:val="20"/>
          <w:szCs w:val="20"/>
          <w:color w:val="auto"/>
        </w:rPr>
        <w:tab/>
      </w:r>
      <w:r>
        <w:rPr>
          <w:rFonts w:ascii="Times New Roman" w:cs="Times New Roman" w:eastAsia="Times New Roman" w:hAnsi="Times New Roman"/>
          <w:sz w:val="18"/>
          <w:szCs w:val="18"/>
          <w:color w:val="auto"/>
        </w:rPr>
        <w:t>By: /s/ Jennifer Phipps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Jennifer Phipps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1911350"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BrightSpring Health Services, Inc. Welcomes Dr. Nigam H. Shah to Board of Directors</w:t>
      </w:r>
    </w:p>
    <w:p>
      <w:pPr>
        <w:spacing w:after="0" w:line="229" w:lineRule="exact"/>
        <w:rPr>
          <w:sz w:val="20"/>
          <w:szCs w:val="20"/>
          <w:color w:val="auto"/>
        </w:rPr>
      </w:pPr>
    </w:p>
    <w:p>
      <w:pPr>
        <w:jc w:val="both"/>
        <w:ind w:left="300" w:right="29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Louisville, Ky., June 12, 2026 </w:t>
      </w:r>
      <w:r>
        <w:rPr>
          <w:rFonts w:ascii="Times New Roman" w:cs="Times New Roman" w:eastAsia="Times New Roman" w:hAnsi="Times New Roman"/>
          <w:sz w:val="20"/>
          <w:szCs w:val="20"/>
          <w:color w:val="auto"/>
        </w:rPr>
        <w:t>— BrightSpring Health Services (“BrightSpring” or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BTSG), a leading provider of home- and community-based pharmacy and health services for complex populations, announced that Dr. Nigam H. Shah was appointed as a Class III member of the Board of Directors on June 11, 2026. Dr. Shah will also serve as a member of the Board’s Quality and Compliance Committee.</w:t>
      </w:r>
    </w:p>
    <w:p>
      <w:pPr>
        <w:spacing w:after="0" w:line="198"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Dr. Shah joined Stanford University as an Assistant Professor of Medicine in 2011, was tenured in 2015, and promoted to Professor of Medicine and Biomedical Data Science in 2020. Dr. Shah currently serves as the Chief Data Scientist at Stanford Healthcare and Associate Dean for Health Information and Data Science. His work focuses on leveraging technology and data insights to improve patient outcomes while bringing artificial intelligence (“AI”) to clinical use, safely, ethically and cost-effectively. He has co-founded three companies and serves on the Boards of Prealize Health and Atropos Health. Dr. Shah is also a co-founder of the Coalition for Health AI (CHAI).</w:t>
      </w:r>
    </w:p>
    <w:p>
      <w:pPr>
        <w:spacing w:after="0" w:line="199"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“We are excited to welcome Dr. Nigam Shah, as a thought leader in information technology and artificial intelligence in healthcare, to our board,” said BrightSpring President and CEO Jon Rousseau. “Nigam has decades of leadership experience in the healthcare field, along with unique insights into how technology and artificial intelligence can drive both clinician and patient success, from the lens of a researcher and business leader. Dr. Shah will be a valued voice as we continue to work to create better solutions for patients and address healthcare challenges and opportunities.”</w:t>
      </w:r>
    </w:p>
    <w:p>
      <w:pPr>
        <w:spacing w:after="0" w:line="198"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“I’m honored to join BrightSpring as a new Board member to help them succeed in their mission to better the lives of patients and improve communities,” said Dr. Nigam Shah. “It has long been my focus to make a difference in healthcare through technology. I believe my years of service in business and as a professor and researcher will bring a unique perspective to further the use of technology and AI for BrightSpring, patients, and other key stakeholders in healthcare.”</w:t>
      </w:r>
    </w:p>
    <w:p>
      <w:pPr>
        <w:spacing w:after="0" w:line="198"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Throughout his career, Dr. Shah has received countless awards and recognitions for his work, including being a Fellow of the Association of American Physicians, a Fellow of the American College of Medical Informatics, a Stanford ISP Star Award, and being inducted into the American Society for Clinical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128270</wp:posOffset>
            </wp:positionV>
            <wp:extent cx="5349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12121"/>
        </w:rPr>
        <w:t># # #</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About BrightSpring Health Services</w:t>
      </w:r>
    </w:p>
    <w:p>
      <w:pPr>
        <w:spacing w:after="0" w:line="220"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BrightSpring Health Services provides complementary home- and community-based health solutions for complex populations in need of specialized and/or chronic care. Through the Company’s service lines, including pharmacy, home health care, and rehabilitation, we provide comprehensive and more integrated care and clinical solutions in all 50 states to over 475,000 customers, clients and patients daily. BrightSpring has consistently demonstrated strong and industry-leading quality metrics across its services lines, while improving the health and quality of life for high-need individuals and reducing overall healthcare system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874395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David Deuchler, CFA</w:t>
      </w:r>
    </w:p>
    <w:p>
      <w:pPr>
        <w:ind w:left="300"/>
        <w:spacing w:after="0"/>
        <w:rPr>
          <w:sz w:val="20"/>
          <w:szCs w:val="20"/>
          <w:color w:val="auto"/>
        </w:rPr>
      </w:pPr>
      <w:r>
        <w:rPr>
          <w:rFonts w:ascii="Times New Roman" w:cs="Times New Roman" w:eastAsia="Times New Roman" w:hAnsi="Times New Roman"/>
          <w:sz w:val="20"/>
          <w:szCs w:val="20"/>
          <w:color w:val="auto"/>
        </w:rPr>
        <w:t>Gilmartin Group LLC</w:t>
      </w:r>
    </w:p>
    <w:p>
      <w:pPr>
        <w:ind w:left="300"/>
        <w:spacing w:after="0"/>
        <w:rPr>
          <w:sz w:val="20"/>
          <w:szCs w:val="20"/>
          <w:color w:val="auto"/>
        </w:rPr>
      </w:pPr>
      <w:r>
        <w:rPr>
          <w:rFonts w:ascii="Times New Roman" w:cs="Times New Roman" w:eastAsia="Times New Roman" w:hAnsi="Times New Roman"/>
          <w:sz w:val="20"/>
          <w:szCs w:val="20"/>
          <w:color w:val="auto"/>
        </w:rPr>
        <w:t>ir@brightspringhealth.com</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Leigh White</w:t>
      </w:r>
    </w:p>
    <w:p>
      <w:pPr>
        <w:ind w:left="300"/>
        <w:spacing w:after="0"/>
        <w:rPr>
          <w:sz w:val="20"/>
          <w:szCs w:val="20"/>
          <w:color w:val="auto"/>
        </w:rPr>
      </w:pPr>
      <w:r>
        <w:rPr>
          <w:rFonts w:ascii="Times New Roman" w:cs="Times New Roman" w:eastAsia="Times New Roman" w:hAnsi="Times New Roman"/>
          <w:sz w:val="19"/>
          <w:szCs w:val="19"/>
          <w:color w:val="auto"/>
        </w:rPr>
        <w:t>leigh.white@brightspringhealth.com</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502.630.7412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1307465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283210</wp:posOffset>
            </wp:positionV>
            <wp:extent cx="5349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2026-06-12T15:12:26Z</dcterms:created>
  <dcterms:modified xsi:type="dcterms:W3CDTF">2026-06-12T15:12:26Z</dcterms:modified>
</cp:coreProperties>
</file>