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0002075158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283"/>
              <w:jc w:val="left"/>
              <w:rPr/>
            </w:pPr>
            <w:r>
              <w:rPr/>
              <w:t>Name of Issuer</w:t>
            </w:r>
          </w:p>
        </w:tc>
        <w:tc>
          <w:tcPr>
            <w:tcW w:w="4406" w:type="dxa"/>
            <w:tcBorders/>
            <w:vAlign w:val="center"/>
          </w:tcPr>
          <w:p>
            <w:pPr>
              <w:pStyle w:val="TableContents"/>
              <w:bidi w:val="0"/>
              <w:spacing w:before="0" w:after="0"/>
              <w:jc w:val="left"/>
              <w:rPr/>
            </w:pPr>
            <w:r>
              <w:rPr/>
              <w:t>BrightSpring Health Services, Inc.</w:t>
            </w:r>
          </w:p>
        </w:tc>
      </w:tr>
      <w:tr>
        <w:trPr/>
        <w:tc>
          <w:tcPr>
            <w:tcW w:w="5799" w:type="dxa"/>
            <w:tcBorders/>
            <w:vAlign w:val="center"/>
          </w:tcPr>
          <w:p>
            <w:pPr>
              <w:pStyle w:val="TableContents"/>
              <w:bidi w:val="0"/>
              <w:spacing w:before="0" w:after="283"/>
              <w:jc w:val="left"/>
              <w:rPr/>
            </w:pPr>
            <w:r>
              <w:rPr/>
              <w:t>SEC File Number</w:t>
            </w:r>
          </w:p>
        </w:tc>
        <w:tc>
          <w:tcPr>
            <w:tcW w:w="4406" w:type="dxa"/>
            <w:tcBorders/>
            <w:vAlign w:val="center"/>
          </w:tcPr>
          <w:p>
            <w:pPr>
              <w:pStyle w:val="TableContents"/>
              <w:bidi w:val="0"/>
              <w:spacing w:before="0" w:after="0"/>
              <w:jc w:val="left"/>
              <w:rPr/>
            </w:pPr>
            <w:r>
              <w:rPr/>
              <w:t>001-41938</w:t>
            </w:r>
          </w:p>
        </w:tc>
      </w:tr>
      <w:tr>
        <w:trPr/>
        <w:tc>
          <w:tcPr>
            <w:tcW w:w="5799" w:type="dxa"/>
            <w:tcBorders/>
            <w:vAlign w:val="center"/>
          </w:tcPr>
          <w:p>
            <w:pPr>
              <w:pStyle w:val="TableContents"/>
              <w:bidi w:val="0"/>
              <w:spacing w:before="0" w:after="283"/>
              <w:jc w:val="left"/>
              <w:rPr/>
            </w:pPr>
            <w:r>
              <w:rPr/>
              <w:t>Address of Issuer</w:t>
            </w:r>
          </w:p>
        </w:tc>
        <w:tc>
          <w:tcPr>
            <w:tcW w:w="4406" w:type="dxa"/>
            <w:tcBorders/>
            <w:vAlign w:val="center"/>
          </w:tcPr>
          <w:p>
            <w:pPr>
              <w:pStyle w:val="TableContents"/>
              <w:bidi w:val="0"/>
              <w:spacing w:before="0" w:after="0"/>
              <w:jc w:val="left"/>
              <w:rPr/>
            </w:pPr>
            <w:r>
              <w:rPr/>
              <w:t>805 N. WHITTINGTON PARKWAY</w:t>
              <w:br/>
              <w:t>LOUISVILLE</w:t>
              <w:br/>
              <w:t xml:space="preserve">KENTUCKY </w:t>
              <w:br/>
              <w:t>40222</w:t>
            </w:r>
          </w:p>
        </w:tc>
      </w:tr>
      <w:tr>
        <w:trPr/>
        <w:tc>
          <w:tcPr>
            <w:tcW w:w="5799" w:type="dxa"/>
            <w:tcBorders/>
            <w:vAlign w:val="center"/>
          </w:tcPr>
          <w:p>
            <w:pPr>
              <w:pStyle w:val="TableContents"/>
              <w:bidi w:val="0"/>
              <w:spacing w:before="0" w:after="283"/>
              <w:jc w:val="left"/>
              <w:rPr/>
            </w:pPr>
            <w:r>
              <w:rPr/>
              <w:t>Phone</w:t>
            </w:r>
          </w:p>
        </w:tc>
        <w:tc>
          <w:tcPr>
            <w:tcW w:w="4406" w:type="dxa"/>
            <w:tcBorders/>
            <w:vAlign w:val="center"/>
          </w:tcPr>
          <w:p>
            <w:pPr>
              <w:pStyle w:val="TableContents"/>
              <w:bidi w:val="0"/>
              <w:spacing w:before="0" w:after="0"/>
              <w:jc w:val="left"/>
              <w:rPr/>
            </w:pPr>
            <w:r>
              <w:rPr/>
              <w:t>502-394-2100</w:t>
            </w:r>
          </w:p>
        </w:tc>
      </w:tr>
      <w:tr>
        <w:trPr/>
        <w:tc>
          <w:tcPr>
            <w:tcW w:w="5799" w:type="dxa"/>
            <w:tcBorders/>
            <w:vAlign w:val="center"/>
          </w:tcPr>
          <w:p>
            <w:pPr>
              <w:pStyle w:val="TableContents"/>
              <w:bidi w:val="0"/>
              <w:spacing w:before="0" w:after="283"/>
              <w:jc w:val="left"/>
              <w:rPr/>
            </w:pPr>
            <w:r>
              <w:rPr/>
              <w:t>Name of Person for Whose Account the Securities are To Be Sold</w:t>
            </w:r>
          </w:p>
        </w:tc>
        <w:tc>
          <w:tcPr>
            <w:tcW w:w="4406" w:type="dxa"/>
            <w:tcBorders/>
            <w:vAlign w:val="center"/>
          </w:tcPr>
          <w:p>
            <w:pPr>
              <w:pStyle w:val="TableContents"/>
              <w:bidi w:val="0"/>
              <w:spacing w:before="0" w:after="0"/>
              <w:jc w:val="left"/>
              <w:rPr/>
            </w:pPr>
            <w:r>
              <w:rPr/>
              <w:t>Greenwell Scott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9" w:type="dxa"/>
            <w:tcBorders/>
            <w:vAlign w:val="center"/>
          </w:tcPr>
          <w:p>
            <w:pPr>
              <w:pStyle w:val="TableContents"/>
              <w:bidi w:val="0"/>
              <w:spacing w:before="0" w:after="283"/>
              <w:jc w:val="left"/>
              <w:rPr/>
            </w:pPr>
            <w:r>
              <w:rPr/>
              <w:t>Relationship to Issuer</w:t>
            </w:r>
          </w:p>
        </w:tc>
        <w:tc>
          <w:tcPr>
            <w:tcW w:w="44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15099</w:t>
            </w:r>
          </w:p>
        </w:tc>
        <w:tc>
          <w:tcPr>
            <w:tcW w:w="1377" w:type="dxa"/>
            <w:tcBorders/>
            <w:vAlign w:val="center"/>
          </w:tcPr>
          <w:p>
            <w:pPr>
              <w:pStyle w:val="TableContents"/>
              <w:bidi w:val="0"/>
              <w:spacing w:before="0" w:after="283"/>
              <w:jc w:val="left"/>
              <w:rPr/>
            </w:pPr>
            <w:r>
              <w:rPr/>
              <w:t>874383.09</w:t>
            </w:r>
          </w:p>
        </w:tc>
        <w:tc>
          <w:tcPr>
            <w:tcW w:w="1552" w:type="dxa"/>
            <w:tcBorders/>
            <w:vAlign w:val="center"/>
          </w:tcPr>
          <w:p>
            <w:pPr>
              <w:pStyle w:val="TableContents"/>
              <w:bidi w:val="0"/>
              <w:spacing w:before="0" w:after="283"/>
              <w:jc w:val="left"/>
              <w:rPr/>
            </w:pPr>
            <w:r>
              <w:rPr/>
              <w:t>197864241</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3126</w:t>
            </w:r>
          </w:p>
        </w:tc>
        <w:tc>
          <w:tcPr>
            <w:tcW w:w="1046" w:type="dxa"/>
            <w:tcBorders/>
            <w:vAlign w:val="center"/>
          </w:tcPr>
          <w:p>
            <w:pPr>
              <w:pStyle w:val="TableContents"/>
              <w:bidi w:val="0"/>
              <w:spacing w:before="0" w:after="283"/>
              <w:jc w:val="left"/>
              <w:rPr/>
            </w:pPr>
            <w:r>
              <w:rPr/>
              <w:t>06/20/2026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09/14/2026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11973</w:t>
            </w:r>
          </w:p>
        </w:tc>
        <w:tc>
          <w:tcPr>
            <w:tcW w:w="1046" w:type="dxa"/>
            <w:tcBorders/>
            <w:vAlign w:val="center"/>
          </w:tcPr>
          <w:p>
            <w:pPr>
              <w:pStyle w:val="TableContents"/>
              <w:bidi w:val="0"/>
              <w:spacing w:before="0" w:after="283"/>
              <w:jc w:val="left"/>
              <w:rPr/>
            </w:pPr>
            <w:r>
              <w:rPr/>
              <w:t>09/14/2026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09/14/2026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 Tyler Johnson, as a duly authorized representative of Fidelity Brokerage Services LLC, as attorney-in-fact for Scott Greenwell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3136</Characters>
  <CharactersWithSpaces>3682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