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 Filed Pursuant to Rule 424(b)(7)</w:t>
      </w:r>
    </w:p>
    <w:p>
      <w:pPr>
        <w:spacing w:after="0" w:line="27" w:lineRule="exact"/>
        <w:rPr>
          <w:sz w:val="24"/>
          <w:szCs w:val="24"/>
          <w:color w:val="auto"/>
        </w:rPr>
      </w:pPr>
    </w:p>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 Registration No. 333-287916</w:t>
      </w:r>
    </w:p>
    <w:p>
      <w:pPr>
        <w:spacing w:after="0" w:line="307"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7"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(To Prospectus dated June 10, 2025)</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14,999,771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1966595</wp:posOffset>
            </wp:positionH>
            <wp:positionV relativeFrom="paragraph">
              <wp:posOffset>45720</wp:posOffset>
            </wp:positionV>
            <wp:extent cx="1793240" cy="340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3240" cy="340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BrightSpring Health Services, Inc.</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78" w:lineRule="exact"/>
        <w:rPr>
          <w:sz w:val="24"/>
          <w:szCs w:val="24"/>
          <w:color w:val="auto"/>
        </w:rPr>
      </w:pPr>
    </w:p>
    <w:p>
      <w:pPr>
        <w:jc w:val="both"/>
        <w:ind w:left="900" w:right="899" w:firstLine="516"/>
        <w:spacing w:after="0" w:line="265" w:lineRule="auto"/>
        <w:rPr>
          <w:sz w:val="20"/>
          <w:szCs w:val="20"/>
          <w:color w:val="auto"/>
        </w:rPr>
      </w:pPr>
      <w:r>
        <w:rPr>
          <w:rFonts w:ascii="Times New Roman" w:cs="Times New Roman" w:eastAsia="Times New Roman" w:hAnsi="Times New Roman"/>
          <w:sz w:val="14"/>
          <w:szCs w:val="14"/>
          <w:color w:val="auto"/>
        </w:rPr>
        <w:t>The selling stockholders named in this prospectus supplement, including KKR Phoenix Aggregator L.P., or the KKR Stockholder, and certain members of management, are offering an aggregate of 14,999,771 shares of common stock of BrightSpring Health Services, Inc. We will not receive any proceeds from the sale of our common stock by the selling stockholders other than proceeds received in connection with the cash exercise of stock options by the management selling stockholders in connection with the offering.</w:t>
      </w:r>
    </w:p>
    <w:p>
      <w:pPr>
        <w:spacing w:after="0" w:line="24" w:lineRule="exact"/>
        <w:rPr>
          <w:sz w:val="24"/>
          <w:szCs w:val="24"/>
          <w:color w:val="auto"/>
        </w:rPr>
      </w:pPr>
    </w:p>
    <w:p>
      <w:pPr>
        <w:jc w:val="both"/>
        <w:ind w:left="900" w:right="919" w:firstLine="516"/>
        <w:spacing w:after="0" w:line="292" w:lineRule="auto"/>
        <w:rPr>
          <w:sz w:val="20"/>
          <w:szCs w:val="20"/>
          <w:color w:val="auto"/>
        </w:rPr>
      </w:pPr>
      <w:r>
        <w:rPr>
          <w:rFonts w:ascii="Times New Roman" w:cs="Times New Roman" w:eastAsia="Times New Roman" w:hAnsi="Times New Roman"/>
          <w:sz w:val="14"/>
          <w:szCs w:val="14"/>
          <w:color w:val="auto"/>
        </w:rPr>
        <w:t>Our common stock is listed on the Nasdaq Global Market, or Nasdaq, under the symbol “BTSG.” On June 4, 2026, the closing sales price of our common stock as reported on Nasdaq was $57.40 per share.</w:t>
      </w:r>
    </w:p>
    <w:p>
      <w:pPr>
        <w:spacing w:after="0" w:line="6" w:lineRule="exact"/>
        <w:rPr>
          <w:sz w:val="24"/>
          <w:szCs w:val="24"/>
          <w:color w:val="auto"/>
        </w:rPr>
      </w:pPr>
    </w:p>
    <w:p>
      <w:pPr>
        <w:jc w:val="both"/>
        <w:ind w:left="900" w:right="899" w:firstLine="516"/>
        <w:spacing w:after="0" w:line="261" w:lineRule="auto"/>
        <w:rPr>
          <w:sz w:val="20"/>
          <w:szCs w:val="20"/>
          <w:color w:val="auto"/>
        </w:rPr>
      </w:pPr>
      <w:r>
        <w:rPr>
          <w:rFonts w:ascii="Times New Roman" w:cs="Times New Roman" w:eastAsia="Times New Roman" w:hAnsi="Times New Roman"/>
          <w:sz w:val="14"/>
          <w:szCs w:val="14"/>
          <w:color w:val="auto"/>
        </w:rPr>
        <w:t>Subject to the completion of this offering, we intend to concurrently purchase from the underwriter, out of the aggregate of 14,999,771 shares of our common stock that are the subject of this offering, 1,026,465 shares of common stock. The price per share to be paid by us will equal the price at which the underwriter will purchase the shares from the selling stockholders in this offering. We refer to this repurchase of shares by us as the “Repurchase.” The underwriter will not receive any compensation for the shares of common stock being repurchased by us. The offering is not conditioned upon the completion of the Repurchase. Nothing in this prospectus supplement should be construed as an offer to sell, or the solicitation of an offer to buy, any shares of our common stock subject to the Repurchase. See “</w:t>
      </w:r>
      <w:r>
        <w:rPr>
          <w:rFonts w:ascii="Times New Roman" w:cs="Times New Roman" w:eastAsia="Times New Roman" w:hAnsi="Times New Roman"/>
          <w:sz w:val="14"/>
          <w:szCs w:val="14"/>
          <w:i w:val="1"/>
          <w:iCs w:val="1"/>
          <w:color w:val="auto"/>
        </w:rPr>
        <w:t>Recent Developments—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Concurrent Stock Repurchase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 Repurchase</w:t>
      </w:r>
      <w:r>
        <w:rPr>
          <w:rFonts w:ascii="Times New Roman" w:cs="Times New Roman" w:eastAsia="Times New Roman" w:hAnsi="Times New Roman"/>
          <w:sz w:val="14"/>
          <w:szCs w:val="14"/>
          <w:color w:val="auto"/>
        </w:rPr>
        <w:t>.”</w:t>
      </w:r>
    </w:p>
    <w:p>
      <w:pPr>
        <w:spacing w:after="0" w:line="34" w:lineRule="exact"/>
        <w:rPr>
          <w:sz w:val="24"/>
          <w:szCs w:val="24"/>
          <w:color w:val="auto"/>
        </w:rPr>
      </w:pPr>
    </w:p>
    <w:p>
      <w:pPr>
        <w:jc w:val="both"/>
        <w:ind w:left="900" w:right="899" w:firstLine="516"/>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Investing in our common stock involves risk. See “Risk Factors” beginning on page </w:t>
      </w:r>
      <w:r>
        <w:rPr>
          <w:rFonts w:ascii="Times New Roman" w:cs="Times New Roman" w:eastAsia="Times New Roman" w:hAnsi="Times New Roman"/>
          <w:sz w:val="14"/>
          <w:szCs w:val="14"/>
          <w:b w:val="1"/>
          <w:bCs w:val="1"/>
          <w:i w:val="1"/>
          <w:iCs w:val="1"/>
          <w:u w:val="single" w:color="auto"/>
          <w:color w:val="0000FF"/>
        </w:rPr>
        <w:t>S-9</w:t>
      </w:r>
      <w:r>
        <w:rPr>
          <w:rFonts w:ascii="Times New Roman" w:cs="Times New Roman" w:eastAsia="Times New Roman" w:hAnsi="Times New Roman"/>
          <w:sz w:val="14"/>
          <w:szCs w:val="14"/>
          <w:b w:val="1"/>
          <w:bCs w:val="1"/>
          <w:i w:val="1"/>
          <w:iCs w:val="1"/>
          <w:color w:val="auto"/>
        </w:rPr>
        <w:t xml:space="preserve"> of this prospectus supplement and in the reports we file with the Securities and Exchange Commission, or the SEC, pursuant to the Securities Exchange Act of 1934, as amended, or the Exchange Act, incorporated by reference in this prospectus supplement or the accompanying prospectus, to read about factors you should consider before buying shares of our common stock.</w:t>
      </w:r>
    </w:p>
    <w:p>
      <w:pPr>
        <w:spacing w:after="0" w:line="196" w:lineRule="exact"/>
        <w:rPr>
          <w:sz w:val="24"/>
          <w:szCs w:val="24"/>
          <w:color w:val="auto"/>
        </w:rPr>
      </w:pPr>
    </w:p>
    <w:p>
      <w:pPr>
        <w:jc w:val="both"/>
        <w:ind w:left="900" w:right="919" w:firstLine="516"/>
        <w:spacing w:after="0" w:line="263"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 w:lineRule="exact"/>
        <w:rPr>
          <w:sz w:val="24"/>
          <w:szCs w:val="24"/>
          <w:color w:val="auto"/>
        </w:rPr>
      </w:pPr>
    </w:p>
    <w:tbl>
      <w:tblPr>
        <w:tblLayout w:type="fixed"/>
        <w:tblInd w:w="900" w:type="dxa"/>
        <w:tblCellMar>
          <w:top w:w="0" w:type="dxa"/>
          <w:left w:w="0" w:type="dxa"/>
          <w:bottom w:w="0" w:type="dxa"/>
          <w:right w:w="0" w:type="dxa"/>
        </w:tblCellMar>
      </w:tblPr>
      <w:tr>
        <w:trPr>
          <w:trHeight w:val="150"/>
        </w:trPr>
        <w:tc>
          <w:tcPr>
            <w:tcW w:w="444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89"/>
        </w:trPr>
        <w:tc>
          <w:tcPr>
            <w:tcW w:w="4440" w:type="dxa"/>
            <w:vAlign w:val="bottom"/>
          </w:tcPr>
          <w:p>
            <w:pPr>
              <w:spacing w:after="0" w:line="89" w:lineRule="exact"/>
              <w:rPr>
                <w:sz w:val="20"/>
                <w:szCs w:val="20"/>
                <w:color w:val="auto"/>
              </w:rPr>
            </w:pPr>
            <w:r>
              <w:rPr>
                <w:rFonts w:ascii="Times New Roman" w:cs="Times New Roman" w:eastAsia="Times New Roman" w:hAnsi="Times New Roman"/>
                <w:sz w:val="10"/>
                <w:szCs w:val="10"/>
                <w:color w:val="auto"/>
              </w:rPr>
              <w:t>Public offering price</w:t>
            </w:r>
          </w:p>
        </w:tc>
        <w:tc>
          <w:tcPr>
            <w:tcW w:w="820" w:type="dxa"/>
            <w:vAlign w:val="bottom"/>
          </w:tcPr>
          <w:p>
            <w:pPr>
              <w:jc w:val="right"/>
              <w:ind w:right="749"/>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58.75</w:t>
            </w:r>
          </w:p>
        </w:tc>
        <w:tc>
          <w:tcPr>
            <w:tcW w:w="140" w:type="dxa"/>
            <w:vAlign w:val="bottom"/>
          </w:tcPr>
          <w:p>
            <w:pPr>
              <w:spacing w:after="0"/>
              <w:rPr>
                <w:sz w:val="7"/>
                <w:szCs w:val="7"/>
                <w:color w:val="auto"/>
              </w:rPr>
            </w:pPr>
          </w:p>
        </w:tc>
        <w:tc>
          <w:tcPr>
            <w:tcW w:w="260" w:type="dxa"/>
            <w:vAlign w:val="bottom"/>
          </w:tcPr>
          <w:p>
            <w:pPr>
              <w:jc w:val="right"/>
              <w:ind w:right="197"/>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880,931,686.15</w:t>
            </w: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44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Underwriting discounts and commissions</w:t>
            </w:r>
            <w:r>
              <w:rPr>
                <w:rFonts w:ascii="Times New Roman" w:cs="Times New Roman" w:eastAsia="Times New Roman" w:hAnsi="Times New Roman"/>
                <w:sz w:val="15"/>
                <w:szCs w:val="15"/>
                <w:color w:val="auto"/>
                <w:vertAlign w:val="superscript"/>
              </w:rPr>
              <w:t>(1)</w:t>
            </w:r>
          </w:p>
        </w:tc>
        <w:tc>
          <w:tcPr>
            <w:tcW w:w="820" w:type="dxa"/>
            <w:vAlign w:val="bottom"/>
          </w:tcPr>
          <w:p>
            <w:pPr>
              <w:jc w:val="right"/>
              <w:ind w:right="749"/>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0.297</w:t>
            </w:r>
          </w:p>
        </w:tc>
        <w:tc>
          <w:tcPr>
            <w:tcW w:w="400" w:type="dxa"/>
            <w:vAlign w:val="bottom"/>
            <w:gridSpan w:val="2"/>
          </w:tcPr>
          <w:p>
            <w:pPr>
              <w:jc w:val="right"/>
              <w:ind w:right="197"/>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4,150,071.88</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20"/>
                <w:szCs w:val="20"/>
                <w:color w:val="auto"/>
              </w:rPr>
            </w:pPr>
            <w:r>
              <w:rPr>
                <w:rFonts w:ascii="Times New Roman" w:cs="Times New Roman" w:eastAsia="Times New Roman" w:hAnsi="Times New Roman"/>
                <w:sz w:val="11"/>
                <w:szCs w:val="11"/>
                <w:color w:val="auto"/>
              </w:rPr>
              <w:t>Proceeds, before expenses, to the selling stockholders</w:t>
            </w:r>
          </w:p>
        </w:tc>
        <w:tc>
          <w:tcPr>
            <w:tcW w:w="820" w:type="dxa"/>
            <w:vAlign w:val="bottom"/>
          </w:tcPr>
          <w:p>
            <w:pPr>
              <w:jc w:val="right"/>
              <w:ind w:right="749"/>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58.453</w:t>
            </w:r>
          </w:p>
        </w:tc>
        <w:tc>
          <w:tcPr>
            <w:tcW w:w="400" w:type="dxa"/>
            <w:vAlign w:val="bottom"/>
            <w:gridSpan w:val="2"/>
          </w:tcPr>
          <w:p>
            <w:pPr>
              <w:jc w:val="right"/>
              <w:ind w:right="197"/>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876,781,614.26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37" w:lineRule="exact"/>
        <w:rPr>
          <w:sz w:val="24"/>
          <w:szCs w:val="24"/>
          <w:color w:val="auto"/>
        </w:rPr>
      </w:pPr>
    </w:p>
    <w:p>
      <w:pPr>
        <w:ind w:left="1180" w:hanging="284"/>
        <w:spacing w:after="0"/>
        <w:tabs>
          <w:tab w:leader="none" w:pos="118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w:t>
      </w:r>
      <w:r>
        <w:rPr>
          <w:rFonts w:ascii="Times New Roman" w:cs="Times New Roman" w:eastAsia="Times New Roman" w:hAnsi="Times New Roman"/>
          <w:sz w:val="11"/>
          <w:szCs w:val="11"/>
          <w:i w:val="1"/>
          <w:iCs w:val="1"/>
          <w:color w:val="auto"/>
        </w:rPr>
        <w:t>Underwriting</w:t>
      </w:r>
      <w:r>
        <w:rPr>
          <w:rFonts w:ascii="Times New Roman" w:cs="Times New Roman" w:eastAsia="Times New Roman" w:hAnsi="Times New Roman"/>
          <w:sz w:val="11"/>
          <w:szCs w:val="11"/>
          <w:color w:val="auto"/>
        </w:rPr>
        <w:t xml:space="preserve">” on page </w:t>
      </w:r>
      <w:r>
        <w:rPr>
          <w:rFonts w:ascii="Times New Roman" w:cs="Times New Roman" w:eastAsia="Times New Roman" w:hAnsi="Times New Roman"/>
          <w:sz w:val="11"/>
          <w:szCs w:val="11"/>
          <w:u w:val="single" w:color="auto"/>
          <w:color w:val="0000FF"/>
        </w:rPr>
        <w:t>S-24</w:t>
      </w:r>
      <w:r>
        <w:rPr>
          <w:rFonts w:ascii="Times New Roman" w:cs="Times New Roman" w:eastAsia="Times New Roman" w:hAnsi="Times New Roman"/>
          <w:sz w:val="11"/>
          <w:szCs w:val="11"/>
          <w:color w:val="auto"/>
        </w:rPr>
        <w:t xml:space="preserve"> for additional information regarding underwriting compensation.</w:t>
      </w:r>
    </w:p>
    <w:p>
      <w:pPr>
        <w:spacing w:after="0" w:line="47" w:lineRule="exact"/>
        <w:rPr>
          <w:rFonts w:ascii="Times New Roman" w:cs="Times New Roman" w:eastAsia="Times New Roman" w:hAnsi="Times New Roman"/>
          <w:sz w:val="11"/>
          <w:szCs w:val="11"/>
          <w:color w:val="auto"/>
        </w:rPr>
      </w:pPr>
    </w:p>
    <w:p>
      <w:pPr>
        <w:ind w:left="1180" w:hanging="284"/>
        <w:spacing w:after="0"/>
        <w:tabs>
          <w:tab w:leader="none" w:pos="118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that the shares of common stock purchased by us in the Repurchase will be sold at $58.453 per share.</w:t>
      </w:r>
    </w:p>
    <w:p>
      <w:pPr>
        <w:spacing w:after="0" w:line="45" w:lineRule="exact"/>
        <w:rPr>
          <w:rFonts w:ascii="Times New Roman" w:cs="Times New Roman" w:eastAsia="Times New Roman" w:hAnsi="Times New Roman"/>
          <w:sz w:val="11"/>
          <w:szCs w:val="11"/>
          <w:color w:val="auto"/>
        </w:rPr>
      </w:pPr>
    </w:p>
    <w:p>
      <w:pPr>
        <w:ind w:left="1180" w:hanging="284"/>
        <w:spacing w:after="0"/>
        <w:tabs>
          <w:tab w:leader="none" w:pos="118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that no discount will be paid to the underwriter on shares of common stock purchased by us in the Repurchase.</w:t>
      </w:r>
    </w:p>
    <w:p>
      <w:pPr>
        <w:spacing w:after="0" w:line="80"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underwriter expects to deliver the shares against payment in New York, New York on or about June 5, 2026.</w:t>
      </w:r>
    </w:p>
    <w:p>
      <w:pPr>
        <w:spacing w:after="0" w:line="6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Goldman Sachs &amp; Co. LLC</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Supplement dated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666115</wp:posOffset>
            </wp:positionV>
            <wp:extent cx="56038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126365</wp:posOffset>
            </wp:positionV>
            <wp:extent cx="45827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82795" cy="6985"/>
                    </a:xfrm>
                    <a:prstGeom prst="rect">
                      <a:avLst/>
                    </a:prstGeom>
                    <a:noFill/>
                  </pic:spPr>
                </pic:pic>
              </a:graphicData>
            </a:graphic>
          </wp:anchor>
        </w:drawing>
      </w:r>
    </w:p>
    <w:p>
      <w:pPr>
        <w:sectPr>
          <w:pgSz w:w="11900" w:h="16838" w:orient="portrait"/>
          <w:cols w:equalWidth="0" w:num="1">
            <w:col w:w="9019"/>
          </w:cols>
          <w:pgMar w:left="1440" w:top="209" w:right="1440" w:bottom="1440" w:gutter="0" w:footer="0" w:header="0"/>
        </w:sectPr>
      </w:pPr>
    </w:p>
    <w:bookmarkStart w:id="1" w:name="page2"/>
    <w:bookmarkEnd w:id="1"/>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1040" w:type="dxa"/>
            <w:vAlign w:val="bottom"/>
          </w:tcPr>
          <w:p>
            <w:pPr>
              <w:spacing w:after="0"/>
              <w:rPr>
                <w:sz w:val="24"/>
                <w:szCs w:val="24"/>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202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color w:val="0000FF"/>
              </w:rPr>
              <w:t>About This Prospectus Supplement</w:t>
            </w:r>
          </w:p>
        </w:tc>
        <w:tc>
          <w:tcPr>
            <w:tcW w:w="4220" w:type="dxa"/>
            <w:vAlign w:val="bottom"/>
            <w:gridSpan w:val="8"/>
            <w:vMerge w:val="restart"/>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2020" w:type="dxa"/>
            <w:vAlign w:val="bottom"/>
            <w:tcBorders>
              <w:bottom w:val="single" w:sz="8" w:color="0000FF"/>
            </w:tcBorders>
            <w:gridSpan w:val="14"/>
            <w:vMerge w:val="continue"/>
          </w:tcPr>
          <w:p>
            <w:pPr>
              <w:spacing w:after="0"/>
              <w:rPr>
                <w:sz w:val="11"/>
                <w:szCs w:val="11"/>
                <w:color w:val="auto"/>
              </w:rPr>
            </w:pPr>
          </w:p>
        </w:tc>
        <w:tc>
          <w:tcPr>
            <w:tcW w:w="4220" w:type="dxa"/>
            <w:vAlign w:val="bottom"/>
            <w:gridSpan w:val="8"/>
            <w:vMerge w:val="continue"/>
          </w:tcPr>
          <w:p>
            <w:pPr>
              <w:spacing w:after="0"/>
              <w:rPr>
                <w:sz w:val="11"/>
                <w:szCs w:val="11"/>
                <w:color w:val="auto"/>
              </w:rPr>
            </w:pPr>
          </w:p>
        </w:tc>
        <w:tc>
          <w:tcPr>
            <w:tcW w:w="4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S-1</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624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Market, Ranking and Other Industry Data</w:t>
            </w: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40" w:type="dxa"/>
            <w:vAlign w:val="bottom"/>
          </w:tcPr>
          <w:p>
            <w:pPr>
              <w:spacing w:after="0"/>
              <w:rPr>
                <w:sz w:val="13"/>
                <w:szCs w:val="13"/>
                <w:color w:val="auto"/>
              </w:rPr>
            </w:pPr>
          </w:p>
        </w:tc>
        <w:tc>
          <w:tcPr>
            <w:tcW w:w="2560" w:type="dxa"/>
            <w:vAlign w:val="bottom"/>
            <w:tcBorders>
              <w:bottom w:val="single" w:sz="8" w:color="0000FF"/>
            </w:tcBorders>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Trademarks, Service Marks and Tradenames</w:t>
            </w:r>
          </w:p>
        </w:tc>
        <w:tc>
          <w:tcPr>
            <w:tcW w:w="3680" w:type="dxa"/>
            <w:vAlign w:val="bottom"/>
            <w:gridSpan w:val="4"/>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S-2</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624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Basis of Presentation</w:t>
            </w: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40" w:type="dxa"/>
            <w:vAlign w:val="bottom"/>
          </w:tcPr>
          <w:p>
            <w:pPr>
              <w:spacing w:after="0"/>
              <w:rPr>
                <w:sz w:val="13"/>
                <w:szCs w:val="13"/>
                <w:color w:val="auto"/>
              </w:rPr>
            </w:pPr>
          </w:p>
        </w:tc>
        <w:tc>
          <w:tcPr>
            <w:tcW w:w="1840" w:type="dxa"/>
            <w:vAlign w:val="bottom"/>
            <w:tcBorders>
              <w:bottom w:val="single" w:sz="8" w:color="0000FF"/>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Non-GAAP Financial Measures</w:t>
            </w:r>
          </w:p>
        </w:tc>
        <w:tc>
          <w:tcPr>
            <w:tcW w:w="4400" w:type="dxa"/>
            <w:vAlign w:val="bottom"/>
            <w:gridSpan w:val="10"/>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S-4</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624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Prospectus Supplement Summary</w:t>
            </w: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S-5</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920" w:type="dxa"/>
            <w:vAlign w:val="bottom"/>
            <w:tcBorders>
              <w:top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The Offering</w:t>
            </w:r>
          </w:p>
        </w:tc>
        <w:tc>
          <w:tcPr>
            <w:tcW w:w="4320" w:type="dxa"/>
            <w:vAlign w:val="bottom"/>
            <w:gridSpan w:val="9"/>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S-7</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4"/>
                <w:szCs w:val="14"/>
                <w:color w:val="0000FF"/>
                <w:w w:val="99"/>
              </w:rPr>
              <w:t>Risk Factors</w:t>
            </w:r>
          </w:p>
        </w:tc>
        <w:tc>
          <w:tcPr>
            <w:tcW w:w="20" w:type="dxa"/>
            <w:vAlign w:val="bottom"/>
            <w:tcBorders>
              <w:top w:val="single" w:sz="8" w:color="0000FF"/>
            </w:tcBorders>
          </w:tcPr>
          <w:p>
            <w:pPr>
              <w:spacing w:after="0"/>
              <w:rPr>
                <w:sz w:val="13"/>
                <w:szCs w:val="13"/>
                <w:color w:val="auto"/>
              </w:rPr>
            </w:pPr>
          </w:p>
        </w:tc>
        <w:tc>
          <w:tcPr>
            <w:tcW w:w="5500" w:type="dxa"/>
            <w:vAlign w:val="bottom"/>
            <w:gridSpan w:val="19"/>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S-9</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920" w:type="dxa"/>
            <w:vAlign w:val="bottom"/>
            <w:tcBorders>
              <w:bottom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FF"/>
                <w:w w:val="99"/>
              </w:rPr>
              <w:t>The Repurchase</w:t>
            </w:r>
          </w:p>
        </w:tc>
        <w:tc>
          <w:tcPr>
            <w:tcW w:w="5320" w:type="dxa"/>
            <w:vAlign w:val="bottom"/>
            <w:gridSpan w:val="16"/>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3080" w:type="dxa"/>
            <w:vAlign w:val="bottom"/>
            <w:tcBorders>
              <w:bottom w:val="single" w:sz="8" w:color="0000FF"/>
            </w:tcBorders>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3160" w:type="dxa"/>
            <w:vAlign w:val="bottom"/>
            <w:gridSpan w:val="3"/>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S-15</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624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Use of Proceeds</w:t>
            </w: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S-18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40" w:type="dxa"/>
            <w:vAlign w:val="bottom"/>
          </w:tcPr>
          <w:p>
            <w:pPr>
              <w:spacing w:after="0"/>
              <w:rPr>
                <w:sz w:val="13"/>
                <w:szCs w:val="13"/>
                <w:color w:val="auto"/>
              </w:rPr>
            </w:pPr>
          </w:p>
        </w:tc>
        <w:tc>
          <w:tcPr>
            <w:tcW w:w="940" w:type="dxa"/>
            <w:vAlign w:val="bottom"/>
            <w:tcBorders>
              <w:bottom w:val="single" w:sz="8" w:color="0000FF"/>
            </w:tcBorders>
            <w:gridSpan w:val="7"/>
          </w:tcPr>
          <w:p>
            <w:pPr>
              <w:spacing w:after="0" w:line="152" w:lineRule="exact"/>
              <w:rPr>
                <w:sz w:val="20"/>
                <w:szCs w:val="20"/>
                <w:color w:val="auto"/>
              </w:rPr>
            </w:pPr>
            <w:r>
              <w:rPr>
                <w:rFonts w:ascii="Times New Roman" w:cs="Times New Roman" w:eastAsia="Times New Roman" w:hAnsi="Times New Roman"/>
                <w:sz w:val="14"/>
                <w:szCs w:val="14"/>
                <w:color w:val="0000FF"/>
              </w:rPr>
              <w:t>Dividend Policy</w:t>
            </w:r>
          </w:p>
        </w:tc>
        <w:tc>
          <w:tcPr>
            <w:tcW w:w="5300" w:type="dxa"/>
            <w:vAlign w:val="bottom"/>
            <w:gridSpan w:val="15"/>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S-18</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200" w:type="dxa"/>
            <w:vAlign w:val="bottom"/>
            <w:tcBorders>
              <w:bottom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FF"/>
                <w:w w:val="99"/>
              </w:rPr>
              <w:t>Selling Stockholders</w:t>
            </w:r>
          </w:p>
        </w:tc>
        <w:tc>
          <w:tcPr>
            <w:tcW w:w="5040" w:type="dxa"/>
            <w:vAlign w:val="bottom"/>
            <w:gridSpan w:val="13"/>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S-19</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624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Certain United States Federal Income Tax Consequences to Non-U.S. Holders</w:t>
            </w: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4480" w:type="dxa"/>
            <w:vAlign w:val="bottom"/>
            <w:tcBorders>
              <w:top w:val="single" w:sz="8" w:color="0000FF"/>
            </w:tcBorders>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Underwriting</w:t>
            </w:r>
          </w:p>
        </w:tc>
        <w:tc>
          <w:tcPr>
            <w:tcW w:w="1760" w:type="dxa"/>
            <w:vAlign w:val="bottom"/>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S-24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40" w:type="dxa"/>
            <w:vAlign w:val="bottom"/>
          </w:tcPr>
          <w:p>
            <w:pPr>
              <w:spacing w:after="0"/>
              <w:rPr>
                <w:sz w:val="13"/>
                <w:szCs w:val="13"/>
                <w:color w:val="auto"/>
              </w:rPr>
            </w:pPr>
          </w:p>
        </w:tc>
        <w:tc>
          <w:tcPr>
            <w:tcW w:w="800" w:type="dxa"/>
            <w:vAlign w:val="bottom"/>
            <w:tcBorders>
              <w:bottom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4"/>
                <w:szCs w:val="14"/>
                <w:color w:val="0000FF"/>
                <w:w w:val="99"/>
              </w:rPr>
              <w:t>Legal Matters</w:t>
            </w:r>
          </w:p>
        </w:tc>
        <w:tc>
          <w:tcPr>
            <w:tcW w:w="5440" w:type="dxa"/>
            <w:vAlign w:val="bottom"/>
            <w:gridSpan w:val="17"/>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S-29</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440" w:type="dxa"/>
            <w:vAlign w:val="bottom"/>
            <w:tcBorders>
              <w:bottom w:val="single" w:sz="8" w:color="0000FF"/>
            </w:tcBorders>
          </w:tcPr>
          <w:p>
            <w:pPr>
              <w:spacing w:after="0" w:line="152" w:lineRule="exact"/>
              <w:rPr>
                <w:sz w:val="20"/>
                <w:szCs w:val="20"/>
                <w:color w:val="auto"/>
              </w:rPr>
            </w:pPr>
            <w:r>
              <w:rPr>
                <w:rFonts w:ascii="Times New Roman" w:cs="Times New Roman" w:eastAsia="Times New Roman" w:hAnsi="Times New Roman"/>
                <w:sz w:val="14"/>
                <w:szCs w:val="14"/>
                <w:color w:val="0000FF"/>
                <w:w w:val="98"/>
              </w:rPr>
              <w:t>Experts</w:t>
            </w:r>
          </w:p>
        </w:tc>
        <w:tc>
          <w:tcPr>
            <w:tcW w:w="5800" w:type="dxa"/>
            <w:vAlign w:val="bottom"/>
            <w:gridSpan w:val="21"/>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S-29</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624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Where You Can Find More Information</w:t>
            </w: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S-29</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Incorporation By Reference</w:t>
            </w:r>
          </w:p>
        </w:tc>
        <w:tc>
          <w:tcPr>
            <w:tcW w:w="680" w:type="dxa"/>
            <w:vAlign w:val="bottom"/>
            <w:tcBorders>
              <w:top w:val="single" w:sz="8" w:color="0000FF"/>
            </w:tcBorders>
            <w:gridSpan w:val="6"/>
          </w:tcPr>
          <w:p>
            <w:pPr>
              <w:spacing w:after="0"/>
              <w:rPr>
                <w:sz w:val="13"/>
                <w:szCs w:val="13"/>
                <w:color w:val="auto"/>
              </w:rPr>
            </w:pPr>
          </w:p>
        </w:tc>
        <w:tc>
          <w:tcPr>
            <w:tcW w:w="3960" w:type="dxa"/>
            <w:vAlign w:val="bottom"/>
            <w:gridSpan w:val="6"/>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S-30</w:t>
            </w:r>
          </w:p>
        </w:tc>
        <w:tc>
          <w:tcPr>
            <w:tcW w:w="0" w:type="dxa"/>
            <w:vAlign w:val="bottom"/>
          </w:tcPr>
          <w:p>
            <w:pPr>
              <w:spacing w:after="0"/>
              <w:rPr>
                <w:sz w:val="1"/>
                <w:szCs w:val="1"/>
                <w:color w:val="auto"/>
              </w:rPr>
            </w:pPr>
          </w:p>
        </w:tc>
      </w:tr>
      <w:tr>
        <w:trPr>
          <w:trHeight w:val="355"/>
        </w:trPr>
        <w:tc>
          <w:tcPr>
            <w:tcW w:w="1040" w:type="dxa"/>
            <w:vAlign w:val="bottom"/>
          </w:tcPr>
          <w:p>
            <w:pPr>
              <w:spacing w:after="0"/>
              <w:rPr>
                <w:sz w:val="24"/>
                <w:szCs w:val="24"/>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040" w:type="dxa"/>
            <w:vAlign w:val="bottom"/>
          </w:tcPr>
          <w:p>
            <w:pPr>
              <w:spacing w:after="0"/>
              <w:rPr>
                <w:sz w:val="24"/>
                <w:szCs w:val="24"/>
                <w:color w:val="auto"/>
              </w:rPr>
            </w:pPr>
          </w:p>
        </w:tc>
        <w:tc>
          <w:tcPr>
            <w:tcW w:w="624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color w:val="0000FF"/>
              </w:rPr>
              <w:t>Prospectus Summary</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6240" w:type="dxa"/>
            <w:vAlign w:val="bottom"/>
            <w:gridSpan w:val="22"/>
            <w:vMerge w:val="continue"/>
          </w:tcPr>
          <w:p>
            <w:pPr>
              <w:spacing w:after="0"/>
              <w:rPr>
                <w:sz w:val="11"/>
                <w:szCs w:val="11"/>
                <w:color w:val="auto"/>
              </w:rPr>
            </w:pPr>
          </w:p>
        </w:tc>
        <w:tc>
          <w:tcPr>
            <w:tcW w:w="4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2</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4"/>
                <w:szCs w:val="14"/>
                <w:color w:val="0000FF"/>
                <w:w w:val="99"/>
              </w:rPr>
              <w:t>Risk Factors</w:t>
            </w:r>
          </w:p>
        </w:tc>
        <w:tc>
          <w:tcPr>
            <w:tcW w:w="480" w:type="dxa"/>
            <w:vAlign w:val="bottom"/>
            <w:tcBorders>
              <w:top w:val="single" w:sz="8" w:color="0000FF"/>
            </w:tcBorders>
            <w:gridSpan w:val="7"/>
          </w:tcPr>
          <w:p>
            <w:pPr>
              <w:spacing w:after="0"/>
              <w:rPr>
                <w:sz w:val="13"/>
                <w:szCs w:val="13"/>
                <w:color w:val="auto"/>
              </w:rPr>
            </w:pPr>
          </w:p>
        </w:tc>
        <w:tc>
          <w:tcPr>
            <w:tcW w:w="5040" w:type="dxa"/>
            <w:vAlign w:val="bottom"/>
            <w:gridSpan w:val="13"/>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624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Forward-Looking Statements and Risk Factor Summary</w:t>
            </w: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3200" w:type="dxa"/>
            <w:vAlign w:val="bottom"/>
            <w:tcBorders>
              <w:top w:val="single" w:sz="8" w:color="0000FF"/>
            </w:tcBorders>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Use of Proceeds</w:t>
            </w:r>
          </w:p>
        </w:tc>
        <w:tc>
          <w:tcPr>
            <w:tcW w:w="3040" w:type="dxa"/>
            <w:vAlign w:val="bottom"/>
            <w:gridSpan w:val="2"/>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40" w:type="dxa"/>
            <w:vAlign w:val="bottom"/>
          </w:tcPr>
          <w:p>
            <w:pPr>
              <w:spacing w:after="0"/>
              <w:rPr>
                <w:sz w:val="13"/>
                <w:szCs w:val="13"/>
                <w:color w:val="auto"/>
              </w:rPr>
            </w:pPr>
          </w:p>
        </w:tc>
        <w:tc>
          <w:tcPr>
            <w:tcW w:w="1840" w:type="dxa"/>
            <w:vAlign w:val="bottom"/>
            <w:tcBorders>
              <w:bottom w:val="single" w:sz="8" w:color="0000FF"/>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Determination of Offering Price</w:t>
            </w:r>
          </w:p>
        </w:tc>
        <w:tc>
          <w:tcPr>
            <w:tcW w:w="4400" w:type="dxa"/>
            <w:vAlign w:val="bottom"/>
            <w:gridSpan w:val="10"/>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624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Selling Stockholders</w:t>
            </w: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140" w:type="dxa"/>
            <w:vAlign w:val="bottom"/>
            <w:tcBorders>
              <w:top w:val="single" w:sz="8" w:color="0000FF"/>
              <w:bottom w:val="single" w:sz="8" w:color="0000FF"/>
            </w:tcBorders>
            <w:gridSpan w:val="8"/>
          </w:tcPr>
          <w:p>
            <w:pPr>
              <w:spacing w:after="0" w:line="152" w:lineRule="exact"/>
              <w:rPr>
                <w:sz w:val="20"/>
                <w:szCs w:val="20"/>
                <w:color w:val="auto"/>
              </w:rPr>
            </w:pPr>
            <w:r>
              <w:rPr>
                <w:rFonts w:ascii="Times New Roman" w:cs="Times New Roman" w:eastAsia="Times New Roman" w:hAnsi="Times New Roman"/>
                <w:sz w:val="14"/>
                <w:szCs w:val="14"/>
                <w:color w:val="0000FF"/>
              </w:rPr>
              <w:t>Plan of Distribution</w:t>
            </w:r>
          </w:p>
        </w:tc>
        <w:tc>
          <w:tcPr>
            <w:tcW w:w="60" w:type="dxa"/>
            <w:vAlign w:val="bottom"/>
            <w:tcBorders>
              <w:top w:val="single" w:sz="8" w:color="0000FF"/>
            </w:tcBorders>
          </w:tcPr>
          <w:p>
            <w:pPr>
              <w:spacing w:after="0"/>
              <w:rPr>
                <w:sz w:val="13"/>
                <w:szCs w:val="13"/>
                <w:color w:val="auto"/>
              </w:rPr>
            </w:pPr>
          </w:p>
        </w:tc>
        <w:tc>
          <w:tcPr>
            <w:tcW w:w="5040" w:type="dxa"/>
            <w:vAlign w:val="bottom"/>
            <w:gridSpan w:val="13"/>
          </w:tcPr>
          <w:p>
            <w:pPr>
              <w:spacing w:after="0"/>
              <w:rPr>
                <w:sz w:val="13"/>
                <w:szCs w:val="13"/>
                <w:color w:val="auto"/>
              </w:rPr>
            </w:pP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624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Description of Capital Stock</w:t>
            </w:r>
          </w:p>
        </w:tc>
        <w:tc>
          <w:tcPr>
            <w:tcW w:w="150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800" w:type="dxa"/>
            <w:vAlign w:val="bottom"/>
            <w:tcBorders>
              <w:top w:val="single" w:sz="8" w:color="0000FF"/>
              <w:bottom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4"/>
                <w:szCs w:val="14"/>
                <w:color w:val="0000FF"/>
                <w:w w:val="99"/>
              </w:rPr>
              <w:t>Legal Matters</w:t>
            </w:r>
          </w:p>
        </w:tc>
        <w:tc>
          <w:tcPr>
            <w:tcW w:w="820" w:type="dxa"/>
            <w:vAlign w:val="bottom"/>
            <w:tcBorders>
              <w:top w:val="single" w:sz="8" w:color="0000FF"/>
            </w:tcBorders>
            <w:gridSpan w:val="6"/>
          </w:tcPr>
          <w:p>
            <w:pPr>
              <w:spacing w:after="0"/>
              <w:rPr>
                <w:sz w:val="13"/>
                <w:szCs w:val="13"/>
                <w:color w:val="auto"/>
              </w:rPr>
            </w:pPr>
          </w:p>
        </w:tc>
        <w:tc>
          <w:tcPr>
            <w:tcW w:w="4620" w:type="dxa"/>
            <w:vAlign w:val="bottom"/>
            <w:gridSpan w:val="11"/>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16</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440" w:type="dxa"/>
            <w:vAlign w:val="bottom"/>
            <w:tcBorders>
              <w:bottom w:val="single" w:sz="8" w:color="0000FF"/>
            </w:tcBorders>
          </w:tcPr>
          <w:p>
            <w:pPr>
              <w:spacing w:after="0" w:line="152" w:lineRule="exact"/>
              <w:rPr>
                <w:sz w:val="20"/>
                <w:szCs w:val="20"/>
                <w:color w:val="auto"/>
              </w:rPr>
            </w:pPr>
            <w:r>
              <w:rPr>
                <w:rFonts w:ascii="Times New Roman" w:cs="Times New Roman" w:eastAsia="Times New Roman" w:hAnsi="Times New Roman"/>
                <w:sz w:val="14"/>
                <w:szCs w:val="14"/>
                <w:color w:val="0000FF"/>
                <w:w w:val="98"/>
              </w:rPr>
              <w:t>Experts</w:t>
            </w:r>
          </w:p>
        </w:tc>
        <w:tc>
          <w:tcPr>
            <w:tcW w:w="5800" w:type="dxa"/>
            <w:vAlign w:val="bottom"/>
            <w:gridSpan w:val="21"/>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16</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624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Where You Can Find More Information</w:t>
            </w:r>
          </w:p>
        </w:tc>
        <w:tc>
          <w:tcPr>
            <w:tcW w:w="4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17</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2280" w:type="dxa"/>
            <w:vAlign w:val="bottom"/>
            <w:tcBorders>
              <w:top w:val="single" w:sz="8" w:color="0000FF"/>
            </w:tcBorders>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Information Incorporated by Reference</w:t>
            </w:r>
          </w:p>
        </w:tc>
        <w:tc>
          <w:tcPr>
            <w:tcW w:w="3960" w:type="dxa"/>
            <w:vAlign w:val="bottom"/>
            <w:gridSpan w:val="6"/>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17</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2"/>
        </w:trPr>
        <w:tc>
          <w:tcPr>
            <w:tcW w:w="104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160" w:right="1159" w:firstLine="515"/>
        <w:spacing w:after="0" w:line="259"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or incorporated by reference, in this prospectus supplement and the accompanying prospectus or in any free writing prospectus that we authorize to be delivered to you. We, the selling stockholders and the underwriter have not authorized anyone to provide any information or to make any representations other than those contained, or incorporated by reference, in this prospectus supplement and the accompanying prospectus or in any free writing prospectus we have prepared. We, the selling stockholders and the underwriter take no responsibility for, and can provide no assurance as to the reliability of, any other information that others may provide you. The selling stockholders and the underwriter are offering to sell, and seeking offers to buy, these securities only in jurisdictions where offers and sales are permitted. You should assume that the information contained, or incorporated by reference, in this prospectus supplement and the accompanying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124" w:lineRule="exact"/>
        <w:rPr>
          <w:sz w:val="20"/>
          <w:szCs w:val="20"/>
          <w:color w:val="auto"/>
        </w:rPr>
      </w:pPr>
    </w:p>
    <w:p>
      <w:pPr>
        <w:jc w:val="both"/>
        <w:ind w:left="1160" w:right="1159" w:firstLine="515"/>
        <w:spacing w:after="0" w:line="261" w:lineRule="auto"/>
        <w:rPr>
          <w:sz w:val="20"/>
          <w:szCs w:val="20"/>
          <w:color w:val="auto"/>
        </w:rPr>
      </w:pPr>
      <w:r>
        <w:rPr>
          <w:rFonts w:ascii="Times New Roman" w:cs="Times New Roman" w:eastAsia="Times New Roman" w:hAnsi="Times New Roman"/>
          <w:sz w:val="14"/>
          <w:szCs w:val="14"/>
          <w:b w:val="1"/>
          <w:bCs w:val="1"/>
          <w:color w:val="auto"/>
        </w:rPr>
        <w:t>For investors outside the United States: The selling stockholders and the underwriter are offering to sell, and seeking offers to buy, shares of our common stock only in jurisdictions where offers and sales are permitted. None of us, the selling stockholders or the underwriter has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52" w:lineRule="exact"/>
        <w:rPr>
          <w:sz w:val="20"/>
          <w:szCs w:val="20"/>
          <w:color w:val="auto"/>
        </w:rPr>
      </w:pPr>
    </w:p>
    <w:p>
      <w:pPr>
        <w:jc w:val="both"/>
        <w:ind w:left="1160" w:right="1159" w:firstLine="515"/>
        <w:spacing w:after="0" w:line="259" w:lineRule="auto"/>
        <w:rPr>
          <w:sz w:val="20"/>
          <w:szCs w:val="20"/>
          <w:color w:val="auto"/>
        </w:rPr>
      </w:pPr>
      <w:r>
        <w:rPr>
          <w:rFonts w:ascii="Times New Roman" w:cs="Times New Roman" w:eastAsia="Times New Roman" w:hAnsi="Times New Roman"/>
          <w:sz w:val="14"/>
          <w:szCs w:val="14"/>
          <w:color w:val="auto"/>
        </w:rPr>
        <w:t>This document has two parts, a prospectus supplement and an accompanying prospectus dated June 10, 2025. This prospectus supplement and the accompanying prospectus are part of a registration statement that we filed with the SEC as a “well-known seasoned issuer” as defined in Rule 405 under the Securities Act of 1933, or the Securities Act, utilizing the SEC’s “shelf” registration process. The prospectus supplement, which describes certain matters relating to us and the specific terms of this offering of shares of our common stock, adds to and updates information contained in the accompanying prospectus and the documents incorporated by reference herein. Generally, when we refer to this document, we are referring to both parts of this document combined, including the documents incorporated by reference therein. Both this prospectus supplement and the accompanying prospectus include important information about us, our common stock and other information you should know before investing in our common stock.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297" w:lineRule="exact"/>
        <w:rPr>
          <w:sz w:val="20"/>
          <w:szCs w:val="20"/>
          <w:color w:val="auto"/>
        </w:rPr>
      </w:pPr>
    </w:p>
    <w:p>
      <w:pPr>
        <w:jc w:val="both"/>
        <w:ind w:left="1160" w:right="1159" w:firstLine="515"/>
        <w:spacing w:after="0" w:line="274" w:lineRule="auto"/>
        <w:rPr>
          <w:sz w:val="20"/>
          <w:szCs w:val="20"/>
          <w:color w:val="auto"/>
        </w:rPr>
      </w:pPr>
      <w:r>
        <w:rPr>
          <w:rFonts w:ascii="Times New Roman" w:cs="Times New Roman" w:eastAsia="Times New Roman" w:hAnsi="Times New Roman"/>
          <w:sz w:val="14"/>
          <w:szCs w:val="14"/>
          <w:color w:val="auto"/>
        </w:rPr>
        <w:t>Before you invest in our common stock, you should read the registration statement of which this document forms a part and this document, including the documents incorporated by reference herein that are described under the heading “</w:t>
      </w:r>
      <w:r>
        <w:rPr>
          <w:rFonts w:ascii="Times New Roman" w:cs="Times New Roman" w:eastAsia="Times New Roman" w:hAnsi="Times New Roman"/>
          <w:sz w:val="14"/>
          <w:szCs w:val="14"/>
          <w:i w:val="1"/>
          <w:iCs w:val="1"/>
          <w:color w:val="auto"/>
        </w:rPr>
        <w:t>Incorporation by Reference</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jc w:val="both"/>
        <w:ind w:left="1160" w:right="1159" w:firstLine="515"/>
        <w:spacing w:after="0" w:line="261" w:lineRule="auto"/>
        <w:rPr>
          <w:sz w:val="20"/>
          <w:szCs w:val="20"/>
          <w:color w:val="auto"/>
        </w:rPr>
      </w:pPr>
      <w:r>
        <w:rPr>
          <w:rFonts w:ascii="Times New Roman" w:cs="Times New Roman" w:eastAsia="Times New Roman" w:hAnsi="Times New Roman"/>
          <w:sz w:val="14"/>
          <w:szCs w:val="14"/>
          <w:color w:val="auto"/>
        </w:rPr>
        <w:t>The distribution of this prospectus supplement and the accompanying prospectus and the offering of the common stock in certain jurisdictions may be restricted by law. Neither the selling stockholders nor the underwriter is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14" w:lineRule="exact"/>
        <w:rPr>
          <w:sz w:val="20"/>
          <w:szCs w:val="20"/>
          <w:color w:val="auto"/>
        </w:rPr>
      </w:pPr>
    </w:p>
    <w:p>
      <w:pPr>
        <w:jc w:val="both"/>
        <w:ind w:left="1160" w:right="1159" w:firstLine="515"/>
        <w:spacing w:after="0" w:line="265" w:lineRule="auto"/>
        <w:rPr>
          <w:sz w:val="20"/>
          <w:szCs w:val="20"/>
          <w:color w:val="auto"/>
        </w:rPr>
      </w:pPr>
      <w:r>
        <w:rPr>
          <w:rFonts w:ascii="Times New Roman" w:cs="Times New Roman" w:eastAsia="Times New Roman" w:hAnsi="Times New Roman"/>
          <w:sz w:val="14"/>
          <w:szCs w:val="14"/>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the common stock. None of us, the selling stockholders or the underwriter is making any representation to you regarding the legality of an investment in the common stock by you under applicable investment or similar laws.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 w:name="page5"/>
    <w:bookmarkEnd w:id="4"/>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MARKET, RANKING AND OTHER INDUSTRY DATA</w:t>
      </w:r>
    </w:p>
    <w:p>
      <w:pPr>
        <w:spacing w:after="0" w:line="152" w:lineRule="exact"/>
        <w:rPr>
          <w:sz w:val="20"/>
          <w:szCs w:val="20"/>
          <w:color w:val="auto"/>
        </w:rPr>
      </w:pPr>
    </w:p>
    <w:p>
      <w:pPr>
        <w:jc w:val="both"/>
        <w:ind w:left="1160" w:right="1159" w:firstLine="515"/>
        <w:spacing w:after="0" w:line="257" w:lineRule="auto"/>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 xml:space="preserve">The data included and incorporated by reference in this prospectus supplement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 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contained or incorporated by reference in this prospectus supplement, and we believe these estimates to be accurate as of the date of this prospectus supplement or such other date stated in this prospectus supplement or such date as of the document incorporated herein.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in this prospectus supplement are prepared by reputable sources, neither we, the selling stockholders nor the underwriter have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in our </w:t>
      </w:r>
      <w:hyperlink r:id="rId15">
        <w:r>
          <w:rPr>
            <w:rFonts w:ascii="Times New Roman" w:cs="Times New Roman" w:eastAsia="Times New Roman" w:hAnsi="Times New Roman"/>
            <w:sz w:val="14"/>
            <w:szCs w:val="14"/>
            <w:u w:val="single" w:color="auto"/>
            <w:color w:val="0000FF"/>
          </w:rPr>
          <w:t>Annual Report on Form 10-K for the year ended December 31,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or our Annual Report, which is incorporated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by reference into this prospectus supplement. These and other factors could cause our future performance to differ materially from our assumptions and estimates. See “</w:t>
      </w:r>
      <w:r>
        <w:rPr>
          <w:rFonts w:ascii="Times New Roman" w:cs="Times New Roman" w:eastAsia="Times New Roman" w:hAnsi="Times New Roman"/>
          <w:sz w:val="14"/>
          <w:szCs w:val="14"/>
          <w:i w:val="1"/>
          <w:iCs w:val="1"/>
          <w:color w:val="000000"/>
        </w:rPr>
        <w:t>Special Note Regarding Forward-Looking Statements</w:t>
      </w:r>
      <w:r>
        <w:rPr>
          <w:rFonts w:ascii="Times New Roman" w:cs="Times New Roman" w:eastAsia="Times New Roman" w:hAnsi="Times New Roman"/>
          <w:sz w:val="14"/>
          <w:szCs w:val="14"/>
          <w:color w:val="000000"/>
        </w:rPr>
        <w:t>.” As a result, you should be aware that market, ranking, and other similar industry data included or incorporated by reference in this prospectus supplement, and estimates and beliefs based on that data may not be reliable. Neither we, the selling stockholders nor the underwriter can guarantee the accuracy or completeness of any such information contained or incorporated by reference in this prospectus supplement.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TRADEMARKS, SERVICE MARKS AND TRADENAMES</w:t>
      </w:r>
    </w:p>
    <w:p>
      <w:pPr>
        <w:spacing w:after="0" w:line="152" w:lineRule="exact"/>
        <w:rPr>
          <w:sz w:val="20"/>
          <w:szCs w:val="20"/>
          <w:color w:val="auto"/>
        </w:rPr>
      </w:pPr>
    </w:p>
    <w:p>
      <w:pPr>
        <w:jc w:val="both"/>
        <w:ind w:left="1160" w:right="1159" w:firstLine="515"/>
        <w:spacing w:after="0" w:line="251" w:lineRule="auto"/>
        <w:rPr>
          <w:sz w:val="20"/>
          <w:szCs w:val="20"/>
          <w:color w:val="auto"/>
        </w:rPr>
      </w:pPr>
      <w:r>
        <w:rPr>
          <w:rFonts w:ascii="Times New Roman" w:cs="Times New Roman" w:eastAsia="Times New Roman" w:hAnsi="Times New Roman"/>
          <w:sz w:val="14"/>
          <w:szCs w:val="14"/>
          <w:color w:val="auto"/>
        </w:rPr>
        <w:t xml:space="preserve">We own or have rights to use various trademarks, tradenames, service marks, and copyrights, which are protected under applicable intellectual property laws. This prospectus supplement also contains trademarks, tradenames, service marks, and copyrights of other companies, which are, to our knowledge, the property of their respective owners. Solely for convenience, certain trademarks, tradenames, service marks, and copyrights referred to in this prospectus may appear without the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under applicable law, our rights or the rights of the applicable licensors to these trademarks, tradenames, service marks, and copyrights. We do not intend our use or display of other parties’ trademarks, tradenames, service marks, or copyrights to imply, and such use or display should not be construed to imply, a relationship with, or endorsement or sponsorship of us by, these other parties.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63" w:lineRule="exact"/>
        <w:rPr>
          <w:sz w:val="20"/>
          <w:szCs w:val="20"/>
          <w:color w:val="auto"/>
        </w:rPr>
      </w:pPr>
    </w:p>
    <w:p>
      <w:pPr>
        <w:jc w:val="both"/>
        <w:ind w:left="1160" w:right="1159" w:firstLine="515"/>
        <w:spacing w:after="0" w:line="268" w:lineRule="auto"/>
        <w:rPr>
          <w:sz w:val="20"/>
          <w:szCs w:val="20"/>
          <w:color w:val="auto"/>
        </w:rPr>
      </w:pPr>
      <w:r>
        <w:rPr>
          <w:rFonts w:ascii="Times New Roman" w:cs="Times New Roman" w:eastAsia="Times New Roman" w:hAnsi="Times New Roman"/>
          <w:sz w:val="14"/>
          <w:szCs w:val="14"/>
          <w:color w:val="auto"/>
        </w:rPr>
        <w:t>Unless otherwise indicated or the context otherwise requires, financial data in this prospectus reflects the business and operations of BrightSpring Health Services, Inc. and its consolidated subsidiaries. Unless the context otherwise requires, all references herein to “BrightSpring,” the “company,” “we,” “our” or “us” refer to BrightSpring Health Services, Inc. and its consolidated subsidiaries.</w:t>
      </w:r>
    </w:p>
    <w:p>
      <w:pPr>
        <w:spacing w:after="0" w:line="108"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auto"/>
        </w:rPr>
        <w:t>Res-Care, Inc., our wholly owned subsidiary, and certain affiliated entities entered into a purchase agreement on January 17, 2025 to divest our community living services, home and community-based waiver programs, and intermediate care facilities (the “Community Living business”). Beginning in our Quarterly Report on Form 10-Q for the quarter ended March 31, 2025, we presented the Community Living business as discontinued operations in our interim condensed consolidated financial statements for all periods presented as a result of meeting the criteria for held for sale and discontinued operations during the quarter ended March 31, 2025. On June 10, 2025, we filed a Current Report on Form 8-K to retrospectively revise and recast our historical consolidated financial statements. Such revised and recast historical consolidated financial statements and other information are included in our Annual Report on Form 10-K for the fiscal year ended December 31, 2025 filed with the SEC on February 27, 2026, and reflect the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 w:name="page6"/>
    <w:bookmarkEnd w:id="5"/>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160" w:right="1159"/>
        <w:spacing w:after="0" w:line="274" w:lineRule="auto"/>
        <w:rPr>
          <w:sz w:val="20"/>
          <w:szCs w:val="20"/>
          <w:color w:val="auto"/>
        </w:rPr>
      </w:pPr>
      <w:r>
        <w:rPr>
          <w:rFonts w:ascii="Times New Roman" w:cs="Times New Roman" w:eastAsia="Times New Roman" w:hAnsi="Times New Roman"/>
          <w:sz w:val="14"/>
          <w:szCs w:val="14"/>
          <w:color w:val="auto"/>
        </w:rPr>
        <w:t>Community Living business as discontinued operations. Accordingly, our consolidated financial statements and other information incorporated by reference herein have been revised to retrospectively reflect the changes resulting from the discontinued operations discussed above for the years ended December 31, 2025, 2024 and 2023.</w:t>
      </w:r>
    </w:p>
    <w:p>
      <w:pPr>
        <w:spacing w:after="0" w:line="114" w:lineRule="exact"/>
        <w:rPr>
          <w:sz w:val="20"/>
          <w:szCs w:val="20"/>
          <w:color w:val="auto"/>
        </w:rPr>
      </w:pPr>
    </w:p>
    <w:p>
      <w:pPr>
        <w:jc w:val="both"/>
        <w:ind w:left="1160" w:right="1159" w:firstLine="515"/>
        <w:spacing w:after="0" w:line="265" w:lineRule="auto"/>
        <w:rPr>
          <w:sz w:val="20"/>
          <w:szCs w:val="20"/>
          <w:color w:val="auto"/>
        </w:rPr>
      </w:pPr>
      <w:r>
        <w:rPr>
          <w:rFonts w:ascii="Times New Roman" w:cs="Times New Roman" w:eastAsia="Times New Roman" w:hAnsi="Times New Roman"/>
          <w:sz w:val="14"/>
          <w:szCs w:val="14"/>
          <w:color w:val="auto"/>
        </w:rPr>
        <w:t>Amounts included, or incorporated by reference, in this prospectus are presented in U.S. dollars rounded to the nearest million, unless otherwise noted. Certain amounts presented in tables are subject to rounding adjustments and, as a result, the totals in such tables may not sum. The accounting policies set out in the audited consolidated financial statements incorporated by reference in this prospectus supplement have been consistently applied to all periods presented.</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 w:name="page7"/>
    <w:bookmarkEnd w:id="6"/>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52" w:lineRule="exact"/>
        <w:rPr>
          <w:sz w:val="20"/>
          <w:szCs w:val="20"/>
          <w:color w:val="auto"/>
        </w:rPr>
      </w:pPr>
    </w:p>
    <w:p>
      <w:pPr>
        <w:jc w:val="both"/>
        <w:ind w:left="1160" w:right="1159" w:firstLine="515"/>
        <w:spacing w:after="0" w:line="265" w:lineRule="auto"/>
        <w:rPr>
          <w:sz w:val="20"/>
          <w:szCs w:val="20"/>
          <w:color w:val="auto"/>
        </w:rPr>
      </w:pPr>
      <w:r>
        <w:rPr>
          <w:rFonts w:ascii="Times New Roman" w:cs="Times New Roman" w:eastAsia="Times New Roman" w:hAnsi="Times New Roman"/>
          <w:sz w:val="14"/>
          <w:szCs w:val="14"/>
          <w:color w:val="auto"/>
        </w:rPr>
        <w:t>This prospectus supplement contains or incorporates by reference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and “Adjusted EPS.”</w:t>
      </w:r>
    </w:p>
    <w:p>
      <w:pPr>
        <w:spacing w:after="0" w:line="121" w:lineRule="exact"/>
        <w:rPr>
          <w:sz w:val="20"/>
          <w:szCs w:val="20"/>
          <w:color w:val="auto"/>
        </w:rPr>
      </w:pPr>
    </w:p>
    <w:p>
      <w:pPr>
        <w:jc w:val="both"/>
        <w:ind w:left="1160" w:right="1159" w:firstLine="515"/>
        <w:spacing w:after="0" w:line="259" w:lineRule="auto"/>
        <w:rPr>
          <w:sz w:val="20"/>
          <w:szCs w:val="20"/>
          <w:color w:val="auto"/>
        </w:rPr>
      </w:pPr>
      <w:r>
        <w:rPr>
          <w:rFonts w:ascii="Times New Roman" w:cs="Times New Roman" w:eastAsia="Times New Roman" w:hAnsi="Times New Roman"/>
          <w:sz w:val="14"/>
          <w:szCs w:val="14"/>
          <w:color w:val="auto"/>
        </w:rPr>
        <w:t>We define EBITDA as net income (loss) before income tax expense (benefit), interest expense, net, and depreciation and amortization. Adjusted EBITDA and Adjusted EPS exclude certain other items that are either non-recurring, infrequent, non-cash, unusual, or items deemed by management to not be indicative of the performance of our core operations, including non-cash, share-based compensation; acquisition, integration, and transaction-related costs; restructuring and divestiture-related and other costs; legal costs associated with certain historical matters for PharMerica and settlement costs; significant projects; and management fees. In determining which adjustments are made to arrive at Adjusted EBITDA and Adjusted EPS, management considers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The financial measure calculated under GAAP which is most directly comparable to Adjusted EBITDA is net income (loss). The financial measure calculated under GAAP which is most directly comparable to Adjusted EPS is diluted EPS.</w:t>
      </w:r>
    </w:p>
    <w:p>
      <w:pPr>
        <w:spacing w:after="0" w:line="117" w:lineRule="exact"/>
        <w:rPr>
          <w:sz w:val="20"/>
          <w:szCs w:val="20"/>
          <w:color w:val="auto"/>
        </w:rPr>
      </w:pPr>
    </w:p>
    <w:p>
      <w:pPr>
        <w:jc w:val="both"/>
        <w:ind w:left="1160" w:right="1159" w:firstLine="515"/>
        <w:spacing w:after="0" w:line="259" w:lineRule="auto"/>
        <w:rPr>
          <w:sz w:val="20"/>
          <w:szCs w:val="20"/>
          <w:color w:val="auto"/>
        </w:rPr>
      </w:pPr>
      <w:r>
        <w:rPr>
          <w:rFonts w:ascii="Times New Roman" w:cs="Times New Roman" w:eastAsia="Times New Roman" w:hAnsi="Times New Roman"/>
          <w:sz w:val="14"/>
          <w:szCs w:val="14"/>
          <w:color w:val="auto"/>
        </w:rPr>
        <w:t>Adjusted EBITDA, EBITDA and Adjusted EPS have been presented in this prospectus supplement, or the documents incorporated by reference herein,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also believes that these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EBITDA and Adjusted EPS to supplement GAAP measures of performance in the evaluation of the effectiveness of our business strategies, to make budgeting decisions, to establish and award discretionary annual incentive compensation, and to compare our performance against that of other peer companies using similar measures.</w:t>
      </w:r>
    </w:p>
    <w:p>
      <w:pPr>
        <w:spacing w:after="0" w:line="119" w:lineRule="exact"/>
        <w:rPr>
          <w:sz w:val="20"/>
          <w:szCs w:val="20"/>
          <w:color w:val="auto"/>
        </w:rPr>
      </w:pPr>
    </w:p>
    <w:p>
      <w:pPr>
        <w:jc w:val="both"/>
        <w:ind w:left="1160" w:right="1159" w:firstLine="515"/>
        <w:spacing w:after="0" w:line="262" w:lineRule="auto"/>
        <w:rPr>
          <w:sz w:val="20"/>
          <w:szCs w:val="20"/>
          <w:color w:val="auto"/>
        </w:rPr>
      </w:pPr>
      <w:r>
        <w:rPr>
          <w:rFonts w:ascii="Times New Roman" w:cs="Times New Roman" w:eastAsia="Times New Roman" w:hAnsi="Times New Roman"/>
          <w:sz w:val="14"/>
          <w:szCs w:val="14"/>
          <w:color w:val="auto"/>
        </w:rPr>
        <w:t>Management supplements GAAP results with non-GAAP financial measures to provide a more complete understanding of the factors and trends affecting the business than GAAP results alone. Adjusted EBITDA, EBITDA and Adjusted EPS are not GAAP measures of our financial performance and should not be considered as alternatives to net loss or diluted EPS as measures of financial performance or any other performance measures derived in accordance with GAAP. Additionally, these measures are not intended to be a measure of free cash flow available for management’s discretionary use as they do not consider certain cash requirements such as tax payments, debt service requirements, total capital expenditures, and certain other non-recurring cash costs.</w:t>
      </w:r>
    </w:p>
    <w:p>
      <w:pPr>
        <w:spacing w:after="0" w:line="123" w:lineRule="exact"/>
        <w:rPr>
          <w:sz w:val="20"/>
          <w:szCs w:val="20"/>
          <w:color w:val="auto"/>
        </w:rPr>
      </w:pPr>
    </w:p>
    <w:p>
      <w:pPr>
        <w:jc w:val="both"/>
        <w:ind w:left="1160" w:right="1159" w:firstLine="515"/>
        <w:spacing w:after="0" w:line="268" w:lineRule="auto"/>
        <w:rPr>
          <w:sz w:val="20"/>
          <w:szCs w:val="20"/>
          <w:color w:val="auto"/>
        </w:rPr>
      </w:pPr>
      <w:r>
        <w:rPr>
          <w:rFonts w:ascii="Times New Roman" w:cs="Times New Roman" w:eastAsia="Times New Roman" w:hAnsi="Times New Roman"/>
          <w:sz w:val="14"/>
          <w:szCs w:val="14"/>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 w:name="page8"/>
    <w:bookmarkEnd w:id="7"/>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6934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133975" cy="693420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50" w:lineRule="exact"/>
        <w:rPr>
          <w:sz w:val="20"/>
          <w:szCs w:val="20"/>
          <w:color w:val="auto"/>
        </w:rPr>
      </w:pPr>
    </w:p>
    <w:p>
      <w:pPr>
        <w:jc w:val="both"/>
        <w:ind w:left="1140" w:right="1159" w:firstLine="516"/>
        <w:spacing w:after="0" w:line="260"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or incorporated by reference in this prospectus supplement and the accompanying prospectus. This summary is not complete and does not contain all of the information that you should consider before making your investment decision. Before you decide to invest in shares of our common stock, you should carefully read this entire prospectus supplement, the accompanying prospectus and the information incorporated by reference herein and therein, including any free writing prospectus prepared by us or on our behalf, including the sections entitled “</w:t>
      </w:r>
      <w:r>
        <w:rPr>
          <w:rFonts w:ascii="Times New Roman" w:cs="Times New Roman" w:eastAsia="Times New Roman" w:hAnsi="Times New Roman"/>
          <w:sz w:val="14"/>
          <w:szCs w:val="14"/>
          <w:color w:val="auto"/>
        </w:rPr>
        <w:t>Special Note Regarding Forward-Looking Statements</w:t>
      </w:r>
      <w:r>
        <w:rPr>
          <w:rFonts w:ascii="Times New Roman" w:cs="Times New Roman" w:eastAsia="Times New Roman" w:hAnsi="Times New Roman"/>
          <w:sz w:val="14"/>
          <w:szCs w:val="14"/>
          <w:i w:val="1"/>
          <w:iCs w:val="1"/>
          <w:color w:val="auto"/>
        </w:rPr>
        <w:t>” and “</w:t>
      </w:r>
      <w:r>
        <w:rPr>
          <w:rFonts w:ascii="Times New Roman" w:cs="Times New Roman" w:eastAsia="Times New Roman" w:hAnsi="Times New Roman"/>
          <w:sz w:val="14"/>
          <w:szCs w:val="14"/>
          <w:color w:val="auto"/>
        </w:rPr>
        <w:t>Risk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Factors</w:t>
      </w:r>
      <w:r>
        <w:rPr>
          <w:rFonts w:ascii="Times New Roman" w:cs="Times New Roman" w:eastAsia="Times New Roman" w:hAnsi="Times New Roman"/>
          <w:sz w:val="14"/>
          <w:szCs w:val="14"/>
          <w:i w:val="1"/>
          <w:iCs w:val="1"/>
          <w:color w:val="auto"/>
        </w:rPr>
        <w:t>” included in this prospectus supplement and the accompanying prospectus, the sections entitled “Risk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 and “Management’s Discussion and Analysis of Financial Condition and Results of Operations” and the audited consolidated financial statements and related notes thereto in our Annual Report which is incorporated by reference in this prospectus supplement and the accompanying prospectus.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Who We Are</w:t>
      </w:r>
    </w:p>
    <w:p>
      <w:pPr>
        <w:spacing w:after="0" w:line="152" w:lineRule="exact"/>
        <w:rPr>
          <w:sz w:val="20"/>
          <w:szCs w:val="20"/>
          <w:color w:val="auto"/>
        </w:rPr>
      </w:pPr>
    </w:p>
    <w:p>
      <w:pPr>
        <w:jc w:val="both"/>
        <w:ind w:left="1140" w:right="1159" w:firstLine="516"/>
        <w:spacing w:after="0" w:line="259" w:lineRule="auto"/>
        <w:rPr>
          <w:sz w:val="20"/>
          <w:szCs w:val="20"/>
          <w:color w:val="auto"/>
        </w:rPr>
      </w:pPr>
      <w:r>
        <w:rPr>
          <w:rFonts w:ascii="Times New Roman" w:cs="Times New Roman" w:eastAsia="Times New Roman" w:hAnsi="Times New Roman"/>
          <w:sz w:val="14"/>
          <w:szCs w:val="14"/>
          <w:color w:val="231F20"/>
        </w:rPr>
        <w:t>We are a leading home and community-based healthcare services platform, focused on delivering complementary pharmacy and provider services to complex patients. We have a differentiated approach to care delivery, with an integrated and scaled model that addresses critical services that the highest-need and highest-cost patients require. With a focus on Senior and Specialty patients, which includes Behavioral populations, our platform provides pharmacy and provider services (both clinical and supportive care in nature) in lower-cost home and community settings largely to Medicare, Medicaid, and commercially-insured populations. We are an essential part of our nation’s health delivery network as a front-line provider of high-quality and cost-effective care to a large and growing number of people, who increasingly require a combination of specialized solutions to enable holistic health care management. Our presence spans all 50 states, we serve over 475,000 patients daily through our approximately 12,400 clinical providers and pharmacists, and our services make a profound impact in the lives and communities of the people we serve.</w:t>
      </w:r>
    </w:p>
    <w:p>
      <w:pPr>
        <w:spacing w:after="0" w:line="129" w:lineRule="exact"/>
        <w:rPr>
          <w:sz w:val="20"/>
          <w:szCs w:val="20"/>
          <w:color w:val="auto"/>
        </w:rPr>
      </w:pPr>
    </w:p>
    <w:p>
      <w:pPr>
        <w:jc w:val="both"/>
        <w:ind w:left="1140" w:right="1159" w:firstLine="516"/>
        <w:spacing w:after="0" w:line="259" w:lineRule="auto"/>
        <w:rPr>
          <w:sz w:val="20"/>
          <w:szCs w:val="20"/>
          <w:color w:val="auto"/>
        </w:rPr>
      </w:pPr>
      <w:r>
        <w:rPr>
          <w:rFonts w:ascii="Times New Roman" w:cs="Times New Roman" w:eastAsia="Times New Roman" w:hAnsi="Times New Roman"/>
          <w:sz w:val="14"/>
          <w:szCs w:val="14"/>
          <w:color w:val="231F20"/>
        </w:rPr>
        <w:t>Our model focuses on delivering high-touch and coordinated services to medically complex clients and patients, which is a large, growing, and underserved population in the U.S. healthcare system. These high-need and high-cost Senior and Specialty patients comprise a market of over $2.0 trillion across our business. The chronic conditions and long-term health needs of these patients not only represent an outsized share of health care spend today, according to RAND Health Care, but we believe that they are expected to also drive a disproportionate share of future expenditures. Americans with five or more chronic conditions make up over 12% of the population and account for 41% of total health care spending, on average spending 14 times more on health services than those without chronic conditions. These patients most often require both pharmacy and provider services to achieve the best outcomes, but must often navigate disjointed and separately-administered health services. This can result in uncoordinated care delivery with adverse medical consequences, as compared to receiving timely, proximal, and complete care support in the home and community that improves health and reduces cost.</w:t>
      </w:r>
    </w:p>
    <w:p>
      <w:pPr>
        <w:spacing w:after="0" w:line="119" w:lineRule="exact"/>
        <w:rPr>
          <w:sz w:val="20"/>
          <w:szCs w:val="20"/>
          <w:color w:val="auto"/>
        </w:rPr>
      </w:pPr>
    </w:p>
    <w:p>
      <w:pPr>
        <w:jc w:val="both"/>
        <w:ind w:left="1140" w:right="1159" w:firstLine="516"/>
        <w:spacing w:after="0" w:line="274" w:lineRule="auto"/>
        <w:rPr>
          <w:sz w:val="20"/>
          <w:szCs w:val="20"/>
          <w:color w:val="auto"/>
        </w:rPr>
      </w:pPr>
      <w:r>
        <w:rPr>
          <w:rFonts w:ascii="Times New Roman" w:cs="Times New Roman" w:eastAsia="Times New Roman" w:hAnsi="Times New Roman"/>
          <w:sz w:val="14"/>
          <w:szCs w:val="14"/>
          <w:color w:val="231F20"/>
        </w:rPr>
        <w:t>We have built a significant presence and capability in delivering complementary and high-touch daily healthcare services and programs to complex patients in their homes and in communities in order to address their multiple health needs and requirements more completely.</w:t>
      </w:r>
    </w:p>
    <w:p>
      <w:pPr>
        <w:spacing w:after="0" w:line="10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63" w:lineRule="exact"/>
        <w:rPr>
          <w:sz w:val="20"/>
          <w:szCs w:val="20"/>
          <w:color w:val="auto"/>
        </w:rPr>
      </w:pPr>
    </w:p>
    <w:p>
      <w:pPr>
        <w:jc w:val="both"/>
        <w:ind w:left="1140" w:right="1159" w:firstLine="516"/>
        <w:spacing w:after="0" w:line="263" w:lineRule="auto"/>
        <w:rPr>
          <w:sz w:val="20"/>
          <w:szCs w:val="20"/>
          <w:color w:val="auto"/>
        </w:rPr>
      </w:pPr>
      <w:r>
        <w:rPr>
          <w:rFonts w:ascii="Times New Roman" w:cs="Times New Roman" w:eastAsia="Times New Roman" w:hAnsi="Times New Roman"/>
          <w:sz w:val="14"/>
          <w:szCs w:val="14"/>
          <w:color w:val="231F20"/>
        </w:rPr>
        <w:t>Through our predecessors, we commenced operations in 1974 and have grown organically and through acquisitions. On December 7, 2017, affiliates of Kohlberg Kravis Roberts &amp; Co. L.P. and Walgreens Boots Alliance, Inc. purchased PharMerica Corporation and, on March 5, 2019, expanded with the acquisition of BrightSpring Health Holdings Corp. The surviving entity was renamed BrightSpring Health Services, Inc. We completed our initial public offering in January 2024 and our Common Stock is listed on the Nasdaq Global Select Market under the symbol “BTSG”.</w:t>
      </w:r>
    </w:p>
    <w:p>
      <w:pPr>
        <w:spacing w:after="0" w:line="112" w:lineRule="exact"/>
        <w:rPr>
          <w:sz w:val="20"/>
          <w:szCs w:val="20"/>
          <w:color w:val="auto"/>
        </w:rPr>
      </w:pPr>
    </w:p>
    <w:p>
      <w:pPr>
        <w:jc w:val="both"/>
        <w:ind w:left="1140" w:right="1159" w:firstLine="516"/>
        <w:spacing w:after="0" w:line="285" w:lineRule="auto"/>
        <w:rPr>
          <w:sz w:val="20"/>
          <w:szCs w:val="20"/>
          <w:color w:val="auto"/>
        </w:rPr>
      </w:pPr>
      <w:r>
        <w:rPr>
          <w:rFonts w:ascii="Times New Roman" w:cs="Times New Roman" w:eastAsia="Times New Roman" w:hAnsi="Times New Roman"/>
          <w:sz w:val="14"/>
          <w:szCs w:val="14"/>
          <w:color w:val="231F20"/>
        </w:rPr>
        <w:t>Our principal offices are located at 805 N. Whittington Parkway, Louisville, Kentucky 40222. Our telephone number is (502) 394-2100. We maintain a website at www.brightspringhealth.com. Website references throughout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330835</wp:posOffset>
            </wp:positionV>
            <wp:extent cx="56038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8" w:name="page9"/>
    <w:bookmarkEnd w:id="8"/>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4008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133975" cy="40087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140" w:right="1159"/>
        <w:spacing w:after="0" w:line="292" w:lineRule="auto"/>
        <w:rPr>
          <w:sz w:val="20"/>
          <w:szCs w:val="20"/>
          <w:color w:val="auto"/>
        </w:rPr>
      </w:pPr>
      <w:r>
        <w:rPr>
          <w:rFonts w:ascii="Times New Roman" w:cs="Times New Roman" w:eastAsia="Times New Roman" w:hAnsi="Times New Roman"/>
          <w:sz w:val="14"/>
          <w:szCs w:val="14"/>
          <w:color w:val="231F20"/>
        </w:rPr>
        <w:t>this prospectus are provided for convenience only, and the content on the referenced websites is not incorporated by reference into this prospectus.</w:t>
      </w:r>
    </w:p>
    <w:p>
      <w:pPr>
        <w:spacing w:after="0" w:line="1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231F20"/>
        </w:rPr>
        <w:t>Recent Developments</w:t>
      </w:r>
    </w:p>
    <w:p>
      <w:pPr>
        <w:spacing w:after="0" w:line="1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231F20"/>
        </w:rPr>
        <w:t>Concurrent Stock Repurchase</w:t>
      </w:r>
    </w:p>
    <w:p>
      <w:pPr>
        <w:spacing w:after="0" w:line="152" w:lineRule="exact"/>
        <w:rPr>
          <w:sz w:val="20"/>
          <w:szCs w:val="20"/>
          <w:color w:val="auto"/>
        </w:rPr>
      </w:pPr>
    </w:p>
    <w:p>
      <w:pPr>
        <w:jc w:val="both"/>
        <w:ind w:left="1140" w:right="1159" w:firstLine="516"/>
        <w:spacing w:after="0" w:line="268" w:lineRule="auto"/>
        <w:rPr>
          <w:sz w:val="20"/>
          <w:szCs w:val="20"/>
          <w:color w:val="auto"/>
        </w:rPr>
      </w:pPr>
      <w:r>
        <w:rPr>
          <w:rFonts w:ascii="Times New Roman" w:cs="Times New Roman" w:eastAsia="Times New Roman" w:hAnsi="Times New Roman"/>
          <w:sz w:val="14"/>
          <w:szCs w:val="14"/>
          <w:color w:val="231F20"/>
        </w:rPr>
        <w:t>Subject to the completion of this offering, we intend to concurrently purchase from the underwriter, out of the aggregate of 14,999,771 shares of our common stock that are the subject of this offering, 1,026,465 shares of common stock. The price per share to be paid by us will equal the price at which the underwriter will purchase the shares from the selling stockholders in this offering. We intend to fund the Repurchase with cash on hand.</w:t>
      </w:r>
    </w:p>
    <w:p>
      <w:pPr>
        <w:spacing w:after="0" w:line="11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231F20"/>
        </w:rPr>
        <w:t>The Repurchase was reviewed and approved by the audit committee of our Board of Directors in June 2026.</w:t>
      </w:r>
    </w:p>
    <w:p>
      <w:pPr>
        <w:spacing w:after="0" w:line="150" w:lineRule="exact"/>
        <w:rPr>
          <w:sz w:val="20"/>
          <w:szCs w:val="20"/>
          <w:color w:val="auto"/>
        </w:rPr>
      </w:pPr>
    </w:p>
    <w:p>
      <w:pPr>
        <w:jc w:val="both"/>
        <w:ind w:left="1140" w:right="1159" w:firstLine="516"/>
        <w:spacing w:after="0" w:line="292" w:lineRule="auto"/>
        <w:rPr>
          <w:sz w:val="20"/>
          <w:szCs w:val="20"/>
          <w:color w:val="auto"/>
        </w:rPr>
      </w:pPr>
      <w:r>
        <w:rPr>
          <w:rFonts w:ascii="Times New Roman" w:cs="Times New Roman" w:eastAsia="Times New Roman" w:hAnsi="Times New Roman"/>
          <w:sz w:val="14"/>
          <w:szCs w:val="14"/>
          <w:color w:val="231F20"/>
        </w:rPr>
        <w:t>Following the closing of the Repurchase, we intend to cancel the shares we purchase from the underwriter, and those shares of common stock will no longer be outstanding.</w:t>
      </w:r>
    </w:p>
    <w:p>
      <w:pPr>
        <w:spacing w:after="0" w:line="92" w:lineRule="exact"/>
        <w:rPr>
          <w:sz w:val="20"/>
          <w:szCs w:val="20"/>
          <w:color w:val="auto"/>
        </w:rPr>
      </w:pPr>
    </w:p>
    <w:p>
      <w:pPr>
        <w:jc w:val="both"/>
        <w:ind w:left="1140" w:right="1159" w:firstLine="516"/>
        <w:spacing w:after="0" w:line="292" w:lineRule="auto"/>
        <w:rPr>
          <w:sz w:val="20"/>
          <w:szCs w:val="20"/>
          <w:color w:val="auto"/>
        </w:rPr>
      </w:pPr>
      <w:r>
        <w:rPr>
          <w:rFonts w:ascii="Times New Roman" w:cs="Times New Roman" w:eastAsia="Times New Roman" w:hAnsi="Times New Roman"/>
          <w:sz w:val="14"/>
          <w:szCs w:val="14"/>
          <w:color w:val="231F20"/>
        </w:rPr>
        <w:t>The underwriter will not receive any compensation for the shares of common stock being repurchased by us. See “</w:t>
      </w:r>
      <w:r>
        <w:rPr>
          <w:rFonts w:ascii="Times New Roman" w:cs="Times New Roman" w:eastAsia="Times New Roman" w:hAnsi="Times New Roman"/>
          <w:sz w:val="14"/>
          <w:szCs w:val="14"/>
          <w:i w:val="1"/>
          <w:iCs w:val="1"/>
          <w:color w:val="231F20"/>
        </w:rPr>
        <w:t>Underwriting</w:t>
      </w:r>
      <w:r>
        <w:rPr>
          <w:rFonts w:ascii="Times New Roman" w:cs="Times New Roman" w:eastAsia="Times New Roman" w:hAnsi="Times New Roman"/>
          <w:sz w:val="14"/>
          <w:szCs w:val="14"/>
          <w:color w:val="231F20"/>
        </w:rPr>
        <w:t>.”</w:t>
      </w:r>
    </w:p>
    <w:p>
      <w:pPr>
        <w:spacing w:after="0" w:line="124" w:lineRule="exact"/>
        <w:rPr>
          <w:sz w:val="20"/>
          <w:szCs w:val="20"/>
          <w:color w:val="auto"/>
        </w:rPr>
      </w:pPr>
    </w:p>
    <w:p>
      <w:pPr>
        <w:jc w:val="both"/>
        <w:ind w:left="1140" w:right="1159" w:firstLine="516"/>
        <w:spacing w:after="0" w:line="274" w:lineRule="auto"/>
        <w:rPr>
          <w:sz w:val="20"/>
          <w:szCs w:val="20"/>
          <w:color w:val="auto"/>
        </w:rPr>
      </w:pPr>
      <w:r>
        <w:rPr>
          <w:rFonts w:ascii="Times New Roman" w:cs="Times New Roman" w:eastAsia="Times New Roman" w:hAnsi="Times New Roman"/>
          <w:sz w:val="14"/>
          <w:szCs w:val="14"/>
          <w:color w:val="231F20"/>
        </w:rPr>
        <w:t xml:space="preserve">The offering is not conditioned upon the completion of the Repurchase. </w:t>
      </w:r>
      <w:r>
        <w:rPr>
          <w:rFonts w:ascii="Times New Roman" w:cs="Times New Roman" w:eastAsia="Times New Roman" w:hAnsi="Times New Roman"/>
          <w:sz w:val="14"/>
          <w:szCs w:val="14"/>
          <w:color w:val="000000"/>
        </w:rPr>
        <w:t>However, the completion of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Repurchase is contingent on the closing of this offering, and therefore the Repurchase will not be consummated unless and until the closing of this offering occurs.</w:t>
      </w:r>
    </w:p>
    <w:p>
      <w:pPr>
        <w:spacing w:after="0" w:line="114" w:lineRule="exact"/>
        <w:rPr>
          <w:sz w:val="20"/>
          <w:szCs w:val="20"/>
          <w:color w:val="auto"/>
        </w:rPr>
      </w:pPr>
    </w:p>
    <w:p>
      <w:pPr>
        <w:jc w:val="both"/>
        <w:ind w:left="1140" w:right="1159" w:firstLine="516"/>
        <w:spacing w:after="0" w:line="268" w:lineRule="auto"/>
        <w:rPr>
          <w:sz w:val="20"/>
          <w:szCs w:val="20"/>
          <w:color w:val="auto"/>
        </w:rPr>
      </w:pPr>
      <w:r>
        <w:rPr>
          <w:rFonts w:ascii="Times New Roman" w:cs="Times New Roman" w:eastAsia="Times New Roman" w:hAnsi="Times New Roman"/>
          <w:sz w:val="14"/>
          <w:szCs w:val="14"/>
          <w:color w:val="231F20"/>
        </w:rPr>
        <w:t>This description and the other information in this prospectus supplement regarding the Repurchase are included in this prospectus supplement solely for informational purposes. Nothing in this prospectus supplement should be construed as an offer to sell, or the solicitation of an offer to buy, any shares of the common stock subject to the Repurchase. See “</w:t>
      </w:r>
      <w:r>
        <w:rPr>
          <w:rFonts w:ascii="Times New Roman" w:cs="Times New Roman" w:eastAsia="Times New Roman" w:hAnsi="Times New Roman"/>
          <w:sz w:val="14"/>
          <w:szCs w:val="14"/>
          <w:i w:val="1"/>
          <w:iCs w:val="1"/>
          <w:color w:val="231F20"/>
        </w:rPr>
        <w:t>The Repurchase</w:t>
      </w:r>
      <w:r>
        <w:rPr>
          <w:rFonts w:ascii="Times New Roman" w:cs="Times New Roman" w:eastAsia="Times New Roman" w:hAnsi="Times New Roman"/>
          <w:sz w:val="14"/>
          <w:szCs w:val="14"/>
          <w:color w:val="231F20"/>
        </w:rPr>
        <w:t>.”</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330835</wp:posOffset>
            </wp:positionV>
            <wp:extent cx="56038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9" w:name="page10"/>
    <w:bookmarkEnd w:id="9"/>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6879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133975" cy="687959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9019"/>
          </w:cols>
          <w:pgMar w:left="1440" w:top="123" w:right="1440" w:bottom="1440" w:gutter="0" w:footer="0" w:header="0"/>
          <w:type w:val="continuous"/>
        </w:sectPr>
      </w:pPr>
    </w:p>
    <w:p>
      <w:pPr>
        <w:spacing w:after="0" w:line="185" w:lineRule="exact"/>
        <w:rPr>
          <w:sz w:val="20"/>
          <w:szCs w:val="20"/>
          <w:color w:val="auto"/>
        </w:rPr>
      </w:pPr>
    </w:p>
    <w:p>
      <w:pPr>
        <w:ind w:left="1140"/>
        <w:spacing w:after="0" w:line="292" w:lineRule="auto"/>
        <w:rPr>
          <w:sz w:val="20"/>
          <w:szCs w:val="20"/>
          <w:color w:val="auto"/>
        </w:rPr>
      </w:pPr>
      <w:r>
        <w:rPr>
          <w:rFonts w:ascii="Times New Roman" w:cs="Times New Roman" w:eastAsia="Times New Roman" w:hAnsi="Times New Roman"/>
          <w:sz w:val="14"/>
          <w:szCs w:val="14"/>
          <w:color w:val="auto"/>
        </w:rPr>
        <w:t>Common stock offered by the selling stockholders, including pursuant to the Repurchase</w:t>
      </w:r>
    </w:p>
    <w:p>
      <w:pPr>
        <w:spacing w:after="0" w:line="124" w:lineRule="exact"/>
        <w:rPr>
          <w:sz w:val="20"/>
          <w:szCs w:val="20"/>
          <w:color w:val="auto"/>
        </w:rPr>
      </w:pPr>
    </w:p>
    <w:p>
      <w:pPr>
        <w:ind w:left="1140" w:right="40"/>
        <w:spacing w:after="0" w:line="292" w:lineRule="auto"/>
        <w:rPr>
          <w:sz w:val="20"/>
          <w:szCs w:val="20"/>
          <w:color w:val="auto"/>
        </w:rPr>
      </w:pPr>
      <w:r>
        <w:rPr>
          <w:rFonts w:ascii="Times New Roman" w:cs="Times New Roman" w:eastAsia="Times New Roman" w:hAnsi="Times New Roman"/>
          <w:sz w:val="14"/>
          <w:szCs w:val="14"/>
          <w:color w:val="auto"/>
        </w:rPr>
        <w:t>Common stock outstanding prior to the offering and the Repurchase</w:t>
      </w:r>
    </w:p>
    <w:p>
      <w:pPr>
        <w:spacing w:after="0" w:line="124" w:lineRule="exact"/>
        <w:rPr>
          <w:sz w:val="20"/>
          <w:szCs w:val="20"/>
          <w:color w:val="auto"/>
        </w:rPr>
      </w:pPr>
    </w:p>
    <w:p>
      <w:pPr>
        <w:ind w:left="1140"/>
        <w:spacing w:after="0" w:line="292" w:lineRule="auto"/>
        <w:rPr>
          <w:sz w:val="20"/>
          <w:szCs w:val="20"/>
          <w:color w:val="auto"/>
        </w:rPr>
      </w:pPr>
      <w:r>
        <w:rPr>
          <w:rFonts w:ascii="Times New Roman" w:cs="Times New Roman" w:eastAsia="Times New Roman" w:hAnsi="Times New Roman"/>
          <w:sz w:val="14"/>
          <w:szCs w:val="14"/>
          <w:color w:val="auto"/>
        </w:rPr>
        <w:t>Common stock outstanding following the offering and the Repurchase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14,999,771 shares.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197,284,877 shares (as of June 2, 2026).</w:t>
      </w:r>
    </w:p>
    <w:p>
      <w:pPr>
        <w:spacing w:after="0" w:line="354" w:lineRule="exact"/>
        <w:rPr>
          <w:sz w:val="20"/>
          <w:szCs w:val="20"/>
          <w:color w:val="auto"/>
        </w:rPr>
      </w:pPr>
    </w:p>
    <w:p>
      <w:pPr>
        <w:jc w:val="both"/>
        <w:ind w:right="1159"/>
        <w:spacing w:after="0" w:line="268" w:lineRule="auto"/>
        <w:rPr>
          <w:sz w:val="20"/>
          <w:szCs w:val="20"/>
          <w:color w:val="auto"/>
        </w:rPr>
      </w:pPr>
      <w:r>
        <w:rPr>
          <w:rFonts w:ascii="Times New Roman" w:cs="Times New Roman" w:eastAsia="Times New Roman" w:hAnsi="Times New Roman"/>
          <w:sz w:val="14"/>
          <w:szCs w:val="14"/>
          <w:color w:val="auto"/>
        </w:rPr>
        <w:t>196,588,412 shares (as of June 2, 2026, after giving effect to the issuance of 330,000 shares underlying options to be exercised by the management selling stockholders in connection with this offering).</w:t>
      </w:r>
    </w:p>
    <w:p>
      <w:pPr>
        <w:spacing w:after="0" w:line="140" w:lineRule="exact"/>
        <w:rPr>
          <w:sz w:val="20"/>
          <w:szCs w:val="20"/>
          <w:color w:val="auto"/>
        </w:rPr>
      </w:pPr>
    </w:p>
    <w:p>
      <w:pPr>
        <w:sectPr>
          <w:pgSz w:w="11900" w:h="16838" w:orient="portrait"/>
          <w:cols w:equalWidth="0" w:num="2">
            <w:col w:w="4160" w:space="420"/>
            <w:col w:w="4439"/>
          </w:cols>
          <w:pgMar w:left="1440" w:top="123" w:right="1440" w:bottom="1440" w:gutter="0" w:footer="0" w:header="0"/>
          <w:type w:val="continuous"/>
        </w:sectPr>
      </w:pPr>
    </w:p>
    <w:tbl>
      <w:tblPr>
        <w:tblLayout w:type="fixed"/>
        <w:tblInd w:w="120" w:type="dxa"/>
        <w:tblCellMar>
          <w:top w:w="0" w:type="dxa"/>
          <w:left w:w="0" w:type="dxa"/>
          <w:bottom w:w="0" w:type="dxa"/>
          <w:right w:w="0" w:type="dxa"/>
        </w:tblCellMar>
      </w:tblPr>
      <w:tr>
        <w:trPr>
          <w:trHeight w:val="172"/>
        </w:trPr>
        <w:tc>
          <w:tcPr>
            <w:tcW w:w="31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Repurchase</w:t>
            </w: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Subject to the completion of this offering, we intend to</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concurrently purchase from the underwriter, out of the</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aggregate of 14,999,771 shares of our common stock</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that are the subject of this offering, 1,026,465 shares of</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common stock. The price per share to be paid by us will</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equal the price at which the underwriter will purchase</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the shares from the selling stockholders in this offering</w:t>
            </w:r>
          </w:p>
        </w:tc>
      </w:tr>
      <w:tr>
        <w:trPr>
          <w:trHeight w:val="186"/>
        </w:trPr>
        <w:tc>
          <w:tcPr>
            <w:tcW w:w="3120" w:type="dxa"/>
            <w:vAlign w:val="bottom"/>
          </w:tcPr>
          <w:p>
            <w:pPr>
              <w:spacing w:after="0"/>
              <w:rPr>
                <w:sz w:val="16"/>
                <w:szCs w:val="16"/>
                <w:color w:val="auto"/>
              </w:rPr>
            </w:pPr>
          </w:p>
        </w:tc>
        <w:tc>
          <w:tcPr>
            <w:tcW w:w="260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(the “Repurchase”).</w:t>
            </w:r>
          </w:p>
        </w:tc>
        <w:tc>
          <w:tcPr>
            <w:tcW w:w="3060" w:type="dxa"/>
            <w:vAlign w:val="bottom"/>
          </w:tcPr>
          <w:p>
            <w:pPr>
              <w:spacing w:after="0"/>
              <w:rPr>
                <w:sz w:val="16"/>
                <w:szCs w:val="16"/>
                <w:color w:val="auto"/>
              </w:rPr>
            </w:pPr>
          </w:p>
        </w:tc>
      </w:tr>
      <w:tr>
        <w:trPr>
          <w:trHeight w:val="330"/>
        </w:trPr>
        <w:tc>
          <w:tcPr>
            <w:tcW w:w="3120" w:type="dxa"/>
            <w:vAlign w:val="bottom"/>
          </w:tcPr>
          <w:p>
            <w:pPr>
              <w:spacing w:after="0"/>
              <w:rPr>
                <w:sz w:val="24"/>
                <w:szCs w:val="2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The  terms  of  the  Repurchase  were  reviewed  and</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approved by the audit committee of our Board of</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Directors in June 2026. Following the closing of the</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Repurchase, we intend to cancel the shares we purchase</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from the underwriter, and those shares of common stock</w:t>
            </w:r>
          </w:p>
        </w:tc>
      </w:tr>
      <w:tr>
        <w:trPr>
          <w:trHeight w:val="186"/>
        </w:trPr>
        <w:tc>
          <w:tcPr>
            <w:tcW w:w="3120" w:type="dxa"/>
            <w:vAlign w:val="bottom"/>
          </w:tcPr>
          <w:p>
            <w:pPr>
              <w:spacing w:after="0"/>
              <w:rPr>
                <w:sz w:val="16"/>
                <w:szCs w:val="16"/>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will no longer be outstanding.</w:t>
            </w:r>
          </w:p>
        </w:tc>
      </w:tr>
      <w:tr>
        <w:trPr>
          <w:trHeight w:val="328"/>
        </w:trPr>
        <w:tc>
          <w:tcPr>
            <w:tcW w:w="3120" w:type="dxa"/>
            <w:vAlign w:val="bottom"/>
          </w:tcPr>
          <w:p>
            <w:pPr>
              <w:spacing w:after="0"/>
              <w:rPr>
                <w:sz w:val="24"/>
                <w:szCs w:val="2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The offering is not conditioned upon the completion of</w:t>
            </w:r>
          </w:p>
        </w:tc>
      </w:tr>
      <w:tr>
        <w:trPr>
          <w:trHeight w:val="172"/>
        </w:trPr>
        <w:tc>
          <w:tcPr>
            <w:tcW w:w="3120" w:type="dxa"/>
            <w:vAlign w:val="bottom"/>
          </w:tcPr>
          <w:p>
            <w:pPr>
              <w:spacing w:after="0"/>
              <w:rPr>
                <w:sz w:val="14"/>
                <w:szCs w:val="14"/>
                <w:color w:val="auto"/>
              </w:rPr>
            </w:pPr>
          </w:p>
        </w:tc>
        <w:tc>
          <w:tcPr>
            <w:tcW w:w="260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the   Repurchase.</w:t>
            </w:r>
          </w:p>
        </w:tc>
        <w:tc>
          <w:tcPr>
            <w:tcW w:w="306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Recent   Developments—</w:t>
            </w:r>
          </w:p>
        </w:tc>
      </w:tr>
      <w:tr>
        <w:trPr>
          <w:trHeight w:val="188"/>
        </w:trPr>
        <w:tc>
          <w:tcPr>
            <w:tcW w:w="3120" w:type="dxa"/>
            <w:vAlign w:val="bottom"/>
          </w:tcPr>
          <w:p>
            <w:pPr>
              <w:spacing w:after="0"/>
              <w:rPr>
                <w:sz w:val="16"/>
                <w:szCs w:val="16"/>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i w:val="1"/>
                <w:iCs w:val="1"/>
                <w:color w:val="auto"/>
              </w:rPr>
              <w:t>Concurrent Stock Repurchase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 Repurchase</w:t>
            </w:r>
            <w:r>
              <w:rPr>
                <w:rFonts w:ascii="Times New Roman" w:cs="Times New Roman" w:eastAsia="Times New Roman" w:hAnsi="Times New Roman"/>
                <w:sz w:val="14"/>
                <w:szCs w:val="14"/>
                <w:color w:val="auto"/>
              </w:rPr>
              <w:t>.”</w:t>
            </w:r>
          </w:p>
        </w:tc>
      </w:tr>
      <w:tr>
        <w:trPr>
          <w:trHeight w:val="330"/>
        </w:trPr>
        <w:tc>
          <w:tcPr>
            <w:tcW w:w="31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Use of proceeds</w:t>
            </w: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We will not receive any proceeds from the sale of shares</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being sold in this offering other than proceeds received</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in connection with the cash exercise of stock options by</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the management selling stockholders in connection with</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the offering. Other than the foregoing proceeds from the</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cash exercise of stock options, the selling stockholders</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will receive all of the proceeds and bear all commissions</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and discounts, if any, from the sale of our common stock</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pursuant to this prospectus supplement. We will use any</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proceeds received from the exercise of stock options for</w:t>
            </w:r>
          </w:p>
        </w:tc>
      </w:tr>
      <w:tr>
        <w:trPr>
          <w:trHeight w:val="170"/>
        </w:trPr>
        <w:tc>
          <w:tcPr>
            <w:tcW w:w="3120" w:type="dxa"/>
            <w:vAlign w:val="bottom"/>
          </w:tcPr>
          <w:p>
            <w:pPr>
              <w:spacing w:after="0"/>
              <w:rPr>
                <w:sz w:val="14"/>
                <w:szCs w:val="14"/>
                <w:color w:val="auto"/>
              </w:rPr>
            </w:pPr>
          </w:p>
        </w:tc>
        <w:tc>
          <w:tcPr>
            <w:tcW w:w="260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working capital and</w:t>
            </w:r>
          </w:p>
        </w:tc>
        <w:tc>
          <w:tcPr>
            <w:tcW w:w="306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general corporate purposes. See</w:t>
            </w:r>
          </w:p>
        </w:tc>
      </w:tr>
      <w:tr>
        <w:trPr>
          <w:trHeight w:val="188"/>
        </w:trPr>
        <w:tc>
          <w:tcPr>
            <w:tcW w:w="3120" w:type="dxa"/>
            <w:vAlign w:val="bottom"/>
          </w:tcPr>
          <w:p>
            <w:pPr>
              <w:spacing w:after="0"/>
              <w:rPr>
                <w:sz w:val="16"/>
                <w:szCs w:val="16"/>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Selling Stockholders</w:t>
            </w:r>
            <w:r>
              <w:rPr>
                <w:rFonts w:ascii="Times New Roman" w:cs="Times New Roman" w:eastAsia="Times New Roman" w:hAnsi="Times New Roman"/>
                <w:sz w:val="14"/>
                <w:szCs w:val="14"/>
                <w:color w:val="auto"/>
              </w:rPr>
              <w:t>.”</w:t>
            </w:r>
          </w:p>
        </w:tc>
      </w:tr>
      <w:tr>
        <w:trPr>
          <w:trHeight w:val="328"/>
        </w:trPr>
        <w:tc>
          <w:tcPr>
            <w:tcW w:w="31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Risk Factors</w:t>
            </w: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You should carefully read and consider the information</w:t>
            </w:r>
          </w:p>
        </w:tc>
      </w:tr>
      <w:tr>
        <w:trPr>
          <w:trHeight w:val="174"/>
        </w:trPr>
        <w:tc>
          <w:tcPr>
            <w:tcW w:w="3120" w:type="dxa"/>
            <w:vAlign w:val="bottom"/>
          </w:tcPr>
          <w:p>
            <w:pPr>
              <w:spacing w:after="0"/>
              <w:rPr>
                <w:sz w:val="15"/>
                <w:szCs w:val="15"/>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set  forth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herein,  in  the</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accompanying  prospectus  and  in  the  documents</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incorporated by reference herein, including our Annual</w:t>
            </w:r>
          </w:p>
        </w:tc>
      </w:tr>
      <w:tr>
        <w:trPr>
          <w:trHeight w:val="186"/>
        </w:trPr>
        <w:tc>
          <w:tcPr>
            <w:tcW w:w="3120" w:type="dxa"/>
            <w:vAlign w:val="bottom"/>
          </w:tcPr>
          <w:p>
            <w:pPr>
              <w:spacing w:after="0"/>
              <w:rPr>
                <w:sz w:val="16"/>
                <w:szCs w:val="16"/>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Report, before deciding to invest in our common stock.</w:t>
            </w:r>
          </w:p>
        </w:tc>
      </w:tr>
      <w:tr>
        <w:trPr>
          <w:trHeight w:val="330"/>
        </w:trPr>
        <w:tc>
          <w:tcPr>
            <w:tcW w:w="31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Dividend policy</w:t>
            </w: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We do not currently anticipate paying any dividends on</w:t>
            </w:r>
          </w:p>
        </w:tc>
      </w:tr>
      <w:tr>
        <w:trPr>
          <w:trHeight w:val="172"/>
        </w:trPr>
        <w:tc>
          <w:tcPr>
            <w:tcW w:w="3120" w:type="dxa"/>
            <w:vAlign w:val="bottom"/>
          </w:tcPr>
          <w:p>
            <w:pPr>
              <w:spacing w:after="0"/>
              <w:rPr>
                <w:sz w:val="14"/>
                <w:szCs w:val="14"/>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our  common  stock  following  this  offering  or  the</w:t>
            </w:r>
          </w:p>
        </w:tc>
      </w:tr>
      <w:tr>
        <w:trPr>
          <w:trHeight w:val="186"/>
        </w:trPr>
        <w:tc>
          <w:tcPr>
            <w:tcW w:w="3120" w:type="dxa"/>
            <w:vAlign w:val="bottom"/>
          </w:tcPr>
          <w:p>
            <w:pPr>
              <w:spacing w:after="0"/>
              <w:rPr>
                <w:sz w:val="16"/>
                <w:szCs w:val="16"/>
                <w:color w:val="auto"/>
              </w:rPr>
            </w:pPr>
          </w:p>
        </w:tc>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Repurchase and currently expect to retain all future</w:t>
            </w:r>
          </w:p>
        </w:tc>
      </w:tr>
      <w:tr>
        <w:trPr>
          <w:trHeight w:val="515"/>
        </w:trPr>
        <w:tc>
          <w:tcPr>
            <w:tcW w:w="3120" w:type="dxa"/>
            <w:vAlign w:val="bottom"/>
          </w:tcPr>
          <w:p>
            <w:pPr>
              <w:spacing w:after="0"/>
              <w:rPr>
                <w:sz w:val="24"/>
                <w:szCs w:val="24"/>
                <w:color w:val="auto"/>
              </w:rPr>
            </w:pPr>
          </w:p>
        </w:tc>
        <w:tc>
          <w:tcPr>
            <w:tcW w:w="260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S-7</w:t>
            </w:r>
          </w:p>
        </w:tc>
        <w:tc>
          <w:tcPr>
            <w:tcW w:w="3060" w:type="dxa"/>
            <w:vAlign w:val="bottom"/>
          </w:tcPr>
          <w:p>
            <w:pPr>
              <w:spacing w:after="0"/>
              <w:rPr>
                <w:sz w:val="24"/>
                <w:szCs w:val="24"/>
                <w:color w:val="auto"/>
              </w:rPr>
            </w:pPr>
          </w:p>
        </w:tc>
      </w:tr>
      <w:tr>
        <w:trPr>
          <w:trHeight w:val="518"/>
        </w:trPr>
        <w:tc>
          <w:tcPr>
            <w:tcW w:w="31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0" w:name="page11"/>
    <w:bookmarkEnd w:id="10"/>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3258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133975" cy="32588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earnings for use in the operation and expansion of our</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business. Any decision to declare and pay dividends in</w:t>
      </w:r>
    </w:p>
    <w:p>
      <w:pPr>
        <w:spacing w:after="0" w:line="1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the future will be made at the sole discretion of our</w:t>
      </w:r>
    </w:p>
    <w:p>
      <w:pPr>
        <w:spacing w:after="0" w:line="1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Board of Directors and will depend on various factors.</w:t>
      </w:r>
    </w:p>
    <w:p>
      <w:pPr>
        <w:spacing w:after="0" w:line="1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Dividend Policy</w:t>
      </w:r>
      <w:r>
        <w:rPr>
          <w:rFonts w:ascii="Times New Roman" w:cs="Times New Roman" w:eastAsia="Times New Roman" w:hAnsi="Times New Roman"/>
          <w:sz w:val="14"/>
          <w:szCs w:val="14"/>
          <w:color w:val="auto"/>
        </w:rPr>
        <w:t>.”</w:t>
      </w:r>
    </w:p>
    <w:p>
      <w:pPr>
        <w:spacing w:after="0" w:line="169" w:lineRule="exact"/>
        <w:rPr>
          <w:sz w:val="20"/>
          <w:szCs w:val="20"/>
          <w:color w:val="auto"/>
        </w:rPr>
      </w:pPr>
    </w:p>
    <w:p>
      <w:pPr>
        <w:ind w:left="1140"/>
        <w:spacing w:after="0"/>
        <w:tabs>
          <w:tab w:leader="none" w:pos="4560" w:val="left"/>
        </w:tabs>
        <w:rPr>
          <w:sz w:val="20"/>
          <w:szCs w:val="20"/>
          <w:color w:val="auto"/>
        </w:rPr>
      </w:pPr>
      <w:r>
        <w:rPr>
          <w:rFonts w:ascii="Times New Roman" w:cs="Times New Roman" w:eastAsia="Times New Roman" w:hAnsi="Times New Roman"/>
          <w:sz w:val="14"/>
          <w:szCs w:val="14"/>
          <w:color w:val="auto"/>
        </w:rPr>
        <w:t>Nasdaq ticker symbol</w:t>
      </w:r>
      <w:r>
        <w:rPr>
          <w:sz w:val="20"/>
          <w:szCs w:val="20"/>
          <w:color w:val="auto"/>
        </w:rPr>
        <w:tab/>
      </w:r>
      <w:r>
        <w:rPr>
          <w:rFonts w:ascii="Times New Roman" w:cs="Times New Roman" w:eastAsia="Times New Roman" w:hAnsi="Times New Roman"/>
          <w:sz w:val="14"/>
          <w:szCs w:val="14"/>
          <w:color w:val="auto"/>
        </w:rPr>
        <w:t>“BTSG”</w:t>
      </w:r>
    </w:p>
    <w:p>
      <w:pPr>
        <w:spacing w:after="0" w:line="183" w:lineRule="exact"/>
        <w:rPr>
          <w:sz w:val="20"/>
          <w:szCs w:val="20"/>
          <w:color w:val="auto"/>
        </w:rPr>
      </w:pPr>
    </w:p>
    <w:p>
      <w:pPr>
        <w:jc w:val="both"/>
        <w:ind w:left="1140" w:right="1159" w:firstLine="516"/>
        <w:spacing w:after="0" w:line="274" w:lineRule="auto"/>
        <w:rPr>
          <w:sz w:val="20"/>
          <w:szCs w:val="20"/>
          <w:color w:val="auto"/>
        </w:rPr>
      </w:pPr>
      <w:r>
        <w:rPr>
          <w:rFonts w:ascii="Times New Roman" w:cs="Times New Roman" w:eastAsia="Times New Roman" w:hAnsi="Times New Roman"/>
          <w:sz w:val="14"/>
          <w:szCs w:val="14"/>
          <w:color w:val="auto"/>
        </w:rPr>
        <w:t>The number of shares of our common stock to be outstanding after this offering and the Repurchase is based on 197,284,877 shares of our common stock outstanding as of June 2, 2026 and (i) reflects the retirement of 1,026,465 shares of our common stock in the Repurchase and (ii) does not reflect:</w:t>
      </w:r>
    </w:p>
    <w:p>
      <w:pPr>
        <w:spacing w:after="0" w:line="39" w:lineRule="exact"/>
        <w:rPr>
          <w:sz w:val="20"/>
          <w:szCs w:val="20"/>
          <w:color w:val="auto"/>
        </w:rPr>
      </w:pPr>
    </w:p>
    <w:p>
      <w:pPr>
        <w:jc w:val="both"/>
        <w:ind w:left="1600" w:right="1159" w:hanging="200"/>
        <w:spacing w:after="0" w:line="265" w:lineRule="auto"/>
        <w:tabs>
          <w:tab w:leader="none" w:pos="16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13,087,872 shares of common stock issuable upon the exercise of stock options outstanding as of June 2, 2026, (1) of which 8,240,683 were then vested and exercisable (including 330,000 shares of common stock sold by selling stockholders pursuant to this prospectus upon the exercise of options held by such selling stockholders) and (2) of the remaining unvested options, 4,535,494 of which were time-based options and 311,695 of which were performance-based options;</w:t>
      </w:r>
    </w:p>
    <w:p>
      <w:pPr>
        <w:spacing w:after="0" w:line="45" w:lineRule="exact"/>
        <w:rPr>
          <w:rFonts w:ascii="Times New Roman" w:cs="Times New Roman" w:eastAsia="Times New Roman" w:hAnsi="Times New Roman"/>
          <w:sz w:val="14"/>
          <w:szCs w:val="14"/>
          <w:color w:val="auto"/>
        </w:rPr>
      </w:pPr>
    </w:p>
    <w:p>
      <w:pPr>
        <w:ind w:left="1600" w:hanging="200"/>
        <w:spacing w:after="0"/>
        <w:tabs>
          <w:tab w:leader="none" w:pos="16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6,223,627 restricted stock units outstanding as of June 2, 2026;</w:t>
      </w:r>
    </w:p>
    <w:p>
      <w:pPr>
        <w:spacing w:after="0" w:line="96" w:lineRule="exact"/>
        <w:rPr>
          <w:rFonts w:ascii="Times New Roman" w:cs="Times New Roman" w:eastAsia="Times New Roman" w:hAnsi="Times New Roman"/>
          <w:sz w:val="14"/>
          <w:szCs w:val="14"/>
          <w:color w:val="auto"/>
        </w:rPr>
      </w:pPr>
    </w:p>
    <w:p>
      <w:pPr>
        <w:ind w:left="1600" w:right="1159" w:hanging="200"/>
        <w:spacing w:after="0" w:line="292" w:lineRule="auto"/>
        <w:tabs>
          <w:tab w:leader="none" w:pos="16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16,113,185 shares of common stock available for issuance under the BrightSpring Health Services, Inc. 2024 Equity Incentive Plan; and</w:t>
      </w:r>
    </w:p>
    <w:p>
      <w:pPr>
        <w:spacing w:after="0" w:line="27" w:lineRule="exact"/>
        <w:rPr>
          <w:rFonts w:ascii="Times New Roman" w:cs="Times New Roman" w:eastAsia="Times New Roman" w:hAnsi="Times New Roman"/>
          <w:sz w:val="14"/>
          <w:szCs w:val="14"/>
          <w:color w:val="auto"/>
        </w:rPr>
      </w:pPr>
    </w:p>
    <w:p>
      <w:pPr>
        <w:ind w:left="1600" w:hanging="200"/>
        <w:spacing w:after="0"/>
        <w:tabs>
          <w:tab w:leader="none" w:pos="16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issuable upon conversion of 2,843,016 units of the 6.75% tangible equity units.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330835</wp:posOffset>
            </wp:positionV>
            <wp:extent cx="56038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1" w:name="page12"/>
    <w:bookmarkEnd w:id="11"/>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50" w:lineRule="exact"/>
        <w:rPr>
          <w:sz w:val="20"/>
          <w:szCs w:val="20"/>
          <w:color w:val="auto"/>
        </w:rPr>
      </w:pPr>
    </w:p>
    <w:p>
      <w:pPr>
        <w:jc w:val="both"/>
        <w:ind w:left="1160" w:right="1159" w:firstLine="515"/>
        <w:spacing w:after="0" w:line="260"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An investment in our common stock involves risk. You should carefully consider the following risks, as well as the other information included or incorporated by reference in this prospectus supplement and the accompanying prospectus, including the risks and uncertainties discussed under “Risk Factors,” “Management’s Discussion and Analysis of Financial Condition and Results of Operations” and our audited consolidated financial statements and related notes thereto in our </w:t>
      </w:r>
      <w:hyperlink r:id="rId15">
        <w:r>
          <w:rPr>
            <w:rFonts w:ascii="Times New Roman" w:cs="Times New Roman" w:eastAsia="Times New Roman" w:hAnsi="Times New Roman"/>
            <w:sz w:val="14"/>
            <w:szCs w:val="14"/>
            <w:i w:val="1"/>
            <w:iCs w:val="1"/>
            <w:u w:val="single" w:color="auto"/>
            <w:color w:val="0000FF"/>
          </w:rPr>
          <w:t>Annual Report</w:t>
        </w:r>
        <w:r>
          <w:rPr>
            <w:rFonts w:ascii="Times New Roman" w:cs="Times New Roman" w:eastAsia="Times New Roman" w:hAnsi="Times New Roman"/>
            <w:sz w:val="14"/>
            <w:szCs w:val="14"/>
            <w:i w:val="1"/>
            <w:iCs w:val="1"/>
            <w:u w:val="single" w:color="auto"/>
            <w:color w:val="auto"/>
          </w:rPr>
          <w:t xml:space="preserve"> </w:t>
        </w:r>
      </w:hyperlink>
      <w:r>
        <w:rPr>
          <w:rFonts w:ascii="Times New Roman" w:cs="Times New Roman" w:eastAsia="Times New Roman" w:hAnsi="Times New Roman"/>
          <w:sz w:val="14"/>
          <w:szCs w:val="14"/>
          <w:i w:val="1"/>
          <w:iCs w:val="1"/>
          <w:color w:val="auto"/>
        </w:rPr>
        <w:t>which is incorporated by reference in this prospectus supplement and the accompanying prospectus, before investing in our common stock. Any of the following risks could materially and adversely affect our business, financial condition, or results of operations. The selected risks described below or incorporated by reference in this prospectus supplement and the accompanying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Ownership of Our Common Stock</w:t>
      </w:r>
    </w:p>
    <w:p>
      <w:pPr>
        <w:spacing w:after="0" w:line="148" w:lineRule="exact"/>
        <w:rPr>
          <w:sz w:val="20"/>
          <w:szCs w:val="20"/>
          <w:color w:val="auto"/>
        </w:rPr>
      </w:pPr>
    </w:p>
    <w:p>
      <w:pPr>
        <w:jc w:val="both"/>
        <w:ind w:left="1160" w:right="11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Future sales, or the perception of future sales, of equity securities by us or our affiliates, could cause the market price for our common stock to decline.</w:t>
      </w:r>
    </w:p>
    <w:p>
      <w:pPr>
        <w:spacing w:after="0" w:line="87" w:lineRule="exact"/>
        <w:rPr>
          <w:sz w:val="20"/>
          <w:szCs w:val="20"/>
          <w:color w:val="auto"/>
        </w:rPr>
      </w:pPr>
    </w:p>
    <w:p>
      <w:pPr>
        <w:jc w:val="both"/>
        <w:ind w:left="1160" w:right="1159" w:firstLine="515"/>
        <w:spacing w:after="0" w:line="258" w:lineRule="auto"/>
        <w:rPr>
          <w:sz w:val="20"/>
          <w:szCs w:val="20"/>
          <w:color w:val="auto"/>
        </w:rPr>
      </w:pPr>
      <w:r>
        <w:rPr>
          <w:rFonts w:ascii="Times New Roman" w:cs="Times New Roman" w:eastAsia="Times New Roman" w:hAnsi="Times New Roman"/>
          <w:sz w:val="14"/>
          <w:szCs w:val="14"/>
          <w:color w:val="auto"/>
        </w:rPr>
        <w:t>Our directors, officers and affiliates, including the KKR Stockholder, hold substantial amounts of shares of our common stock. As of June 2, 2026, these stockholders beneficially own approximately 110,678,087 shares of our common stock, which represents, in the aggregate, approximately 56.1% of the voting power of our outstanding shares of common stock, and following the consummation of this offering and the Repurchase, will continue to beneficially own approximately 95,678,316 shares of our common stock, which represents, in the aggregate, approximately 48.7% of the voting power of our outstanding shares of common stock. Sales of a substantial number of shares of our common stock in the public market by these stockholders, or the perception that such sales could occur, could substantially decrease the market price of our common stock. We, our directors and executive officers and the selling stockholders will agree, for a period of 45 days after the date of this prospectus supplement, without first obtaining the written consent of the underwriter, not to directly or indirectly sell shares of our common stock and certain other securities held by them, subject to certain exceptions. See “Underwriting” for a description of these agreements. Upon the expiration of the lock-up agreements described above, all of such shares will be eligible for resale in a public market pursuant to Rule 144, subject to our compliance with the public information requirement and, in the case of shares held by our affiliates, to volume, manner of sale and other limitations under Rule 144, or on a registered basis, including pursuant to certain registration rights we have granted to such affiliates.</w:t>
      </w:r>
    </w:p>
    <w:p>
      <w:pPr>
        <w:spacing w:after="0" w:line="132" w:lineRule="exact"/>
        <w:rPr>
          <w:sz w:val="20"/>
          <w:szCs w:val="20"/>
          <w:color w:val="auto"/>
        </w:rPr>
      </w:pPr>
    </w:p>
    <w:p>
      <w:pPr>
        <w:jc w:val="both"/>
        <w:ind w:left="1160" w:right="1159" w:firstLine="515"/>
        <w:spacing w:after="0" w:line="265" w:lineRule="auto"/>
        <w:rPr>
          <w:sz w:val="20"/>
          <w:szCs w:val="20"/>
          <w:color w:val="auto"/>
        </w:rPr>
      </w:pPr>
      <w:r>
        <w:rPr>
          <w:rFonts w:ascii="Times New Roman" w:cs="Times New Roman" w:eastAsia="Times New Roman" w:hAnsi="Times New Roman"/>
          <w:sz w:val="14"/>
          <w:szCs w:val="14"/>
          <w:color w:val="auto"/>
        </w:rPr>
        <w:t>In addition, we and the KKR Stockholder have entered into a management stockholders’ agreement, or Management Stockholders’ Agreement, with certain of our senior executive officers and other employees who made an equity investment in us or were granted equity-based awards. The Management Stockholders’ Agreement imposes significant restrictions on transfers of shares of our common stock and equity awards held by management stockholders.</w:t>
      </w:r>
    </w:p>
    <w:p>
      <w:pPr>
        <w:spacing w:after="0" w:line="110" w:lineRule="exact"/>
        <w:rPr>
          <w:sz w:val="20"/>
          <w:szCs w:val="20"/>
          <w:color w:val="auto"/>
        </w:rPr>
      </w:pPr>
    </w:p>
    <w:p>
      <w:pPr>
        <w:jc w:val="both"/>
        <w:ind w:left="1160" w:right="1159" w:firstLine="515"/>
        <w:spacing w:after="0" w:line="265" w:lineRule="auto"/>
        <w:rPr>
          <w:sz w:val="20"/>
          <w:szCs w:val="20"/>
          <w:color w:val="auto"/>
        </w:rPr>
      </w:pPr>
      <w:r>
        <w:rPr>
          <w:rFonts w:ascii="Times New Roman" w:cs="Times New Roman" w:eastAsia="Times New Roman" w:hAnsi="Times New Roman"/>
          <w:sz w:val="14"/>
          <w:szCs w:val="14"/>
          <w:color w:val="auto"/>
        </w:rPr>
        <w:t>Other than the restrictions described above and restrictions on trading that arise under securities laws (or pursuant to our securities trading policy that is intended to facilitate compliance with securities laws), including the prohibition on trading in securities by or on behalf of a person who is aware of nonpublic material information, we have no restrictions on the right of our employees, directors and officers, and their affiliates, to sell their unrestricted shares of common stock.</w:t>
      </w:r>
    </w:p>
    <w:p>
      <w:pPr>
        <w:spacing w:after="0" w:line="110" w:lineRule="exact"/>
        <w:rPr>
          <w:sz w:val="20"/>
          <w:szCs w:val="20"/>
          <w:color w:val="auto"/>
        </w:rPr>
      </w:pPr>
    </w:p>
    <w:p>
      <w:pPr>
        <w:jc w:val="both"/>
        <w:ind w:left="1160" w:right="1159" w:firstLine="515"/>
        <w:spacing w:after="0" w:line="265" w:lineRule="auto"/>
        <w:rPr>
          <w:sz w:val="20"/>
          <w:szCs w:val="20"/>
          <w:color w:val="auto"/>
        </w:rPr>
      </w:pPr>
      <w:r>
        <w:rPr>
          <w:rFonts w:ascii="Times New Roman" w:cs="Times New Roman" w:eastAsia="Times New Roman" w:hAnsi="Times New Roman"/>
          <w:sz w:val="14"/>
          <w:szCs w:val="14"/>
          <w:color w:val="auto"/>
        </w:rPr>
        <w:t>These factors could also make it more difficult for us to raise additional funds through future offerings of our shares of common stock or other securities. In the future, we may also issue equity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17" w:lineRule="exact"/>
        <w:rPr>
          <w:sz w:val="20"/>
          <w:szCs w:val="20"/>
          <w:color w:val="auto"/>
        </w:rPr>
      </w:pPr>
    </w:p>
    <w:p>
      <w:pPr>
        <w:jc w:val="both"/>
        <w:ind w:left="1160" w:right="11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KKR Stockholder has, and following the offering and the Repurchase, will continue to have, the ability to exert significant influence over us and their interests may conflict with yours in the future.</w:t>
      </w:r>
    </w:p>
    <w:p>
      <w:pPr>
        <w:spacing w:after="0" w:line="8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As of June 2, 2026, the KKR Stockholder beneficially owned approximately 21.2% of the voting power of</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 w:name="page13"/>
    <w:bookmarkEnd w:id="12"/>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160" w:right="1159"/>
        <w:spacing w:after="0" w:line="259" w:lineRule="auto"/>
        <w:rPr>
          <w:sz w:val="20"/>
          <w:szCs w:val="20"/>
          <w:color w:val="auto"/>
        </w:rPr>
      </w:pPr>
      <w:r>
        <w:rPr>
          <w:rFonts w:ascii="Times New Roman" w:cs="Times New Roman" w:eastAsia="Times New Roman" w:hAnsi="Times New Roman"/>
          <w:sz w:val="14"/>
          <w:szCs w:val="14"/>
          <w:color w:val="auto"/>
        </w:rPr>
        <w:t>our common stock, and following this offering and the Repurchase, the KKR Stockholder will beneficially own approximately 13.8% of the voting power of our common stock. Although the KKR Stockholder no longer beneficially owns a majority of our common stock, it will still have the ability to significantly influence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the KKR Stockholder and its affiliates retain significant ownership of us. This concentration of our ownership may delay or deter possible changes in control of the Company, which may reduce the value of an investment in our common stock. So long as the KKR Stockholder and its affiliates continue to own, directly or indirectly, a significant amount of our voting power, the KKR Stockholder may be able to strongly influence or effectively control our decisions, and the KKR Stockholder has the right to nominate individuals to our Board of Directors under the existing stockholders agreement.</w:t>
      </w:r>
    </w:p>
    <w:p>
      <w:pPr>
        <w:spacing w:after="0" w:line="129"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auto"/>
        </w:rPr>
        <w:t>In the ordinary course of their business activities, the KKR Stockholder and its affiliates may engage in activities where their interests conflict with our interests or those of our stockholders. Our second amended and restated certificate of incorporation provides that any of the KKR Stockholder, any of its respective affiliates or any director who is not employed by us or his or her affiliates do not have any duty to refrain from engaging, directly or indirectly, in the same business activities or similar business activities or lines of business in which we operate. The KKR Stockholder and its affiliates also may pursue acquisition opportunities that may be complementary to our business and, as a result, those acquisition opportunities may not be available to us. In addition, the KKR Stockholder and its affiliates may have an interest in pursuing acquisitions, divestitures, and other transactions that, in their judgment, could enhance their investment, even though such transactions might involve risks to you.</w:t>
      </w:r>
    </w:p>
    <w:p>
      <w:pPr>
        <w:spacing w:after="0" w:line="1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 in our organizational documents could delay or prevent a change of control.</w:t>
      </w:r>
    </w:p>
    <w:p>
      <w:pPr>
        <w:spacing w:after="0" w:line="154" w:lineRule="exact"/>
        <w:rPr>
          <w:sz w:val="20"/>
          <w:szCs w:val="20"/>
          <w:color w:val="auto"/>
        </w:rPr>
      </w:pPr>
    </w:p>
    <w:p>
      <w:pPr>
        <w:jc w:val="both"/>
        <w:ind w:left="1160" w:right="1179" w:firstLine="515"/>
        <w:spacing w:after="0" w:line="267" w:lineRule="auto"/>
        <w:rPr>
          <w:sz w:val="20"/>
          <w:szCs w:val="20"/>
          <w:color w:val="auto"/>
        </w:rPr>
      </w:pPr>
      <w:r>
        <w:rPr>
          <w:rFonts w:ascii="Times New Roman" w:cs="Times New Roman" w:eastAsia="Times New Roman" w:hAnsi="Times New Roman"/>
          <w:sz w:val="14"/>
          <w:szCs w:val="14"/>
          <w:color w:val="auto"/>
        </w:rPr>
        <w:t>Certain provisions of our second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29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These provisions provide for, among other things:</w:t>
      </w:r>
    </w:p>
    <w:p>
      <w:pPr>
        <w:spacing w:after="0" w:line="86" w:lineRule="exact"/>
        <w:rPr>
          <w:sz w:val="20"/>
          <w:szCs w:val="20"/>
          <w:color w:val="auto"/>
        </w:rPr>
      </w:pPr>
    </w:p>
    <w:p>
      <w:pPr>
        <w:ind w:left="1660" w:right="115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as a result of which our Board of Directors is divided into three classes, with each class serving for staggered three-year terms;</w:t>
      </w:r>
    </w:p>
    <w:p>
      <w:pPr>
        <w:spacing w:after="0" w:line="2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one or more series of preferred stock;</w:t>
      </w:r>
    </w:p>
    <w:p>
      <w:pPr>
        <w:spacing w:after="0" w:line="86" w:lineRule="exact"/>
        <w:rPr>
          <w:rFonts w:ascii="Times New Roman" w:cs="Times New Roman" w:eastAsia="Times New Roman" w:hAnsi="Times New Roman"/>
          <w:sz w:val="14"/>
          <w:szCs w:val="14"/>
          <w:color w:val="auto"/>
        </w:rPr>
      </w:pPr>
    </w:p>
    <w:p>
      <w:pPr>
        <w:ind w:left="1660" w:right="115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requirements for nominations of directors by stockholders and for stockholders to include matters to be considered at our annual meetings;</w:t>
      </w:r>
    </w:p>
    <w:p>
      <w:pPr>
        <w:spacing w:after="0" w:line="2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limitations on convening special stockholder meetings;</w:t>
      </w:r>
    </w:p>
    <w:p>
      <w:pPr>
        <w:spacing w:after="0" w:line="96"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removal of directors only for cause and only upon the affirmative vote of the holders of at least 66 2/3% of the shares of common stock entitled to vote generally in the election of directors; and</w:t>
      </w:r>
    </w:p>
    <w:p>
      <w:pPr>
        <w:spacing w:after="0" w:line="27" w:lineRule="exact"/>
        <w:rPr>
          <w:rFonts w:ascii="Times New Roman" w:cs="Times New Roman" w:eastAsia="Times New Roman" w:hAnsi="Times New Roman"/>
          <w:sz w:val="14"/>
          <w:szCs w:val="14"/>
          <w:color w:val="auto"/>
        </w:rPr>
      </w:pPr>
    </w:p>
    <w:p>
      <w:pPr>
        <w:ind w:left="1660" w:right="115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certain provisions may be amended only by the affirmative vote of at least 66 2/3% of shares of common stock entitled to vote generally in the election of directors.</w:t>
      </w:r>
    </w:p>
    <w:p>
      <w:pPr>
        <w:spacing w:after="0" w:line="92" w:lineRule="exact"/>
        <w:rPr>
          <w:sz w:val="20"/>
          <w:szCs w:val="20"/>
          <w:color w:val="auto"/>
        </w:rPr>
      </w:pPr>
    </w:p>
    <w:p>
      <w:pPr>
        <w:jc w:val="both"/>
        <w:ind w:left="1160" w:right="1179" w:firstLine="515"/>
        <w:spacing w:after="0" w:line="265" w:lineRule="auto"/>
        <w:rPr>
          <w:sz w:val="20"/>
          <w:szCs w:val="20"/>
          <w:color w:val="auto"/>
        </w:rPr>
      </w:pPr>
      <w:r>
        <w:rPr>
          <w:rFonts w:ascii="Times New Roman" w:cs="Times New Roman" w:eastAsia="Times New Roman" w:hAnsi="Times New Roman"/>
          <w:sz w:val="14"/>
          <w:szCs w:val="14"/>
          <w:color w:val="auto"/>
        </w:rPr>
        <w:t>These anti-takeover provisions could make it more difficult for a third party to acquire us, even if the third party’s offer may be considered beneficial by many of our stockholders. These provisions also may have the effect of preventing changes in our Board of Directors and may make it more difficult to accomplish transactions that stockholders may otherwise deem to be in their best interests. As a result, our stockholders may be limited in their ability to obtain a premium for their shares.</w:t>
      </w:r>
    </w:p>
    <w:p>
      <w:pPr>
        <w:spacing w:after="0" w:line="106" w:lineRule="exact"/>
        <w:rPr>
          <w:sz w:val="20"/>
          <w:szCs w:val="20"/>
          <w:color w:val="auto"/>
        </w:rPr>
      </w:pPr>
    </w:p>
    <w:p>
      <w:pPr>
        <w:jc w:val="both"/>
        <w:ind w:left="1160" w:right="11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Board of Directors is authorized to issue and designate shares of our preferred stock in additional series without stockholder approval.</w:t>
      </w:r>
    </w:p>
    <w:p>
      <w:pPr>
        <w:spacing w:after="0" w:line="98" w:lineRule="exact"/>
        <w:rPr>
          <w:sz w:val="20"/>
          <w:szCs w:val="20"/>
          <w:color w:val="auto"/>
        </w:rPr>
      </w:pPr>
    </w:p>
    <w:p>
      <w:pPr>
        <w:jc w:val="both"/>
        <w:ind w:left="1160" w:right="1159" w:firstLine="515"/>
        <w:spacing w:after="0" w:line="268" w:lineRule="auto"/>
        <w:rPr>
          <w:sz w:val="20"/>
          <w:szCs w:val="20"/>
          <w:color w:val="auto"/>
        </w:rPr>
      </w:pPr>
      <w:r>
        <w:rPr>
          <w:rFonts w:ascii="Times New Roman" w:cs="Times New Roman" w:eastAsia="Times New Roman" w:hAnsi="Times New Roman"/>
          <w:sz w:val="14"/>
          <w:szCs w:val="14"/>
          <w:color w:val="auto"/>
        </w:rPr>
        <w:t>Our certificate of incorporation authorizes our Board of Directors, without the approval of our stockholders, to issue 250,000,000 shares of our preferred stock, subject to limitations prescribed by applicable law, rules and regulations and the provisions of our certificate of incorporation, as shares of preferred stock in series, to establish from time to time the number of shares to be included in each such series and to fix the designation, powers,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 w:name="page14"/>
    <w:bookmarkEnd w:id="13"/>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160" w:right="1159"/>
        <w:spacing w:after="0" w:line="274" w:lineRule="auto"/>
        <w:rPr>
          <w:sz w:val="20"/>
          <w:szCs w:val="20"/>
          <w:color w:val="auto"/>
        </w:rPr>
      </w:pPr>
      <w:r>
        <w:rPr>
          <w:rFonts w:ascii="Times New Roman" w:cs="Times New Roman" w:eastAsia="Times New Roman" w:hAnsi="Times New Roman"/>
          <w:sz w:val="14"/>
          <w:szCs w:val="14"/>
          <w:color w:val="auto"/>
        </w:rPr>
        <w:t>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14" w:lineRule="exact"/>
        <w:rPr>
          <w:sz w:val="20"/>
          <w:szCs w:val="20"/>
          <w:color w:val="auto"/>
        </w:rPr>
      </w:pPr>
    </w:p>
    <w:p>
      <w:pPr>
        <w:jc w:val="both"/>
        <w:ind w:left="1160" w:right="1159" w:firstLine="515"/>
        <w:spacing w:after="0" w:line="274" w:lineRule="auto"/>
        <w:rPr>
          <w:sz w:val="20"/>
          <w:szCs w:val="20"/>
          <w:color w:val="auto"/>
        </w:rPr>
      </w:pPr>
      <w:r>
        <w:rPr>
          <w:rFonts w:ascii="Times New Roman" w:cs="Times New Roman" w:eastAsia="Times New Roman" w:hAnsi="Times New Roman"/>
          <w:sz w:val="14"/>
          <w:szCs w:val="14"/>
          <w:color w:val="auto"/>
        </w:rPr>
        <w:t>As of the date hereof, we have not issued any shares of preferred stock. However, future issuances of preferred stock or the future designation of additional series of preferred stock could also adversely affect holders of our common stock.</w:t>
      </w:r>
    </w:p>
    <w:p>
      <w:pPr>
        <w:spacing w:after="0" w:line="100" w:lineRule="exact"/>
        <w:rPr>
          <w:sz w:val="20"/>
          <w:szCs w:val="20"/>
          <w:color w:val="auto"/>
        </w:rPr>
      </w:pPr>
    </w:p>
    <w:p>
      <w:pPr>
        <w:jc w:val="both"/>
        <w:ind w:left="1160" w:right="11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certificate of incorporation provides, subject to limited exceptions, that the Court of Chancery of the State of Delaware and the federal district courts of the United States of America will be the sole and exclusive forums for certain stockholder litigation matters, which could limit our stockholders’ ability to obtain a favorable judicial forum for disputes with us or our directors, officers, employees or stockholders.</w:t>
      </w:r>
    </w:p>
    <w:p>
      <w:pPr>
        <w:spacing w:after="0" w:line="106"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auto"/>
        </w:rPr>
        <w:t>Our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125" w:lineRule="exact"/>
        <w:rPr>
          <w:sz w:val="20"/>
          <w:szCs w:val="20"/>
          <w:color w:val="auto"/>
        </w:rPr>
      </w:pPr>
    </w:p>
    <w:p>
      <w:pPr>
        <w:jc w:val="both"/>
        <w:ind w:left="1160" w:right="1159" w:firstLine="515"/>
        <w:spacing w:after="0" w:line="262" w:lineRule="auto"/>
        <w:rPr>
          <w:sz w:val="20"/>
          <w:szCs w:val="20"/>
          <w:color w:val="auto"/>
        </w:rPr>
      </w:pPr>
      <w:r>
        <w:rPr>
          <w:rFonts w:ascii="Times New Roman" w:cs="Times New Roman" w:eastAsia="Times New Roman" w:hAnsi="Times New Roman"/>
          <w:sz w:val="14"/>
          <w:szCs w:val="14"/>
          <w:color w:val="auto"/>
        </w:rPr>
        <w:t>Our certificate of incorporation further provides that, to the fullest extent permitted by law, the federal district courts of the United States of America will be the exclusive forum for resolving any complaint asserting a cause of action arising under the United States federal securities laws. While the Delaware Supreme Court has 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will not be deemed to have waived our compliance with these laws, rules and regulations.</w:t>
      </w:r>
    </w:p>
    <w:p>
      <w:pPr>
        <w:spacing w:after="0" w:line="112"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shares of our capital stock shall be deemed to have notice of and consented to the forum provisions in our certificate of incorporation. These choice of forum provisions may limit a stockholder’s ability to bring a claim in a judicial forum that it finds favorable for disputes with us or any of our directors, officers, other employees or stockholders which may discourage lawsuits with respect to such claims. It is possible that these exclusive forum provisions may be challenged in court and may be deemed unenforceable in whole or in part. If a court were to find the choice of forum provisions contained in our certificate of incorporation to be inapplicable or unenforceable with respect to one or more of the specified types of actions or proceedings, we may incur additional costs associated with resolving such action in other jurisdictions, which could harm our business, operating results and financial condition.</w:t>
      </w:r>
    </w:p>
    <w:p>
      <w:pPr>
        <w:spacing w:after="0" w:line="112" w:lineRule="exact"/>
        <w:rPr>
          <w:sz w:val="20"/>
          <w:szCs w:val="20"/>
          <w:color w:val="auto"/>
        </w:rPr>
      </w:pPr>
    </w:p>
    <w:p>
      <w:pPr>
        <w:jc w:val="both"/>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stock price may change significantly, and you may not be able to resell shares of our common stock at or above the price you paid or at all, and you could lose all or part of your investment as a result.</w:t>
      </w:r>
    </w:p>
    <w:p>
      <w:pPr>
        <w:spacing w:after="0" w:line="98" w:lineRule="exact"/>
        <w:rPr>
          <w:sz w:val="20"/>
          <w:szCs w:val="20"/>
          <w:color w:val="auto"/>
        </w:rPr>
      </w:pPr>
    </w:p>
    <w:p>
      <w:pPr>
        <w:jc w:val="both"/>
        <w:ind w:left="1160" w:right="1159" w:firstLine="515"/>
        <w:spacing w:after="0" w:line="259" w:lineRule="auto"/>
        <w:rPr>
          <w:sz w:val="20"/>
          <w:szCs w:val="20"/>
          <w:color w:val="auto"/>
        </w:rPr>
      </w:pPr>
      <w:r>
        <w:rPr>
          <w:rFonts w:ascii="Times New Roman" w:cs="Times New Roman" w:eastAsia="Times New Roman" w:hAnsi="Times New Roman"/>
          <w:sz w:val="14"/>
          <w:szCs w:val="14"/>
          <w:color w:val="auto"/>
        </w:rPr>
        <w:t>Our common stock has traded on Nasdaq, under the symbol “BTSG,” since January 2024. You may not be able to resell your shares at or above your purchase price due to various factors, including those described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Some factors that may impact our stock price include: results of operations that vary from the expectations of securities analysts and investors or from those of our competitors; changes in expectations as to our future financial performance, including estimates and investment recommendations by securities analysts and investors; changes in market valuations, stock prices, or earnings and other announcements by peer companies or companies in the healthcare sector; announcements by us, our competitors, and our suppliers related to significant contracts, acquisitions, joint ventures, other strategic relationships or capital commitments; investor perceptions of or the investment opportunity associated with our common stock relative to other investment alternatives; the public’s response to press releases, SEC filings or other public announcements by us or third parties, including our filings with the SEC; guidance, if any, that we provide to the public, and any changes in or our failure to meet this guidance; and the development and sustainability of an active trading market for our stock.</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 w:name="page15"/>
    <w:bookmarkEnd w:id="14"/>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160" w:right="1179" w:firstLine="515"/>
        <w:spacing w:after="0" w:line="263" w:lineRule="auto"/>
        <w:rPr>
          <w:sz w:val="20"/>
          <w:szCs w:val="20"/>
          <w:color w:val="auto"/>
        </w:rPr>
      </w:pPr>
      <w:r>
        <w:rPr>
          <w:rFonts w:ascii="Times New Roman" w:cs="Times New Roman" w:eastAsia="Times New Roman" w:hAnsi="Times New Roman"/>
          <w:sz w:val="14"/>
          <w:szCs w:val="14"/>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fluctuations in our stock price may make our stock attractive to momentum, hedge or day-trading investors who often shift funds into and out of stock rapidly, exacerbating price fluctuations in either direction. These fluctuations may adversely affect the trading price or liquidity of our common stock.</w:t>
      </w:r>
    </w:p>
    <w:p>
      <w:pPr>
        <w:spacing w:after="0" w:line="123" w:lineRule="exact"/>
        <w:rPr>
          <w:sz w:val="20"/>
          <w:szCs w:val="20"/>
          <w:color w:val="auto"/>
        </w:rPr>
      </w:pPr>
    </w:p>
    <w:p>
      <w:pPr>
        <w:jc w:val="both"/>
        <w:ind w:left="1160" w:right="1179" w:firstLine="515"/>
        <w:spacing w:after="0" w:line="268" w:lineRule="auto"/>
        <w:rPr>
          <w:sz w:val="20"/>
          <w:szCs w:val="20"/>
          <w:color w:val="auto"/>
        </w:rPr>
      </w:pPr>
      <w:r>
        <w:rPr>
          <w:rFonts w:ascii="Times New Roman" w:cs="Times New Roman" w:eastAsia="Times New Roman" w:hAnsi="Times New Roman"/>
          <w:sz w:val="14"/>
          <w:szCs w:val="14"/>
          <w:color w:val="auto"/>
        </w:rPr>
        <w:t>In the past, following periods of market volatility, or following periods or events unrelated to market volatility, stockholders have instituted securities class action litigation. If we were to become involved in securities litigation, it could have a substantial cost and divert resources and the attention of executive management from our business regardless of the merits or outcome of such litigation.</w:t>
      </w:r>
    </w:p>
    <w:p>
      <w:pPr>
        <w:spacing w:after="0" w:line="104" w:lineRule="exact"/>
        <w:rPr>
          <w:sz w:val="20"/>
          <w:szCs w:val="20"/>
          <w:color w:val="auto"/>
        </w:rPr>
      </w:pPr>
    </w:p>
    <w:p>
      <w:pPr>
        <w:jc w:val="both"/>
        <w:ind w:left="1160" w:right="11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securities analysts do not publish research or reports about our business or if they downgrade our stock or our sector, our stock price and trading volume could decline.</w:t>
      </w:r>
    </w:p>
    <w:p>
      <w:pPr>
        <w:spacing w:after="0" w:line="87" w:lineRule="exact"/>
        <w:rPr>
          <w:sz w:val="20"/>
          <w:szCs w:val="20"/>
          <w:color w:val="auto"/>
        </w:rPr>
      </w:pPr>
    </w:p>
    <w:p>
      <w:pPr>
        <w:jc w:val="both"/>
        <w:ind w:left="1160" w:right="1159" w:firstLine="515"/>
        <w:spacing w:after="0" w:line="263" w:lineRule="auto"/>
        <w:rPr>
          <w:sz w:val="20"/>
          <w:szCs w:val="20"/>
          <w:color w:val="auto"/>
        </w:rPr>
      </w:pPr>
      <w:r>
        <w:rPr>
          <w:rFonts w:ascii="Times New Roman" w:cs="Times New Roman" w:eastAsia="Times New Roman" w:hAnsi="Times New Roman"/>
          <w:sz w:val="14"/>
          <w:szCs w:val="14"/>
          <w:color w:val="auto"/>
        </w:rPr>
        <w:t>The trading market for our common stock will rely in part on the research and reports that industry or financial analysts publish about us or our industry.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19" w:lineRule="exact"/>
        <w:rPr>
          <w:sz w:val="20"/>
          <w:szCs w:val="20"/>
          <w:color w:val="auto"/>
        </w:rPr>
      </w:pPr>
    </w:p>
    <w:p>
      <w:pPr>
        <w:jc w:val="both"/>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87" w:lineRule="exact"/>
        <w:rPr>
          <w:sz w:val="20"/>
          <w:szCs w:val="20"/>
          <w:color w:val="auto"/>
        </w:rPr>
      </w:pPr>
    </w:p>
    <w:p>
      <w:pPr>
        <w:jc w:val="both"/>
        <w:ind w:left="1160" w:right="1159" w:firstLine="515"/>
        <w:spacing w:after="0" w:line="258" w:lineRule="auto"/>
        <w:rPr>
          <w:sz w:val="20"/>
          <w:szCs w:val="20"/>
          <w:color w:val="auto"/>
        </w:rPr>
      </w:pPr>
      <w:r>
        <w:rPr>
          <w:rFonts w:ascii="Times New Roman" w:cs="Times New Roman" w:eastAsia="Times New Roman" w:hAnsi="Times New Roman"/>
          <w:sz w:val="14"/>
          <w:szCs w:val="14"/>
          <w:color w:val="auto"/>
        </w:rPr>
        <w:t>As a public company, we incur significant legal, regulatory, finance, accounting, investor relations and other expenses that we did not incur as a private company, including costs associated with public company reporting requirements. We are also required to comply with, and incur costs associated with such compliance with, the Sarbanes-Oxley Act of 2002 and the Dodd-Frank Wall Street Reform and Consumer Protection Act, as well as rules and regulations implemented by the SEC and Nasdaq. These rules and regulations have increased our legal and financial compliance costs and made some activities more time-consuming and costly. Our management devotes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18" w:lineRule="exact"/>
        <w:rPr>
          <w:sz w:val="20"/>
          <w:szCs w:val="20"/>
          <w:color w:val="auto"/>
        </w:rPr>
      </w:pPr>
    </w:p>
    <w:p>
      <w:pPr>
        <w:jc w:val="both"/>
        <w:ind w:left="1160" w:right="11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requirements to maintain effective internal controls could have a material adverse effect on our business and stock price.</w:t>
      </w:r>
    </w:p>
    <w:p>
      <w:pPr>
        <w:spacing w:after="0" w:line="98" w:lineRule="exact"/>
        <w:rPr>
          <w:sz w:val="20"/>
          <w:szCs w:val="20"/>
          <w:color w:val="auto"/>
        </w:rPr>
      </w:pPr>
    </w:p>
    <w:p>
      <w:pPr>
        <w:jc w:val="both"/>
        <w:ind w:left="1160" w:right="1159" w:firstLine="515"/>
        <w:spacing w:after="0" w:line="258" w:lineRule="auto"/>
        <w:rPr>
          <w:sz w:val="20"/>
          <w:szCs w:val="20"/>
          <w:color w:val="auto"/>
        </w:rPr>
      </w:pPr>
      <w:r>
        <w:rPr>
          <w:rFonts w:ascii="Times New Roman" w:cs="Times New Roman" w:eastAsia="Times New Roman" w:hAnsi="Times New Roman"/>
          <w:sz w:val="14"/>
          <w:szCs w:val="14"/>
          <w:color w:val="auto"/>
        </w:rPr>
        <w:t>As a public company, we have significant requirements for financial reporting and internal controls. The process of maintaining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maintain appropriate internal financial reporting controls and procedures, it could cause us to fail to meet our reporting obligations on a timely basis, result in material misstatements in our consolidated financial statements and harm our results of operations. In addition, we are required, pursuant to Section 404, to furnish annually a report by management on, among other things, the effectiveness of our internal control over financial reporting. This assessment includes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is also required to issue an attestation report on effectiveness of our internal controls in each annual report on Form 10-K.</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 w:name="page16"/>
    <w:bookmarkEnd w:id="15"/>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160" w:right="1159" w:firstLine="515"/>
        <w:spacing w:after="0" w:line="262" w:lineRule="auto"/>
        <w:rPr>
          <w:sz w:val="20"/>
          <w:szCs w:val="20"/>
          <w:color w:val="auto"/>
        </w:rPr>
      </w:pPr>
      <w:r>
        <w:rPr>
          <w:rFonts w:ascii="Times New Roman" w:cs="Times New Roman" w:eastAsia="Times New Roman" w:hAnsi="Times New Roman"/>
          <w:sz w:val="14"/>
          <w:szCs w:val="14"/>
          <w:color w:val="auto"/>
        </w:rPr>
        <w:t>In the future, if we identify a control deficiency that rises to the level of a material weakness in our internal controls over financial reporting, this material weakness may adversely affect our ability to record, process, summarize and report financial information timely and accurately. Any material weaknesses could result in a material misstatement of our annual or quarterly consolidated financial statements or disclosures that may not be prevented or detected. In addition, we may encounter problems or delays in completing the remediation of any deficiencies identified by our independent registered public accounting firm in connection with the issuance of their attestation report.</w:t>
      </w:r>
    </w:p>
    <w:p>
      <w:pPr>
        <w:spacing w:after="0" w:line="123" w:lineRule="exact"/>
        <w:rPr>
          <w:sz w:val="20"/>
          <w:szCs w:val="20"/>
          <w:color w:val="auto"/>
        </w:rPr>
      </w:pPr>
    </w:p>
    <w:p>
      <w:pPr>
        <w:jc w:val="both"/>
        <w:ind w:left="1160" w:right="1159" w:firstLine="515"/>
        <w:spacing w:after="0" w:line="263" w:lineRule="auto"/>
        <w:rPr>
          <w:sz w:val="20"/>
          <w:szCs w:val="20"/>
          <w:color w:val="auto"/>
        </w:rPr>
      </w:pPr>
      <w:r>
        <w:rPr>
          <w:rFonts w:ascii="Times New Roman" w:cs="Times New Roman" w:eastAsia="Times New Roman" w:hAnsi="Times New Roman"/>
          <w:sz w:val="14"/>
          <w:szCs w:val="14"/>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08" w:lineRule="exact"/>
        <w:rPr>
          <w:sz w:val="20"/>
          <w:szCs w:val="20"/>
          <w:color w:val="auto"/>
        </w:rPr>
      </w:pPr>
    </w:p>
    <w:p>
      <w:pPr>
        <w:jc w:val="both"/>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87" w:lineRule="exact"/>
        <w:rPr>
          <w:sz w:val="20"/>
          <w:szCs w:val="20"/>
          <w:color w:val="auto"/>
        </w:rPr>
      </w:pPr>
    </w:p>
    <w:p>
      <w:pPr>
        <w:jc w:val="both"/>
        <w:ind w:left="1160" w:right="1159" w:firstLine="515"/>
        <w:spacing w:after="0" w:line="274" w:lineRule="auto"/>
        <w:rPr>
          <w:sz w:val="20"/>
          <w:szCs w:val="20"/>
          <w:color w:val="auto"/>
        </w:rPr>
      </w:pPr>
      <w:r>
        <w:rPr>
          <w:rFonts w:ascii="Times New Roman" w:cs="Times New Roman" w:eastAsia="Times New Roman" w:hAnsi="Times New Roman"/>
          <w:sz w:val="14"/>
          <w:szCs w:val="14"/>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w:t>
      </w:r>
    </w:p>
    <w:p>
      <w:pPr>
        <w:spacing w:after="0" w:line="1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have no current plans to pay cash dividends on our common stock.</w:t>
      </w:r>
    </w:p>
    <w:p>
      <w:pPr>
        <w:spacing w:after="0" w:line="154" w:lineRule="exact"/>
        <w:rPr>
          <w:sz w:val="20"/>
          <w:szCs w:val="20"/>
          <w:color w:val="auto"/>
        </w:rPr>
      </w:pPr>
    </w:p>
    <w:p>
      <w:pPr>
        <w:jc w:val="both"/>
        <w:ind w:left="1160" w:right="1159" w:firstLine="515"/>
        <w:spacing w:after="0" w:line="262" w:lineRule="auto"/>
        <w:rPr>
          <w:sz w:val="20"/>
          <w:szCs w:val="20"/>
          <w:color w:val="auto"/>
        </w:rPr>
      </w:pPr>
      <w:r>
        <w:rPr>
          <w:rFonts w:ascii="Times New Roman" w:cs="Times New Roman" w:eastAsia="Times New Roman" w:hAnsi="Times New Roman"/>
          <w:sz w:val="14"/>
          <w:szCs w:val="14"/>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facilities and other indebtedness we may incur, and such other factors as our Board of Directors may deem relevant. See “</w:t>
      </w:r>
      <w:r>
        <w:rPr>
          <w:rFonts w:ascii="Times New Roman" w:cs="Times New Roman" w:eastAsia="Times New Roman" w:hAnsi="Times New Roman"/>
          <w:sz w:val="14"/>
          <w:szCs w:val="14"/>
          <w:i w:val="1"/>
          <w:iCs w:val="1"/>
          <w:color w:val="auto"/>
        </w:rPr>
        <w:t>Dividend Policy</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 w:name="page17"/>
    <w:bookmarkEnd w:id="16"/>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REPURCHASE</w:t>
      </w:r>
    </w:p>
    <w:p>
      <w:pPr>
        <w:spacing w:after="0" w:line="185" w:lineRule="exact"/>
        <w:rPr>
          <w:sz w:val="20"/>
          <w:szCs w:val="20"/>
          <w:color w:val="auto"/>
        </w:rPr>
      </w:pPr>
    </w:p>
    <w:p>
      <w:pPr>
        <w:jc w:val="both"/>
        <w:ind w:left="1160" w:right="1159" w:firstLine="515"/>
        <w:spacing w:after="0" w:line="268" w:lineRule="auto"/>
        <w:rPr>
          <w:sz w:val="20"/>
          <w:szCs w:val="20"/>
          <w:color w:val="auto"/>
        </w:rPr>
      </w:pPr>
      <w:r>
        <w:rPr>
          <w:rFonts w:ascii="Times New Roman" w:cs="Times New Roman" w:eastAsia="Times New Roman" w:hAnsi="Times New Roman"/>
          <w:sz w:val="14"/>
          <w:szCs w:val="14"/>
          <w:color w:val="231F20"/>
        </w:rPr>
        <w:t>Subject to the completion of this offering, we intend to concurrently purchase from the underwriter, out of the aggregate of 14,999,771 shares of our common stock that are the subject of this offering, 1,026,465 shares of common stock. The price per share to be paid by us will equal the price at which the underwriter will purchase the shares from the selling stockholders in this offering. We intend to fund the Repurchase with cash on hand</w:t>
      </w:r>
      <w:r>
        <w:rPr>
          <w:rFonts w:ascii="Times New Roman" w:cs="Times New Roman" w:eastAsia="Times New Roman" w:hAnsi="Times New Roman"/>
          <w:sz w:val="14"/>
          <w:szCs w:val="14"/>
          <w:color w:val="000000"/>
        </w:rPr>
        <w:t>.</w:t>
      </w:r>
    </w:p>
    <w:p>
      <w:pPr>
        <w:spacing w:after="0" w:line="10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231F20"/>
        </w:rPr>
        <w:t>The Repurchase was reviewed and approved by the audit committee of our Board of Directors in June</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231F20"/>
        </w:rPr>
        <w:t>2026.</w:t>
      </w:r>
    </w:p>
    <w:p>
      <w:pPr>
        <w:spacing w:after="0" w:line="147" w:lineRule="exact"/>
        <w:rPr>
          <w:sz w:val="20"/>
          <w:szCs w:val="20"/>
          <w:color w:val="auto"/>
        </w:rPr>
      </w:pPr>
    </w:p>
    <w:p>
      <w:pPr>
        <w:jc w:val="both"/>
        <w:ind w:left="1160" w:right="1179" w:firstLine="515"/>
        <w:spacing w:after="0" w:line="292" w:lineRule="auto"/>
        <w:rPr>
          <w:sz w:val="20"/>
          <w:szCs w:val="20"/>
          <w:color w:val="auto"/>
        </w:rPr>
      </w:pPr>
      <w:r>
        <w:rPr>
          <w:rFonts w:ascii="Times New Roman" w:cs="Times New Roman" w:eastAsia="Times New Roman" w:hAnsi="Times New Roman"/>
          <w:sz w:val="14"/>
          <w:szCs w:val="14"/>
          <w:color w:val="231F20"/>
        </w:rPr>
        <w:t>Following the closing of the Repurchase, we intend to cancel the shares we purchase from the underwriter, and those shares of common stock will no longer be outstanding.</w:t>
      </w:r>
    </w:p>
    <w:p>
      <w:pPr>
        <w:spacing w:after="0" w:line="124" w:lineRule="exact"/>
        <w:rPr>
          <w:sz w:val="20"/>
          <w:szCs w:val="20"/>
          <w:color w:val="auto"/>
        </w:rPr>
      </w:pPr>
    </w:p>
    <w:p>
      <w:pPr>
        <w:jc w:val="both"/>
        <w:ind w:left="1160" w:right="1159" w:firstLine="515"/>
        <w:spacing w:after="0" w:line="292" w:lineRule="auto"/>
        <w:rPr>
          <w:sz w:val="20"/>
          <w:szCs w:val="20"/>
          <w:color w:val="auto"/>
        </w:rPr>
      </w:pPr>
      <w:r>
        <w:rPr>
          <w:rFonts w:ascii="Times New Roman" w:cs="Times New Roman" w:eastAsia="Times New Roman" w:hAnsi="Times New Roman"/>
          <w:sz w:val="14"/>
          <w:szCs w:val="14"/>
          <w:color w:val="auto"/>
        </w:rPr>
        <w:t>The underwriter will not receive any compensation for the shares being repurchased by us pursuant to the Repurchase. 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both"/>
        <w:ind w:left="1160" w:right="1179" w:firstLine="515"/>
        <w:spacing w:after="0" w:line="274" w:lineRule="auto"/>
        <w:rPr>
          <w:sz w:val="20"/>
          <w:szCs w:val="20"/>
          <w:color w:val="auto"/>
        </w:rPr>
      </w:pPr>
      <w:r>
        <w:rPr>
          <w:rFonts w:ascii="Times New Roman" w:cs="Times New Roman" w:eastAsia="Times New Roman" w:hAnsi="Times New Roman"/>
          <w:sz w:val="14"/>
          <w:szCs w:val="14"/>
          <w:color w:val="auto"/>
        </w:rPr>
        <w:t>The offering is not conditioned upon the completion of the Repurchase. However, the completion of the Repurchase is contingent on the closing of this offering, and therefore the Repurchase will not be consummated unless and until the closing of this offering occurs.</w:t>
      </w:r>
    </w:p>
    <w:p>
      <w:pPr>
        <w:spacing w:after="0" w:line="136" w:lineRule="exact"/>
        <w:rPr>
          <w:sz w:val="20"/>
          <w:szCs w:val="20"/>
          <w:color w:val="auto"/>
        </w:rPr>
      </w:pPr>
    </w:p>
    <w:p>
      <w:pPr>
        <w:jc w:val="both"/>
        <w:ind w:left="1160" w:right="1159" w:firstLine="515"/>
        <w:spacing w:after="0" w:line="268" w:lineRule="auto"/>
        <w:rPr>
          <w:sz w:val="20"/>
          <w:szCs w:val="20"/>
          <w:color w:val="auto"/>
        </w:rPr>
      </w:pPr>
      <w:r>
        <w:rPr>
          <w:rFonts w:ascii="Times New Roman" w:cs="Times New Roman" w:eastAsia="Times New Roman" w:hAnsi="Times New Roman"/>
          <w:sz w:val="14"/>
          <w:szCs w:val="14"/>
          <w:color w:val="231F20"/>
        </w:rPr>
        <w:t>This description and the other information in this prospectus supplement regarding the Repurchase are included in this prospectus supplement solely for informational purposes. Nothing in this prospectus supplement should be construed as an offer to sell, or the solicitation of an offer to buy, any shares of the common stock subject to the Repurchase.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 w:name="page18"/>
    <w:bookmarkEnd w:id="17"/>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52" w:lineRule="exact"/>
        <w:rPr>
          <w:sz w:val="20"/>
          <w:szCs w:val="20"/>
          <w:color w:val="auto"/>
        </w:rPr>
      </w:pPr>
    </w:p>
    <w:p>
      <w:pPr>
        <w:jc w:val="both"/>
        <w:ind w:left="1160" w:right="1179" w:firstLine="515"/>
        <w:spacing w:after="0" w:line="261"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and the documents we incorporate by reference herein and therein contain “forward-looking statements” within the meaning of Section 27A of the Securities Act and Section 21E of the Exchange Act, which are subject to the “safe harbor” created by those sections. All statements, other than statements of historical facts included in, or incorporated by reference in, this prospectus, including statements concerning our plans, objectives, goals, beliefs, business strategies, future events, business conditions, results of operations, financial position, business outlook, business trends and other information, may be forward-looking statements. These statements include the preliminary, unaudited financial and other information presented herein.</w:t>
      </w:r>
    </w:p>
    <w:p>
      <w:pPr>
        <w:spacing w:after="0" w:line="124" w:lineRule="exact"/>
        <w:rPr>
          <w:sz w:val="20"/>
          <w:szCs w:val="20"/>
          <w:color w:val="auto"/>
        </w:rPr>
      </w:pPr>
    </w:p>
    <w:p>
      <w:pPr>
        <w:jc w:val="both"/>
        <w:ind w:left="1160" w:right="1159" w:firstLine="515"/>
        <w:spacing w:after="0" w:line="261" w:lineRule="auto"/>
        <w:rPr>
          <w:sz w:val="20"/>
          <w:szCs w:val="20"/>
          <w:color w:val="auto"/>
        </w:rPr>
      </w:pPr>
      <w:r>
        <w:rPr>
          <w:rFonts w:ascii="Times New Roman" w:cs="Times New Roman" w:eastAsia="Times New Roman" w:hAnsi="Times New Roman"/>
          <w:sz w:val="14"/>
          <w:szCs w:val="14"/>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114" w:lineRule="exact"/>
        <w:rPr>
          <w:sz w:val="20"/>
          <w:szCs w:val="20"/>
          <w:color w:val="auto"/>
        </w:rPr>
      </w:pPr>
    </w:p>
    <w:p>
      <w:pPr>
        <w:jc w:val="both"/>
        <w:ind w:left="1160" w:right="1159" w:firstLine="515"/>
        <w:spacing w:after="0" w:line="259" w:lineRule="auto"/>
        <w:rPr>
          <w:rFonts w:ascii="Times New Roman" w:cs="Times New Roman" w:eastAsia="Times New Roman" w:hAnsi="Times New Roman"/>
          <w:sz w:val="14"/>
          <w:szCs w:val="14"/>
          <w:color w:val="000000"/>
        </w:rPr>
      </w:pPr>
      <w:r>
        <w:rPr>
          <w:rFonts w:ascii="Times New Roman" w:cs="Times New Roman" w:eastAsia="Times New Roman" w:hAnsi="Times New Roman"/>
          <w:sz w:val="14"/>
          <w:szCs w:val="14"/>
          <w:color w:val="auto"/>
        </w:rPr>
        <w:t xml:space="preserve">There are a number of risks, uncertainties and other important factors, many of which are beyond our control, that could cause our actual results to differ materially from the forward-looking statements contained in, or incorporated by reference in, this prospectus, including without limitation, for the </w:t>
      </w:r>
      <w:r>
        <w:rPr>
          <w:rFonts w:ascii="Times New Roman" w:cs="Times New Roman" w:eastAsia="Times New Roman" w:hAnsi="Times New Roman"/>
          <w:sz w:val="14"/>
          <w:szCs w:val="14"/>
          <w:color w:val="231F20"/>
        </w:rPr>
        <w:t>preliminary, unaudited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and other information</w:t>
      </w:r>
      <w:r>
        <w:rPr>
          <w:rFonts w:ascii="Times New Roman" w:cs="Times New Roman" w:eastAsia="Times New Roman" w:hAnsi="Times New Roman"/>
          <w:sz w:val="14"/>
          <w:szCs w:val="14"/>
          <w:color w:val="000000"/>
        </w:rPr>
        <w:t>, in connection with the completion of our financial closing procedures and review of our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financial statements, including the execution of our internal control over financial reporting, and other developments or adjustments that may arise between now and the time the review of our financial statements is completed or the subsequent occurrence or identification of events prior to the formal issuance of our financial results. Such risks, uncertainties and other important factors that could cause actual results to differ include, among others, the risks, uncertainties and factors set forth under the headings “Business,” “Risk Factors,” and “Management’s Discussion and Analysis of Financial Condition and Results of Operations” and elsewhere in our </w:t>
      </w:r>
      <w:hyperlink r:id="rId15">
        <w:r>
          <w:rPr>
            <w:rFonts w:ascii="Times New Roman" w:cs="Times New Roman" w:eastAsia="Times New Roman" w:hAnsi="Times New Roman"/>
            <w:sz w:val="14"/>
            <w:szCs w:val="14"/>
            <w:u w:val="single" w:color="auto"/>
            <w:color w:val="0000FF"/>
          </w:rPr>
          <w:t>Annual Report</w:t>
        </w:r>
      </w:hyperlink>
      <w:r>
        <w:rPr>
          <w:rFonts w:ascii="Times New Roman" w:cs="Times New Roman" w:eastAsia="Times New Roman" w:hAnsi="Times New Roman"/>
          <w:sz w:val="14"/>
          <w:szCs w:val="14"/>
          <w:color w:val="000000"/>
        </w:rPr>
        <w:t>, which is incorporated by reference herein. New risk factors and uncertainties may emerge from time to time, and it is not possible for management to predict all risk factors and uncertainties. Some of the key factors that could cause actual results to differ from our expectations include those described below under “</w:t>
      </w:r>
      <w:r>
        <w:rPr>
          <w:rFonts w:ascii="Times New Roman" w:cs="Times New Roman" w:eastAsia="Times New Roman" w:hAnsi="Times New Roman"/>
          <w:sz w:val="14"/>
          <w:szCs w:val="14"/>
          <w:i w:val="1"/>
          <w:iCs w:val="1"/>
          <w:color w:val="000000"/>
        </w:rPr>
        <w:t>Summary of Risk Factors</w:t>
      </w:r>
      <w:r>
        <w:rPr>
          <w:rFonts w:ascii="Times New Roman" w:cs="Times New Roman" w:eastAsia="Times New Roman" w:hAnsi="Times New Roman"/>
          <w:sz w:val="14"/>
          <w:szCs w:val="14"/>
          <w:color w:val="000000"/>
        </w:rPr>
        <w:t>.”</w:t>
      </w:r>
    </w:p>
    <w:p>
      <w:pPr>
        <w:spacing w:after="0" w:line="115" w:lineRule="exact"/>
        <w:rPr>
          <w:sz w:val="20"/>
          <w:szCs w:val="20"/>
          <w:color w:val="auto"/>
        </w:rPr>
      </w:pPr>
    </w:p>
    <w:p>
      <w:pPr>
        <w:jc w:val="both"/>
        <w:ind w:left="1160" w:right="1159" w:firstLine="515"/>
        <w:spacing w:after="0" w:line="262" w:lineRule="auto"/>
        <w:rPr>
          <w:sz w:val="20"/>
          <w:szCs w:val="20"/>
          <w:color w:val="auto"/>
        </w:rPr>
      </w:pPr>
      <w:r>
        <w:rPr>
          <w:rFonts w:ascii="Times New Roman" w:cs="Times New Roman" w:eastAsia="Times New Roman" w:hAnsi="Times New Roman"/>
          <w:sz w:val="14"/>
          <w:szCs w:val="14"/>
          <w:color w:val="auto"/>
        </w:rPr>
        <w:t>We caution you that the risks, uncertainties, and other factors referenced herein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We undertake no obligation to publicly update or revise any forward-looking statements to reflect subsequent events or circumstances, any change in assumptions, beliefs or expectations or any change in circumstances upon which any such forward-looking statements are based, except as required by law.</w:t>
      </w:r>
    </w:p>
    <w:p>
      <w:pPr>
        <w:spacing w:after="0" w:line="1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52" w:lineRule="exact"/>
        <w:rPr>
          <w:sz w:val="20"/>
          <w:szCs w:val="20"/>
          <w:color w:val="auto"/>
        </w:rPr>
      </w:pPr>
    </w:p>
    <w:p>
      <w:pPr>
        <w:jc w:val="both"/>
        <w:ind w:left="1160" w:right="1159" w:firstLine="515"/>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following is a summary of the principal risks that could materially adversely affect our business, financial condition, results of operations and cash flows. You should read this summary together with the more detailed description of each risk contained in this prospectus supplement or in our </w:t>
      </w:r>
      <w:hyperlink r:id="rId15">
        <w:r>
          <w:rPr>
            <w:rFonts w:ascii="Times New Roman" w:cs="Times New Roman" w:eastAsia="Times New Roman" w:hAnsi="Times New Roman"/>
            <w:sz w:val="14"/>
            <w:szCs w:val="14"/>
            <w:u w:val="single" w:color="auto"/>
            <w:color w:val="0000FF"/>
          </w:rPr>
          <w:t>Annual Report</w:t>
        </w:r>
      </w:hyperlink>
      <w:r>
        <w:rPr>
          <w:rFonts w:ascii="Times New Roman" w:cs="Times New Roman" w:eastAsia="Times New Roman" w:hAnsi="Times New Roman"/>
          <w:sz w:val="14"/>
          <w:szCs w:val="14"/>
          <w:color w:val="auto"/>
        </w:rPr>
        <w:t>, which is incorporated by reference herein, as applicable:</w:t>
      </w:r>
    </w:p>
    <w:p>
      <w:pPr>
        <w:spacing w:after="0" w:line="43" w:lineRule="exact"/>
        <w:rPr>
          <w:sz w:val="20"/>
          <w:szCs w:val="20"/>
          <w:color w:val="auto"/>
        </w:rPr>
      </w:pPr>
    </w:p>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industry;</w:t>
      </w:r>
    </w:p>
    <w:p>
      <w:pPr>
        <w:spacing w:after="0" w:line="86"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maintain relationships with existing patient referral sources or establish new referral sources, our business, financial condition and results of operations could be materially adversely affected;</w:t>
      </w:r>
    </w:p>
    <w:p>
      <w:pPr>
        <w:spacing w:after="0" w:line="37" w:lineRule="exact"/>
        <w:rPr>
          <w:rFonts w:ascii="Times New Roman" w:cs="Times New Roman" w:eastAsia="Times New Roman" w:hAnsi="Times New Roman"/>
          <w:sz w:val="14"/>
          <w:szCs w:val="14"/>
          <w:color w:val="auto"/>
        </w:rPr>
      </w:pPr>
    </w:p>
    <w:p>
      <w:pPr>
        <w:ind w:left="1660" w:right="115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Medicare and Medicaid rates or methods governing Medicare and Medicaid payments for our services could materially adversely affect our business;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 w:name="page19"/>
    <w:bookmarkEnd w:id="18"/>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60" w:right="1179" w:hanging="249"/>
        <w:spacing w:after="0" w:line="292"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containment initiatives of third-party payors, including post-payment audits, could adversely impact our business, financial condition, and results of operations;</w:t>
      </w:r>
    </w:p>
    <w:p>
      <w:pPr>
        <w:spacing w:after="0" w:line="27" w:lineRule="exact"/>
        <w:rPr>
          <w:rFonts w:ascii="Times New Roman" w:cs="Times New Roman" w:eastAsia="Times New Roman" w:hAnsi="Times New Roman"/>
          <w:sz w:val="14"/>
          <w:szCs w:val="14"/>
          <w:color w:val="auto"/>
        </w:rPr>
      </w:pPr>
    </w:p>
    <w:p>
      <w:pPr>
        <w:jc w:val="both"/>
        <w:ind w:left="1660" w:right="1179" w:hanging="249"/>
        <w:spacing w:after="0" w:line="285"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alternative payment models and the transition of Medicaid and Medicare beneficiaries to managed care organizations may limit our market share and could adversely affect our revenues;</w:t>
      </w:r>
    </w:p>
    <w:p>
      <w:pPr>
        <w:spacing w:after="0" w:line="219" w:lineRule="exact"/>
        <w:rPr>
          <w:rFonts w:ascii="Times New Roman" w:cs="Times New Roman" w:eastAsia="Times New Roman" w:hAnsi="Times New Roman"/>
          <w:sz w:val="14"/>
          <w:szCs w:val="14"/>
          <w:color w:val="auto"/>
        </w:rPr>
      </w:pPr>
    </w:p>
    <w:p>
      <w:pPr>
        <w:jc w:val="both"/>
        <w:ind w:left="1660" w:right="1159" w:hanging="249"/>
        <w:spacing w:after="0" w:line="274"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case mix of patients, as well as payor mix and payment methodologies, and decisions and operations of third-party organizations may have a material adverse effect on our business, financial condition, and results of operations;</w:t>
      </w:r>
    </w:p>
    <w:p>
      <w:pPr>
        <w:spacing w:after="0" w:line="39" w:lineRule="exact"/>
        <w:rPr>
          <w:rFonts w:ascii="Times New Roman" w:cs="Times New Roman" w:eastAsia="Times New Roman" w:hAnsi="Times New Roman"/>
          <w:sz w:val="14"/>
          <w:szCs w:val="14"/>
          <w:color w:val="auto"/>
        </w:rPr>
      </w:pPr>
    </w:p>
    <w:p>
      <w:pPr>
        <w:ind w:left="1660" w:right="1159" w:hanging="249"/>
        <w:spacing w:after="0" w:line="292"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reliant on federal and state spending, budget decisions, and continuous governmental operations which may fluctuate under different political conditions;</w:t>
      </w:r>
    </w:p>
    <w:p>
      <w:pPr>
        <w:spacing w:after="0" w:line="27"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drug utilization and/or pricing, PBM contracts, and Medicare Part D/Medicaid reimbursement may negatively impact our profitability;</w:t>
      </w:r>
    </w:p>
    <w:p>
      <w:pPr>
        <w:spacing w:after="0" w:line="27" w:lineRule="exact"/>
        <w:rPr>
          <w:rFonts w:ascii="Times New Roman" w:cs="Times New Roman" w:eastAsia="Times New Roman" w:hAnsi="Times New Roman"/>
          <w:sz w:val="14"/>
          <w:szCs w:val="14"/>
          <w:color w:val="auto"/>
        </w:rPr>
      </w:pPr>
    </w:p>
    <w:p>
      <w:pPr>
        <w:ind w:left="1660" w:right="1159" w:hanging="249"/>
        <w:spacing w:after="0" w:line="292"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relationships with pharmaceutical suppliers, including changes in drug availability or pricing, could adversely affect our business and financial results;</w:t>
      </w:r>
    </w:p>
    <w:p>
      <w:pPr>
        <w:spacing w:after="0" w:line="27"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relies on the continual recruitment and retention of nurses, pharmacists, therapists, caregivers, direct support professionals, and other qualified personnel, including senior management;</w:t>
      </w:r>
    </w:p>
    <w:p>
      <w:pPr>
        <w:spacing w:after="0" w:line="37" w:lineRule="exact"/>
        <w:rPr>
          <w:rFonts w:ascii="Times New Roman" w:cs="Times New Roman" w:eastAsia="Times New Roman" w:hAnsi="Times New Roman"/>
          <w:sz w:val="14"/>
          <w:szCs w:val="14"/>
          <w:color w:val="auto"/>
        </w:rPr>
      </w:pPr>
    </w:p>
    <w:p>
      <w:pPr>
        <w:jc w:val="both"/>
        <w:ind w:left="1660" w:right="1159" w:hanging="249"/>
        <w:spacing w:after="0" w:line="268"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spacing w:after="0" w:line="43"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fluctuate on a quarterly basis;</w:t>
      </w:r>
    </w:p>
    <w:p>
      <w:pPr>
        <w:spacing w:after="0" w:line="86"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harmed by labor relation matters;</w:t>
      </w:r>
    </w:p>
    <w:p>
      <w:pPr>
        <w:spacing w:after="0" w:line="86" w:lineRule="exact"/>
        <w:rPr>
          <w:rFonts w:ascii="Times New Roman" w:cs="Times New Roman" w:eastAsia="Times New Roman" w:hAnsi="Times New Roman"/>
          <w:sz w:val="14"/>
          <w:szCs w:val="14"/>
          <w:color w:val="auto"/>
        </w:rPr>
      </w:pPr>
    </w:p>
    <w:p>
      <w:pPr>
        <w:jc w:val="both"/>
        <w:ind w:left="1660" w:right="1159" w:hanging="249"/>
        <w:spacing w:after="0" w:line="274"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are limited in our ability to control reimbursement rates received for our services, our business could be materially adversely affected if we are not able to maintain or reduce our costs to provide such services;</w:t>
      </w:r>
    </w:p>
    <w:p>
      <w:pPr>
        <w:spacing w:after="0" w:line="39"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collection or non-collection of our accounts receivable, particularly during the business integration process, could adversely affect our business, financial condition, and results of operations;</w:t>
      </w:r>
    </w:p>
    <w:p>
      <w:pPr>
        <w:spacing w:after="0" w:line="27"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growth effectively, we may be unable to execute our business plan, maintain high levels of service and satisfaction, or adequately address competitive challenges;</w:t>
      </w:r>
    </w:p>
    <w:p>
      <w:pPr>
        <w:spacing w:after="0" w:line="37" w:lineRule="exact"/>
        <w:rPr>
          <w:rFonts w:ascii="Times New Roman" w:cs="Times New Roman" w:eastAsia="Times New Roman" w:hAnsi="Times New Roman"/>
          <w:sz w:val="14"/>
          <w:szCs w:val="14"/>
          <w:color w:val="auto"/>
        </w:rPr>
      </w:pPr>
    </w:p>
    <w:p>
      <w:pPr>
        <w:jc w:val="both"/>
        <w:ind w:left="1660" w:right="1159" w:hanging="249"/>
        <w:spacing w:after="0" w:line="268"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strategy is partially dependent upon our ability to identify and successfully complete acquisitions, joint ventures, and other strategic initiatives; any failure by us to manage or integrate acquisitions, divestitures, and other significant transactions successfully may have a material adverse effect on our business, financial condition, and results of operations;</w:t>
      </w:r>
    </w:p>
    <w:p>
      <w:pPr>
        <w:spacing w:after="0" w:line="43"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provide consistently high quality of care, our business will be adversely impacted;</w:t>
      </w:r>
    </w:p>
    <w:p>
      <w:pPr>
        <w:spacing w:after="0" w:line="86"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maintain our corporate reputation, or there is adverse publicity, including negative information on social media, or changes in public perception of our services, our business may suffer;</w:t>
      </w:r>
    </w:p>
    <w:p>
      <w:pPr>
        <w:spacing w:after="0" w:line="27" w:lineRule="exact"/>
        <w:rPr>
          <w:rFonts w:ascii="Times New Roman" w:cs="Times New Roman" w:eastAsia="Times New Roman" w:hAnsi="Times New Roman"/>
          <w:sz w:val="14"/>
          <w:szCs w:val="14"/>
          <w:color w:val="auto"/>
        </w:rPr>
      </w:pPr>
    </w:p>
    <w:p>
      <w:pPr>
        <w:jc w:val="both"/>
        <w:ind w:left="1660" w:right="1159" w:hanging="249"/>
        <w:spacing w:after="0" w:line="268"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existing customers do not continue with or renew their contracts with us, renew at lower fee levels, decline to purchase additional services from us or reduce the services received from us pursuant to those contracts, it could have a material adverse effect on our business, financial condition, and results of operations;</w:t>
      </w:r>
    </w:p>
    <w:p>
      <w:pPr>
        <w:spacing w:after="0" w:line="43" w:lineRule="exact"/>
        <w:rPr>
          <w:rFonts w:ascii="Times New Roman" w:cs="Times New Roman" w:eastAsia="Times New Roman" w:hAnsi="Times New Roman"/>
          <w:sz w:val="14"/>
          <w:szCs w:val="14"/>
          <w:color w:val="auto"/>
        </w:rPr>
      </w:pPr>
    </w:p>
    <w:p>
      <w:pPr>
        <w:jc w:val="both"/>
        <w:ind w:left="1660" w:right="1159" w:hanging="249"/>
        <w:spacing w:after="0" w:line="274"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ability to effectively invest in, implement improvements to, and properly maintain the uninterrupted operation and data integrity of our information technology and other business systems;</w:t>
      </w:r>
    </w:p>
    <w:p>
      <w:pPr>
        <w:spacing w:after="0" w:line="50" w:lineRule="exact"/>
        <w:rPr>
          <w:rFonts w:ascii="Times New Roman" w:cs="Times New Roman" w:eastAsia="Times New Roman" w:hAnsi="Times New Roman"/>
          <w:sz w:val="14"/>
          <w:szCs w:val="14"/>
          <w:color w:val="auto"/>
        </w:rPr>
      </w:pPr>
    </w:p>
    <w:p>
      <w:pPr>
        <w:jc w:val="both"/>
        <w:ind w:left="1660" w:right="1159" w:hanging="249"/>
        <w:spacing w:after="0" w:line="268"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loss of data, and other disruptions could compromise sensitive business or patient information, cause a loss of confidential patient data, employee data, personal information, or prevent access to critical information and expose us to liability, litigation, and federal and state governmental inquiries and damage our reputation and brand;</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 w:name="page20"/>
    <w:bookmarkEnd w:id="19"/>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related to credit card payments and other payment methods;</w:t>
      </w:r>
    </w:p>
    <w:p>
      <w:pPr>
        <w:spacing w:after="0" w:line="86"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substantial malpractice or other similar claims;</w:t>
      </w:r>
    </w:p>
    <w:p>
      <w:pPr>
        <w:spacing w:after="0" w:line="96" w:lineRule="exact"/>
        <w:rPr>
          <w:rFonts w:ascii="Times New Roman" w:cs="Times New Roman" w:eastAsia="Times New Roman" w:hAnsi="Times New Roman"/>
          <w:sz w:val="14"/>
          <w:szCs w:val="14"/>
          <w:color w:val="auto"/>
        </w:rPr>
      </w:pPr>
    </w:p>
    <w:p>
      <w:pPr>
        <w:jc w:val="both"/>
        <w:ind w:left="1660" w:right="1179" w:hanging="249"/>
        <w:spacing w:after="0" w:line="274"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exposed to various risks related to governmental inquiries, regulatory actions, and whistleblower and other lawsuits that could adversely affect our operating results. Our insurance may not cover all claims against us;</w:t>
      </w:r>
    </w:p>
    <w:p>
      <w:pPr>
        <w:spacing w:after="0" w:line="39" w:lineRule="exact"/>
        <w:rPr>
          <w:rFonts w:ascii="Times New Roman" w:cs="Times New Roman" w:eastAsia="Times New Roman" w:hAnsi="Times New Roman"/>
          <w:sz w:val="14"/>
          <w:szCs w:val="14"/>
          <w:color w:val="auto"/>
        </w:rPr>
      </w:pPr>
    </w:p>
    <w:p>
      <w:pPr>
        <w:jc w:val="both"/>
        <w:ind w:left="1660" w:right="1179" w:hanging="249"/>
        <w:spacing w:after="0" w:line="274"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insurance program may expose us to unexpected costs and negatively affect our business, financial condition, and results of operations, particularly if we incur losses not covered by our insurance or if claims or losses differ from our estimates;</w:t>
      </w:r>
    </w:p>
    <w:p>
      <w:pPr>
        <w:spacing w:after="0" w:line="39"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outside of our control, including those listed, have required, and could in the future require us to record an asset impairment of goodwill;</w:t>
      </w:r>
    </w:p>
    <w:p>
      <w:pPr>
        <w:spacing w:after="0" w:line="27"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pandemic, epidemic, or outbreak of an infectious disease have had, and may continue to have, an adverse effect on our business;</w:t>
      </w:r>
    </w:p>
    <w:p>
      <w:pPr>
        <w:spacing w:after="0" w:line="27"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inclement weather, natural disasters, acts of terrorism, riots, civil insurrection or social unrest, looting, protests, strikes, or street demonstrations may impact our ability to provide services;</w:t>
      </w:r>
    </w:p>
    <w:p>
      <w:pPr>
        <w:spacing w:after="0" w:line="3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adequately protect our intellectual property rights, which could harm our business;</w:t>
      </w:r>
    </w:p>
    <w:p>
      <w:pPr>
        <w:spacing w:after="0" w:line="86"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relating to our compliance with our regulatory framework;</w:t>
      </w:r>
    </w:p>
    <w:p>
      <w:pPr>
        <w:spacing w:after="0" w:line="86"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KKR Stockholder owns, and following the offering and the Repurchase will continue to own, a significant portion of our stock, and its interests may conflict with yours in the future;</w:t>
      </w:r>
    </w:p>
    <w:p>
      <w:pPr>
        <w:spacing w:after="0" w:line="2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of approximately $2.6 billion as of March 31, 2026;</w:t>
      </w:r>
    </w:p>
    <w:p>
      <w:pPr>
        <w:spacing w:after="0" w:line="86" w:lineRule="exact"/>
        <w:rPr>
          <w:rFonts w:ascii="Times New Roman" w:cs="Times New Roman" w:eastAsia="Times New Roman" w:hAnsi="Times New Roman"/>
          <w:sz w:val="14"/>
          <w:szCs w:val="14"/>
          <w:color w:val="auto"/>
        </w:rPr>
      </w:pPr>
    </w:p>
    <w:p>
      <w:pPr>
        <w:jc w:val="both"/>
        <w:ind w:left="1660" w:right="1159" w:hanging="249"/>
        <w:spacing w:after="0" w:line="274"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tax or trade policies, tariffs, or trade relations between the United States and other countries, such as the imposition of unilateral tariffs on imported products, including impacts on imported drug products, could result in supply chain disruptions and significantly increase our costs; and</w:t>
      </w:r>
    </w:p>
    <w:p>
      <w:pPr>
        <w:spacing w:after="0" w:line="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frequency of our stock repurchases, including the Repurchase, may fluctuate.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 w:name="page21"/>
    <w:bookmarkEnd w:id="20"/>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52" w:lineRule="exact"/>
        <w:rPr>
          <w:sz w:val="20"/>
          <w:szCs w:val="20"/>
          <w:color w:val="auto"/>
        </w:rPr>
      </w:pPr>
    </w:p>
    <w:p>
      <w:pPr>
        <w:jc w:val="both"/>
        <w:ind w:left="1160" w:right="1159" w:firstLine="515"/>
        <w:spacing w:after="0" w:line="261" w:lineRule="auto"/>
        <w:rPr>
          <w:sz w:val="20"/>
          <w:szCs w:val="20"/>
          <w:color w:val="auto"/>
        </w:rPr>
      </w:pPr>
      <w:r>
        <w:rPr>
          <w:rFonts w:ascii="Times New Roman" w:cs="Times New Roman" w:eastAsia="Times New Roman" w:hAnsi="Times New Roman"/>
          <w:sz w:val="14"/>
          <w:szCs w:val="14"/>
          <w:color w:val="auto"/>
        </w:rPr>
        <w:t>The selling stockholders will receive all of the net proceeds from the sale of shares of our common stock offered pursuant to this prospectus supplement other than proceeds received in connection with the cash exercise of stock options by the management selling stockholders in connection with the offering. We are not selling any shares of common stock under this prospectus supplement, and, other than the foregoing proceeds from the cash exercise of stock options, we will not receive any proceeds from the sale of shares being sold in this offering. We will use any proceeds received from the exercise of stock options for working capital and general corporate purposes. The selling stockholders will bear the underwriting commissions and discounts, if any, attributable to their sale of our common stock, and we will bear the remaining expenses. See “</w:t>
      </w:r>
      <w:r>
        <w:rPr>
          <w:rFonts w:ascii="Times New Roman" w:cs="Times New Roman" w:eastAsia="Times New Roman" w:hAnsi="Times New Roman"/>
          <w:sz w:val="14"/>
          <w:szCs w:val="14"/>
          <w:i w:val="1"/>
          <w:iCs w:val="1"/>
          <w:color w:val="auto"/>
        </w:rPr>
        <w:t>Selling Stockholders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52"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auto"/>
        </w:rPr>
        <w:t>We do not currently anticipate paying any dividends on our common stock following this offering and the Repurchase and currently expect to retain all future earnings for use in the operation and expansion of our business.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facilities and other indebtedness we may incur, and such other factors as our Board of Directors may deem relevant. If we elect to pay such dividends in the future, we may reduce or discontinue entirely the payment of such dividends at any time.</w:t>
      </w:r>
    </w:p>
    <w:p>
      <w:pPr>
        <w:spacing w:after="0" w:line="116" w:lineRule="exact"/>
        <w:rPr>
          <w:sz w:val="20"/>
          <w:szCs w:val="20"/>
          <w:color w:val="auto"/>
        </w:rPr>
      </w:pPr>
    </w:p>
    <w:p>
      <w:pPr>
        <w:jc w:val="both"/>
        <w:ind w:left="1160" w:right="1159" w:firstLine="515"/>
        <w:spacing w:after="0" w:line="265" w:lineRule="auto"/>
        <w:rPr>
          <w:sz w:val="20"/>
          <w:szCs w:val="20"/>
          <w:color w:val="auto"/>
        </w:rPr>
      </w:pPr>
      <w:r>
        <w:rPr>
          <w:rFonts w:ascii="Times New Roman" w:cs="Times New Roman" w:eastAsia="Times New Roman" w:hAnsi="Times New Roman"/>
          <w:sz w:val="14"/>
          <w:szCs w:val="14"/>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future outstanding indebtedness we or our subsidiaries incur. In addition, our ability to pay dividends is limited by covenants in our credit facilities.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 w:name="page22"/>
    <w:bookmarkEnd w:id="21"/>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52" w:lineRule="exact"/>
        <w:rPr>
          <w:sz w:val="20"/>
          <w:szCs w:val="20"/>
          <w:color w:val="auto"/>
        </w:rPr>
      </w:pPr>
    </w:p>
    <w:p>
      <w:pPr>
        <w:jc w:val="both"/>
        <w:ind w:left="1160" w:right="1159" w:firstLine="515"/>
        <w:spacing w:after="0" w:line="263" w:lineRule="auto"/>
        <w:rPr>
          <w:sz w:val="20"/>
          <w:szCs w:val="20"/>
          <w:color w:val="auto"/>
        </w:rPr>
      </w:pPr>
      <w:r>
        <w:rPr>
          <w:rFonts w:ascii="Times New Roman" w:cs="Times New Roman" w:eastAsia="Times New Roman" w:hAnsi="Times New Roman"/>
          <w:sz w:val="14"/>
          <w:szCs w:val="14"/>
          <w:color w:val="auto"/>
        </w:rPr>
        <w:t>The following table and accompanying footnote set forth information regarding the beneficial ownership of the selling stockholders, the number of shares of our common stock offered hereby by the selling stockholders and information with respect to shares to be beneficially owned by the selling stockholders after completion of this offering and the Repurchase. The shares of common stock being offered by the management selling stockholders include shares of common stock issuable to the management selling stockholders upon exercise of vested options held by such selling stockholders.</w:t>
      </w:r>
    </w:p>
    <w:p>
      <w:pPr>
        <w:spacing w:after="0" w:line="123" w:lineRule="exact"/>
        <w:rPr>
          <w:sz w:val="20"/>
          <w:szCs w:val="20"/>
          <w:color w:val="auto"/>
        </w:rPr>
      </w:pPr>
    </w:p>
    <w:p>
      <w:pPr>
        <w:jc w:val="both"/>
        <w:ind w:left="1160" w:right="1159" w:firstLine="515"/>
        <w:spacing w:after="0" w:line="263" w:lineRule="auto"/>
        <w:rPr>
          <w:sz w:val="20"/>
          <w:szCs w:val="20"/>
          <w:color w:val="auto"/>
        </w:rPr>
      </w:pPr>
      <w:r>
        <w:rPr>
          <w:rFonts w:ascii="Times New Roman" w:cs="Times New Roman" w:eastAsia="Times New Roman" w:hAnsi="Times New Roman"/>
          <w:sz w:val="14"/>
          <w:szCs w:val="14"/>
          <w:color w:val="auto"/>
        </w:rPr>
        <w:t>The number of shares and percentages of beneficial ownership provided in the table below are based on the beneficial ownership of the selling stockholders as of June 2, 2026, and is based on 197,284,877 shares of our common stock outstanding as of June 2, 2026. The percentage ownership information shown in this table after this offering and the Repurchase assumes (x) the retirement of 1,026,465 shares of our common stock in the Repurchase and (y) the issuance of 330,000 shares of common stock upon the exercise of stock options by the management selling stockholders in the offering.</w:t>
      </w:r>
    </w:p>
    <w:p>
      <w:pPr>
        <w:spacing w:after="0" w:line="112" w:lineRule="exact"/>
        <w:rPr>
          <w:sz w:val="20"/>
          <w:szCs w:val="20"/>
          <w:color w:val="auto"/>
        </w:rPr>
      </w:pPr>
    </w:p>
    <w:p>
      <w:pPr>
        <w:jc w:val="both"/>
        <w:ind w:left="1160" w:right="1159" w:firstLine="515"/>
        <w:spacing w:after="0" w:line="274" w:lineRule="auto"/>
        <w:rPr>
          <w:sz w:val="20"/>
          <w:szCs w:val="20"/>
          <w:color w:val="auto"/>
        </w:rPr>
      </w:pPr>
      <w:r>
        <w:rPr>
          <w:rFonts w:ascii="Times New Roman" w:cs="Times New Roman" w:eastAsia="Times New Roman" w:hAnsi="Times New Roman"/>
          <w:sz w:val="14"/>
          <w:szCs w:val="14"/>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04" w:lineRule="exact"/>
        <w:rPr>
          <w:sz w:val="20"/>
          <w:szCs w:val="20"/>
          <w:color w:val="auto"/>
        </w:rPr>
      </w:pPr>
    </w:p>
    <w:p>
      <w:pPr>
        <w:jc w:val="both"/>
        <w:ind w:left="1160" w:right="1179" w:firstLine="515"/>
        <w:spacing w:after="0" w:line="274" w:lineRule="auto"/>
        <w:rPr>
          <w:sz w:val="20"/>
          <w:szCs w:val="20"/>
          <w:color w:val="auto"/>
        </w:rPr>
      </w:pPr>
      <w:r>
        <w:rPr>
          <w:rFonts w:ascii="Times New Roman" w:cs="Times New Roman" w:eastAsia="Times New Roman" w:hAnsi="Times New Roman"/>
          <w:sz w:val="14"/>
          <w:szCs w:val="14"/>
          <w:color w:val="auto"/>
        </w:rPr>
        <w:t>To our knowledge, unless otherwise noted in the footnote to the table below, and subject to applicable community property laws, the person named in the table has sole voting and investment power with respect to its beneficially owned common stock.</w:t>
      </w:r>
    </w:p>
    <w:p>
      <w:pPr>
        <w:spacing w:after="0" w:line="123"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1440" w:type="dxa"/>
            <w:vAlign w:val="bottom"/>
          </w:tcPr>
          <w:p>
            <w:pPr>
              <w:spacing w:after="0"/>
              <w:rPr>
                <w:sz w:val="11"/>
                <w:szCs w:val="11"/>
                <w:color w:val="auto"/>
              </w:rPr>
            </w:pP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Shares Beneficially Owned</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 Beneficially Owned</w:t>
            </w: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1660" w:type="dxa"/>
            <w:vAlign w:val="bottom"/>
            <w:gridSpan w:val="4"/>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Prior to the Offering and the</w:t>
            </w:r>
          </w:p>
        </w:tc>
        <w:tc>
          <w:tcPr>
            <w:tcW w:w="1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Shares to be Sold in this Offering</w:t>
            </w:r>
          </w:p>
        </w:tc>
        <w:tc>
          <w:tcPr>
            <w:tcW w:w="120" w:type="dxa"/>
            <w:vAlign w:val="bottom"/>
            <w:vMerge w:val="restart"/>
          </w:tcPr>
          <w:p>
            <w:pPr>
              <w:spacing w:after="0"/>
              <w:rPr>
                <w:sz w:val="10"/>
                <w:szCs w:val="10"/>
                <w:color w:val="auto"/>
              </w:rPr>
            </w:pPr>
          </w:p>
        </w:tc>
        <w:tc>
          <w:tcPr>
            <w:tcW w:w="1780" w:type="dxa"/>
            <w:vAlign w:val="bottom"/>
            <w:gridSpan w:val="4"/>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After the Offering and the</w:t>
            </w:r>
          </w:p>
        </w:tc>
        <w:tc>
          <w:tcPr>
            <w:tcW w:w="0" w:type="dxa"/>
            <w:vAlign w:val="bottom"/>
          </w:tcPr>
          <w:p>
            <w:pPr>
              <w:spacing w:after="0"/>
              <w:rPr>
                <w:sz w:val="1"/>
                <w:szCs w:val="1"/>
                <w:color w:val="auto"/>
              </w:rPr>
            </w:pPr>
          </w:p>
        </w:tc>
      </w:tr>
      <w:tr>
        <w:trPr>
          <w:trHeight w:val="137"/>
        </w:trPr>
        <w:tc>
          <w:tcPr>
            <w:tcW w:w="1440" w:type="dxa"/>
            <w:vAlign w:val="bottom"/>
          </w:tcPr>
          <w:p>
            <w:pPr>
              <w:spacing w:after="0"/>
              <w:rPr>
                <w:sz w:val="11"/>
                <w:szCs w:val="11"/>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Repurchase</w:t>
            </w:r>
          </w:p>
        </w:tc>
        <w:tc>
          <w:tcPr>
            <w:tcW w:w="120" w:type="dxa"/>
            <w:vAlign w:val="bottom"/>
          </w:tcPr>
          <w:p>
            <w:pPr>
              <w:spacing w:after="0"/>
              <w:rPr>
                <w:sz w:val="11"/>
                <w:szCs w:val="11"/>
                <w:color w:val="auto"/>
              </w:rPr>
            </w:pPr>
          </w:p>
        </w:tc>
        <w:tc>
          <w:tcPr>
            <w:tcW w:w="1700" w:type="dxa"/>
            <w:vAlign w:val="bottom"/>
            <w:tcBorders>
              <w:bottom w:val="single" w:sz="8" w:color="auto"/>
            </w:tcBorders>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660" w:type="dxa"/>
            <w:vAlign w:val="bottom"/>
            <w:tcBorders>
              <w:bottom w:val="single" w:sz="8" w:color="auto"/>
            </w:tcBorders>
            <w:gridSpan w:val="3"/>
          </w:tcPr>
          <w:p>
            <w:pPr>
              <w:jc w:val="center"/>
              <w:ind w:left="59"/>
              <w:spacing w:after="0"/>
              <w:rPr>
                <w:sz w:val="20"/>
                <w:szCs w:val="20"/>
                <w:color w:val="auto"/>
              </w:rPr>
            </w:pPr>
            <w:r>
              <w:rPr>
                <w:rFonts w:ascii="Times New Roman" w:cs="Times New Roman" w:eastAsia="Times New Roman" w:hAnsi="Times New Roman"/>
                <w:sz w:val="11"/>
                <w:szCs w:val="11"/>
                <w:b w:val="1"/>
                <w:bCs w:val="1"/>
                <w:color w:val="auto"/>
              </w:rPr>
              <w:t>Repurchase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Total</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Total</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of Total</w:t>
            </w: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720" w:type="dxa"/>
            <w:vAlign w:val="bottom"/>
            <w:vMerge w:val="restart"/>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0" w:type="dxa"/>
            <w:vAlign w:val="bottom"/>
          </w:tcPr>
          <w:p>
            <w:pPr>
              <w:spacing w:after="0"/>
              <w:rPr>
                <w:sz w:val="10"/>
                <w:szCs w:val="10"/>
                <w:color w:val="auto"/>
              </w:rPr>
            </w:pPr>
          </w:p>
        </w:tc>
        <w:tc>
          <w:tcPr>
            <w:tcW w:w="8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Common</w:t>
            </w:r>
          </w:p>
        </w:tc>
        <w:tc>
          <w:tcPr>
            <w:tcW w:w="840" w:type="dxa"/>
            <w:vAlign w:val="bottom"/>
            <w:vMerge w:val="restart"/>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0" w:type="dxa"/>
            <w:vAlign w:val="bottom"/>
          </w:tcPr>
          <w:p>
            <w:pPr>
              <w:spacing w:after="0"/>
              <w:rPr>
                <w:sz w:val="10"/>
                <w:szCs w:val="10"/>
                <w:color w:val="auto"/>
              </w:rPr>
            </w:pPr>
          </w:p>
        </w:tc>
        <w:tc>
          <w:tcPr>
            <w:tcW w:w="9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Common</w:t>
            </w:r>
          </w:p>
        </w:tc>
        <w:tc>
          <w:tcPr>
            <w:tcW w:w="940" w:type="dxa"/>
            <w:vAlign w:val="bottom"/>
            <w:vMerge w:val="restart"/>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0" w:type="dxa"/>
            <w:vAlign w:val="bottom"/>
          </w:tcPr>
          <w:p>
            <w:pPr>
              <w:spacing w:after="0"/>
              <w:rPr>
                <w:sz w:val="10"/>
                <w:szCs w:val="10"/>
                <w:color w:val="auto"/>
              </w:rPr>
            </w:pPr>
          </w:p>
        </w:tc>
        <w:tc>
          <w:tcPr>
            <w:tcW w:w="78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Common</w:t>
            </w:r>
          </w:p>
        </w:tc>
        <w:tc>
          <w:tcPr>
            <w:tcW w:w="0" w:type="dxa"/>
            <w:vAlign w:val="bottom"/>
          </w:tcPr>
          <w:p>
            <w:pPr>
              <w:spacing w:after="0"/>
              <w:rPr>
                <w:sz w:val="1"/>
                <w:szCs w:val="1"/>
                <w:color w:val="auto"/>
              </w:rPr>
            </w:pPr>
          </w:p>
        </w:tc>
      </w:tr>
      <w:tr>
        <w:trPr>
          <w:trHeight w:val="137"/>
        </w:trPr>
        <w:tc>
          <w:tcPr>
            <w:tcW w:w="14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9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0" w:type="dxa"/>
            <w:vAlign w:val="bottom"/>
          </w:tcPr>
          <w:p>
            <w:pPr>
              <w:spacing w:after="0"/>
              <w:rPr>
                <w:sz w:val="1"/>
                <w:szCs w:val="1"/>
                <w:color w:val="auto"/>
              </w:rPr>
            </w:pPr>
          </w:p>
        </w:tc>
      </w:tr>
      <w:tr>
        <w:trPr>
          <w:trHeight w:val="129"/>
        </w:trPr>
        <w:tc>
          <w:tcPr>
            <w:tcW w:w="1440" w:type="dxa"/>
            <w:vAlign w:val="bottom"/>
            <w:shd w:val="clear" w:color="auto" w:fill="CCECFF"/>
          </w:tcPr>
          <w:p>
            <w:pPr>
              <w:spacing w:after="0" w:line="129" w:lineRule="exact"/>
              <w:rPr>
                <w:sz w:val="20"/>
                <w:szCs w:val="20"/>
                <w:color w:val="auto"/>
              </w:rPr>
            </w:pPr>
            <w:r>
              <w:rPr>
                <w:rFonts w:ascii="Times New Roman" w:cs="Times New Roman" w:eastAsia="Times New Roman" w:hAnsi="Times New Roman"/>
                <w:sz w:val="13"/>
                <w:szCs w:val="13"/>
                <w:color w:val="auto"/>
              </w:rPr>
              <w:t>Name of Beneficial</w:t>
            </w:r>
          </w:p>
        </w:tc>
        <w:tc>
          <w:tcPr>
            <w:tcW w:w="720" w:type="dxa"/>
            <w:vAlign w:val="bottom"/>
            <w:tcBorders>
              <w:top w:val="single" w:sz="8" w:color="auto"/>
            </w:tcBorders>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440" w:type="dxa"/>
            <w:vAlign w:val="bottom"/>
            <w:shd w:val="clear" w:color="auto" w:fill="CCECFF"/>
          </w:tcPr>
          <w:p>
            <w:pPr>
              <w:spacing w:after="0" w:line="184" w:lineRule="exact"/>
              <w:rPr>
                <w:sz w:val="20"/>
                <w:szCs w:val="20"/>
                <w:color w:val="auto"/>
              </w:rPr>
            </w:pPr>
            <w:r>
              <w:rPr>
                <w:rFonts w:ascii="Times New Roman" w:cs="Times New Roman" w:eastAsia="Times New Roman" w:hAnsi="Times New Roman"/>
                <w:sz w:val="13"/>
                <w:szCs w:val="13"/>
                <w:color w:val="auto"/>
              </w:rPr>
              <w:t>Owner</w:t>
            </w:r>
            <w:r>
              <w:rPr>
                <w:rFonts w:ascii="Times New Roman" w:cs="Times New Roman" w:eastAsia="Times New Roman" w:hAnsi="Times New Roman"/>
                <w:sz w:val="17"/>
                <w:szCs w:val="17"/>
                <w:color w:val="auto"/>
                <w:vertAlign w:val="superscript"/>
              </w:rPr>
              <w:t>(1)</w:t>
            </w:r>
          </w:p>
        </w:tc>
        <w:tc>
          <w:tcPr>
            <w:tcW w:w="72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6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Selling Stockholders:</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40" w:type="dxa"/>
            <w:vAlign w:val="bottom"/>
            <w:shd w:val="clear" w:color="auto" w:fill="CCECFF"/>
          </w:tcPr>
          <w:p>
            <w:pPr>
              <w:spacing w:after="0" w:line="161" w:lineRule="exact"/>
              <w:rPr>
                <w:sz w:val="20"/>
                <w:szCs w:val="20"/>
                <w:color w:val="auto"/>
              </w:rPr>
            </w:pPr>
            <w:r>
              <w:rPr>
                <w:rFonts w:ascii="Times New Roman" w:cs="Times New Roman" w:eastAsia="Times New Roman" w:hAnsi="Times New Roman"/>
                <w:sz w:val="13"/>
                <w:szCs w:val="13"/>
                <w:color w:val="auto"/>
              </w:rPr>
              <w:t>KKR Stockholder</w:t>
            </w:r>
            <w:r>
              <w:rPr>
                <w:rFonts w:ascii="Times New Roman" w:cs="Times New Roman" w:eastAsia="Times New Roman" w:hAnsi="Times New Roman"/>
                <w:sz w:val="17"/>
                <w:szCs w:val="17"/>
                <w:color w:val="auto"/>
                <w:vertAlign w:val="superscript"/>
              </w:rPr>
              <w:t>(2)</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41,824,259</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21.2%</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14,669,771</w:t>
            </w:r>
          </w:p>
        </w:tc>
        <w:tc>
          <w:tcPr>
            <w:tcW w:w="9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7.4%</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27,154,488</w:t>
            </w:r>
          </w:p>
        </w:tc>
        <w:tc>
          <w:tcPr>
            <w:tcW w:w="8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161"/>
        </w:trPr>
        <w:tc>
          <w:tcPr>
            <w:tcW w:w="1440" w:type="dxa"/>
            <w:vAlign w:val="bottom"/>
          </w:tcPr>
          <w:p>
            <w:pPr>
              <w:spacing w:after="0" w:line="161" w:lineRule="exact"/>
              <w:rPr>
                <w:sz w:val="20"/>
                <w:szCs w:val="20"/>
                <w:color w:val="auto"/>
              </w:rPr>
            </w:pPr>
            <w:r>
              <w:rPr>
                <w:rFonts w:ascii="Times New Roman" w:cs="Times New Roman" w:eastAsia="Times New Roman" w:hAnsi="Times New Roman"/>
                <w:sz w:val="13"/>
                <w:szCs w:val="13"/>
                <w:color w:val="auto"/>
              </w:rPr>
              <w:t>Jon Rousseau</w:t>
            </w:r>
            <w:r>
              <w:rPr>
                <w:rFonts w:ascii="Times New Roman" w:cs="Times New Roman" w:eastAsia="Times New Roman" w:hAnsi="Times New Roman"/>
                <w:sz w:val="17"/>
                <w:szCs w:val="17"/>
                <w:color w:val="auto"/>
                <w:vertAlign w:val="superscript"/>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4,546,599</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260,000</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4,286,599</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61"/>
        </w:trPr>
        <w:tc>
          <w:tcPr>
            <w:tcW w:w="1440" w:type="dxa"/>
            <w:vAlign w:val="bottom"/>
            <w:shd w:val="clear" w:color="auto" w:fill="CCECFF"/>
          </w:tcPr>
          <w:p>
            <w:pPr>
              <w:spacing w:after="0" w:line="161" w:lineRule="exact"/>
              <w:rPr>
                <w:sz w:val="20"/>
                <w:szCs w:val="20"/>
                <w:color w:val="auto"/>
              </w:rPr>
            </w:pPr>
            <w:r>
              <w:rPr>
                <w:rFonts w:ascii="Times New Roman" w:cs="Times New Roman" w:eastAsia="Times New Roman" w:hAnsi="Times New Roman"/>
                <w:sz w:val="13"/>
                <w:szCs w:val="13"/>
                <w:color w:val="auto"/>
              </w:rPr>
              <w:t>Jennifer Phipps</w:t>
            </w:r>
            <w:r>
              <w:rPr>
                <w:rFonts w:ascii="Times New Roman" w:cs="Times New Roman" w:eastAsia="Times New Roman" w:hAnsi="Times New Roman"/>
                <w:sz w:val="17"/>
                <w:szCs w:val="17"/>
                <w:color w:val="auto"/>
                <w:vertAlign w:val="superscript"/>
              </w:rPr>
              <w:t>(4)</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289,133</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9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254,133</w:t>
            </w:r>
          </w:p>
        </w:tc>
        <w:tc>
          <w:tcPr>
            <w:tcW w:w="8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28"/>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Lisa Nalley</w:t>
            </w:r>
            <w:r>
              <w:rPr>
                <w:rFonts w:ascii="Times New Roman" w:cs="Times New Roman" w:eastAsia="Times New Roman" w:hAnsi="Times New Roman"/>
                <w:sz w:val="17"/>
                <w:szCs w:val="17"/>
                <w:color w:val="auto"/>
                <w:vertAlign w:val="superscript"/>
              </w:rPr>
              <w:t>(5)</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196,286</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161,286</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20" w:hanging="267"/>
        <w:spacing w:after="0"/>
        <w:tabs>
          <w:tab w:leader="none" w:pos="1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in the below, the address of each of the individuals named above is: c/o</w:t>
      </w:r>
    </w:p>
    <w:p>
      <w:pPr>
        <w:spacing w:after="0" w:line="24" w:lineRule="exact"/>
        <w:rPr>
          <w:rFonts w:ascii="Times New Roman" w:cs="Times New Roman" w:eastAsia="Times New Roman" w:hAnsi="Times New Roman"/>
          <w:sz w:val="14"/>
          <w:szCs w:val="14"/>
          <w:color w:val="auto"/>
        </w:rPr>
      </w:pPr>
    </w:p>
    <w:p>
      <w:pPr>
        <w:ind w:left="1420" w:right="1159"/>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BrightSpring Health Services, Inc., Attention: Corporate Secretary, 805 N. Whittington Parkway, Louisville, Kentucky 40222.</w:t>
      </w:r>
    </w:p>
    <w:p>
      <w:pPr>
        <w:spacing w:after="0" w:line="50" w:lineRule="exact"/>
        <w:rPr>
          <w:rFonts w:ascii="Times New Roman" w:cs="Times New Roman" w:eastAsia="Times New Roman" w:hAnsi="Times New Roman"/>
          <w:sz w:val="14"/>
          <w:szCs w:val="14"/>
          <w:color w:val="auto"/>
        </w:rPr>
      </w:pPr>
    </w:p>
    <w:p>
      <w:pPr>
        <w:jc w:val="both"/>
        <w:ind w:left="1420" w:right="1159" w:hanging="267"/>
        <w:spacing w:after="0" w:line="261" w:lineRule="auto"/>
        <w:tabs>
          <w:tab w:leader="none" w:pos="1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by KKR Phoenix Aggregator L.P. This amount does not reflect a distribution of up to 400,000 shares of common stock by KKR Phoenix Aggregator L.P. in connection with this offering to its partners in an in-kind distribution. Such in-kind distribution is for the purpose of the ultimate recipients making charitable donations of such shares of common stock.</w:t>
      </w:r>
    </w:p>
    <w:p>
      <w:pPr>
        <w:jc w:val="both"/>
        <w:ind w:left="1420" w:right="1159"/>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KKR Phoenix Aggregator GP LLC, as the general partner of KKR Phoenix Aggregator L.P., KKR Americas Fund XII L.P., as the sole member of KKR Phoenix Aggregator GP LLC, KKR Associates Americas XII L.P., as the general partner of KKR Americas Fund XII L.P., KKR Americas XII Limited, as the general partner of KKR Associates Americas XII L.P., KKR Group Partnership L.P., as the sole shareholder of KKR Americas XII Limited, KKR Group Holdings Corp., as the general partner of KKR Group Partnership L.P., KKR Group Co. Inc., as the sole shareholder of KKR Group Holdings Corp., KKR &amp; Co. Inc., as the sole shareholder of KKR Group Co. Inc.,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identified in this footnote is 30 Hudson Yards, Suite 7500, New York, NY 10001. The principal business address for Mr. Kravis is c/o Kohlberg Kravis Roberts &amp; Co. L.P., is 30 Hudson Yards, Suite 7500, New York, NY 10001. The principal business address of</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 w:name="page23"/>
    <w:bookmarkEnd w:id="22"/>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20" w:right="1159"/>
        <w:spacing w:after="0" w:line="292" w:lineRule="auto"/>
        <w:rPr>
          <w:sz w:val="20"/>
          <w:szCs w:val="20"/>
          <w:color w:val="auto"/>
        </w:rPr>
      </w:pPr>
      <w:r>
        <w:rPr>
          <w:rFonts w:ascii="Times New Roman" w:cs="Times New Roman" w:eastAsia="Times New Roman" w:hAnsi="Times New Roman"/>
          <w:sz w:val="14"/>
          <w:szCs w:val="14"/>
          <w:color w:val="auto"/>
        </w:rPr>
        <w:t>Mr. Roberts is c/o Kohlberg Kravis Roberts &amp; Co. L.P., 2800 Sand Hill Road, Suite 200, Menlo Park, California 94025.</w:t>
      </w:r>
    </w:p>
    <w:p>
      <w:pPr>
        <w:spacing w:after="0" w:line="38" w:lineRule="exact"/>
        <w:rPr>
          <w:sz w:val="20"/>
          <w:szCs w:val="20"/>
          <w:color w:val="auto"/>
        </w:rPr>
      </w:pPr>
    </w:p>
    <w:p>
      <w:pPr>
        <w:jc w:val="both"/>
        <w:ind w:left="1420" w:right="1159" w:hanging="267"/>
        <w:spacing w:after="0" w:line="264" w:lineRule="auto"/>
        <w:tabs>
          <w:tab w:leader="none" w:pos="1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Jon Rousseau is the Chairman, President and Chief Executive Officer of the Company. Shares beneficially owned prior to the offering and the Repurchase consists of (i) 3,420,305 shares of our common stock that Mr. Rousseau has the right to acquire upon the exercise of stock options that are fully vested and exercisable (including stock options held by The Margaret Rousseau Children Trust, which is also a selling stockholder in this transaction), (ii) 875,316 shares of common stock and (iii) 250,978 options and RSUs vesting within 60 days.</w:t>
      </w:r>
    </w:p>
    <w:p>
      <w:pPr>
        <w:spacing w:after="0" w:line="231" w:lineRule="exact"/>
        <w:rPr>
          <w:rFonts w:ascii="Times New Roman" w:cs="Times New Roman" w:eastAsia="Times New Roman" w:hAnsi="Times New Roman"/>
          <w:sz w:val="14"/>
          <w:szCs w:val="14"/>
          <w:color w:val="auto"/>
        </w:rPr>
      </w:pPr>
    </w:p>
    <w:p>
      <w:pPr>
        <w:jc w:val="both"/>
        <w:ind w:left="1420" w:right="1179" w:hanging="267"/>
        <w:spacing w:after="0" w:line="268" w:lineRule="auto"/>
        <w:tabs>
          <w:tab w:leader="none" w:pos="1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Jennifer Phipps is the Executive Vice President and Chief Financial Officer of the Company. Shares beneficially owned prior to the offering consists of (i) 210,392 shares of our common stock that Ms. Phipps has the right to acquire upon the exercise of stock options that are fully vested and exercisable and (ii) 78,741 shares of common stock.</w:t>
      </w:r>
    </w:p>
    <w:p>
      <w:pPr>
        <w:spacing w:after="0" w:line="54" w:lineRule="exact"/>
        <w:rPr>
          <w:rFonts w:ascii="Times New Roman" w:cs="Times New Roman" w:eastAsia="Times New Roman" w:hAnsi="Times New Roman"/>
          <w:sz w:val="14"/>
          <w:szCs w:val="14"/>
          <w:color w:val="auto"/>
        </w:rPr>
      </w:pPr>
    </w:p>
    <w:p>
      <w:pPr>
        <w:jc w:val="both"/>
        <w:ind w:left="1420" w:right="1159" w:hanging="267"/>
        <w:spacing w:after="0" w:line="268" w:lineRule="auto"/>
        <w:tabs>
          <w:tab w:leader="none" w:pos="1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Lisa Nalley is the Chief of Staff and Senior Vice President, Human Resources of the Company. Shares beneficially owned prior to the offering and the Repurchase consists of (i) 148,549 shares of our common stock that Ms. Nalley has the right to acquire upon the exercise of stock options that are fully vested and exercisable and (ii) 47,737 shares of common stock.</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 w:name="page24"/>
    <w:bookmarkEnd w:id="23"/>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CERTAIN UNITED STATES FEDERAL INCOME TAX CONSEQUENCES TO NON-U.S. HOLDERS</w:t>
      </w:r>
    </w:p>
    <w:p>
      <w:pPr>
        <w:spacing w:after="0" w:line="152" w:lineRule="exact"/>
        <w:rPr>
          <w:sz w:val="20"/>
          <w:szCs w:val="20"/>
          <w:color w:val="auto"/>
        </w:rPr>
      </w:pPr>
    </w:p>
    <w:p>
      <w:pPr>
        <w:jc w:val="both"/>
        <w:ind w:left="1160" w:right="1159" w:firstLine="515"/>
        <w:spacing w:after="0" w:line="274" w:lineRule="auto"/>
        <w:rPr>
          <w:sz w:val="20"/>
          <w:szCs w:val="20"/>
          <w:color w:val="auto"/>
        </w:rPr>
      </w:pPr>
      <w:r>
        <w:rPr>
          <w:rFonts w:ascii="Times New Roman" w:cs="Times New Roman" w:eastAsia="Times New Roman" w:hAnsi="Times New Roman"/>
          <w:sz w:val="14"/>
          <w:szCs w:val="14"/>
          <w:color w:val="auto"/>
        </w:rPr>
        <w:t>The following is a summary of certain United States federal income tax consequences of the ownership and disposition of our common stock. This summary deals only with common stock that is held as a capital asset by a non-U.S. holder (as defined below).</w:t>
      </w:r>
    </w:p>
    <w:p>
      <w:pPr>
        <w:spacing w:after="0" w:line="114" w:lineRule="exact"/>
        <w:rPr>
          <w:sz w:val="20"/>
          <w:szCs w:val="20"/>
          <w:color w:val="auto"/>
        </w:rPr>
      </w:pPr>
    </w:p>
    <w:p>
      <w:pPr>
        <w:jc w:val="both"/>
        <w:ind w:left="1160" w:right="1159" w:firstLine="515"/>
        <w:spacing w:after="0" w:line="274" w:lineRule="auto"/>
        <w:rPr>
          <w:sz w:val="20"/>
          <w:szCs w:val="20"/>
          <w:color w:val="auto"/>
        </w:rPr>
      </w:pPr>
      <w:r>
        <w:rPr>
          <w:rFonts w:ascii="Times New Roman" w:cs="Times New Roman" w:eastAsia="Times New Roman" w:hAnsi="Times New Roman"/>
          <w:sz w:val="14"/>
          <w:szCs w:val="14"/>
          <w:color w:val="auto"/>
        </w:rPr>
        <w:t>A “non-U.S. holder” means a beneficial owner of our common stock (other than an entity or arrangement treated as a partnership for United States federal income tax purposes) that is not, for United States federal income tax purposes, any of the following:</w:t>
      </w:r>
    </w:p>
    <w:p>
      <w:pPr>
        <w:spacing w:after="0" w:line="39" w:lineRule="exact"/>
        <w:rPr>
          <w:sz w:val="20"/>
          <w:szCs w:val="20"/>
          <w:color w:val="auto"/>
        </w:rPr>
      </w:pPr>
    </w:p>
    <w:p>
      <w:pPr>
        <w:ind w:left="1700" w:hanging="289"/>
        <w:spacing w:after="0"/>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86" w:lineRule="exact"/>
        <w:rPr>
          <w:rFonts w:ascii="Times New Roman" w:cs="Times New Roman" w:eastAsia="Times New Roman" w:hAnsi="Times New Roman"/>
          <w:sz w:val="14"/>
          <w:szCs w:val="14"/>
          <w:color w:val="auto"/>
        </w:rPr>
      </w:pPr>
    </w:p>
    <w:p>
      <w:pPr>
        <w:jc w:val="both"/>
        <w:ind w:left="1660" w:right="1159" w:hanging="249"/>
        <w:spacing w:after="0" w:line="292" w:lineRule="auto"/>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other entity treated as a corporation for United States federal income tax purposes) created or organized in or under the laws of the United States, any state thereof or the District of Columbia;</w:t>
      </w:r>
    </w:p>
    <w:p>
      <w:pPr>
        <w:spacing w:after="0" w:line="2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United States federal income taxation regardless of its source; or</w:t>
      </w:r>
    </w:p>
    <w:p>
      <w:pPr>
        <w:spacing w:after="0" w:line="86" w:lineRule="exact"/>
        <w:rPr>
          <w:rFonts w:ascii="Times New Roman" w:cs="Times New Roman" w:eastAsia="Times New Roman" w:hAnsi="Times New Roman"/>
          <w:sz w:val="14"/>
          <w:szCs w:val="14"/>
          <w:color w:val="auto"/>
        </w:rPr>
      </w:pPr>
    </w:p>
    <w:p>
      <w:pPr>
        <w:jc w:val="both"/>
        <w:ind w:left="1660" w:right="1159" w:hanging="249"/>
        <w:spacing w:after="0" w:line="271" w:lineRule="auto"/>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292" w:lineRule="exact"/>
        <w:rPr>
          <w:sz w:val="20"/>
          <w:szCs w:val="20"/>
          <w:color w:val="auto"/>
        </w:rPr>
      </w:pPr>
    </w:p>
    <w:p>
      <w:pPr>
        <w:jc w:val="both"/>
        <w:ind w:left="1160" w:right="1159" w:firstLine="515"/>
        <w:spacing w:after="0" w:line="259" w:lineRule="auto"/>
        <w:rPr>
          <w:sz w:val="20"/>
          <w:szCs w:val="20"/>
          <w:color w:val="auto"/>
        </w:rPr>
      </w:pPr>
      <w:r>
        <w:rPr>
          <w:rFonts w:ascii="Times New Roman" w:cs="Times New Roman" w:eastAsia="Times New Roman" w:hAnsi="Times New Roman"/>
          <w:sz w:val="14"/>
          <w:szCs w:val="14"/>
          <w:color w:val="auto"/>
        </w:rPr>
        <w:t>This summary is based upon provisions of the Internal Revenue Code of 1986, as amended, or the Code, and United States Treasury regulations, rulings and judicial decisions as of the date hereof. Those authorities may be changed, perhaps retroactively, so as to result in United States federal income tax consequences different from those summarized below. This summary does not address all of the United States federal income tax consequences that may be relevant to you in light of your particular circumstances, nor does it address the Medicare tax on net investment income, United States federal estate and gift taxes or the effects of any state, local or non-United States tax laws. In addition, it does not represent a detailed description of the United States federal income tax consequences applicable to you if you are subject to special treatment under the United States federal income tax laws (including if you are a United States expatriate, foreign pension fund, “controlled foreign corporation,” “passive foreign investment company” or a partnership or other pass-through entity for United States federal income tax purposes). We cannot assure you that a change in law will not alter significantly the tax considerations that we describe in this summary.</w:t>
      </w:r>
    </w:p>
    <w:p>
      <w:pPr>
        <w:spacing w:after="0" w:line="291" w:lineRule="exact"/>
        <w:rPr>
          <w:sz w:val="20"/>
          <w:szCs w:val="20"/>
          <w:color w:val="auto"/>
        </w:rPr>
      </w:pPr>
    </w:p>
    <w:p>
      <w:pPr>
        <w:jc w:val="both"/>
        <w:ind w:left="1160" w:right="1159" w:firstLine="515"/>
        <w:spacing w:after="0" w:line="268" w:lineRule="auto"/>
        <w:rPr>
          <w:sz w:val="20"/>
          <w:szCs w:val="20"/>
          <w:color w:val="auto"/>
        </w:rPr>
      </w:pPr>
      <w:r>
        <w:rPr>
          <w:rFonts w:ascii="Times New Roman" w:cs="Times New Roman" w:eastAsia="Times New Roman" w:hAnsi="Times New Roman"/>
          <w:sz w:val="14"/>
          <w:szCs w:val="14"/>
          <w:color w:val="auto"/>
        </w:rPr>
        <w:t>If a partnership (or other entity or arrangement treated as a partnership for United States federal income tax purposes) holds our common stock, the tax treatment of a partner generally will depend upon the status of the partner and the activities of the partnership. If you are a partnership or a partner of a partnership considering an investment in our common stock, you should consult your tax advisors.</w:t>
      </w:r>
    </w:p>
    <w:p>
      <w:pPr>
        <w:spacing w:after="0" w:line="106" w:lineRule="exact"/>
        <w:rPr>
          <w:sz w:val="20"/>
          <w:szCs w:val="20"/>
          <w:color w:val="auto"/>
        </w:rPr>
      </w:pPr>
    </w:p>
    <w:p>
      <w:pPr>
        <w:jc w:val="both"/>
        <w:ind w:left="1160" w:right="1159" w:firstLine="515"/>
        <w:spacing w:after="0" w:line="269" w:lineRule="auto"/>
        <w:rPr>
          <w:sz w:val="20"/>
          <w:szCs w:val="20"/>
          <w:color w:val="auto"/>
        </w:rPr>
      </w:pPr>
      <w:r>
        <w:rPr>
          <w:rFonts w:ascii="Times New Roman" w:cs="Times New Roman" w:eastAsia="Times New Roman" w:hAnsi="Times New Roman"/>
          <w:sz w:val="14"/>
          <w:szCs w:val="14"/>
          <w:b w:val="1"/>
          <w:bCs w:val="1"/>
          <w:color w:val="auto"/>
        </w:rPr>
        <w:t>If you are considering the purchase of our common stock, you should consult your own tax advisors concerning the particular United States federal income tax consequences to you of the ownership and disposition of our common stock, as well as the consequences to you arising under other United States federal tax laws and the laws of any other taxing jurisdiction.</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52" w:lineRule="exact"/>
        <w:rPr>
          <w:sz w:val="20"/>
          <w:szCs w:val="20"/>
          <w:color w:val="auto"/>
        </w:rPr>
      </w:pPr>
    </w:p>
    <w:p>
      <w:pPr>
        <w:jc w:val="both"/>
        <w:ind w:left="1160" w:right="1159" w:firstLine="515"/>
        <w:spacing w:after="0" w:line="261" w:lineRule="auto"/>
        <w:rPr>
          <w:sz w:val="20"/>
          <w:szCs w:val="20"/>
          <w:color w:val="auto"/>
        </w:rPr>
      </w:pPr>
      <w:r>
        <w:rPr>
          <w:rFonts w:ascii="Times New Roman" w:cs="Times New Roman" w:eastAsia="Times New Roman" w:hAnsi="Times New Roman"/>
          <w:sz w:val="14"/>
          <w:szCs w:val="14"/>
          <w:color w:val="auto"/>
        </w:rPr>
        <w:t xml:space="preserve">In the event that we make a distribution of cash or other property (other than certain pro rata distributions of our stock) in respect of our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 in the adjusted tax basis of a non-U.S. holder’s common stock, and to the extent the amount of the distribution exceeds a non-U.S. holder’s adjusted tax basis in our common stock, the excess will be treated as gain from the disposition of our common stock (the tax treatment of which is discussed below under “- </w:t>
      </w:r>
      <w:r>
        <w:rPr>
          <w:rFonts w:ascii="Times New Roman" w:cs="Times New Roman" w:eastAsia="Times New Roman" w:hAnsi="Times New Roman"/>
          <w:sz w:val="14"/>
          <w:szCs w:val="14"/>
          <w:i w:val="1"/>
          <w:iCs w:val="1"/>
          <w:color w:val="auto"/>
        </w:rPr>
        <w:t>Gain on Disposition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w:t>
      </w:r>
    </w:p>
    <w:p>
      <w:pPr>
        <w:spacing w:after="0" w:line="285" w:lineRule="exact"/>
        <w:rPr>
          <w:sz w:val="20"/>
          <w:szCs w:val="20"/>
          <w:color w:val="auto"/>
        </w:rPr>
      </w:pPr>
    </w:p>
    <w:p>
      <w:pPr>
        <w:jc w:val="both"/>
        <w:ind w:left="1160" w:right="1159" w:firstLine="515"/>
        <w:spacing w:after="0" w:line="264" w:lineRule="auto"/>
        <w:rPr>
          <w:sz w:val="20"/>
          <w:szCs w:val="20"/>
          <w:color w:val="auto"/>
        </w:rPr>
      </w:pPr>
      <w:r>
        <w:rPr>
          <w:rFonts w:ascii="Times New Roman" w:cs="Times New Roman" w:eastAsia="Times New Roman" w:hAnsi="Times New Roman"/>
          <w:sz w:val="14"/>
          <w:szCs w:val="14"/>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(generally, by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 w:name="page25"/>
    <w:bookmarkEnd w:id="24"/>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160" w:right="1159"/>
        <w:spacing w:after="0" w:line="262" w:lineRule="auto"/>
        <w:rPr>
          <w:sz w:val="20"/>
          <w:szCs w:val="20"/>
          <w:color w:val="auto"/>
        </w:rPr>
      </w:pPr>
      <w:r>
        <w:rPr>
          <w:rFonts w:ascii="Times New Roman" w:cs="Times New Roman" w:eastAsia="Times New Roman" w:hAnsi="Times New Roman"/>
          <w:sz w:val="14"/>
          <w:szCs w:val="14"/>
          <w:color w:val="auto"/>
        </w:rPr>
        <w:t>providing the applicable withholding agent with a properly executed Internal Revenue Service, or the IRS, Form W-8ECI certifying that the dividends are effectively connected with such holder’s conduct of a trade or business in the United States and are includible in such holder’s gross income). Instead, such dividends are subject to United States federal income tax on a net income basis generally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 as adjusted for certain items.</w:t>
      </w:r>
    </w:p>
    <w:p>
      <w:pPr>
        <w:spacing w:after="0" w:line="123" w:lineRule="exact"/>
        <w:rPr>
          <w:sz w:val="20"/>
          <w:szCs w:val="20"/>
          <w:color w:val="auto"/>
        </w:rPr>
      </w:pPr>
    </w:p>
    <w:p>
      <w:pPr>
        <w:jc w:val="both"/>
        <w:ind w:left="1160" w:right="1159" w:firstLine="515"/>
        <w:spacing w:after="0" w:line="261" w:lineRule="auto"/>
        <w:rPr>
          <w:sz w:val="20"/>
          <w:szCs w:val="20"/>
          <w:color w:val="auto"/>
        </w:rPr>
      </w:pPr>
      <w:r>
        <w:rPr>
          <w:rFonts w:ascii="Times New Roman" w:cs="Times New Roman" w:eastAsia="Times New Roman" w:hAnsi="Times New Roman"/>
          <w:sz w:val="14"/>
          <w:szCs w:val="14"/>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United States person as defined under the Code and is eligible for treaty benefits or</w:t>
      </w:r>
    </w:p>
    <w:p>
      <w:pPr>
        <w:spacing w:after="0" w:line="1" w:lineRule="exact"/>
        <w:rPr>
          <w:sz w:val="20"/>
          <w:szCs w:val="20"/>
          <w:color w:val="auto"/>
        </w:rPr>
      </w:pPr>
    </w:p>
    <w:p>
      <w:pPr>
        <w:jc w:val="both"/>
        <w:ind w:left="1160" w:right="1159" w:hanging="7"/>
        <w:spacing w:after="0" w:line="264" w:lineRule="auto"/>
        <w:tabs>
          <w:tab w:leader="none" w:pos="140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10" w:lineRule="exact"/>
        <w:rPr>
          <w:sz w:val="20"/>
          <w:szCs w:val="20"/>
          <w:color w:val="auto"/>
        </w:rPr>
      </w:pPr>
    </w:p>
    <w:p>
      <w:pPr>
        <w:jc w:val="both"/>
        <w:ind w:left="1160" w:right="1179" w:firstLine="515"/>
        <w:spacing w:after="0" w:line="274" w:lineRule="auto"/>
        <w:rPr>
          <w:sz w:val="20"/>
          <w:szCs w:val="20"/>
          <w:color w:val="auto"/>
        </w:rPr>
      </w:pPr>
      <w:r>
        <w:rPr>
          <w:rFonts w:ascii="Times New Roman" w:cs="Times New Roman" w:eastAsia="Times New Roman" w:hAnsi="Times New Roman"/>
          <w:sz w:val="14"/>
          <w:szCs w:val="14"/>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Gain on Disposition of Common Stock</w:t>
      </w:r>
    </w:p>
    <w:p>
      <w:pPr>
        <w:spacing w:after="0" w:line="163" w:lineRule="exact"/>
        <w:rPr>
          <w:sz w:val="20"/>
          <w:szCs w:val="20"/>
          <w:color w:val="auto"/>
        </w:rPr>
      </w:pPr>
    </w:p>
    <w:p>
      <w:pPr>
        <w:jc w:val="both"/>
        <w:ind w:left="1160" w:right="1159" w:firstLine="515"/>
        <w:spacing w:after="0" w:line="292" w:lineRule="auto"/>
        <w:rPr>
          <w:sz w:val="20"/>
          <w:szCs w:val="20"/>
          <w:color w:val="auto"/>
        </w:rPr>
      </w:pPr>
      <w:r>
        <w:rPr>
          <w:rFonts w:ascii="Times New Roman" w:cs="Times New Roman" w:eastAsia="Times New Roman" w:hAnsi="Times New Roman"/>
          <w:sz w:val="14"/>
          <w:szCs w:val="14"/>
          <w:color w:val="auto"/>
        </w:rPr>
        <w:t>Subject to the discussion of backup withholding below, any gain realized by a non-U.S. holder on the sale or other disposition of our common stock generally will not be subject to United States federal income tax unless:</w:t>
      </w:r>
    </w:p>
    <w:p>
      <w:pPr>
        <w:spacing w:after="0" w:line="27" w:lineRule="exact"/>
        <w:rPr>
          <w:sz w:val="20"/>
          <w:szCs w:val="20"/>
          <w:color w:val="auto"/>
        </w:rPr>
      </w:pPr>
    </w:p>
    <w:p>
      <w:pPr>
        <w:jc w:val="both"/>
        <w:ind w:left="1660" w:right="1159" w:hanging="249"/>
        <w:spacing w:after="0" w:line="274"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a trade or business of the non-U.S. holder within the United States (and, if required by an applicable income tax treaty, is attributable to a United States permanent establishment of the non-U.S. holder);</w:t>
      </w:r>
    </w:p>
    <w:p>
      <w:pPr>
        <w:spacing w:after="0" w:line="39"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183 days or more in the taxable year of that disposition, and certain other conditions are met; or</w:t>
      </w:r>
    </w:p>
    <w:p>
      <w:pPr>
        <w:spacing w:after="0" w:line="27"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 have been a “United States real property holding corporation” for United States federal income tax purposes and certain other conditions are met.</w:t>
      </w:r>
    </w:p>
    <w:p>
      <w:pPr>
        <w:spacing w:after="0" w:line="102"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as adjusted for certain items.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 provided that the non-U.S. holder has timely filed U.S. federal income tax returns with respect to such losses.</w:t>
      </w:r>
    </w:p>
    <w:p>
      <w:pPr>
        <w:spacing w:after="0" w:line="114" w:lineRule="exact"/>
        <w:rPr>
          <w:sz w:val="20"/>
          <w:szCs w:val="20"/>
          <w:color w:val="auto"/>
        </w:rPr>
      </w:pPr>
    </w:p>
    <w:p>
      <w:pPr>
        <w:jc w:val="both"/>
        <w:ind w:left="1160" w:right="1179" w:firstLine="515"/>
        <w:spacing w:after="0" w:line="265" w:lineRule="auto"/>
        <w:rPr>
          <w:sz w:val="20"/>
          <w:szCs w:val="20"/>
          <w:color w:val="auto"/>
        </w:rPr>
      </w:pPr>
      <w:r>
        <w:rPr>
          <w:rFonts w:ascii="Times New Roman" w:cs="Times New Roman" w:eastAsia="Times New Roman" w:hAnsi="Times New Roman"/>
          <w:sz w:val="14"/>
          <w:szCs w:val="14"/>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we are not and do not anticipate becoming a “United States real property holding corporation” for United States federal income tax purposes.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 w:name="page26"/>
    <w:bookmarkEnd w:id="25"/>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63" w:lineRule="exact"/>
        <w:rPr>
          <w:sz w:val="20"/>
          <w:szCs w:val="20"/>
          <w:color w:val="auto"/>
        </w:rPr>
      </w:pPr>
    </w:p>
    <w:p>
      <w:pPr>
        <w:jc w:val="both"/>
        <w:ind w:left="1160" w:right="1159" w:firstLine="515"/>
        <w:spacing w:after="0" w:line="268" w:lineRule="auto"/>
        <w:rPr>
          <w:sz w:val="20"/>
          <w:szCs w:val="20"/>
          <w:color w:val="auto"/>
        </w:rPr>
      </w:pPr>
      <w:r>
        <w:rPr>
          <w:rFonts w:ascii="Times New Roman" w:cs="Times New Roman" w:eastAsia="Times New Roman" w:hAnsi="Times New Roman"/>
          <w:sz w:val="14"/>
          <w:szCs w:val="14"/>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 or agreement for the exchange of information.</w:t>
      </w:r>
    </w:p>
    <w:p>
      <w:pPr>
        <w:spacing w:after="0" w:line="108" w:lineRule="exact"/>
        <w:rPr>
          <w:sz w:val="20"/>
          <w:szCs w:val="20"/>
          <w:color w:val="auto"/>
        </w:rPr>
      </w:pPr>
    </w:p>
    <w:p>
      <w:pPr>
        <w:jc w:val="both"/>
        <w:ind w:left="1160" w:right="1159" w:firstLine="515"/>
        <w:spacing w:after="0" w:line="268" w:lineRule="auto"/>
        <w:rPr>
          <w:sz w:val="20"/>
          <w:szCs w:val="20"/>
          <w:color w:val="auto"/>
        </w:rPr>
      </w:pPr>
      <w:r>
        <w:rPr>
          <w:rFonts w:ascii="Times New Roman" w:cs="Times New Roman" w:eastAsia="Times New Roman" w:hAnsi="Times New Roman"/>
          <w:sz w:val="14"/>
          <w:szCs w:val="14"/>
          <w:color w:val="auto"/>
        </w:rPr>
        <w:t>A non-U.S. holder will not be subject to backup withholding on distributions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08" w:lineRule="exact"/>
        <w:rPr>
          <w:sz w:val="20"/>
          <w:szCs w:val="20"/>
          <w:color w:val="auto"/>
        </w:rPr>
      </w:pPr>
    </w:p>
    <w:p>
      <w:pPr>
        <w:jc w:val="both"/>
        <w:ind w:left="1160" w:right="1159" w:firstLine="515"/>
        <w:spacing w:after="0" w:line="262" w:lineRule="auto"/>
        <w:rPr>
          <w:sz w:val="20"/>
          <w:szCs w:val="20"/>
          <w:color w:val="auto"/>
        </w:rPr>
      </w:pPr>
      <w:r>
        <w:rPr>
          <w:rFonts w:ascii="Times New Roman" w:cs="Times New Roman" w:eastAsia="Times New Roman" w:hAnsi="Times New Roman"/>
          <w:sz w:val="14"/>
          <w:szCs w:val="14"/>
          <w:color w:val="auto"/>
        </w:rPr>
        <w:t>Information reporting and, depending on the circumstances, backup withholding will apply to the proceeds of a sale or other disposition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 Proceeds of a disposition of our common stock conducted through a non-U.S. office of a non-U.S. broker generally will not be subject to backup withholding or information reporting.</w:t>
      </w:r>
    </w:p>
    <w:p>
      <w:pPr>
        <w:spacing w:after="0" w:line="123" w:lineRule="exact"/>
        <w:rPr>
          <w:sz w:val="20"/>
          <w:szCs w:val="20"/>
          <w:color w:val="auto"/>
        </w:rPr>
      </w:pPr>
    </w:p>
    <w:p>
      <w:pPr>
        <w:jc w:val="both"/>
        <w:ind w:left="1160" w:right="1159" w:firstLine="515"/>
        <w:spacing w:after="0" w:line="274" w:lineRule="auto"/>
        <w:rPr>
          <w:sz w:val="20"/>
          <w:szCs w:val="20"/>
          <w:color w:val="auto"/>
        </w:rPr>
      </w:pPr>
      <w:r>
        <w:rPr>
          <w:rFonts w:ascii="Times New Roman" w:cs="Times New Roman" w:eastAsia="Times New Roman" w:hAnsi="Times New Roman"/>
          <w:sz w:val="14"/>
          <w:szCs w:val="14"/>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Additional Withholding Requirements</w:t>
      </w:r>
    </w:p>
    <w:p>
      <w:pPr>
        <w:spacing w:after="0" w:line="152" w:lineRule="exact"/>
        <w:rPr>
          <w:sz w:val="20"/>
          <w:szCs w:val="20"/>
          <w:color w:val="auto"/>
        </w:rPr>
      </w:pPr>
    </w:p>
    <w:p>
      <w:pPr>
        <w:jc w:val="both"/>
        <w:ind w:left="1160" w:right="1159" w:firstLine="515"/>
        <w:spacing w:after="0" w:line="258" w:lineRule="auto"/>
        <w:rPr>
          <w:sz w:val="20"/>
          <w:szCs w:val="20"/>
          <w:color w:val="auto"/>
        </w:rPr>
      </w:pPr>
      <w:r>
        <w:rPr>
          <w:rFonts w:ascii="Times New Roman" w:cs="Times New Roman" w:eastAsia="Times New Roman" w:hAnsi="Times New Roman"/>
          <w:sz w:val="14"/>
          <w:szCs w:val="14"/>
          <w:color w:val="auto"/>
        </w:rPr>
        <w:t xml:space="preserve">Under Sections 1471 through 1474 of the Code or such Sections commonly referred to as FATCA, a 30% United States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 </w:t>
      </w: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 w:name="page27"/>
    <w:bookmarkEnd w:id="26"/>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UNDERWRITING</w:t>
      </w:r>
    </w:p>
    <w:p>
      <w:pPr>
        <w:spacing w:after="0" w:line="152" w:lineRule="exact"/>
        <w:rPr>
          <w:sz w:val="20"/>
          <w:szCs w:val="20"/>
          <w:color w:val="auto"/>
        </w:rPr>
      </w:pPr>
    </w:p>
    <w:p>
      <w:pPr>
        <w:jc w:val="both"/>
        <w:ind w:left="1160" w:right="1159" w:firstLine="515"/>
        <w:spacing w:after="0" w:line="262" w:lineRule="auto"/>
        <w:rPr>
          <w:sz w:val="20"/>
          <w:szCs w:val="20"/>
          <w:color w:val="auto"/>
        </w:rPr>
      </w:pPr>
      <w:r>
        <w:rPr>
          <w:rFonts w:ascii="Times New Roman" w:cs="Times New Roman" w:eastAsia="Times New Roman" w:hAnsi="Times New Roman"/>
          <w:sz w:val="14"/>
          <w:szCs w:val="14"/>
          <w:color w:val="231F20"/>
        </w:rPr>
        <w:t>The selling stockholders are offering the shares of common stock described in this prospectus through Goldman Sachs &amp; Co. LLC</w:t>
      </w:r>
      <w:r>
        <w:rPr>
          <w:rFonts w:ascii="Times New Roman" w:cs="Times New Roman" w:eastAsia="Times New Roman" w:hAnsi="Times New Roman"/>
          <w:sz w:val="14"/>
          <w:szCs w:val="14"/>
          <w:color w:val="000000"/>
        </w:rPr>
        <w:t>, as</w:t>
      </w:r>
      <w:r>
        <w:rPr>
          <w:rFonts w:ascii="Times New Roman" w:cs="Times New Roman" w:eastAsia="Times New Roman" w:hAnsi="Times New Roman"/>
          <w:sz w:val="14"/>
          <w:szCs w:val="14"/>
          <w:color w:val="231F20"/>
        </w:rPr>
        <w:t xml:space="preserve"> underwriter. We and the selling stockholders have entered into an underwriting agreement with the underwriter. Subject to the terms and conditions of the underwriting agreement, the selling stockholders have agreed to sell to the underwriter, and the underwriter has agreed to purchase, 14,999,771 shares of common stock at a price of $58.453 per share, which will result in net proceeds to the selling stockholders of approximately $876,781,614, which includes 1,026,465 shares of common stock that we intend to concurrently purchase from the underwriter pursuant to the Repurchase.</w:t>
      </w:r>
    </w:p>
    <w:p>
      <w:pPr>
        <w:spacing w:after="0" w:line="144" w:lineRule="exact"/>
        <w:rPr>
          <w:sz w:val="20"/>
          <w:szCs w:val="20"/>
          <w:color w:val="auto"/>
        </w:rPr>
      </w:pPr>
    </w:p>
    <w:p>
      <w:pPr>
        <w:jc w:val="both"/>
        <w:ind w:left="1160" w:right="1159" w:firstLine="515"/>
        <w:spacing w:after="0" w:line="292" w:lineRule="auto"/>
        <w:rPr>
          <w:sz w:val="20"/>
          <w:szCs w:val="20"/>
          <w:color w:val="auto"/>
        </w:rPr>
      </w:pPr>
      <w:r>
        <w:rPr>
          <w:rFonts w:ascii="Times New Roman" w:cs="Times New Roman" w:eastAsia="Times New Roman" w:hAnsi="Times New Roman"/>
          <w:sz w:val="14"/>
          <w:szCs w:val="14"/>
          <w:color w:val="231F20"/>
        </w:rPr>
        <w:t>The underwriter is committed to purchase all the shares of common stock offered by the selling stockholders if they purchase any shares.</w:t>
      </w:r>
    </w:p>
    <w:p>
      <w:pPr>
        <w:spacing w:after="0" w:line="102" w:lineRule="exact"/>
        <w:rPr>
          <w:sz w:val="20"/>
          <w:szCs w:val="20"/>
          <w:color w:val="auto"/>
        </w:rPr>
      </w:pPr>
    </w:p>
    <w:p>
      <w:pPr>
        <w:jc w:val="both"/>
        <w:ind w:left="1160" w:right="1159" w:firstLine="515"/>
        <w:spacing w:after="0" w:line="265" w:lineRule="auto"/>
        <w:rPr>
          <w:sz w:val="20"/>
          <w:szCs w:val="20"/>
          <w:color w:val="auto"/>
        </w:rPr>
      </w:pPr>
      <w:r>
        <w:rPr>
          <w:rFonts w:ascii="Times New Roman" w:cs="Times New Roman" w:eastAsia="Times New Roman" w:hAnsi="Times New Roman"/>
          <w:sz w:val="14"/>
          <w:szCs w:val="14"/>
          <w:color w:val="231F20"/>
        </w:rPr>
        <w:t>The underwriter initially proposes to offer part of the shares of common stock directly to the public at the offering price listed on the cover page of this prospectus supplement. After the initial offering of the shares of common stock, the offering price and other selling terms may from time to time be varied by the underwriter. The underwriter will not receive any compensation for the shares being repurchased by us pursuant to the Repurchase. Sales of shares made outside the United States may be made by affiliates of the underwriter.</w:t>
      </w:r>
    </w:p>
    <w:p>
      <w:pPr>
        <w:spacing w:after="0" w:line="110" w:lineRule="exact"/>
        <w:rPr>
          <w:sz w:val="20"/>
          <w:szCs w:val="20"/>
          <w:color w:val="auto"/>
        </w:rPr>
      </w:pPr>
    </w:p>
    <w:p>
      <w:pPr>
        <w:jc w:val="both"/>
        <w:ind w:left="1160" w:right="1179" w:firstLine="515"/>
        <w:spacing w:after="0" w:line="292" w:lineRule="auto"/>
        <w:rPr>
          <w:sz w:val="20"/>
          <w:szCs w:val="20"/>
          <w:color w:val="auto"/>
        </w:rPr>
      </w:pPr>
      <w:r>
        <w:rPr>
          <w:rFonts w:ascii="Times New Roman" w:cs="Times New Roman" w:eastAsia="Times New Roman" w:hAnsi="Times New Roman"/>
          <w:sz w:val="14"/>
          <w:szCs w:val="14"/>
          <w:color w:val="231F20"/>
        </w:rPr>
        <w:t>The following table shows the per share and total public offering price, underwriting discounts and commissions, and proceeds to the selling stockholders.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96"/>
        </w:trPr>
        <w:tc>
          <w:tcPr>
            <w:tcW w:w="3280" w:type="dxa"/>
            <w:vAlign w:val="bottom"/>
          </w:tcPr>
          <w:p>
            <w:pPr>
              <w:spacing w:after="0" w:line="96" w:lineRule="exact"/>
              <w:rPr>
                <w:sz w:val="20"/>
                <w:szCs w:val="20"/>
                <w:color w:val="auto"/>
              </w:rPr>
            </w:pPr>
            <w:r>
              <w:rPr>
                <w:rFonts w:ascii="Times New Roman" w:cs="Times New Roman" w:eastAsia="Times New Roman" w:hAnsi="Times New Roman"/>
                <w:sz w:val="11"/>
                <w:szCs w:val="11"/>
                <w:color w:val="auto"/>
              </w:rPr>
              <w:t>Public offering price</w:t>
            </w:r>
          </w:p>
        </w:tc>
        <w:tc>
          <w:tcPr>
            <w:tcW w:w="840" w:type="dxa"/>
            <w:vAlign w:val="bottom"/>
          </w:tcPr>
          <w:p>
            <w:pPr>
              <w:spacing w:after="0"/>
              <w:rPr>
                <w:sz w:val="8"/>
                <w:szCs w:val="8"/>
                <w:color w:val="auto"/>
              </w:rPr>
            </w:pPr>
          </w:p>
        </w:tc>
        <w:tc>
          <w:tcPr>
            <w:tcW w:w="160" w:type="dxa"/>
            <w:vAlign w:val="bottom"/>
          </w:tcPr>
          <w:p>
            <w:pPr>
              <w:jc w:val="right"/>
              <w:ind w:right="43"/>
              <w:spacing w:after="0" w:line="96"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96" w:lineRule="exact"/>
              <w:rPr>
                <w:sz w:val="20"/>
                <w:szCs w:val="20"/>
                <w:color w:val="auto"/>
              </w:rPr>
            </w:pPr>
            <w:r>
              <w:rPr>
                <w:rFonts w:ascii="Times New Roman" w:cs="Times New Roman" w:eastAsia="Times New Roman" w:hAnsi="Times New Roman"/>
                <w:sz w:val="11"/>
                <w:szCs w:val="11"/>
                <w:color w:val="auto"/>
              </w:rPr>
              <w:t>58.75</w:t>
            </w:r>
          </w:p>
        </w:tc>
        <w:tc>
          <w:tcPr>
            <w:tcW w:w="140" w:type="dxa"/>
            <w:vAlign w:val="bottom"/>
          </w:tcPr>
          <w:p>
            <w:pPr>
              <w:spacing w:after="0"/>
              <w:rPr>
                <w:sz w:val="8"/>
                <w:szCs w:val="8"/>
                <w:color w:val="auto"/>
              </w:rPr>
            </w:pPr>
          </w:p>
        </w:tc>
        <w:tc>
          <w:tcPr>
            <w:tcW w:w="240" w:type="dxa"/>
            <w:vAlign w:val="bottom"/>
          </w:tcPr>
          <w:p>
            <w:pPr>
              <w:jc w:val="right"/>
              <w:ind w:right="123"/>
              <w:spacing w:after="0" w:line="96"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96" w:lineRule="exact"/>
              <w:rPr>
                <w:sz w:val="20"/>
                <w:szCs w:val="20"/>
                <w:color w:val="auto"/>
              </w:rPr>
            </w:pPr>
            <w:r>
              <w:rPr>
                <w:rFonts w:ascii="Times New Roman" w:cs="Times New Roman" w:eastAsia="Times New Roman" w:hAnsi="Times New Roman"/>
                <w:sz w:val="11"/>
                <w:szCs w:val="11"/>
                <w:color w:val="auto"/>
              </w:rPr>
              <w:t>880,931,686.15</w:t>
            </w:r>
          </w:p>
        </w:tc>
        <w:tc>
          <w:tcPr>
            <w:tcW w:w="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2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Underwriting discounts and commissions</w:t>
            </w:r>
          </w:p>
        </w:tc>
        <w:tc>
          <w:tcPr>
            <w:tcW w:w="10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0.297</w:t>
            </w:r>
          </w:p>
        </w:tc>
        <w:tc>
          <w:tcPr>
            <w:tcW w:w="380" w:type="dxa"/>
            <w:vAlign w:val="bottom"/>
            <w:gridSpan w:val="2"/>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4,150,071.88</w:t>
            </w:r>
          </w:p>
        </w:tc>
        <w:tc>
          <w:tcPr>
            <w:tcW w:w="1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45"/>
        </w:trPr>
        <w:tc>
          <w:tcPr>
            <w:tcW w:w="3280" w:type="dxa"/>
            <w:vAlign w:val="bottom"/>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1"/>
                <w:szCs w:val="11"/>
                <w:color w:val="auto"/>
              </w:rPr>
              <w:t>Proceeds, before expenses, to the selling stockholders</w:t>
            </w:r>
          </w:p>
        </w:tc>
        <w:tc>
          <w:tcPr>
            <w:tcW w:w="1000" w:type="dxa"/>
            <w:vAlign w:val="bottom"/>
            <w:gridSpan w:val="2"/>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58.453</w:t>
            </w:r>
          </w:p>
        </w:tc>
        <w:tc>
          <w:tcPr>
            <w:tcW w:w="38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876,781,614.26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1860" w:hanging="357"/>
        <w:spacing w:after="0"/>
        <w:tabs>
          <w:tab w:leader="none" w:pos="1860" w:val="left"/>
        </w:tabs>
        <w:numPr>
          <w:ilvl w:val="0"/>
          <w:numId w:val="12"/>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231F20"/>
        </w:rPr>
        <w:t>Reflects that the shares purchased by us in the Repurchase will be sold at $58.453 per share.</w:t>
      </w:r>
    </w:p>
    <w:p>
      <w:pPr>
        <w:spacing w:after="0" w:line="3" w:lineRule="exact"/>
        <w:rPr>
          <w:rFonts w:ascii="Times New Roman" w:cs="Times New Roman" w:eastAsia="Times New Roman" w:hAnsi="Times New Roman"/>
          <w:sz w:val="11"/>
          <w:szCs w:val="11"/>
          <w:color w:val="231F20"/>
        </w:rPr>
      </w:pPr>
    </w:p>
    <w:p>
      <w:pPr>
        <w:ind w:left="1860" w:hanging="357"/>
        <w:spacing w:after="0"/>
        <w:tabs>
          <w:tab w:leader="none" w:pos="1860" w:val="left"/>
        </w:tabs>
        <w:numPr>
          <w:ilvl w:val="0"/>
          <w:numId w:val="12"/>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231F20"/>
        </w:rPr>
        <w:t>Reflects that no discount will be paid to the underwriter on shares of common stock purchased by us in the Repurchase.</w:t>
      </w:r>
    </w:p>
    <w:p>
      <w:pPr>
        <w:spacing w:after="0" w:line="154" w:lineRule="exact"/>
        <w:rPr>
          <w:sz w:val="20"/>
          <w:szCs w:val="20"/>
          <w:color w:val="auto"/>
        </w:rPr>
      </w:pPr>
    </w:p>
    <w:p>
      <w:pPr>
        <w:jc w:val="both"/>
        <w:ind w:left="1160" w:right="1159" w:firstLine="515"/>
        <w:spacing w:after="0" w:line="271" w:lineRule="auto"/>
        <w:rPr>
          <w:sz w:val="20"/>
          <w:szCs w:val="20"/>
          <w:color w:val="auto"/>
        </w:rPr>
      </w:pPr>
      <w:r>
        <w:rPr>
          <w:rFonts w:ascii="Times New Roman" w:cs="Times New Roman" w:eastAsia="Times New Roman" w:hAnsi="Times New Roman"/>
          <w:sz w:val="14"/>
          <w:szCs w:val="14"/>
          <w:color w:val="231F20"/>
        </w:rPr>
        <w:t>We estimate that the total expenses of this offering, including registration, filing and listing fees, printing fees, and legal and accounting expenses, but excluding the underwriting discounts and commissions, will be approximately $1,000,000. We have also agreed to reimburse the underwriter for certain of its expenses in an amount up to $55,000.</w:t>
      </w:r>
    </w:p>
    <w:p>
      <w:pPr>
        <w:spacing w:after="0" w:line="282" w:lineRule="exact"/>
        <w:rPr>
          <w:sz w:val="20"/>
          <w:szCs w:val="20"/>
          <w:color w:val="auto"/>
        </w:rPr>
      </w:pPr>
    </w:p>
    <w:p>
      <w:pPr>
        <w:jc w:val="both"/>
        <w:ind w:left="1160" w:right="1159" w:firstLine="515"/>
        <w:spacing w:after="0" w:line="265" w:lineRule="auto"/>
        <w:rPr>
          <w:sz w:val="20"/>
          <w:szCs w:val="20"/>
          <w:color w:val="auto"/>
        </w:rPr>
      </w:pPr>
      <w:r>
        <w:rPr>
          <w:rFonts w:ascii="Times New Roman" w:cs="Times New Roman" w:eastAsia="Times New Roman" w:hAnsi="Times New Roman"/>
          <w:sz w:val="14"/>
          <w:szCs w:val="14"/>
          <w:color w:val="231F20"/>
        </w:rPr>
        <w:t>A prospectus in electronic format may be made available on the web sites maintained by the underwriter, or selling group members, if any, participating in the offering. The underwriter may agree to allocate a number of shares to selling group members for sale to their online brokerage account holders. Internet distributions will be allocated by the underwriter to the selling group members that may make Internet distributions on the same basis as other allocations.</w:t>
      </w:r>
    </w:p>
    <w:p>
      <w:pPr>
        <w:spacing w:after="0" w:line="121" w:lineRule="exact"/>
        <w:rPr>
          <w:sz w:val="20"/>
          <w:szCs w:val="20"/>
          <w:color w:val="auto"/>
        </w:rPr>
      </w:pPr>
    </w:p>
    <w:p>
      <w:pPr>
        <w:jc w:val="both"/>
        <w:ind w:left="1160" w:right="1159" w:firstLine="515"/>
        <w:spacing w:after="0" w:line="262" w:lineRule="auto"/>
        <w:rPr>
          <w:sz w:val="20"/>
          <w:szCs w:val="20"/>
          <w:color w:val="auto"/>
        </w:rPr>
      </w:pPr>
      <w:r>
        <w:rPr>
          <w:rFonts w:ascii="Times New Roman" w:cs="Times New Roman" w:eastAsia="Times New Roman" w:hAnsi="Times New Roman"/>
          <w:sz w:val="14"/>
          <w:szCs w:val="14"/>
          <w:color w:val="231F20"/>
        </w:rPr>
        <w:t xml:space="preserve">We have agreed that we will not, subject to certain exceptions, (i) offer, sell or contract to sell, pledge or dispose of, directly or indirectly, including the public filing of a registration statement with the SEC in respect of, or establish or increase a put equivalent position or liquidate or decrease a call equivalent position within the meaning of Section 16 of the Exchange Act, any other shares of our common stock or any securities convertible into, or exercisable, or exchangeable for, shares of our common stock, or (ii) publicly announce an intention to effect any such transaction, in each case without the prior written consent of </w:t>
      </w:r>
      <w:r>
        <w:rPr>
          <w:rFonts w:ascii="Times New Roman" w:cs="Times New Roman" w:eastAsia="Times New Roman" w:hAnsi="Times New Roman"/>
          <w:sz w:val="14"/>
          <w:szCs w:val="14"/>
          <w:color w:val="000000"/>
        </w:rPr>
        <w:t>the underwriter</w:t>
      </w:r>
      <w:r>
        <w:rPr>
          <w:rFonts w:ascii="Times New Roman" w:cs="Times New Roman" w:eastAsia="Times New Roman" w:hAnsi="Times New Roman"/>
          <w:sz w:val="14"/>
          <w:szCs w:val="14"/>
          <w:color w:val="231F20"/>
        </w:rPr>
        <w:t xml:space="preserve"> for a period of 45 days after the date of this prospectus.</w:t>
      </w:r>
    </w:p>
    <w:p>
      <w:pPr>
        <w:spacing w:after="0" w:line="112" w:lineRule="exact"/>
        <w:rPr>
          <w:sz w:val="20"/>
          <w:szCs w:val="20"/>
          <w:color w:val="auto"/>
        </w:rPr>
      </w:pPr>
    </w:p>
    <w:p>
      <w:pPr>
        <w:jc w:val="both"/>
        <w:ind w:left="1160" w:right="1159" w:firstLine="515"/>
        <w:spacing w:after="0" w:line="261" w:lineRule="auto"/>
        <w:rPr>
          <w:sz w:val="20"/>
          <w:szCs w:val="20"/>
          <w:color w:val="auto"/>
        </w:rPr>
      </w:pPr>
      <w:r>
        <w:rPr>
          <w:rFonts w:ascii="Times New Roman" w:cs="Times New Roman" w:eastAsia="Times New Roman" w:hAnsi="Times New Roman"/>
          <w:sz w:val="14"/>
          <w:szCs w:val="14"/>
          <w:color w:val="231F20"/>
        </w:rPr>
        <w:t>Our directors and executive officers and the selling stockholders, or such persons, hereinafter the lock-up parties, have entered into lock-up agreements with the underwriter pursuant to which each lock-up party, with limited exceptions, for a period of 45 days after the date of this prospectus, or such period, the restricted period, may not (and may not cause any of their controlled affiliates to), without the prior written consent of the underwriter, offer, sell, contract to sell, or otherwise dispose of, directly or indirectly, including the public filing of a registration statement with the SEC in respect of, or establish or increase a put equivalent position or liquidate or decrease a call equivalent position within the meaning of Section 16 of the Exchange Act, any shares of our common stock or any securities convertible into, or exercisable or exchangeable for shares of our common stock, or publicly announce an intention to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 w:name="page28"/>
    <w:bookmarkEnd w:id="27"/>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160" w:right="1179"/>
        <w:spacing w:after="0" w:line="268" w:lineRule="auto"/>
        <w:rPr>
          <w:sz w:val="20"/>
          <w:szCs w:val="20"/>
          <w:color w:val="auto"/>
        </w:rPr>
      </w:pPr>
      <w:r>
        <w:rPr>
          <w:rFonts w:ascii="Times New Roman" w:cs="Times New Roman" w:eastAsia="Times New Roman" w:hAnsi="Times New Roman"/>
          <w:sz w:val="14"/>
          <w:szCs w:val="14"/>
          <w:color w:val="231F20"/>
        </w:rPr>
        <w:t xml:space="preserve">effect any such transaction. </w:t>
      </w:r>
      <w:r>
        <w:rPr>
          <w:rFonts w:ascii="Times New Roman" w:cs="Times New Roman" w:eastAsia="Times New Roman" w:hAnsi="Times New Roman"/>
          <w:sz w:val="14"/>
          <w:szCs w:val="14"/>
          <w:color w:val="000000"/>
        </w:rPr>
        <w:t>This agreement provides exceptions for, among other things, the transfer by the KKR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Stockholder in connection with distributions of up to an aggregate 400,000 shares of common stock to partners, members or stockholders of the KKR Stockholder, in each case, for the purpose of the ultimate recipients making charitable donations of such shares of common stock.</w:t>
      </w:r>
    </w:p>
    <w:p>
      <w:pPr>
        <w:spacing w:after="0" w:line="119" w:lineRule="exact"/>
        <w:rPr>
          <w:sz w:val="20"/>
          <w:szCs w:val="20"/>
          <w:color w:val="auto"/>
        </w:rPr>
      </w:pPr>
    </w:p>
    <w:p>
      <w:pPr>
        <w:jc w:val="both"/>
        <w:ind w:left="1160" w:right="1179" w:firstLine="515"/>
        <w:spacing w:after="0" w:line="292" w:lineRule="auto"/>
        <w:rPr>
          <w:sz w:val="20"/>
          <w:szCs w:val="20"/>
          <w:color w:val="auto"/>
        </w:rPr>
      </w:pPr>
      <w:r>
        <w:rPr>
          <w:rFonts w:ascii="Times New Roman" w:cs="Times New Roman" w:eastAsia="Times New Roman" w:hAnsi="Times New Roman"/>
          <w:sz w:val="14"/>
          <w:szCs w:val="14"/>
          <w:color w:val="231F20"/>
        </w:rPr>
        <w:t>The underwriter, in its sole discretion, may release the securities subject to any of the lock-up agreements with the underwriter described above, in whole or in part at any time.</w:t>
      </w:r>
    </w:p>
    <w:p>
      <w:pPr>
        <w:spacing w:after="0" w:line="92" w:lineRule="exact"/>
        <w:rPr>
          <w:sz w:val="20"/>
          <w:szCs w:val="20"/>
          <w:color w:val="auto"/>
        </w:rPr>
      </w:pPr>
    </w:p>
    <w:p>
      <w:pPr>
        <w:jc w:val="both"/>
        <w:ind w:left="1160" w:right="1179" w:firstLine="515"/>
        <w:spacing w:after="0" w:line="292" w:lineRule="auto"/>
        <w:rPr>
          <w:sz w:val="20"/>
          <w:szCs w:val="20"/>
          <w:color w:val="auto"/>
        </w:rPr>
      </w:pPr>
      <w:r>
        <w:rPr>
          <w:rFonts w:ascii="Times New Roman" w:cs="Times New Roman" w:eastAsia="Times New Roman" w:hAnsi="Times New Roman"/>
          <w:sz w:val="14"/>
          <w:szCs w:val="14"/>
          <w:color w:val="231F20"/>
        </w:rPr>
        <w:t>We and the selling stockholders have agreed to indemnify the underwriter against certain liabilities, including liabilities under the Securities Act.</w:t>
      </w:r>
    </w:p>
    <w:p>
      <w:pPr>
        <w:spacing w:after="0" w:line="9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231F20"/>
        </w:rPr>
        <w:t>Our common stock is listed on Nasdaq under the symbol “BTSG.”</w:t>
      </w:r>
    </w:p>
    <w:p>
      <w:pPr>
        <w:spacing w:after="0" w:line="161"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231F20"/>
        </w:rPr>
        <w:t>In connection with the offering, the underwriter may purchase and sell shares of common stock in the open market. These transactions may include short sales, stabilizing transactions and purchases to cover positions created by short sales. Short sales involve the sale by the underwriter of a greater number of shares than they are required to purchase in the offering, and a short position represents the amount of such sales that have not been covered by subsequent purchases, and given the underwriter does not have an option to purchase additional shares from us or from the selling stockholder, all such short sales are “naked” short sales. As a result, the underwriter must cover any short positions by purchasing shares in the open market. A short position is more likely to be created if the underwriter is concerned that there may be downward pressure on the price of the common stock. Stabilizing transactions consist of various bids for or purchases of common stock made by the underwriter in the open market prior to the completion of the offering.</w:t>
      </w:r>
    </w:p>
    <w:p>
      <w:pPr>
        <w:spacing w:after="0" w:line="146" w:lineRule="exact"/>
        <w:rPr>
          <w:sz w:val="20"/>
          <w:szCs w:val="20"/>
          <w:color w:val="auto"/>
        </w:rPr>
      </w:pPr>
    </w:p>
    <w:p>
      <w:pPr>
        <w:ind w:left="1160" w:right="1159" w:firstLine="515"/>
        <w:spacing w:after="0" w:line="259" w:lineRule="auto"/>
        <w:rPr>
          <w:sz w:val="20"/>
          <w:szCs w:val="20"/>
          <w:color w:val="auto"/>
        </w:rPr>
      </w:pPr>
      <w:r>
        <w:rPr>
          <w:rFonts w:ascii="Times New Roman" w:cs="Times New Roman" w:eastAsia="Times New Roman" w:hAnsi="Times New Roman"/>
          <w:sz w:val="14"/>
          <w:szCs w:val="14"/>
          <w:color w:val="231F20"/>
        </w:rPr>
        <w:t>Purchases to cover a short position and stabilizing transactions, as well as other purchases by the underwriter for its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 is not required to engage in these activities and may end any of these activities at any time. These transactions may be effected on Nasdaq, in the over-the-counter</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231F20"/>
        </w:rPr>
        <w:t>market or otherwise.</w:t>
      </w:r>
    </w:p>
    <w:p>
      <w:pPr>
        <w:spacing w:after="0" w:line="137"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231F20"/>
        </w:rPr>
        <w:t>The underwriter and its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For example, the underwriter and its affiliates are lenders or agents under our existing credit facilities. In addition, the underwriter or its affiliates may in the future become lenders or agents under our credit facilities, or may provide commitments pursuant to our revolving credit facility, and would receive customary fees and commissions in connection therewith.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w:t>
      </w:r>
    </w:p>
    <w:p>
      <w:pPr>
        <w:spacing w:after="0" w:line="2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231F20"/>
        </w:rPr>
        <w:t>Selling Restrictions</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231F20"/>
        </w:rPr>
        <w:t>General</w:t>
      </w:r>
    </w:p>
    <w:p>
      <w:pPr>
        <w:spacing w:after="0" w:line="154"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231F20"/>
        </w:rPr>
        <w:t>Other than in the United States, no action has been taken by us or the underwriter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8" w:name="page29"/>
    <w:bookmarkEnd w:id="28"/>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231F20"/>
        </w:rPr>
        <w:t>Notice to Prospective Investors in the European Economic Area</w:t>
      </w:r>
    </w:p>
    <w:p>
      <w:pPr>
        <w:spacing w:after="0" w:line="165" w:lineRule="exact"/>
        <w:rPr>
          <w:sz w:val="20"/>
          <w:szCs w:val="20"/>
          <w:color w:val="auto"/>
        </w:rPr>
      </w:pPr>
    </w:p>
    <w:p>
      <w:pPr>
        <w:jc w:val="both"/>
        <w:ind w:left="1160" w:right="1159" w:firstLine="515"/>
        <w:spacing w:after="0" w:line="263" w:lineRule="auto"/>
        <w:rPr>
          <w:sz w:val="20"/>
          <w:szCs w:val="20"/>
          <w:color w:val="auto"/>
        </w:rPr>
      </w:pPr>
      <w:r>
        <w:rPr>
          <w:rFonts w:ascii="Times New Roman" w:cs="Times New Roman" w:eastAsia="Times New Roman" w:hAnsi="Times New Roman"/>
          <w:sz w:val="14"/>
          <w:szCs w:val="14"/>
          <w:color w:val="231F20"/>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48" w:lineRule="exact"/>
        <w:rPr>
          <w:sz w:val="20"/>
          <w:szCs w:val="20"/>
          <w:color w:val="auto"/>
        </w:rPr>
      </w:pPr>
    </w:p>
    <w:p>
      <w:pPr>
        <w:ind w:left="1660" w:hanging="249"/>
        <w:spacing w:after="0"/>
        <w:tabs>
          <w:tab w:leader="none" w:pos="1660" w:val="left"/>
        </w:tabs>
        <w:numPr>
          <w:ilvl w:val="0"/>
          <w:numId w:val="1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to any qualified investor as defined under Article 2 of the Prospectus Regulation;</w:t>
      </w:r>
    </w:p>
    <w:p>
      <w:pPr>
        <w:spacing w:after="0" w:line="86" w:lineRule="exact"/>
        <w:rPr>
          <w:rFonts w:ascii="Times New Roman" w:cs="Times New Roman" w:eastAsia="Times New Roman" w:hAnsi="Times New Roman"/>
          <w:sz w:val="14"/>
          <w:szCs w:val="14"/>
          <w:color w:val="231F20"/>
        </w:rPr>
      </w:pPr>
    </w:p>
    <w:p>
      <w:pPr>
        <w:ind w:left="1660" w:right="1179" w:hanging="249"/>
        <w:spacing w:after="0" w:line="292" w:lineRule="auto"/>
        <w:tabs>
          <w:tab w:leader="none" w:pos="1660" w:val="left"/>
        </w:tabs>
        <w:numPr>
          <w:ilvl w:val="0"/>
          <w:numId w:val="1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to fewer than 150 natural or legal persons (other than qualified investors as defined under Article 2 of the Prospectus Regulation), subject to obtaining the prior consent of the underwriter; or</w:t>
      </w:r>
    </w:p>
    <w:p>
      <w:pPr>
        <w:spacing w:after="0" w:line="27" w:lineRule="exact"/>
        <w:rPr>
          <w:rFonts w:ascii="Times New Roman" w:cs="Times New Roman" w:eastAsia="Times New Roman" w:hAnsi="Times New Roman"/>
          <w:sz w:val="14"/>
          <w:szCs w:val="14"/>
          <w:color w:val="231F20"/>
        </w:rPr>
      </w:pPr>
    </w:p>
    <w:p>
      <w:pPr>
        <w:ind w:left="1660" w:hanging="249"/>
        <w:spacing w:after="0"/>
        <w:tabs>
          <w:tab w:leader="none" w:pos="1660" w:val="left"/>
        </w:tabs>
        <w:numPr>
          <w:ilvl w:val="0"/>
          <w:numId w:val="1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 any other circumstances falling within Article 1(4) of the Prospectus Regulation,</w:t>
      </w:r>
    </w:p>
    <w:p>
      <w:pPr>
        <w:spacing w:after="0" w:line="161" w:lineRule="exact"/>
        <w:rPr>
          <w:sz w:val="20"/>
          <w:szCs w:val="20"/>
          <w:color w:val="auto"/>
        </w:rPr>
      </w:pPr>
    </w:p>
    <w:p>
      <w:pPr>
        <w:jc w:val="both"/>
        <w:ind w:left="1160" w:right="1179"/>
        <w:spacing w:after="0" w:line="274" w:lineRule="auto"/>
        <w:rPr>
          <w:sz w:val="20"/>
          <w:szCs w:val="20"/>
          <w:color w:val="auto"/>
        </w:rPr>
      </w:pPr>
      <w:r>
        <w:rPr>
          <w:rFonts w:ascii="Times New Roman" w:cs="Times New Roman" w:eastAsia="Times New Roman" w:hAnsi="Times New Roman"/>
          <w:sz w:val="14"/>
          <w:szCs w:val="14"/>
          <w:color w:val="231F20"/>
        </w:rPr>
        <w:t>provided that no such offer of the shares shall require us or any underwriter to publish a prospectus pursuant to Article 3 of the Prospectus Regulation, supplement a prospectus pursuant to Article 23 of the Prospectus Regulation or publish an Annex IX document pursuant to Article 1(4) of the Prospectus Regulation.</w:t>
      </w:r>
    </w:p>
    <w:p>
      <w:pPr>
        <w:spacing w:after="0" w:line="104" w:lineRule="exact"/>
        <w:rPr>
          <w:sz w:val="20"/>
          <w:szCs w:val="20"/>
          <w:color w:val="auto"/>
        </w:rPr>
      </w:pPr>
    </w:p>
    <w:p>
      <w:pPr>
        <w:jc w:val="both"/>
        <w:ind w:left="1160" w:right="1159" w:firstLine="515"/>
        <w:spacing w:after="0" w:line="268" w:lineRule="auto"/>
        <w:rPr>
          <w:sz w:val="20"/>
          <w:szCs w:val="20"/>
          <w:color w:val="auto"/>
        </w:rPr>
      </w:pPr>
      <w:r>
        <w:rPr>
          <w:rFonts w:ascii="Times New Roman" w:cs="Times New Roman" w:eastAsia="Times New Roman" w:hAnsi="Times New Roman"/>
          <w:sz w:val="14"/>
          <w:szCs w:val="14"/>
          <w:color w:val="231F20"/>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231F20"/>
        </w:rPr>
        <w:t>Notice to Prospective Investors in the United Kingdom</w:t>
      </w:r>
    </w:p>
    <w:p>
      <w:pPr>
        <w:spacing w:after="0" w:line="165" w:lineRule="exact"/>
        <w:rPr>
          <w:sz w:val="20"/>
          <w:szCs w:val="20"/>
          <w:color w:val="auto"/>
        </w:rPr>
      </w:pPr>
    </w:p>
    <w:p>
      <w:pPr>
        <w:jc w:val="both"/>
        <w:ind w:left="1160" w:right="1179" w:firstLine="515"/>
        <w:spacing w:after="0" w:line="292" w:lineRule="auto"/>
        <w:rPr>
          <w:sz w:val="20"/>
          <w:szCs w:val="20"/>
          <w:color w:val="auto"/>
        </w:rPr>
      </w:pPr>
      <w:r>
        <w:rPr>
          <w:rFonts w:ascii="Times New Roman" w:cs="Times New Roman" w:eastAsia="Times New Roman" w:hAnsi="Times New Roman"/>
          <w:sz w:val="14"/>
          <w:szCs w:val="14"/>
          <w:color w:val="231F20"/>
        </w:rPr>
        <w:t>No shares have been offered or will be offered pursuant to the offering to the public in the United Kingdom except that the shares may be offered to the public in the United Kingdom at any time:</w:t>
      </w:r>
    </w:p>
    <w:p>
      <w:pPr>
        <w:spacing w:after="0" w:line="27" w:lineRule="exact"/>
        <w:rPr>
          <w:sz w:val="20"/>
          <w:szCs w:val="20"/>
          <w:color w:val="auto"/>
        </w:rPr>
      </w:pPr>
    </w:p>
    <w:p>
      <w:pPr>
        <w:ind w:left="1660" w:right="1159" w:hanging="249"/>
        <w:spacing w:after="0" w:line="292" w:lineRule="auto"/>
        <w:tabs>
          <w:tab w:leader="none" w:pos="166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where the offer is conditional on the admission of the Shares to trading on the London Stock Exchange plc's main market (in reliance on the exception in paragraph 6(a) of Schedule 1 of the POATR);</w:t>
      </w:r>
    </w:p>
    <w:p>
      <w:pPr>
        <w:spacing w:after="0" w:line="27" w:lineRule="exact"/>
        <w:rPr>
          <w:rFonts w:ascii="Times New Roman" w:cs="Times New Roman" w:eastAsia="Times New Roman" w:hAnsi="Times New Roman"/>
          <w:sz w:val="14"/>
          <w:szCs w:val="14"/>
          <w:color w:val="231F20"/>
        </w:rPr>
      </w:pPr>
    </w:p>
    <w:p>
      <w:pPr>
        <w:ind w:left="1660" w:hanging="249"/>
        <w:spacing w:after="0"/>
        <w:tabs>
          <w:tab w:leader="none" w:pos="166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to any qualified investor as defined under paragraph 15 of Schedule 1 of the POATR;</w:t>
      </w:r>
    </w:p>
    <w:p>
      <w:pPr>
        <w:spacing w:after="0" w:line="86" w:lineRule="exact"/>
        <w:rPr>
          <w:rFonts w:ascii="Times New Roman" w:cs="Times New Roman" w:eastAsia="Times New Roman" w:hAnsi="Times New Roman"/>
          <w:sz w:val="14"/>
          <w:szCs w:val="14"/>
          <w:color w:val="231F20"/>
        </w:rPr>
      </w:pPr>
    </w:p>
    <w:p>
      <w:pPr>
        <w:ind w:left="1660" w:right="1159" w:hanging="249"/>
        <w:spacing w:after="0" w:line="292" w:lineRule="auto"/>
        <w:tabs>
          <w:tab w:leader="none" w:pos="166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to fewer than 150 persons (other than qualified investors as defined under paragraph 15 of Schedule 1 of the POATR), subject to obtaining the prior consent of the underwriter; or</w:t>
      </w:r>
    </w:p>
    <w:p>
      <w:pPr>
        <w:spacing w:after="0" w:line="27" w:lineRule="exact"/>
        <w:rPr>
          <w:rFonts w:ascii="Times New Roman" w:cs="Times New Roman" w:eastAsia="Times New Roman" w:hAnsi="Times New Roman"/>
          <w:sz w:val="14"/>
          <w:szCs w:val="14"/>
          <w:color w:val="231F20"/>
        </w:rPr>
      </w:pPr>
    </w:p>
    <w:p>
      <w:pPr>
        <w:ind w:left="1660" w:hanging="249"/>
        <w:spacing w:after="0"/>
        <w:tabs>
          <w:tab w:leader="none" w:pos="166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 any other circumstances falling within Part 1 of Schedule 1 of the POATR.</w:t>
      </w:r>
    </w:p>
    <w:p>
      <w:pPr>
        <w:spacing w:after="0" w:line="161" w:lineRule="exact"/>
        <w:rPr>
          <w:sz w:val="20"/>
          <w:szCs w:val="20"/>
          <w:color w:val="auto"/>
        </w:rPr>
      </w:pPr>
    </w:p>
    <w:p>
      <w:pPr>
        <w:jc w:val="both"/>
        <w:ind w:left="1160" w:right="1159" w:firstLine="515"/>
        <w:spacing w:after="0" w:line="268" w:lineRule="auto"/>
        <w:rPr>
          <w:sz w:val="20"/>
          <w:szCs w:val="20"/>
          <w:color w:val="auto"/>
        </w:rPr>
      </w:pPr>
      <w:r>
        <w:rPr>
          <w:rFonts w:ascii="Times New Roman" w:cs="Times New Roman" w:eastAsia="Times New Roman" w:hAnsi="Times New Roman"/>
          <w:sz w:val="14"/>
          <w:szCs w:val="14"/>
          <w:color w:val="231F20"/>
        </w:rPr>
        <w:t>For the purposes of this provision, the expression an “offer to the public” in relation to shares in the United Kingdom means the communication to any person which presents sufficient information on: (a) the shares to be offered; and (b) the terms on which they are to be offered, to enable an investor to decide to buy or subscribe for the shares and the expressions “POATR” means the Public Offers and Admissions to Trading Regulations 2024.</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231F20"/>
        </w:rPr>
        <w:t>Notice to Prospective Investors in Canada</w:t>
      </w:r>
    </w:p>
    <w:p>
      <w:pPr>
        <w:spacing w:after="0" w:line="154" w:lineRule="exact"/>
        <w:rPr>
          <w:sz w:val="20"/>
          <w:szCs w:val="20"/>
          <w:color w:val="auto"/>
        </w:rPr>
      </w:pPr>
    </w:p>
    <w:p>
      <w:pPr>
        <w:jc w:val="both"/>
        <w:ind w:left="1160" w:right="1159" w:firstLine="515"/>
        <w:spacing w:after="0" w:line="264" w:lineRule="auto"/>
        <w:rPr>
          <w:sz w:val="20"/>
          <w:szCs w:val="20"/>
          <w:color w:val="auto"/>
        </w:rPr>
      </w:pPr>
      <w:r>
        <w:rPr>
          <w:rFonts w:ascii="Times New Roman" w:cs="Times New Roman" w:eastAsia="Times New Roman" w:hAnsi="Times New Roman"/>
          <w:sz w:val="14"/>
          <w:szCs w:val="14"/>
          <w:color w:val="231F20"/>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296" w:lineRule="exact"/>
        <w:rPr>
          <w:sz w:val="20"/>
          <w:szCs w:val="20"/>
          <w:color w:val="auto"/>
        </w:rPr>
      </w:pPr>
    </w:p>
    <w:p>
      <w:pPr>
        <w:jc w:val="both"/>
        <w:ind w:left="1160" w:right="1159" w:firstLine="515"/>
        <w:spacing w:after="0" w:line="263" w:lineRule="auto"/>
        <w:rPr>
          <w:sz w:val="20"/>
          <w:szCs w:val="20"/>
          <w:color w:val="auto"/>
        </w:rPr>
      </w:pPr>
      <w:r>
        <w:rPr>
          <w:rFonts w:ascii="Times New Roman" w:cs="Times New Roman" w:eastAsia="Times New Roman" w:hAnsi="Times New Roman"/>
          <w:sz w:val="14"/>
          <w:szCs w:val="14"/>
          <w:color w:val="231F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9" w:name="page30"/>
    <w:bookmarkEnd w:id="29"/>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160" w:right="1179" w:firstLine="515"/>
        <w:spacing w:after="0" w:line="274" w:lineRule="auto"/>
        <w:rPr>
          <w:sz w:val="20"/>
          <w:szCs w:val="20"/>
          <w:color w:val="auto"/>
        </w:rPr>
      </w:pPr>
      <w:r>
        <w:rPr>
          <w:rFonts w:ascii="Times New Roman" w:cs="Times New Roman" w:eastAsia="Times New Roman" w:hAnsi="Times New Roman"/>
          <w:sz w:val="14"/>
          <w:szCs w:val="14"/>
          <w:color w:val="231F20"/>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1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231F20"/>
        </w:rPr>
        <w:t>Notice to Prospective Investors in Hong Kong</w:t>
      </w:r>
    </w:p>
    <w:p>
      <w:pPr>
        <w:spacing w:after="0" w:line="154" w:lineRule="exact"/>
        <w:rPr>
          <w:sz w:val="20"/>
          <w:szCs w:val="20"/>
          <w:color w:val="auto"/>
        </w:rPr>
      </w:pPr>
    </w:p>
    <w:p>
      <w:pPr>
        <w:jc w:val="both"/>
        <w:ind w:left="1160" w:right="1159" w:firstLine="515"/>
        <w:spacing w:after="0" w:line="261" w:lineRule="auto"/>
        <w:rPr>
          <w:sz w:val="20"/>
          <w:szCs w:val="20"/>
          <w:color w:val="auto"/>
        </w:rPr>
      </w:pPr>
      <w:r>
        <w:rPr>
          <w:rFonts w:ascii="Times New Roman" w:cs="Times New Roman" w:eastAsia="Times New Roman" w:hAnsi="Times New Roman"/>
          <w:sz w:val="14"/>
          <w:szCs w:val="14"/>
          <w:color w:val="231F20"/>
        </w:rPr>
        <w:t>The shares may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w:t>
      </w:r>
    </w:p>
    <w:p>
      <w:pPr>
        <w:spacing w:after="0" w:line="1" w:lineRule="exact"/>
        <w:rPr>
          <w:sz w:val="20"/>
          <w:szCs w:val="20"/>
          <w:color w:val="auto"/>
        </w:rPr>
      </w:pPr>
    </w:p>
    <w:p>
      <w:pPr>
        <w:jc w:val="both"/>
        <w:ind w:left="1160" w:right="1159" w:hanging="7"/>
        <w:spacing w:after="0" w:line="258" w:lineRule="auto"/>
        <w:tabs>
          <w:tab w:leader="none" w:pos="1429" w:val="left"/>
        </w:tabs>
        <w:numPr>
          <w:ilvl w:val="0"/>
          <w:numId w:val="1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231F20"/>
        </w:rPr>
        <w:t>Notice to Prospective Investors in Singapore</w:t>
      </w:r>
    </w:p>
    <w:p>
      <w:pPr>
        <w:spacing w:after="0" w:line="165"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231F20"/>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288"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231F20"/>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14"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231F20"/>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231F20"/>
        </w:rPr>
        <w:t>Notice to Prospective Investors in Japan</w:t>
      </w:r>
    </w:p>
    <w:p>
      <w:pPr>
        <w:spacing w:after="0" w:line="154" w:lineRule="exact"/>
        <w:rPr>
          <w:sz w:val="20"/>
          <w:szCs w:val="20"/>
          <w:color w:val="auto"/>
        </w:rPr>
      </w:pPr>
    </w:p>
    <w:p>
      <w:pPr>
        <w:jc w:val="both"/>
        <w:ind w:left="1160" w:right="1159" w:firstLine="515"/>
        <w:spacing w:after="0" w:line="285" w:lineRule="auto"/>
        <w:rPr>
          <w:sz w:val="20"/>
          <w:szCs w:val="20"/>
          <w:color w:val="auto"/>
        </w:rPr>
      </w:pPr>
      <w:r>
        <w:rPr>
          <w:rFonts w:ascii="Times New Roman" w:cs="Times New Roman" w:eastAsia="Times New Roman" w:hAnsi="Times New Roman"/>
          <w:sz w:val="14"/>
          <w:szCs w:val="14"/>
          <w:color w:val="231F20"/>
        </w:rPr>
        <w:t>The shares have not been and will not be registered under the Financial Instruments and Exchange Act of Japan (Act No. 25 of 1948, as amended), or the FIEA. The securities may not be offered or sold, directly or indirectly,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0" w:name="page31"/>
    <w:bookmarkEnd w:id="30"/>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160" w:right="1179"/>
        <w:spacing w:after="0" w:line="268" w:lineRule="auto"/>
        <w:rPr>
          <w:sz w:val="20"/>
          <w:szCs w:val="20"/>
          <w:color w:val="auto"/>
        </w:rPr>
      </w:pPr>
      <w:r>
        <w:rPr>
          <w:rFonts w:ascii="Times New Roman" w:cs="Times New Roman" w:eastAsia="Times New Roman" w:hAnsi="Times New Roman"/>
          <w:sz w:val="14"/>
          <w:szCs w:val="14"/>
          <w:color w:val="231F20"/>
        </w:rPr>
        <w:t>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231F20"/>
        </w:rPr>
        <w:t>Notice to Prospective Investors in Australia</w:t>
      </w:r>
    </w:p>
    <w:p>
      <w:pPr>
        <w:spacing w:after="0" w:line="154" w:lineRule="exact"/>
        <w:rPr>
          <w:sz w:val="20"/>
          <w:szCs w:val="20"/>
          <w:color w:val="auto"/>
        </w:rPr>
      </w:pPr>
    </w:p>
    <w:p>
      <w:pPr>
        <w:jc w:val="both"/>
        <w:ind w:left="1160" w:right="1159" w:firstLine="515"/>
        <w:spacing w:after="0" w:line="265" w:lineRule="auto"/>
        <w:rPr>
          <w:sz w:val="20"/>
          <w:szCs w:val="20"/>
          <w:color w:val="auto"/>
        </w:rPr>
      </w:pPr>
      <w:r>
        <w:rPr>
          <w:rFonts w:ascii="Times New Roman" w:cs="Times New Roman" w:eastAsia="Times New Roman" w:hAnsi="Times New Roman"/>
          <w:sz w:val="14"/>
          <w:szCs w:val="14"/>
          <w:color w:val="231F20"/>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10" w:lineRule="exact"/>
        <w:rPr>
          <w:sz w:val="20"/>
          <w:szCs w:val="20"/>
          <w:color w:val="auto"/>
        </w:rPr>
      </w:pPr>
    </w:p>
    <w:p>
      <w:pPr>
        <w:jc w:val="both"/>
        <w:ind w:left="1160" w:right="1159" w:firstLine="515"/>
        <w:spacing w:after="0" w:line="265" w:lineRule="auto"/>
        <w:rPr>
          <w:sz w:val="20"/>
          <w:szCs w:val="20"/>
          <w:color w:val="auto"/>
        </w:rPr>
      </w:pPr>
      <w:r>
        <w:rPr>
          <w:rFonts w:ascii="Times New Roman" w:cs="Times New Roman" w:eastAsia="Times New Roman" w:hAnsi="Times New Roman"/>
          <w:sz w:val="14"/>
          <w:szCs w:val="14"/>
          <w:color w:val="231F20"/>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1" w:lineRule="exact"/>
        <w:rPr>
          <w:sz w:val="20"/>
          <w:szCs w:val="20"/>
          <w:color w:val="auto"/>
        </w:rPr>
      </w:pPr>
    </w:p>
    <w:p>
      <w:pPr>
        <w:jc w:val="both"/>
        <w:ind w:left="1160" w:right="1159" w:firstLine="515"/>
        <w:spacing w:after="0" w:line="264" w:lineRule="auto"/>
        <w:rPr>
          <w:sz w:val="20"/>
          <w:szCs w:val="20"/>
          <w:color w:val="auto"/>
        </w:rPr>
      </w:pPr>
      <w:r>
        <w:rPr>
          <w:rFonts w:ascii="Times New Roman" w:cs="Times New Roman" w:eastAsia="Times New Roman" w:hAnsi="Times New Roman"/>
          <w:sz w:val="14"/>
          <w:szCs w:val="14"/>
          <w:color w:val="231F20"/>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285" w:lineRule="exact"/>
        <w:rPr>
          <w:sz w:val="20"/>
          <w:szCs w:val="20"/>
          <w:color w:val="auto"/>
        </w:rPr>
      </w:pPr>
    </w:p>
    <w:p>
      <w:pPr>
        <w:jc w:val="both"/>
        <w:ind w:left="1160" w:right="1159" w:firstLine="515"/>
        <w:spacing w:after="0" w:line="265" w:lineRule="auto"/>
        <w:rPr>
          <w:sz w:val="20"/>
          <w:szCs w:val="20"/>
          <w:color w:val="auto"/>
        </w:rPr>
      </w:pPr>
      <w:r>
        <w:rPr>
          <w:rFonts w:ascii="Times New Roman" w:cs="Times New Roman" w:eastAsia="Times New Roman" w:hAnsi="Times New Roman"/>
          <w:sz w:val="14"/>
          <w:szCs w:val="14"/>
          <w:color w:val="231F20"/>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231F20"/>
        </w:rPr>
        <w:t>Notice to Prospective Investors in the Dubai International Financial Centre</w:t>
      </w:r>
    </w:p>
    <w:p>
      <w:pPr>
        <w:spacing w:after="0" w:line="165" w:lineRule="exact"/>
        <w:rPr>
          <w:sz w:val="20"/>
          <w:szCs w:val="20"/>
          <w:color w:val="auto"/>
        </w:rPr>
      </w:pPr>
    </w:p>
    <w:p>
      <w:pPr>
        <w:jc w:val="both"/>
        <w:ind w:left="1160" w:right="1159" w:firstLine="515"/>
        <w:spacing w:after="0" w:line="261" w:lineRule="auto"/>
        <w:rPr>
          <w:sz w:val="20"/>
          <w:szCs w:val="20"/>
          <w:color w:val="auto"/>
        </w:rPr>
      </w:pPr>
      <w:r>
        <w:rPr>
          <w:rFonts w:ascii="Times New Roman" w:cs="Times New Roman" w:eastAsia="Times New Roman" w:hAnsi="Times New Roman"/>
          <w:sz w:val="14"/>
          <w:szCs w:val="14"/>
          <w:color w:val="231F20"/>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231F20"/>
        </w:rPr>
        <w:t>Notice to Prospective Investors in Brazil</w:t>
      </w:r>
    </w:p>
    <w:p>
      <w:pPr>
        <w:spacing w:after="0" w:line="154"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auto"/>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1" w:name="page32"/>
    <w:bookmarkEnd w:id="31"/>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52" w:lineRule="exact"/>
        <w:rPr>
          <w:sz w:val="20"/>
          <w:szCs w:val="20"/>
          <w:color w:val="auto"/>
        </w:rPr>
      </w:pPr>
    </w:p>
    <w:p>
      <w:pPr>
        <w:jc w:val="both"/>
        <w:ind w:left="1160" w:right="1159" w:firstLine="515"/>
        <w:spacing w:after="0" w:line="274" w:lineRule="auto"/>
        <w:rPr>
          <w:sz w:val="20"/>
          <w:szCs w:val="20"/>
          <w:color w:val="auto"/>
        </w:rPr>
      </w:pPr>
      <w:r>
        <w:rPr>
          <w:rFonts w:ascii="Times New Roman" w:cs="Times New Roman" w:eastAsia="Times New Roman" w:hAnsi="Times New Roman"/>
          <w:sz w:val="14"/>
          <w:szCs w:val="14"/>
          <w:color w:val="auto"/>
        </w:rPr>
        <w:t>The validity of the shares of common stock offered by this prospectus supplement will be passed upon for us by Barnes &amp; Thornburg LLP, Nashville, Tennessee. Certain legal matters in connection with the offering will be passed upon for the underwriter by Latham &amp; Watkins LLP, New York, New York.</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52" w:lineRule="exact"/>
        <w:rPr>
          <w:sz w:val="20"/>
          <w:szCs w:val="20"/>
          <w:color w:val="auto"/>
        </w:rPr>
      </w:pPr>
    </w:p>
    <w:p>
      <w:pPr>
        <w:jc w:val="both"/>
        <w:ind w:left="1160" w:right="1179" w:firstLine="515"/>
        <w:spacing w:after="0" w:line="263" w:lineRule="auto"/>
        <w:rPr>
          <w:sz w:val="20"/>
          <w:szCs w:val="20"/>
          <w:color w:val="auto"/>
        </w:rPr>
      </w:pPr>
      <w:r>
        <w:rPr>
          <w:rFonts w:ascii="Times New Roman" w:cs="Times New Roman" w:eastAsia="Times New Roman" w:hAnsi="Times New Roman"/>
          <w:sz w:val="14"/>
          <w:szCs w:val="14"/>
          <w:color w:val="auto"/>
        </w:rPr>
        <w:t>The consolidated financial statements of BrightSpring Health Services, Inc. and its subsidiaries as of December 31, 2025 and 2024, and for each of the years in the three-year period ended December 31, 2025, and management's assessment of the effectiveness of internal control over financial reporting as of December 31, 2025, have been incorporated by reference herein to the Company’s Annual Report in reliance upon the reports of KPMG LLP, independent registered public accounting firm, incorporated by reference herein, and upon the authority of said firm as experts in accounting and auditing.</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63"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with respect to the common stock offered by this prospectus supplement. This prospectus supplement and the accompanying prospectus are part of the registration statement and therefore do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supplement and the accompanying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116" w:lineRule="exact"/>
        <w:rPr>
          <w:sz w:val="20"/>
          <w:szCs w:val="20"/>
          <w:color w:val="auto"/>
        </w:rPr>
      </w:pPr>
    </w:p>
    <w:p>
      <w:pPr>
        <w:jc w:val="both"/>
        <w:ind w:left="1160" w:right="1159" w:firstLine="515"/>
        <w:spacing w:after="0" w:line="261"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pursuant to the Exchange Act. Our filings with the SEC, including the filings that are incorporated by reference to this prospectus, are available to the public on the SEC’s website at www.sec.gov. Those filings are also available to the public on, or accessible through, our website at www.brightspringhealth.com. The information contained on or accessible through our corporate website or any other website that we may maintain is not incorporated by reference herein and is not part of this prospectus or the registration statement of which this prospectus is a part. You may also inspect these reports and other information without charge at a website maintained by the SEC. The address of this site is http://www.sec.gov.</w:t>
      </w:r>
    </w:p>
    <w:p>
      <w:pPr>
        <w:spacing w:after="0" w:line="114" w:lineRule="exact"/>
        <w:rPr>
          <w:sz w:val="20"/>
          <w:szCs w:val="20"/>
          <w:color w:val="auto"/>
        </w:rPr>
      </w:pPr>
    </w:p>
    <w:p>
      <w:pPr>
        <w:jc w:val="both"/>
        <w:ind w:left="1160" w:right="1179" w:firstLine="515"/>
        <w:spacing w:after="0" w:line="292" w:lineRule="auto"/>
        <w:rPr>
          <w:sz w:val="20"/>
          <w:szCs w:val="20"/>
          <w:color w:val="auto"/>
        </w:rPr>
      </w:pPr>
      <w:r>
        <w:rPr>
          <w:rFonts w:ascii="Times New Roman" w:cs="Times New Roman" w:eastAsia="Times New Roman" w:hAnsi="Times New Roman"/>
          <w:sz w:val="14"/>
          <w:szCs w:val="14"/>
          <w:color w:val="auto"/>
        </w:rPr>
        <w:t>We intend to make available to our common stockholders annual reports containing consolidated financial statements audited by an independent registered public accounting firm.</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2" w:name="page33"/>
    <w:bookmarkEnd w:id="32"/>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52" w:lineRule="exact"/>
        <w:rPr>
          <w:sz w:val="20"/>
          <w:szCs w:val="20"/>
          <w:color w:val="auto"/>
        </w:rPr>
      </w:pPr>
    </w:p>
    <w:p>
      <w:pPr>
        <w:jc w:val="both"/>
        <w:ind w:left="1160" w:right="1159" w:firstLine="515"/>
        <w:spacing w:after="0" w:line="268"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supplement. This means that we can disclose important information to you by referring you to another document. The information incorporated by reference is considered to be a part of this prospectus supplement. This prospectus supplement incorporates by reference the documents listed below:</w:t>
      </w:r>
    </w:p>
    <w:p>
      <w:pPr>
        <w:spacing w:after="0" w:line="54" w:lineRule="exact"/>
        <w:rPr>
          <w:sz w:val="20"/>
          <w:szCs w:val="20"/>
          <w:color w:val="auto"/>
        </w:rPr>
      </w:pPr>
    </w:p>
    <w:p>
      <w:pPr>
        <w:ind w:left="1660" w:right="1179" w:hanging="249"/>
        <w:spacing w:after="0" w:line="292"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15">
        <w:r>
          <w:rPr>
            <w:rFonts w:ascii="Times New Roman" w:cs="Times New Roman" w:eastAsia="Times New Roman" w:hAnsi="Times New Roman"/>
            <w:sz w:val="14"/>
            <w:szCs w:val="14"/>
            <w:u w:val="single" w:color="auto"/>
            <w:color w:val="0000FF"/>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27, 2026;</w:t>
      </w:r>
    </w:p>
    <w:p>
      <w:pPr>
        <w:spacing w:after="0" w:line="27"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49">
        <w:r>
          <w:rPr>
            <w:rFonts w:ascii="Times New Roman" w:cs="Times New Roman" w:eastAsia="Times New Roman" w:hAnsi="Times New Roman"/>
            <w:sz w:val="14"/>
            <w:szCs w:val="14"/>
            <w:u w:val="single" w:color="auto"/>
            <w:color w:val="0000FF"/>
          </w:rPr>
          <w:t>Quarterly Report on 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 filed with the SEC on May 1, 2026;</w:t>
      </w:r>
    </w:p>
    <w:p>
      <w:pPr>
        <w:spacing w:after="0" w:line="27" w:lineRule="exact"/>
        <w:rPr>
          <w:rFonts w:ascii="Times New Roman" w:cs="Times New Roman" w:eastAsia="Times New Roman" w:hAnsi="Times New Roman"/>
          <w:sz w:val="14"/>
          <w:szCs w:val="14"/>
          <w:color w:val="auto"/>
        </w:rPr>
      </w:pPr>
    </w:p>
    <w:p>
      <w:pPr>
        <w:ind w:left="1660" w:right="1159" w:hanging="249"/>
        <w:spacing w:after="0" w:line="292"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50">
        <w:r>
          <w:rPr>
            <w:rFonts w:ascii="Times New Roman" w:cs="Times New Roman" w:eastAsia="Times New Roman" w:hAnsi="Times New Roman"/>
            <w:sz w:val="14"/>
            <w:szCs w:val="14"/>
            <w:u w:val="single" w:color="auto"/>
            <w:color w:val="0000FF"/>
          </w:rPr>
          <w:t>March 4, 2026</w:t>
        </w:r>
      </w:hyperlink>
      <w:r>
        <w:rPr>
          <w:rFonts w:ascii="Times New Roman" w:cs="Times New Roman" w:eastAsia="Times New Roman" w:hAnsi="Times New Roman"/>
          <w:sz w:val="14"/>
          <w:szCs w:val="14"/>
          <w:color w:val="auto"/>
        </w:rPr>
        <w:t xml:space="preserve">, </w:t>
      </w:r>
      <w:hyperlink r:id="rId51">
        <w:r>
          <w:rPr>
            <w:rFonts w:ascii="Times New Roman" w:cs="Times New Roman" w:eastAsia="Times New Roman" w:hAnsi="Times New Roman"/>
            <w:sz w:val="14"/>
            <w:szCs w:val="14"/>
            <w:u w:val="single" w:color="auto"/>
            <w:color w:val="0000FF"/>
          </w:rPr>
          <w:t>March 31,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(other than information furnished pursuant to Item 7.01) and </w:t>
      </w:r>
      <w:hyperlink r:id="rId52">
        <w:r>
          <w:rPr>
            <w:rFonts w:ascii="Times New Roman" w:cs="Times New Roman" w:eastAsia="Times New Roman" w:hAnsi="Times New Roman"/>
            <w:sz w:val="14"/>
            <w:szCs w:val="14"/>
            <w:u w:val="single" w:color="auto"/>
            <w:color w:val="0000FF"/>
          </w:rPr>
          <w:t>May 21, 2026</w:t>
        </w:r>
      </w:hyperlink>
      <w:r>
        <w:rPr>
          <w:rFonts w:ascii="Times New Roman" w:cs="Times New Roman" w:eastAsia="Times New Roman" w:hAnsi="Times New Roman"/>
          <w:sz w:val="14"/>
          <w:szCs w:val="14"/>
          <w:color w:val="auto"/>
        </w:rPr>
        <w:t>;</w:t>
      </w:r>
    </w:p>
    <w:p>
      <w:pPr>
        <w:spacing w:after="0" w:line="27"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portions of our </w:t>
      </w:r>
      <w:hyperlink r:id="rId53">
        <w:r>
          <w:rPr>
            <w:rFonts w:ascii="Times New Roman" w:cs="Times New Roman" w:eastAsia="Times New Roman" w:hAnsi="Times New Roman"/>
            <w:sz w:val="14"/>
            <w:szCs w:val="14"/>
            <w:u w:val="single" w:color="auto"/>
            <w:color w:val="0000FF"/>
          </w:rPr>
          <w:t>definitive proxy statement on Schedule 14A</w:t>
        </w:r>
      </w:hyperlink>
      <w:r>
        <w:rPr>
          <w:rFonts w:ascii="Times New Roman" w:cs="Times New Roman" w:eastAsia="Times New Roman" w:hAnsi="Times New Roman"/>
          <w:sz w:val="14"/>
          <w:szCs w:val="14"/>
          <w:color w:val="auto"/>
        </w:rPr>
        <w:t>, filed with the SEC on April 10, 2026, that are deemed “filed” with the SEC under the Exchange Act;</w:t>
      </w:r>
    </w:p>
    <w:p>
      <w:pPr>
        <w:spacing w:after="0" w:line="27" w:lineRule="exact"/>
        <w:rPr>
          <w:rFonts w:ascii="Times New Roman" w:cs="Times New Roman" w:eastAsia="Times New Roman" w:hAnsi="Times New Roman"/>
          <w:sz w:val="14"/>
          <w:szCs w:val="14"/>
          <w:color w:val="auto"/>
        </w:rPr>
      </w:pPr>
    </w:p>
    <w:p>
      <w:pPr>
        <w:jc w:val="both"/>
        <w:ind w:left="1660" w:right="1159" w:hanging="249"/>
        <w:spacing w:after="0" w:line="285"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capital stock contained in the </w:t>
      </w:r>
      <w:hyperlink r:id="rId54">
        <w:r>
          <w:rPr>
            <w:rFonts w:ascii="Times New Roman" w:cs="Times New Roman" w:eastAsia="Times New Roman" w:hAnsi="Times New Roman"/>
            <w:sz w:val="14"/>
            <w:szCs w:val="14"/>
            <w:u w:val="single" w:color="auto"/>
            <w:color w:val="0000FF"/>
          </w:rPr>
          <w:t>Registration Statement on Form 8-A</w:t>
        </w:r>
      </w:hyperlink>
      <w:r>
        <w:rPr>
          <w:rFonts w:ascii="Times New Roman" w:cs="Times New Roman" w:eastAsia="Times New Roman" w:hAnsi="Times New Roman"/>
          <w:sz w:val="14"/>
          <w:szCs w:val="14"/>
          <w:color w:val="auto"/>
        </w:rPr>
        <w:t>, filed with the SEC on January 26, 2024, including any amendments or reports filed for the purpose of updating such description; and</w:t>
      </w:r>
    </w:p>
    <w:p>
      <w:pPr>
        <w:spacing w:after="0" w:line="208" w:lineRule="exact"/>
        <w:rPr>
          <w:rFonts w:ascii="Times New Roman" w:cs="Times New Roman" w:eastAsia="Times New Roman" w:hAnsi="Times New Roman"/>
          <w:sz w:val="14"/>
          <w:szCs w:val="14"/>
          <w:color w:val="auto"/>
        </w:rPr>
      </w:pPr>
    </w:p>
    <w:p>
      <w:pPr>
        <w:jc w:val="both"/>
        <w:ind w:left="1660" w:right="1159" w:hanging="249"/>
        <w:spacing w:after="0" w:line="268"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documents filed by us under sections 13(a), 13(c), 14 or 15(d) of the Exchange Act after the date of this prospectus and before the termination of the offerings to which this prospectus relates (other than documents and information furnished and not filed in accordance with SEC rules, unless expressly stated otherwise therein).</w:t>
      </w:r>
    </w:p>
    <w:p>
      <w:pPr>
        <w:spacing w:after="0" w:line="119" w:lineRule="exact"/>
        <w:rPr>
          <w:rFonts w:ascii="Times New Roman" w:cs="Times New Roman" w:eastAsia="Times New Roman" w:hAnsi="Times New Roman"/>
          <w:sz w:val="14"/>
          <w:szCs w:val="14"/>
          <w:color w:val="auto"/>
        </w:rPr>
      </w:pPr>
    </w:p>
    <w:p>
      <w:pPr>
        <w:jc w:val="both"/>
        <w:ind w:left="1160" w:right="1159" w:firstLine="515"/>
        <w:spacing w:after="0" w:line="271" w:lineRule="auto"/>
        <w:rPr>
          <w:sz w:val="20"/>
          <w:szCs w:val="20"/>
          <w:color w:val="auto"/>
        </w:rPr>
      </w:pPr>
      <w:r>
        <w:rPr>
          <w:rFonts w:ascii="Times New Roman" w:cs="Times New Roman" w:eastAsia="Times New Roman" w:hAnsi="Times New Roman"/>
          <w:sz w:val="14"/>
          <w:szCs w:val="14"/>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is also modified or superseded in the same manner.</w:t>
      </w:r>
    </w:p>
    <w:p>
      <w:pPr>
        <w:spacing w:after="0" w:line="282" w:lineRule="exact"/>
        <w:rPr>
          <w:rFonts w:ascii="Times New Roman" w:cs="Times New Roman" w:eastAsia="Times New Roman" w:hAnsi="Times New Roman"/>
          <w:sz w:val="14"/>
          <w:szCs w:val="14"/>
          <w:color w:val="auto"/>
        </w:rPr>
      </w:pPr>
    </w:p>
    <w:p>
      <w:pPr>
        <w:jc w:val="both"/>
        <w:ind w:left="1160" w:right="1159" w:firstLine="515"/>
        <w:spacing w:after="0" w:line="292" w:lineRule="auto"/>
        <w:rPr>
          <w:sz w:val="20"/>
          <w:szCs w:val="20"/>
          <w:color w:val="auto"/>
        </w:rPr>
      </w:pPr>
      <w:r>
        <w:rPr>
          <w:rFonts w:ascii="Times New Roman" w:cs="Times New Roman" w:eastAsia="Times New Roman" w:hAnsi="Times New Roman"/>
          <w:sz w:val="14"/>
          <w:szCs w:val="14"/>
          <w:color w:val="auto"/>
        </w:rPr>
        <w:t>You can obtain any of the filings incorporated by reference into this prospectus supplement through us or from the SEC as noted above in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7"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S-30</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3" w:name="page34"/>
    <w:bookmarkEnd w:id="33"/>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126365</wp:posOffset>
            </wp:positionV>
            <wp:extent cx="1793240" cy="340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793240" cy="34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4"/>
          <w:szCs w:val="34"/>
          <w:b w:val="1"/>
          <w:bCs w:val="1"/>
          <w:color w:val="auto"/>
        </w:rPr>
        <w:t>BrightSpring Health Services, Inc.</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85" w:lineRule="exact"/>
        <w:rPr>
          <w:sz w:val="20"/>
          <w:szCs w:val="20"/>
          <w:color w:val="auto"/>
        </w:rPr>
      </w:pPr>
    </w:p>
    <w:p>
      <w:pPr>
        <w:jc w:val="both"/>
        <w:ind w:left="900" w:right="919" w:firstLine="516"/>
        <w:spacing w:after="0" w:line="265" w:lineRule="auto"/>
        <w:rPr>
          <w:sz w:val="20"/>
          <w:szCs w:val="20"/>
          <w:color w:val="auto"/>
        </w:rPr>
      </w:pPr>
      <w:r>
        <w:rPr>
          <w:rFonts w:ascii="Times New Roman" w:cs="Times New Roman" w:eastAsia="Times New Roman" w:hAnsi="Times New Roman"/>
          <w:sz w:val="14"/>
          <w:szCs w:val="14"/>
          <w:color w:val="auto"/>
        </w:rPr>
        <w:t>Selling stockholders (“Selling Stockholders”) or their permitted transferees may sell shares of common stock, par value $0.01 per share (“Common Stock”), of BrightSpring Health Services, Inc., from time to time, on terms described in the applicable prospectus supplement. This prospectus describes some of the general terms that may apply to these securities and the general manner in which they may be offered by the Selling Stockholders. The specific terms of any securities to be offered, and the specific manner in which they may be offered, will be described in supplements to this prospectus.</w:t>
      </w:r>
    </w:p>
    <w:p>
      <w:pPr>
        <w:spacing w:after="0" w:line="110" w:lineRule="exact"/>
        <w:rPr>
          <w:sz w:val="20"/>
          <w:szCs w:val="20"/>
          <w:color w:val="auto"/>
        </w:rPr>
      </w:pPr>
    </w:p>
    <w:p>
      <w:pPr>
        <w:jc w:val="both"/>
        <w:ind w:left="900" w:right="899" w:firstLine="516"/>
        <w:spacing w:after="0" w:line="268" w:lineRule="auto"/>
        <w:rPr>
          <w:sz w:val="20"/>
          <w:szCs w:val="20"/>
          <w:color w:val="auto"/>
        </w:rPr>
      </w:pPr>
      <w:r>
        <w:rPr>
          <w:rFonts w:ascii="Times New Roman" w:cs="Times New Roman" w:eastAsia="Times New Roman" w:hAnsi="Times New Roman"/>
          <w:sz w:val="14"/>
          <w:szCs w:val="14"/>
          <w:color w:val="auto"/>
        </w:rPr>
        <w:t>We will not receive any of the proceeds from the sale by the Selling Stockholders of the Common Stock. The Selling Stockholders from time to time may offer and sell the shares held by them directly or through underwriters, agents or broker-dealers on terms to be determined at the time of sale, as described in more detail in this prospectus. For more information,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119" w:lineRule="exact"/>
        <w:rPr>
          <w:sz w:val="20"/>
          <w:szCs w:val="20"/>
          <w:color w:val="auto"/>
        </w:rPr>
      </w:pPr>
    </w:p>
    <w:p>
      <w:pPr>
        <w:jc w:val="both"/>
        <w:ind w:left="900" w:right="919" w:firstLine="516"/>
        <w:spacing w:after="0" w:line="292" w:lineRule="auto"/>
        <w:rPr>
          <w:sz w:val="20"/>
          <w:szCs w:val="20"/>
          <w:color w:val="auto"/>
        </w:rPr>
      </w:pPr>
      <w:r>
        <w:rPr>
          <w:rFonts w:ascii="Times New Roman" w:cs="Times New Roman" w:eastAsia="Times New Roman" w:hAnsi="Times New Roman"/>
          <w:sz w:val="14"/>
          <w:szCs w:val="14"/>
          <w:color w:val="auto"/>
        </w:rPr>
        <w:t>The Common Stock is listed on Nasdaq Global Select Markets (“Nasdaq”) under the symbol “BTSG”. On June 9, 2025, the last reported sale price of the Common Stock as reported on the Nasdaq was $23.86 per share.</w:t>
      </w:r>
    </w:p>
    <w:p>
      <w:pPr>
        <w:spacing w:after="0" w:line="90" w:lineRule="exact"/>
        <w:rPr>
          <w:sz w:val="20"/>
          <w:szCs w:val="20"/>
          <w:color w:val="auto"/>
        </w:rPr>
      </w:pPr>
    </w:p>
    <w:p>
      <w:pPr>
        <w:jc w:val="both"/>
        <w:ind w:left="900" w:right="919" w:firstLine="516"/>
        <w:spacing w:after="0" w:line="269" w:lineRule="auto"/>
        <w:rPr>
          <w:sz w:val="20"/>
          <w:szCs w:val="20"/>
          <w:color w:val="auto"/>
        </w:rPr>
      </w:pPr>
      <w:r>
        <w:rPr>
          <w:rFonts w:ascii="Times New Roman" w:cs="Times New Roman" w:eastAsia="Times New Roman" w:hAnsi="Times New Roman"/>
          <w:sz w:val="14"/>
          <w:szCs w:val="14"/>
          <w:b w:val="1"/>
          <w:bCs w:val="1"/>
          <w:color w:val="auto"/>
        </w:rPr>
        <w:t>Investing in the Common Stock involves risks. Before making a decision to invest in the Common Stock, you should refer to the risk factors included in our periodic reports, in prospectus supplements relating to specific offerings and in other information that we file with the Securities and Exchange Commission (the “SEC”). See “</w:t>
      </w:r>
      <w:r>
        <w:rPr>
          <w:rFonts w:ascii="Times New Roman" w:cs="Times New Roman" w:eastAsia="Times New Roman" w:hAnsi="Times New Roman"/>
          <w:sz w:val="14"/>
          <w:szCs w:val="14"/>
          <w:b w:val="1"/>
          <w:bCs w:val="1"/>
          <w:i w:val="1"/>
          <w:iCs w:val="1"/>
          <w:color w:val="auto"/>
        </w:rPr>
        <w:t>Risk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Factors</w:t>
      </w:r>
      <w:r>
        <w:rPr>
          <w:rFonts w:ascii="Times New Roman" w:cs="Times New Roman" w:eastAsia="Times New Roman" w:hAnsi="Times New Roman"/>
          <w:sz w:val="14"/>
          <w:szCs w:val="14"/>
          <w:b w:val="1"/>
          <w:bCs w:val="1"/>
          <w:color w:val="auto"/>
        </w:rPr>
        <w:t>” on page 3 of this prospectus.</w:t>
      </w:r>
    </w:p>
    <w:p>
      <w:pPr>
        <w:spacing w:after="0" w:line="105" w:lineRule="exact"/>
        <w:rPr>
          <w:sz w:val="20"/>
          <w:szCs w:val="20"/>
          <w:color w:val="auto"/>
        </w:rPr>
      </w:pPr>
    </w:p>
    <w:p>
      <w:pPr>
        <w:jc w:val="both"/>
        <w:ind w:left="900" w:right="919" w:firstLine="516"/>
        <w:spacing w:after="0" w:line="295"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passed upon the accuracy or adequacy of this prospectus. Any representation to the contrary is a criminal offense.</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Prospectus dated June 10, 2025.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4" w:name="page35"/>
    <w:bookmarkEnd w:id="34"/>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44" w:lineRule="exact"/>
        <w:rPr>
          <w:sz w:val="20"/>
          <w:szCs w:val="20"/>
          <w:color w:val="auto"/>
        </w:rPr>
      </w:pPr>
    </w:p>
    <w:tbl>
      <w:tblPr>
        <w:tblLayout w:type="fixed"/>
        <w:tblInd w:w="900" w:type="dxa"/>
        <w:tblCellMar>
          <w:top w:w="0" w:type="dxa"/>
          <w:left w:w="0" w:type="dxa"/>
          <w:bottom w:w="0" w:type="dxa"/>
          <w:right w:w="0" w:type="dxa"/>
        </w:tblCellMar>
      </w:tblPr>
      <w:tr>
        <w:trPr>
          <w:trHeight w:val="137"/>
        </w:trPr>
        <w:tc>
          <w:tcPr>
            <w:tcW w:w="656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color w:val="0000FF"/>
              </w:rPr>
              <w:t>Prospectus Summary</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0"/>
        </w:trPr>
        <w:tc>
          <w:tcPr>
            <w:tcW w:w="6560" w:type="dxa"/>
            <w:vAlign w:val="bottom"/>
            <w:gridSpan w:val="13"/>
            <w:vMerge w:val="continue"/>
          </w:tcPr>
          <w:p>
            <w:pPr>
              <w:spacing w:after="0"/>
              <w:rPr>
                <w:sz w:val="11"/>
                <w:szCs w:val="11"/>
                <w:color w:val="auto"/>
              </w:rPr>
            </w:pPr>
          </w:p>
        </w:tc>
        <w:tc>
          <w:tcPr>
            <w:tcW w:w="6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2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4"/>
                <w:szCs w:val="14"/>
                <w:color w:val="0000FF"/>
                <w:w w:val="99"/>
              </w:rPr>
              <w:t>Risk Factors</w:t>
            </w:r>
          </w:p>
        </w:tc>
        <w:tc>
          <w:tcPr>
            <w:tcW w:w="480" w:type="dxa"/>
            <w:vAlign w:val="bottom"/>
            <w:tcBorders>
              <w:top w:val="single" w:sz="8" w:color="0000FF"/>
            </w:tcBorders>
            <w:gridSpan w:val="5"/>
          </w:tcPr>
          <w:p>
            <w:pPr>
              <w:spacing w:after="0"/>
              <w:rPr>
                <w:sz w:val="13"/>
                <w:szCs w:val="13"/>
                <w:color w:val="auto"/>
              </w:rPr>
            </w:pPr>
          </w:p>
        </w:tc>
        <w:tc>
          <w:tcPr>
            <w:tcW w:w="5360" w:type="dxa"/>
            <w:vAlign w:val="bottom"/>
            <w:gridSpan w:val="6"/>
          </w:tcPr>
          <w:p>
            <w:pPr>
              <w:spacing w:after="0"/>
              <w:rPr>
                <w:sz w:val="13"/>
                <w:szCs w:val="13"/>
                <w:color w:val="auto"/>
              </w:rPr>
            </w:pPr>
          </w:p>
        </w:tc>
        <w:tc>
          <w:tcPr>
            <w:tcW w:w="6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2"/>
        </w:trPr>
        <w:tc>
          <w:tcPr>
            <w:tcW w:w="3220" w:type="dxa"/>
            <w:vAlign w:val="bottom"/>
            <w:tcBorders>
              <w:bottom w:val="single" w:sz="8" w:color="0000FF"/>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Forward-Looking Statements and Risk Factor Summary</w:t>
            </w:r>
          </w:p>
        </w:tc>
        <w:tc>
          <w:tcPr>
            <w:tcW w:w="3340" w:type="dxa"/>
            <w:vAlign w:val="bottom"/>
          </w:tcPr>
          <w:p>
            <w:pPr>
              <w:spacing w:after="0"/>
              <w:rPr>
                <w:sz w:val="13"/>
                <w:szCs w:val="13"/>
                <w:color w:val="auto"/>
              </w:rPr>
            </w:pPr>
          </w:p>
        </w:tc>
        <w:tc>
          <w:tcPr>
            <w:tcW w:w="6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2"/>
        </w:trPr>
        <w:tc>
          <w:tcPr>
            <w:tcW w:w="656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Use of Proceeds</w:t>
            </w:r>
          </w:p>
        </w:tc>
        <w:tc>
          <w:tcPr>
            <w:tcW w:w="6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840" w:type="dxa"/>
            <w:vAlign w:val="bottom"/>
            <w:tcBorders>
              <w:bottom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FF"/>
              </w:rPr>
              <w:t>Determination of Offering Price</w:t>
            </w:r>
          </w:p>
        </w:tc>
        <w:tc>
          <w:tcPr>
            <w:tcW w:w="4720" w:type="dxa"/>
            <w:vAlign w:val="bottom"/>
            <w:gridSpan w:val="4"/>
          </w:tcPr>
          <w:p>
            <w:pPr>
              <w:spacing w:after="0"/>
              <w:rPr>
                <w:sz w:val="13"/>
                <w:szCs w:val="13"/>
                <w:color w:val="auto"/>
              </w:rPr>
            </w:pPr>
          </w:p>
        </w:tc>
        <w:tc>
          <w:tcPr>
            <w:tcW w:w="6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2"/>
        </w:trPr>
        <w:tc>
          <w:tcPr>
            <w:tcW w:w="656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Selling Stockholders</w:t>
            </w:r>
          </w:p>
        </w:tc>
        <w:tc>
          <w:tcPr>
            <w:tcW w:w="6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2"/>
        </w:trPr>
        <w:tc>
          <w:tcPr>
            <w:tcW w:w="1140" w:type="dxa"/>
            <w:vAlign w:val="bottom"/>
            <w:tcBorders>
              <w:top w:val="single" w:sz="8" w:color="0000FF"/>
              <w:bottom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4"/>
                <w:szCs w:val="14"/>
                <w:color w:val="0000FF"/>
              </w:rPr>
              <w:t>Plan of Distribution</w:t>
            </w:r>
          </w:p>
        </w:tc>
        <w:tc>
          <w:tcPr>
            <w:tcW w:w="40" w:type="dxa"/>
            <w:vAlign w:val="bottom"/>
            <w:tcBorders>
              <w:top w:val="single" w:sz="8" w:color="0000FF"/>
            </w:tcBorders>
          </w:tcPr>
          <w:p>
            <w:pPr>
              <w:spacing w:after="0"/>
              <w:rPr>
                <w:sz w:val="13"/>
                <w:szCs w:val="13"/>
                <w:color w:val="auto"/>
              </w:rPr>
            </w:pPr>
          </w:p>
        </w:tc>
        <w:tc>
          <w:tcPr>
            <w:tcW w:w="5380" w:type="dxa"/>
            <w:vAlign w:val="bottom"/>
            <w:gridSpan w:val="7"/>
          </w:tcPr>
          <w:p>
            <w:pPr>
              <w:spacing w:after="0"/>
              <w:rPr>
                <w:sz w:val="13"/>
                <w:szCs w:val="13"/>
                <w:color w:val="auto"/>
              </w:rPr>
            </w:pPr>
          </w:p>
        </w:tc>
        <w:tc>
          <w:tcPr>
            <w:tcW w:w="6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2"/>
        </w:trPr>
        <w:tc>
          <w:tcPr>
            <w:tcW w:w="656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Description of Capital Stock</w:t>
            </w:r>
          </w:p>
        </w:tc>
        <w:tc>
          <w:tcPr>
            <w:tcW w:w="6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52"/>
        </w:trPr>
        <w:tc>
          <w:tcPr>
            <w:tcW w:w="800" w:type="dxa"/>
            <w:vAlign w:val="bottom"/>
            <w:tcBorders>
              <w:top w:val="single" w:sz="8" w:color="0000FF"/>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4"/>
                <w:szCs w:val="14"/>
                <w:color w:val="0000FF"/>
                <w:w w:val="99"/>
              </w:rPr>
              <w:t>Legal Matters</w:t>
            </w:r>
          </w:p>
        </w:tc>
        <w:tc>
          <w:tcPr>
            <w:tcW w:w="820" w:type="dxa"/>
            <w:vAlign w:val="bottom"/>
            <w:tcBorders>
              <w:top w:val="single" w:sz="8" w:color="0000FF"/>
            </w:tcBorders>
            <w:gridSpan w:val="5"/>
          </w:tcPr>
          <w:p>
            <w:pPr>
              <w:spacing w:after="0"/>
              <w:rPr>
                <w:sz w:val="13"/>
                <w:szCs w:val="13"/>
                <w:color w:val="auto"/>
              </w:rPr>
            </w:pPr>
          </w:p>
        </w:tc>
        <w:tc>
          <w:tcPr>
            <w:tcW w:w="4940" w:type="dxa"/>
            <w:vAlign w:val="bottom"/>
            <w:gridSpan w:val="5"/>
          </w:tcPr>
          <w:p>
            <w:pPr>
              <w:spacing w:after="0"/>
              <w:rPr>
                <w:sz w:val="13"/>
                <w:szCs w:val="13"/>
                <w:color w:val="auto"/>
              </w:rPr>
            </w:pPr>
          </w:p>
        </w:tc>
        <w:tc>
          <w:tcPr>
            <w:tcW w:w="6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52"/>
        </w:trPr>
        <w:tc>
          <w:tcPr>
            <w:tcW w:w="440" w:type="dxa"/>
            <w:vAlign w:val="bottom"/>
            <w:tcBorders>
              <w:bottom w:val="single" w:sz="8" w:color="0000FF"/>
            </w:tcBorders>
          </w:tcPr>
          <w:p>
            <w:pPr>
              <w:spacing w:after="0" w:line="152" w:lineRule="exact"/>
              <w:rPr>
                <w:sz w:val="20"/>
                <w:szCs w:val="20"/>
                <w:color w:val="auto"/>
              </w:rPr>
            </w:pPr>
            <w:r>
              <w:rPr>
                <w:rFonts w:ascii="Times New Roman" w:cs="Times New Roman" w:eastAsia="Times New Roman" w:hAnsi="Times New Roman"/>
                <w:sz w:val="14"/>
                <w:szCs w:val="14"/>
                <w:color w:val="0000FF"/>
                <w:w w:val="98"/>
              </w:rPr>
              <w:t>Experts</w:t>
            </w:r>
          </w:p>
        </w:tc>
        <w:tc>
          <w:tcPr>
            <w:tcW w:w="6120" w:type="dxa"/>
            <w:vAlign w:val="bottom"/>
            <w:gridSpan w:val="12"/>
          </w:tcPr>
          <w:p>
            <w:pPr>
              <w:spacing w:after="0"/>
              <w:rPr>
                <w:sz w:val="13"/>
                <w:szCs w:val="13"/>
                <w:color w:val="auto"/>
              </w:rPr>
            </w:pPr>
          </w:p>
        </w:tc>
        <w:tc>
          <w:tcPr>
            <w:tcW w:w="6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52"/>
        </w:trPr>
        <w:tc>
          <w:tcPr>
            <w:tcW w:w="656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Where You Can Find More Information</w:t>
            </w:r>
          </w:p>
        </w:tc>
        <w:tc>
          <w:tcPr>
            <w:tcW w:w="6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52"/>
        </w:trPr>
        <w:tc>
          <w:tcPr>
            <w:tcW w:w="2280" w:type="dxa"/>
            <w:vAlign w:val="bottom"/>
            <w:tcBorders>
              <w:top w:val="single" w:sz="8" w:color="0000FF"/>
            </w:tcBorders>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Information Incorporated by Reference</w:t>
            </w:r>
          </w:p>
        </w:tc>
        <w:tc>
          <w:tcPr>
            <w:tcW w:w="4280" w:type="dxa"/>
            <w:vAlign w:val="bottom"/>
            <w:gridSpan w:val="2"/>
          </w:tcPr>
          <w:p>
            <w:pPr>
              <w:spacing w:after="0"/>
              <w:rPr>
                <w:sz w:val="13"/>
                <w:szCs w:val="13"/>
                <w:color w:val="auto"/>
              </w:rPr>
            </w:pPr>
          </w:p>
        </w:tc>
        <w:tc>
          <w:tcPr>
            <w:tcW w:w="6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left="900" w:right="899" w:firstLine="516"/>
        <w:spacing w:after="0" w:line="260" w:lineRule="auto"/>
        <w:rPr>
          <w:sz w:val="20"/>
          <w:szCs w:val="20"/>
          <w:color w:val="auto"/>
        </w:rPr>
      </w:pPr>
      <w:r>
        <w:rPr>
          <w:rFonts w:ascii="Times New Roman" w:cs="Times New Roman" w:eastAsia="Times New Roman" w:hAnsi="Times New Roman"/>
          <w:sz w:val="14"/>
          <w:szCs w:val="14"/>
          <w:b w:val="1"/>
          <w:bCs w:val="1"/>
          <w:color w:val="auto"/>
        </w:rPr>
        <w:t>Neither we nor the Selling Stockholders have authorized anyone to provide you with information different from that contained or incorporated by reference in this prospectus, any amendment or supplement to this prospectus or any free writing prospectus prepared by us or on our behalf. Neither we nor the Selling Stockholders take any responsibility for, or can provide any assurance as to the reliability of, any information other than the information contained or incorporated by reference in this prospectus, any amendment or supplement to this prospectus or any free writing prospectus prepared by us or on our behalf. The Selling Stockholders are not offering to sell shares of the Common Stock in any jurisdiction where an offer or sale is not permitted. The information contained in or incorporated by reference in this prospectus is accurate only as of the date of this prospectus, regardless of the time of delivery of this prospectus, any amendment or supplement to this prospectus or any sale of shares of the Common Stock.</w:t>
      </w:r>
    </w:p>
    <w:p>
      <w:pPr>
        <w:spacing w:after="0" w:line="290" w:lineRule="exact"/>
        <w:rPr>
          <w:sz w:val="20"/>
          <w:szCs w:val="20"/>
          <w:color w:val="auto"/>
        </w:rPr>
      </w:pPr>
    </w:p>
    <w:p>
      <w:pPr>
        <w:jc w:val="both"/>
        <w:ind w:left="900" w:right="899" w:firstLine="516"/>
        <w:spacing w:after="0" w:line="259" w:lineRule="auto"/>
        <w:rPr>
          <w:sz w:val="20"/>
          <w:szCs w:val="20"/>
          <w:color w:val="auto"/>
        </w:rPr>
      </w:pPr>
      <w:r>
        <w:rPr>
          <w:rFonts w:ascii="Times New Roman" w:cs="Times New Roman" w:eastAsia="Times New Roman" w:hAnsi="Times New Roman"/>
          <w:sz w:val="14"/>
          <w:szCs w:val="14"/>
          <w:color w:val="auto"/>
        </w:rPr>
        <w:t>This prospectus is part of a shelf registration statement that we have filed with the SEC using a “shelf” registration process. Under the shelf registration process, the Selling Stockholders may, from time to time, offer and sell the shares of Common Stock described in this prospectus and in any accompanying prospectus supplement in one or more transactions. This prospectus provides you with a general description of the shares of Common Stock the Selling Stockholders may offer. Each time the Selling Stockholders sell shares of the Common Stock using this prospectus, to the extent necessary, we will provide a prospectus supplement that will contain specific information about the terms of that offering, including the number of shares being offered, the manner of distribution, the identity of any underwriters or other counterparties and other specific terms related to the offering. The prospectus supplement may also add, update or change information contained or incorporated by reference in this prospectus. To the extent that any statement made in an accompanying prospectus supplement is inconsistent with statements made in this prospectus, the statements made in this prospectus will be deemed modified or superseded by those made in the accompanying prospectus supplement. You should read both this prospectus and any prospectus supplement together, along with the information incorporated by reference herein or therein and any free writing prospectus prepared by us or on our behalf.</w:t>
      </w:r>
    </w:p>
    <w:p>
      <w:pPr>
        <w:spacing w:after="0" w:line="126" w:lineRule="exact"/>
        <w:rPr>
          <w:sz w:val="20"/>
          <w:szCs w:val="20"/>
          <w:color w:val="auto"/>
        </w:rPr>
      </w:pPr>
    </w:p>
    <w:p>
      <w:pPr>
        <w:jc w:val="both"/>
        <w:ind w:left="900" w:right="899" w:firstLine="516"/>
        <w:spacing w:after="0" w:line="268" w:lineRule="auto"/>
        <w:rPr>
          <w:sz w:val="20"/>
          <w:szCs w:val="20"/>
          <w:color w:val="auto"/>
        </w:rPr>
      </w:pPr>
      <w:r>
        <w:rPr>
          <w:rFonts w:ascii="Times New Roman" w:cs="Times New Roman" w:eastAsia="Times New Roman" w:hAnsi="Times New Roman"/>
          <w:sz w:val="14"/>
          <w:szCs w:val="14"/>
          <w:color w:val="auto"/>
        </w:rPr>
        <w:t>For investors outside of the United States, neither we nor the Selling Stockholders have done anything that would permit the offering, possession or distribution of this prospectus in any jurisdiction where action for that purpose is required, other than in the United States. You are required to inform yourselves about and to observe any restrictions relating to the offering, possession or the distribution of this prospectus outside of the United States.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5" w:name="page36"/>
    <w:bookmarkEnd w:id="35"/>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83" w:lineRule="exact"/>
        <w:rPr>
          <w:sz w:val="20"/>
          <w:szCs w:val="20"/>
          <w:color w:val="auto"/>
        </w:rPr>
      </w:pPr>
    </w:p>
    <w:p>
      <w:pPr>
        <w:jc w:val="both"/>
        <w:ind w:left="900" w:right="919" w:firstLine="516"/>
        <w:spacing w:after="0" w:line="266"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or incorporated by reference in this prospectus or any prospectus supplement and does not contain all of the information you should consider before investing in shares of the Common Stock. You should read this entire prospectus, any prospectus supplement and the documents incorporated herein or therein carefully, including the section entitled “</w:t>
      </w:r>
      <w:r>
        <w:rPr>
          <w:rFonts w:ascii="Times New Roman" w:cs="Times New Roman" w:eastAsia="Times New Roman" w:hAnsi="Times New Roman"/>
          <w:sz w:val="14"/>
          <w:szCs w:val="14"/>
          <w:color w:val="auto"/>
        </w:rPr>
        <w:t>Risk Factors</w:t>
      </w:r>
      <w:r>
        <w:rPr>
          <w:rFonts w:ascii="Times New Roman" w:cs="Times New Roman" w:eastAsia="Times New Roman" w:hAnsi="Times New Roman"/>
          <w:sz w:val="14"/>
          <w:szCs w:val="14"/>
          <w:i w:val="1"/>
          <w:iCs w:val="1"/>
          <w:color w:val="auto"/>
        </w:rPr>
        <w:t>” and the financial statements and the related notes incorporated by reference into this prospectus, before you decide to invest in shares of the Common Stock.</w:t>
      </w:r>
    </w:p>
    <w:p>
      <w:pPr>
        <w:spacing w:after="0" w:line="107" w:lineRule="exact"/>
        <w:rPr>
          <w:sz w:val="20"/>
          <w:szCs w:val="20"/>
          <w:color w:val="auto"/>
        </w:rPr>
      </w:pPr>
    </w:p>
    <w:p>
      <w:pPr>
        <w:jc w:val="both"/>
        <w:ind w:left="900" w:right="899" w:firstLine="516"/>
        <w:spacing w:after="0" w:line="275" w:lineRule="auto"/>
        <w:rPr>
          <w:sz w:val="20"/>
          <w:szCs w:val="20"/>
          <w:color w:val="auto"/>
        </w:rPr>
      </w:pPr>
      <w:r>
        <w:rPr>
          <w:rFonts w:ascii="Times New Roman" w:cs="Times New Roman" w:eastAsia="Times New Roman" w:hAnsi="Times New Roman"/>
          <w:sz w:val="14"/>
          <w:szCs w:val="14"/>
          <w:i w:val="1"/>
          <w:iCs w:val="1"/>
          <w:color w:val="auto"/>
        </w:rPr>
        <w:t>Unless otherwise indicated or the context otherwise requires, references in this prospectus to BrightSpring,” “BrightSpring Health Services,” “Company,” “we,” “us” and “our” means BrightSpring Health Services, Inc. and its consolidated subsidiaries.</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Who We Are</w:t>
      </w:r>
    </w:p>
    <w:p>
      <w:pPr>
        <w:spacing w:after="0" w:line="163" w:lineRule="exact"/>
        <w:rPr>
          <w:sz w:val="20"/>
          <w:szCs w:val="20"/>
          <w:color w:val="auto"/>
        </w:rPr>
      </w:pPr>
    </w:p>
    <w:p>
      <w:pPr>
        <w:jc w:val="both"/>
        <w:ind w:left="900" w:right="899" w:firstLine="516"/>
        <w:spacing w:after="0" w:line="260" w:lineRule="auto"/>
        <w:rPr>
          <w:sz w:val="20"/>
          <w:szCs w:val="20"/>
          <w:color w:val="auto"/>
        </w:rPr>
      </w:pPr>
      <w:r>
        <w:rPr>
          <w:rFonts w:ascii="Times New Roman" w:cs="Times New Roman" w:eastAsia="Times New Roman" w:hAnsi="Times New Roman"/>
          <w:sz w:val="14"/>
          <w:szCs w:val="14"/>
          <w:color w:val="auto"/>
        </w:rPr>
        <w:t>We are a leading home and community-based healthcare services platform, focused on delivering complementary pharmacy and provider services to complex patients. We have a differentiated approach to care delivery, with an integrated and scaled model that addresses critical services that the highest-need and highest-cost patients require. With a focus on Senior and Specialty patients, our platform provides pharmacy and provider services (both clinical and supportive care in nature) in lower-cost home and community settings largely to Medicare, Medicaid, and commercially-insured populations. We are an essential part of our nation’s health delivery network as a front-line provider of high-quality and cost-effective care to a large and growing number of people, who increasingly require a combination of specialized solutions to enable holistic health care management. Our presence spans all 50 states, we serve over 440,000 patients daily through our approximately 10,000 clinical providers and pharmacists, and our services make a profound impact in the lives and communities of the people we serve.</w:t>
      </w:r>
    </w:p>
    <w:p>
      <w:pPr>
        <w:spacing w:after="0" w:line="288" w:lineRule="exact"/>
        <w:rPr>
          <w:sz w:val="20"/>
          <w:szCs w:val="20"/>
          <w:color w:val="auto"/>
        </w:rPr>
      </w:pPr>
    </w:p>
    <w:p>
      <w:pPr>
        <w:jc w:val="both"/>
        <w:ind w:left="900" w:right="899" w:firstLine="516"/>
        <w:spacing w:after="0" w:line="260" w:lineRule="auto"/>
        <w:rPr>
          <w:sz w:val="20"/>
          <w:szCs w:val="20"/>
          <w:color w:val="auto"/>
        </w:rPr>
      </w:pPr>
      <w:r>
        <w:rPr>
          <w:rFonts w:ascii="Times New Roman" w:cs="Times New Roman" w:eastAsia="Times New Roman" w:hAnsi="Times New Roman"/>
          <w:sz w:val="14"/>
          <w:szCs w:val="14"/>
          <w:color w:val="auto"/>
        </w:rPr>
        <w:t>Our model focuses on delivering high-touch and coordinated services to medically complex clients and patients, which is a large, growing, and underserved population in the U.S. healthcare system. These high-need and high-cost Senior and Specialty patients comprise a market of over $1.0 trillion across our business. The chronic conditions and long-term health needs of these patients not only represent an outsized share of health care spend today, according to RAND Health Care, but we believe that they are expected to also drive a disproportionate share of future expenditures. Americans with five or more chronic conditions make up over 10% of the population and account for 40% of total health care spending, on average spending 10 times more on health services than those without chronic conditions. These patients most often require both pharmacy and provider services to achieve the best outcomes, but must often navigate disjointed and separately-administered health services. This can result in uncoordinated care delivery with adverse medical consequences, as compared to receiving timely, proximal, and complete care support in the home and community that improves health and reduces cost.</w:t>
      </w:r>
    </w:p>
    <w:p>
      <w:pPr>
        <w:spacing w:after="0" w:line="114" w:lineRule="exact"/>
        <w:rPr>
          <w:sz w:val="20"/>
          <w:szCs w:val="20"/>
          <w:color w:val="auto"/>
        </w:rPr>
      </w:pPr>
    </w:p>
    <w:p>
      <w:pPr>
        <w:jc w:val="both"/>
        <w:ind w:left="900" w:right="899" w:firstLine="516"/>
        <w:spacing w:after="0" w:line="274" w:lineRule="auto"/>
        <w:rPr>
          <w:sz w:val="20"/>
          <w:szCs w:val="20"/>
          <w:color w:val="auto"/>
        </w:rPr>
      </w:pPr>
      <w:r>
        <w:rPr>
          <w:rFonts w:ascii="Times New Roman" w:cs="Times New Roman" w:eastAsia="Times New Roman" w:hAnsi="Times New Roman"/>
          <w:sz w:val="14"/>
          <w:szCs w:val="14"/>
          <w:color w:val="auto"/>
        </w:rPr>
        <w:t>We have built a significant presence and capability in delivering complementary and high-touch daily healthcare services and programs to complex patients in their homes and in facilities in order to address their multiple health needs and requirements more completely.</w:t>
      </w:r>
    </w:p>
    <w:p>
      <w:pPr>
        <w:spacing w:after="0" w:line="11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52" w:lineRule="exact"/>
        <w:rPr>
          <w:sz w:val="20"/>
          <w:szCs w:val="20"/>
          <w:color w:val="auto"/>
        </w:rPr>
      </w:pPr>
    </w:p>
    <w:p>
      <w:pPr>
        <w:jc w:val="both"/>
        <w:ind w:left="900" w:right="899" w:firstLine="516"/>
        <w:spacing w:after="0" w:line="265" w:lineRule="auto"/>
        <w:rPr>
          <w:sz w:val="20"/>
          <w:szCs w:val="20"/>
          <w:color w:val="auto"/>
        </w:rPr>
      </w:pPr>
      <w:r>
        <w:rPr>
          <w:rFonts w:ascii="Times New Roman" w:cs="Times New Roman" w:eastAsia="Times New Roman" w:hAnsi="Times New Roman"/>
          <w:sz w:val="14"/>
          <w:szCs w:val="14"/>
          <w:color w:val="auto"/>
        </w:rPr>
        <w:t>Through our predecessors, we commenced operations in 1974 and have grown organically and through acquisitions. On December 7, 2017, affiliates of Kohlberg Kravis Roberts &amp; Co. L.P. (“KKR Stockholder”) and Walgreens Boots Alliance, Inc. purchased PharMerica Corporation and, on March 5, 2019, expanded with the acquisition of BrightSpring Health Holdings Corp. The surviving entity was renamed BrightSpring Health Services, Inc. We completed our initial public offering in January 2024 and our Common Stock is listed on the Nasdaq Global Select Market under the symbol “BTSG”.</w:t>
      </w:r>
    </w:p>
    <w:p>
      <w:pPr>
        <w:spacing w:after="0" w:line="110" w:lineRule="exact"/>
        <w:rPr>
          <w:sz w:val="20"/>
          <w:szCs w:val="20"/>
          <w:color w:val="auto"/>
        </w:rPr>
      </w:pPr>
    </w:p>
    <w:p>
      <w:pPr>
        <w:jc w:val="both"/>
        <w:ind w:left="900" w:right="919" w:firstLine="516"/>
        <w:spacing w:after="0" w:line="292" w:lineRule="auto"/>
        <w:rPr>
          <w:sz w:val="20"/>
          <w:szCs w:val="20"/>
          <w:color w:val="auto"/>
        </w:rPr>
      </w:pPr>
      <w:r>
        <w:rPr>
          <w:rFonts w:ascii="Times New Roman" w:cs="Times New Roman" w:eastAsia="Times New Roman" w:hAnsi="Times New Roman"/>
          <w:sz w:val="14"/>
          <w:szCs w:val="14"/>
          <w:color w:val="auto"/>
        </w:rPr>
        <w:t>Our principal offices are located at 805 N. Whittington Parkway, Louisville, Kentucky 40222. Our telephone number is (502) 394-2100. We maintain a website at www.brightspringhealth.com.</w:t>
      </w:r>
    </w:p>
    <w:p>
      <w:pPr>
        <w:spacing w:after="0" w:line="102" w:lineRule="exact"/>
        <w:rPr>
          <w:sz w:val="20"/>
          <w:szCs w:val="20"/>
          <w:color w:val="auto"/>
        </w:rPr>
      </w:pPr>
    </w:p>
    <w:p>
      <w:pPr>
        <w:jc w:val="both"/>
        <w:ind w:left="900" w:right="899" w:firstLine="516"/>
        <w:spacing w:after="0" w:line="261" w:lineRule="auto"/>
        <w:rPr>
          <w:sz w:val="20"/>
          <w:szCs w:val="20"/>
          <w:color w:val="auto"/>
        </w:rPr>
      </w:pPr>
      <w:r>
        <w:rPr>
          <w:rFonts w:ascii="Times New Roman" w:cs="Times New Roman" w:eastAsia="Times New Roman" w:hAnsi="Times New Roman"/>
          <w:sz w:val="14"/>
          <w:szCs w:val="14"/>
          <w:color w:val="auto"/>
        </w:rPr>
        <w:t>Our Annual Report on Form 10-K, Quarterly Reports on Form 10-Q, Current Reports on Form 8-K and all amendments to those reports filed with or furnished to the SEC pursuant to Section 13(a) or 15(d) of the Securities Exchange Act of 1934, as amended (the “Exchange Act”) are available free of charge on our website, under the “Investors - Financial Information - SEC Filings” caption, as soon as reasonably practicable after we electronically file them with, or furnish them to, the SEC. We also make available through the Investors section of our website other reports filed with or furnished to the SEC under the Exchange Act, including our proxy statements and reports filed by officers and directors under Section 16(a) of the Exchange Act, as well as our Code of Ethics and Business Conduct, Corporate Governance Guidelines and Board committee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6" w:name="page37"/>
    <w:bookmarkEnd w:id="36"/>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900" w:right="919"/>
        <w:spacing w:after="0" w:line="268" w:lineRule="auto"/>
        <w:rPr>
          <w:sz w:val="20"/>
          <w:szCs w:val="20"/>
          <w:color w:val="auto"/>
        </w:rPr>
      </w:pPr>
      <w:r>
        <w:rPr>
          <w:rFonts w:ascii="Times New Roman" w:cs="Times New Roman" w:eastAsia="Times New Roman" w:hAnsi="Times New Roman"/>
          <w:sz w:val="14"/>
          <w:szCs w:val="14"/>
          <w:color w:val="auto"/>
        </w:rPr>
        <w:t>charters. The information on our website (or any webpages referenced in this Annual Report on Form 10-K) is not part of this or any other report that we file with, or furnish to, the SEC. The SEC also maintains a website (www.sec.gov) where you can search for annual, quarterly and current reports, proxy and information statements and other information regarding us and other public companies.</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5" w:lineRule="exact"/>
        <w:rPr>
          <w:sz w:val="20"/>
          <w:szCs w:val="20"/>
          <w:color w:val="auto"/>
        </w:rPr>
      </w:pPr>
    </w:p>
    <w:p>
      <w:pPr>
        <w:jc w:val="both"/>
        <w:ind w:left="900" w:right="899" w:firstLine="516"/>
        <w:spacing w:after="0" w:line="261" w:lineRule="auto"/>
        <w:rPr>
          <w:sz w:val="20"/>
          <w:szCs w:val="20"/>
          <w:color w:val="auto"/>
        </w:rPr>
      </w:pPr>
      <w:r>
        <w:rPr>
          <w:rFonts w:ascii="Times New Roman" w:cs="Times New Roman" w:eastAsia="Times New Roman" w:hAnsi="Times New Roman"/>
          <w:sz w:val="14"/>
          <w:szCs w:val="14"/>
          <w:color w:val="auto"/>
        </w:rPr>
        <w:t>Investing in the Common Stock involves risks. You should carefully consider the risks and uncertainties described in our most recent Annual Report on Form 10-K and our subsequent Quarterly Reports on Form 10-Q, which are incorporated by reference herein, as the same may be updated from time to time by our subsequent filings under the Exchange Act. You should also carefully consider the other information contained in this prospectus, as updated by our subsequent filings under the Exchange Act, and the risk factors and other information contained in any applicable prospectus supplement before acquiring any shares of the Common Stock. These risks could materially affect our business, results of operations or financial condition and cause the value of the Common Stock to decline. You could lose all or part of your investment.</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FORWARD-LOOKING STATEMENTS AND RISK FACTOR SUMMARY</w:t>
      </w:r>
    </w:p>
    <w:p>
      <w:pPr>
        <w:spacing w:after="0" w:line="185" w:lineRule="exact"/>
        <w:rPr>
          <w:sz w:val="20"/>
          <w:szCs w:val="20"/>
          <w:color w:val="auto"/>
        </w:rPr>
      </w:pPr>
    </w:p>
    <w:p>
      <w:pPr>
        <w:jc w:val="both"/>
        <w:ind w:left="900" w:right="899" w:firstLine="516"/>
        <w:spacing w:after="0" w:line="261" w:lineRule="auto"/>
        <w:rPr>
          <w:sz w:val="20"/>
          <w:szCs w:val="20"/>
          <w:color w:val="auto"/>
        </w:rPr>
      </w:pPr>
      <w:r>
        <w:rPr>
          <w:rFonts w:ascii="Times New Roman" w:cs="Times New Roman" w:eastAsia="Times New Roman" w:hAnsi="Times New Roman"/>
          <w:sz w:val="14"/>
          <w:szCs w:val="14"/>
          <w:color w:val="auto"/>
        </w:rPr>
        <w:t>This prospectus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w:t>
      </w:r>
      <w:r>
        <w:rPr>
          <w:rFonts w:ascii="Times New Roman" w:cs="Times New Roman" w:eastAsia="Times New Roman" w:hAnsi="Times New Roman"/>
          <w:sz w:val="14"/>
          <w:szCs w:val="14"/>
          <w:color w:val="auto"/>
        </w:rPr>
        <w:t>” and relate to matters such as our industries, business strategy, goals and expectations concerning our market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w:t>
      </w:r>
    </w:p>
    <w:p>
      <w:pPr>
        <w:spacing w:after="0" w:line="114" w:lineRule="exact"/>
        <w:rPr>
          <w:sz w:val="20"/>
          <w:szCs w:val="20"/>
          <w:color w:val="auto"/>
        </w:rPr>
      </w:pPr>
    </w:p>
    <w:p>
      <w:pPr>
        <w:jc w:val="both"/>
        <w:ind w:left="900" w:right="899" w:firstLine="516"/>
        <w:spacing w:after="0" w:line="262"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w:t>
      </w:r>
    </w:p>
    <w:p>
      <w:pPr>
        <w:spacing w:after="0" w:line="123" w:lineRule="exact"/>
        <w:rPr>
          <w:sz w:val="20"/>
          <w:szCs w:val="20"/>
          <w:color w:val="auto"/>
        </w:rPr>
      </w:pPr>
    </w:p>
    <w:p>
      <w:pPr>
        <w:jc w:val="both"/>
        <w:ind w:left="900" w:right="899" w:firstLine="516"/>
        <w:spacing w:after="0" w:line="261" w:lineRule="auto"/>
        <w:rPr>
          <w:sz w:val="20"/>
          <w:szCs w:val="20"/>
          <w:color w:val="auto"/>
        </w:rPr>
      </w:pPr>
      <w:r>
        <w:rPr>
          <w:rFonts w:ascii="Times New Roman" w:cs="Times New Roman" w:eastAsia="Times New Roman" w:hAnsi="Times New Roman"/>
          <w:sz w:val="14"/>
          <w:szCs w:val="14"/>
          <w:color w:val="auto"/>
        </w:rPr>
        <w:t>Any forward-looking statement made by us in this prospectus speaks only as of the date of this prospectus and are expressly qualified in their entirety by the cautionary statements included in this prospectus. Factors or events that could cause our actual results to differ may emerge from time to time, and it is not possible for us to predict all of them. We may not actually achieve the plans, intentions, or expectations disclosed in our forward- looking statements and you should not place undue reliance on our forward-looking statements. Our forward- looking statements do not reflect the potential impact of any future acquisitions, mergers, dispositions, joint ventures, investments, or other strategic transactions we may make. We undertake no obligation to publicly update or revise any forward-looking statement, whether as a result of new information, future developments or otherwise, except as may be required by any applicable securities laws.</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85" w:lineRule="exact"/>
        <w:rPr>
          <w:sz w:val="20"/>
          <w:szCs w:val="20"/>
          <w:color w:val="auto"/>
        </w:rPr>
      </w:pPr>
    </w:p>
    <w:p>
      <w:pPr>
        <w:jc w:val="both"/>
        <w:ind w:left="900" w:right="919" w:firstLine="516"/>
        <w:spacing w:after="0" w:line="262" w:lineRule="auto"/>
        <w:rPr>
          <w:sz w:val="20"/>
          <w:szCs w:val="20"/>
          <w:color w:val="auto"/>
        </w:rPr>
      </w:pPr>
      <w:r>
        <w:rPr>
          <w:rFonts w:ascii="Times New Roman" w:cs="Times New Roman" w:eastAsia="Times New Roman" w:hAnsi="Times New Roman"/>
          <w:sz w:val="14"/>
          <w:szCs w:val="14"/>
          <w:color w:val="auto"/>
        </w:rPr>
        <w:t>We are providing the following summary of the risk factors contained in our Annual Report on Form 10-K for the year ended December 31, 2024 (“</w:t>
      </w:r>
      <w:r>
        <w:rPr>
          <w:rFonts w:ascii="Times New Roman" w:cs="Times New Roman" w:eastAsia="Times New Roman" w:hAnsi="Times New Roman"/>
          <w:sz w:val="14"/>
          <w:szCs w:val="14"/>
          <w:i w:val="1"/>
          <w:iCs w:val="1"/>
          <w:color w:val="auto"/>
        </w:rPr>
        <w:t>Annual Report on Form 10-K</w:t>
      </w:r>
      <w:r>
        <w:rPr>
          <w:rFonts w:ascii="Times New Roman" w:cs="Times New Roman" w:eastAsia="Times New Roman" w:hAnsi="Times New Roman"/>
          <w:sz w:val="14"/>
          <w:szCs w:val="14"/>
          <w:color w:val="auto"/>
        </w:rPr>
        <w:t>”) to enhance the readability and accessibility of our risk factor disclosures. We encourage you to carefully review the full risk factors contained in our most recent Annual Report on Form 10-K and our subsequent Quarterly Reports on Form 10-Q, which are incorporated by reference herein, in their entirety for additional information regarding the material factors that make an investment in our securities speculative or risky. Some of the factors, risks and uncertainties that might materially affect the forward-looking statements contained herein and may make an investment in our securities speculative or risky include, but are not limited to, the following:</w:t>
      </w:r>
    </w:p>
    <w:p>
      <w:pPr>
        <w:spacing w:after="0" w:line="112" w:lineRule="exact"/>
        <w:rPr>
          <w:sz w:val="20"/>
          <w:szCs w:val="20"/>
          <w:color w:val="auto"/>
        </w:rPr>
      </w:pPr>
    </w:p>
    <w:p>
      <w:pPr>
        <w:ind w:left="1660" w:hanging="249"/>
        <w:spacing w:after="0"/>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industry;</w:t>
      </w:r>
    </w:p>
    <w:p>
      <w:pPr>
        <w:spacing w:after="0" w:line="24" w:lineRule="exact"/>
        <w:rPr>
          <w:rFonts w:ascii="Times New Roman" w:cs="Times New Roman" w:eastAsia="Times New Roman" w:hAnsi="Times New Roman"/>
          <w:sz w:val="14"/>
          <w:szCs w:val="14"/>
          <w:color w:val="auto"/>
        </w:rPr>
      </w:pPr>
    </w:p>
    <w:p>
      <w:pPr>
        <w:ind w:left="1660" w:right="919" w:hanging="249"/>
        <w:spacing w:after="0" w:line="272"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maintain relationships with existing patient referral sources or establish new referral sources, our business, financial condition and results of operations could be materially adversely affected;</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7" w:name="page38"/>
    <w:bookmarkEnd w:id="37"/>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60" w:right="919" w:hanging="249"/>
        <w:spacing w:after="0" w:line="26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Medicare and Medicaid rates or methods governing Medicare and Medicaid payments for our services could materially adversely affect our business;</w:t>
      </w:r>
    </w:p>
    <w:p>
      <w:pPr>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containment initiatives of third-party payors, including post-payment audits, could adversely impact our business, financial condition, and results of operations;</w:t>
      </w:r>
    </w:p>
    <w:p>
      <w:pPr>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alternative payment models and the transition of Medicaid and Medicare beneficiaries to managed care organizations may limit our market share and could adversely affect our revenues;</w:t>
      </w:r>
    </w:p>
    <w:p>
      <w:pPr>
        <w:jc w:val="both"/>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case mix of patients, as well as payor mix and payment methodologies, and decisions and operations of third-party organizations may have a material adverse effect on our business, financial condition, and results of operations;</w:t>
      </w:r>
    </w:p>
    <w:p>
      <w:pPr>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reliant on federal and state spending, budget decisions, and continuous governmental operations which may fluctuate under different political conditions;</w:t>
      </w:r>
    </w:p>
    <w:p>
      <w:pPr>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drug utilization and/or pricing, PBM contracts, and Medicare Part D/Medicaid reimbursement may negatively impact our profitability;</w:t>
      </w:r>
    </w:p>
    <w:p>
      <w:pPr>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relationships with pharmaceutical suppliers, including changes in drug availability or pricing, could adversely affect our business and financial results;</w:t>
      </w:r>
    </w:p>
    <w:p>
      <w:pPr>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relies on the continual recruitment and retention of nurses, pharmacists, therapists, caregivers, direct support professionals, and other qualified personnel, including senior management;</w:t>
      </w:r>
    </w:p>
    <w:p>
      <w:pPr>
        <w:jc w:val="both"/>
        <w:ind w:left="1660" w:right="89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ind w:left="1660" w:hanging="249"/>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fluctuate on a quarterly basis;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harmed by labor relation matters;</w:t>
      </w:r>
    </w:p>
    <w:p>
      <w:pPr>
        <w:spacing w:after="0" w:line="10" w:lineRule="exact"/>
        <w:rPr>
          <w:rFonts w:ascii="Times New Roman" w:cs="Times New Roman" w:eastAsia="Times New Roman" w:hAnsi="Times New Roman"/>
          <w:sz w:val="14"/>
          <w:szCs w:val="14"/>
          <w:color w:val="auto"/>
        </w:rPr>
      </w:pPr>
    </w:p>
    <w:p>
      <w:pPr>
        <w:jc w:val="both"/>
        <w:ind w:left="1660" w:right="899" w:hanging="249"/>
        <w:spacing w:after="0" w:line="272"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are limited in our ability to control reimbursement rates received for our services, our business could be materially adversely affected if we are not able to maintain or reduce our costs to provide such services;</w:t>
      </w:r>
    </w:p>
    <w:p>
      <w:pPr>
        <w:spacing w:after="0" w:line="150" w:lineRule="exact"/>
        <w:rPr>
          <w:rFonts w:ascii="Times New Roman" w:cs="Times New Roman" w:eastAsia="Times New Roman" w:hAnsi="Times New Roman"/>
          <w:sz w:val="14"/>
          <w:szCs w:val="14"/>
          <w:color w:val="auto"/>
        </w:rPr>
      </w:pPr>
    </w:p>
    <w:p>
      <w:pPr>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collection or non-collection of our accounts receivable, particularly during the business integration process, could adversely affect our business, financial condition, and results of operations;</w:t>
      </w:r>
    </w:p>
    <w:p>
      <w:pPr>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growth effectively, we may be unable to execute our business plan, maintain high levels of service and satisfaction, or adequately address competitive challenges;</w:t>
      </w:r>
    </w:p>
    <w:p>
      <w:pPr>
        <w:jc w:val="both"/>
        <w:ind w:left="1660" w:right="89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strategy is partially dependent upon our ability to identify and successfully complete acquisitions, joint ventures, and other strategic initiatives; any failure by us to manage or integrate acquisitions, divestitures, and other significant transactions successfully may have a material adverse effect on our business, financial condition, and results of operations;</w:t>
      </w:r>
    </w:p>
    <w:p>
      <w:pPr>
        <w:ind w:left="1660" w:hanging="249"/>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provide consistently high quality of care, our business will be adversely impacted;</w:t>
      </w:r>
    </w:p>
    <w:p>
      <w:pPr>
        <w:spacing w:after="0" w:line="10" w:lineRule="exact"/>
        <w:rPr>
          <w:rFonts w:ascii="Times New Roman" w:cs="Times New Roman" w:eastAsia="Times New Roman" w:hAnsi="Times New Roman"/>
          <w:sz w:val="14"/>
          <w:szCs w:val="14"/>
          <w:color w:val="auto"/>
        </w:rPr>
      </w:pPr>
    </w:p>
    <w:p>
      <w:pPr>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maintain our corporate reputation, or there is adverse publicity, including negative information on social media, or changes in public perception of our services, our business may suffer;</w:t>
      </w:r>
    </w:p>
    <w:p>
      <w:pPr>
        <w:jc w:val="both"/>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existing customers do not continue with or renew their contracts with us, renew at lower fee levels, decline to purchase additional services from us or reduce the services received from us pursuant to those contracts, it could have a material adverse effect on our business, financial condition, and results of operations;</w:t>
      </w:r>
    </w:p>
    <w:p>
      <w:pPr>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ability to effectively invest in, implement improvements to, and properly maintain the uninterrupted operation and data integrity of our information technology and other business systems;</w:t>
      </w:r>
    </w:p>
    <w:p>
      <w:pPr>
        <w:jc w:val="both"/>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loss of data, and other disruptions could compromise sensitive business or patient information, cause a loss of confidential patient data, employee data, personal information, or prevent access to critical information and expose us to liability, litigation, and federal and state governmental inquiries and damage our reputation and brand;</w:t>
      </w:r>
    </w:p>
    <w:p>
      <w:pPr>
        <w:ind w:left="1660" w:hanging="249"/>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related to credit card payments and other payment methods;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substantial malpractice or other similar claims;</w:t>
      </w:r>
    </w:p>
    <w:p>
      <w:pPr>
        <w:spacing w:after="0" w:line="10" w:lineRule="exact"/>
        <w:rPr>
          <w:rFonts w:ascii="Times New Roman" w:cs="Times New Roman" w:eastAsia="Times New Roman" w:hAnsi="Times New Roman"/>
          <w:sz w:val="14"/>
          <w:szCs w:val="14"/>
          <w:color w:val="auto"/>
        </w:rPr>
      </w:pPr>
    </w:p>
    <w:p>
      <w:pPr>
        <w:jc w:val="both"/>
        <w:ind w:left="1660" w:right="899" w:hanging="249"/>
        <w:spacing w:after="0" w:line="272"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exposed to various risks related to governmental inquiries, regulatory actions, and whistleblower and other lawsuits that could adversely affect our operating results. Our insurance may not cover all claims against us;</w:t>
      </w:r>
    </w:p>
    <w:p>
      <w:pPr>
        <w:spacing w:after="0" w:line="150" w:lineRule="exact"/>
        <w:rPr>
          <w:rFonts w:ascii="Times New Roman" w:cs="Times New Roman" w:eastAsia="Times New Roman" w:hAnsi="Times New Roman"/>
          <w:sz w:val="14"/>
          <w:szCs w:val="14"/>
          <w:color w:val="auto"/>
        </w:rPr>
      </w:pPr>
    </w:p>
    <w:p>
      <w:pPr>
        <w:jc w:val="both"/>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insurance program may expose us to unexpected costs and negatively affect our business, financial condition, and results of operations, particularly if we incur losses not covered by our insurance or if claims or losses differ from our estimates;</w:t>
      </w:r>
    </w:p>
    <w:p>
      <w:pPr>
        <w:ind w:left="1660" w:right="919" w:hanging="249"/>
        <w:spacing w:after="0" w:line="256"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outside of our control, including those listed, have required, and could in the future require us to record an asset impairment of goodwill;</w:t>
      </w:r>
    </w:p>
    <w:p>
      <w:pPr>
        <w:ind w:left="1660" w:right="919" w:hanging="249"/>
        <w:spacing w:after="0" w:line="272"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pandemic, epidemic, or outbreak of an infectious disease, including the ongoing effects of COVID-19, have had, and may continue to have, an adverse effect on our business;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8" w:name="page39"/>
    <w:bookmarkEnd w:id="38"/>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60" w:right="919" w:hanging="249"/>
        <w:spacing w:after="0" w:line="266"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inclement weather, natural disasters, acts of terrorism, riots, civil insurrection or social unrest, looting, protests, strikes, or street demonstrations may impact our ability to provide services;</w:t>
      </w:r>
    </w:p>
    <w:p>
      <w:pPr>
        <w:ind w:left="1660" w:hanging="249"/>
        <w:spacing w:after="0"/>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adequately protect our intellectual property rights, which could harm our business;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relating to our compliance with our regulatory framework;</w:t>
      </w:r>
    </w:p>
    <w:p>
      <w:pPr>
        <w:spacing w:after="0" w:line="10" w:lineRule="exact"/>
        <w:rPr>
          <w:rFonts w:ascii="Times New Roman" w:cs="Times New Roman" w:eastAsia="Times New Roman" w:hAnsi="Times New Roman"/>
          <w:sz w:val="14"/>
          <w:szCs w:val="14"/>
          <w:color w:val="auto"/>
        </w:rPr>
      </w:pPr>
    </w:p>
    <w:p>
      <w:pPr>
        <w:ind w:left="1660" w:right="899" w:hanging="249"/>
        <w:spacing w:after="0" w:line="256"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KKR Stockholder has the ability to exert significant influence over us and its interests may conflict with yours in the future;</w:t>
      </w:r>
    </w:p>
    <w:p>
      <w:pPr>
        <w:ind w:left="1660" w:hanging="249"/>
        <w:spacing w:after="0"/>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of approximately $2.6 billion as of March 31, 2025; and</w:t>
      </w:r>
    </w:p>
    <w:p>
      <w:pPr>
        <w:spacing w:after="0" w:line="10" w:lineRule="exact"/>
        <w:rPr>
          <w:rFonts w:ascii="Times New Roman" w:cs="Times New Roman" w:eastAsia="Times New Roman" w:hAnsi="Times New Roman"/>
          <w:sz w:val="14"/>
          <w:szCs w:val="14"/>
          <w:color w:val="auto"/>
        </w:rPr>
      </w:pPr>
    </w:p>
    <w:p>
      <w:pPr>
        <w:ind w:left="1660" w:right="899" w:hanging="249"/>
        <w:spacing w:after="0" w:line="272"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“controlled company” within the meaning of the rules of Nasdaq and the rules of the SEC and, as a result, qualify for, and rely on, exemptions from certain corporate governance requirements.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9" w:name="page40"/>
    <w:bookmarkEnd w:id="39"/>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5" w:lineRule="exact"/>
        <w:rPr>
          <w:sz w:val="20"/>
          <w:szCs w:val="20"/>
          <w:color w:val="auto"/>
        </w:rPr>
      </w:pPr>
    </w:p>
    <w:p>
      <w:pPr>
        <w:jc w:val="both"/>
        <w:ind w:left="900" w:right="919" w:firstLine="516"/>
        <w:spacing w:after="0" w:line="274" w:lineRule="auto"/>
        <w:rPr>
          <w:sz w:val="20"/>
          <w:szCs w:val="20"/>
          <w:color w:val="auto"/>
        </w:rPr>
      </w:pPr>
      <w:r>
        <w:rPr>
          <w:rFonts w:ascii="Times New Roman" w:cs="Times New Roman" w:eastAsia="Times New Roman" w:hAnsi="Times New Roman"/>
          <w:sz w:val="14"/>
          <w:szCs w:val="14"/>
          <w:color w:val="auto"/>
        </w:rPr>
        <w:t>The Selling Stockholders will receive all of the proceeds of the sale of shares of Common Stock offered from time to time pursuant to this prospectus. We will not receive any proceeds from the sale of shares of Common Stock that may be sold from time to time pursuant to this prospectus.</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DETERMINATION OF OFFERING PRICE</w:t>
      </w:r>
    </w:p>
    <w:p>
      <w:pPr>
        <w:spacing w:after="0" w:line="185" w:lineRule="exact"/>
        <w:rPr>
          <w:sz w:val="20"/>
          <w:szCs w:val="20"/>
          <w:color w:val="auto"/>
        </w:rPr>
      </w:pPr>
    </w:p>
    <w:p>
      <w:pPr>
        <w:jc w:val="both"/>
        <w:ind w:left="900" w:right="919" w:firstLine="516"/>
        <w:spacing w:after="0" w:line="268" w:lineRule="auto"/>
        <w:rPr>
          <w:sz w:val="20"/>
          <w:szCs w:val="20"/>
          <w:color w:val="auto"/>
        </w:rPr>
      </w:pPr>
      <w:r>
        <w:rPr>
          <w:rFonts w:ascii="Times New Roman" w:cs="Times New Roman" w:eastAsia="Times New Roman" w:hAnsi="Times New Roman"/>
          <w:sz w:val="14"/>
          <w:szCs w:val="14"/>
          <w:color w:val="auto"/>
        </w:rPr>
        <w:t>We cannot currently determine the price or prices at which shares of our Common Stock may be sold by the Selling Stockholders under this prospectus as the price will be determined by the prevailing public market price for shares of our Common Stock, by negotiations between the applicable Selling Stockholder and the buyers of our Common Stock in private transactions or as otherwise described in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5" w:lineRule="exact"/>
        <w:rPr>
          <w:sz w:val="20"/>
          <w:szCs w:val="20"/>
          <w:color w:val="auto"/>
        </w:rPr>
      </w:pPr>
    </w:p>
    <w:p>
      <w:pPr>
        <w:jc w:val="both"/>
        <w:ind w:left="900" w:right="919" w:firstLine="516"/>
        <w:spacing w:after="0" w:line="274" w:lineRule="auto"/>
        <w:rPr>
          <w:sz w:val="20"/>
          <w:szCs w:val="20"/>
          <w:color w:val="auto"/>
        </w:rPr>
      </w:pPr>
      <w:r>
        <w:rPr>
          <w:rFonts w:ascii="Times New Roman" w:cs="Times New Roman" w:eastAsia="Times New Roman" w:hAnsi="Times New Roman"/>
          <w:sz w:val="14"/>
          <w:szCs w:val="14"/>
          <w:color w:val="auto"/>
        </w:rPr>
        <w:t>Information about the Selling Stockholders, where applicable, will be set forth in a prospectus supplement, in a post-effective amendment to the registration statement of which this prospectus forms a part, or in filings we make with the SEC under the Exchange Act that are incorporated by reference.</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5" w:lineRule="exact"/>
        <w:rPr>
          <w:sz w:val="20"/>
          <w:szCs w:val="20"/>
          <w:color w:val="auto"/>
        </w:rPr>
      </w:pPr>
    </w:p>
    <w:p>
      <w:pPr>
        <w:jc w:val="both"/>
        <w:ind w:left="900" w:right="899" w:firstLine="516"/>
        <w:spacing w:after="0" w:line="268" w:lineRule="auto"/>
        <w:rPr>
          <w:sz w:val="20"/>
          <w:szCs w:val="20"/>
          <w:color w:val="auto"/>
        </w:rPr>
      </w:pPr>
      <w:r>
        <w:rPr>
          <w:rFonts w:ascii="Times New Roman" w:cs="Times New Roman" w:eastAsia="Times New Roman" w:hAnsi="Times New Roman"/>
          <w:sz w:val="14"/>
          <w:szCs w:val="14"/>
          <w:color w:val="auto"/>
        </w:rPr>
        <w:t>The Selling Stockholders, and their pledgees, donees, transferees or other successors in interest, may from time to time offer and sell, separately or together, shares of Common Stock covered by this prospectus. Registration of the shares of Common Stock covered by this prospectus does not mean, however, that those shares of Common Stock necessarily will be offered or sold.</w:t>
      </w:r>
    </w:p>
    <w:p>
      <w:pPr>
        <w:spacing w:after="0" w:line="108" w:lineRule="exact"/>
        <w:rPr>
          <w:sz w:val="20"/>
          <w:szCs w:val="20"/>
          <w:color w:val="auto"/>
        </w:rPr>
      </w:pPr>
    </w:p>
    <w:p>
      <w:pPr>
        <w:jc w:val="both"/>
        <w:ind w:left="900" w:right="919" w:firstLine="516"/>
        <w:spacing w:after="0" w:line="274" w:lineRule="auto"/>
        <w:rPr>
          <w:sz w:val="20"/>
          <w:szCs w:val="20"/>
          <w:color w:val="auto"/>
        </w:rPr>
      </w:pPr>
      <w:r>
        <w:rPr>
          <w:rFonts w:ascii="Times New Roman" w:cs="Times New Roman" w:eastAsia="Times New Roman" w:hAnsi="Times New Roman"/>
          <w:sz w:val="14"/>
          <w:szCs w:val="14"/>
          <w:color w:val="auto"/>
        </w:rPr>
        <w:t>The shares of Common Stock covered by this prospectus may be sold from time to time, at market prices prevailing at the time of sale, at prices related to market prices, at a fixed price or prices subject to change or at negotiated prices, by a variety of methods including the following:</w:t>
      </w:r>
    </w:p>
    <w:p>
      <w:pPr>
        <w:spacing w:after="0" w:line="114" w:lineRule="exact"/>
        <w:rPr>
          <w:sz w:val="20"/>
          <w:szCs w:val="20"/>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Nasdaq (including through at the market offerings);</w:t>
      </w:r>
    </w:p>
    <w:p>
      <w:pPr>
        <w:spacing w:after="0" w:line="24"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broker-dealers, who may act as agents or principals;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underwriters on a firm commitment or best-efforts basis;</w:t>
      </w:r>
    </w:p>
    <w:p>
      <w:pPr>
        <w:spacing w:after="0" w:line="10" w:lineRule="exact"/>
        <w:rPr>
          <w:rFonts w:ascii="Times New Roman" w:cs="Times New Roman" w:eastAsia="Times New Roman" w:hAnsi="Times New Roman"/>
          <w:sz w:val="14"/>
          <w:szCs w:val="14"/>
          <w:color w:val="auto"/>
        </w:rPr>
      </w:pPr>
    </w:p>
    <w:p>
      <w:pPr>
        <w:ind w:left="1660" w:right="919" w:hanging="249"/>
        <w:spacing w:after="0" w:line="256"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block trade in which a broker-dealer will attempt to sell a block of shares of Common Stock as agent but may position and resell a portion of the block as principal to facilitate the transaction;</w:t>
      </w: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put or call option transactions relating to the shares of Common Stock;</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combination of the above.</w:t>
      </w:r>
    </w:p>
    <w:p>
      <w:pPr>
        <w:spacing w:after="0" w:line="137" w:lineRule="exact"/>
        <w:rPr>
          <w:sz w:val="20"/>
          <w:szCs w:val="20"/>
          <w:color w:val="auto"/>
        </w:rPr>
      </w:pPr>
    </w:p>
    <w:p>
      <w:pPr>
        <w:ind w:left="900" w:right="919" w:firstLine="516"/>
        <w:spacing w:after="0" w:line="292" w:lineRule="auto"/>
        <w:rPr>
          <w:sz w:val="20"/>
          <w:szCs w:val="20"/>
          <w:color w:val="auto"/>
        </w:rPr>
      </w:pPr>
      <w:r>
        <w:rPr>
          <w:rFonts w:ascii="Times New Roman" w:cs="Times New Roman" w:eastAsia="Times New Roman" w:hAnsi="Times New Roman"/>
          <w:sz w:val="14"/>
          <w:szCs w:val="14"/>
          <w:color w:val="auto"/>
        </w:rPr>
        <w:t>In effecting sales, brokers or dealers engaged by us and/or the Selling Stockholders may arrange for other brokers or dealers to participate. Broker/dealer transactions may include:</w:t>
      </w:r>
    </w:p>
    <w:p>
      <w:pPr>
        <w:spacing w:after="0" w:line="92" w:lineRule="exact"/>
        <w:rPr>
          <w:sz w:val="20"/>
          <w:szCs w:val="20"/>
          <w:color w:val="auto"/>
        </w:rPr>
      </w:pPr>
    </w:p>
    <w:p>
      <w:pPr>
        <w:ind w:left="1660" w:right="919" w:hanging="249"/>
        <w:spacing w:after="0" w:line="266"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of the shares of Common Stock by a broker-dealer as principal and resales of the shares of Common Stock by the broker-dealer for its account pursuant to this prospectus;</w:t>
      </w:r>
    </w:p>
    <w:p>
      <w:pPr>
        <w:ind w:left="1660" w:hanging="249"/>
        <w:spacing w:after="0"/>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or</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in which the broker/dealer solicits purchasers on a best efforts basis.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0" w:name="page41"/>
    <w:bookmarkEnd w:id="40"/>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00" w:right="899" w:firstLine="516"/>
        <w:spacing w:after="0" w:line="292" w:lineRule="auto"/>
        <w:rPr>
          <w:sz w:val="20"/>
          <w:szCs w:val="20"/>
          <w:color w:val="auto"/>
        </w:rPr>
      </w:pPr>
      <w:r>
        <w:rPr>
          <w:rFonts w:ascii="Times New Roman" w:cs="Times New Roman" w:eastAsia="Times New Roman" w:hAnsi="Times New Roman"/>
          <w:sz w:val="14"/>
          <w:szCs w:val="14"/>
          <w:color w:val="auto"/>
        </w:rPr>
        <w:t>Selling Stockholders may also enter into derivative, hedging, forward sale, option or other types of transactions. For example, Selling Stockholders may:</w:t>
      </w:r>
    </w:p>
    <w:p>
      <w:pPr>
        <w:spacing w:after="0" w:line="102" w:lineRule="exact"/>
        <w:rPr>
          <w:sz w:val="20"/>
          <w:szCs w:val="20"/>
          <w:color w:val="auto"/>
        </w:rPr>
      </w:pPr>
    </w:p>
    <w:p>
      <w:pPr>
        <w:jc w:val="both"/>
        <w:ind w:left="1660" w:right="899" w:hanging="249"/>
        <w:spacing w:after="0" w:line="261"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 broker-dealer or affiliate thereof in connection with which such broker-dealer or affiliate will engage in short sales of, or maintain short positions in, the Common Stock pursuant to this prospectus, in which case such broker-dealer or affiliate may use shares of Common Stock received from Selling Stockholder to close out or hedge its short positions;</w:t>
      </w:r>
    </w:p>
    <w:p>
      <w:pPr>
        <w:ind w:left="1660" w:hanging="249"/>
        <w:spacing w:after="0"/>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securities short and redeliver such shares to close out or hedge short positions;</w:t>
      </w:r>
    </w:p>
    <w:p>
      <w:pPr>
        <w:spacing w:after="0" w:line="10" w:lineRule="exact"/>
        <w:rPr>
          <w:rFonts w:ascii="Times New Roman" w:cs="Times New Roman" w:eastAsia="Times New Roman" w:hAnsi="Times New Roman"/>
          <w:sz w:val="14"/>
          <w:szCs w:val="14"/>
          <w:color w:val="auto"/>
        </w:rPr>
      </w:pPr>
    </w:p>
    <w:p>
      <w:pPr>
        <w:ind w:left="1660" w:right="919" w:hanging="249"/>
        <w:spacing w:after="0" w:line="256"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option or other types of transactions that require Selling Stockholders to deliver Common Stock to a broker-dealer or an affiliate thereof, who will then resell or transfer the capital stock under this prospectus; or</w:t>
      </w:r>
    </w:p>
    <w:p>
      <w:pPr>
        <w:ind w:left="1660" w:right="919" w:hanging="249"/>
        <w:spacing w:after="0" w:line="272"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or pledge the Common Stock to a broker-dealer or an affiliate thereof, who may sell the loaned shares or, in an event of default in the case of a pledge, sell the pledged shares pursuant to this prospectus.</w:t>
      </w:r>
    </w:p>
    <w:p>
      <w:pPr>
        <w:spacing w:after="0" w:line="105" w:lineRule="exact"/>
        <w:rPr>
          <w:sz w:val="20"/>
          <w:szCs w:val="20"/>
          <w:color w:val="auto"/>
        </w:rPr>
      </w:pPr>
    </w:p>
    <w:p>
      <w:pPr>
        <w:jc w:val="both"/>
        <w:ind w:left="900" w:right="899" w:firstLine="516"/>
        <w:spacing w:after="0" w:line="259" w:lineRule="auto"/>
        <w:rPr>
          <w:sz w:val="20"/>
          <w:szCs w:val="20"/>
          <w:color w:val="auto"/>
        </w:rPr>
      </w:pPr>
      <w:r>
        <w:rPr>
          <w:rFonts w:ascii="Times New Roman" w:cs="Times New Roman" w:eastAsia="Times New Roman" w:hAnsi="Times New Roman"/>
          <w:sz w:val="14"/>
          <w:szCs w:val="14"/>
          <w:color w:val="auto"/>
        </w:rPr>
        <w:t>In addition, Selling Stockholders may enter into derivative, hedging, forward sale, option or other types of transactions with third parties, or sell securities not covered by this prospectus to third parties, through a stock exchange, including block trades or ordinary broker’s transactions, or through broker-dealers acting either as principal or agent, or through an underwritten public offering, through privately negotiated transactions or through a combination of any such methods of sale. In connection with such a transaction, the third parties may sell securities covered by and pursuant to this prospectus and an applicable prospectus supplement or pricing supplement, as the case may be. If so, the third party may use securities borrowed from Selling Stockholders or others to settle such sales and may use securities received from Selling Stockholders to close out or hedge any related short positions. Selling Stockholders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119" w:lineRule="exact"/>
        <w:rPr>
          <w:sz w:val="20"/>
          <w:szCs w:val="20"/>
          <w:color w:val="auto"/>
        </w:rPr>
      </w:pPr>
    </w:p>
    <w:p>
      <w:pPr>
        <w:jc w:val="both"/>
        <w:ind w:left="900" w:right="899" w:firstLine="516"/>
        <w:spacing w:after="0" w:line="260" w:lineRule="auto"/>
        <w:rPr>
          <w:sz w:val="20"/>
          <w:szCs w:val="20"/>
          <w:color w:val="auto"/>
        </w:rPr>
      </w:pPr>
      <w:r>
        <w:rPr>
          <w:rFonts w:ascii="Times New Roman" w:cs="Times New Roman" w:eastAsia="Times New Roman" w:hAnsi="Times New Roman"/>
          <w:sz w:val="14"/>
          <w:szCs w:val="14"/>
          <w:color w:val="auto"/>
        </w:rPr>
        <w:t>The Selling Stockholders have not entered into any agreements, understandings or arrangements with any underwriters or broker-dealers regarding the sale of the Common Stock covered by this prospectus. At any time a particular offer of the shares of Common Stock covered by this prospectus is made, a revised prospectus or prospectus supplement, if required, will set forth the aggregate amount of shares of Common Stock covered by this prospectus being offered and the terms of the offering, including the name or names of any underwriters, dealers, brokers or agents. In addition, to the extent required, any discounts, commissions, concessions and other items constituting underwriters’ or agents’ compensation, as well as any discounts, commissions or concessions allowed or reallowed or paid to dealers, will be set forth in such prospectus supplement. To the extent required, any such prospectus supplement, and, if necessary, a post-effective amendment to the registration statement of which this prospectus is a part, will be filed with the SEC to reflect the disclosure of additional information with respect to the distribution of the shares of Common Stock covered by this prospectus.</w:t>
      </w:r>
    </w:p>
    <w:p>
      <w:pPr>
        <w:spacing w:after="0" w:line="125" w:lineRule="exact"/>
        <w:rPr>
          <w:sz w:val="20"/>
          <w:szCs w:val="20"/>
          <w:color w:val="auto"/>
        </w:rPr>
      </w:pPr>
    </w:p>
    <w:p>
      <w:pPr>
        <w:jc w:val="both"/>
        <w:ind w:left="900" w:right="919" w:firstLine="516"/>
        <w:spacing w:after="0" w:line="268" w:lineRule="auto"/>
        <w:rPr>
          <w:sz w:val="20"/>
          <w:szCs w:val="20"/>
          <w:color w:val="auto"/>
        </w:rPr>
      </w:pPr>
      <w:r>
        <w:rPr>
          <w:rFonts w:ascii="Times New Roman" w:cs="Times New Roman" w:eastAsia="Times New Roman" w:hAnsi="Times New Roman"/>
          <w:sz w:val="14"/>
          <w:szCs w:val="14"/>
          <w:color w:val="auto"/>
        </w:rPr>
        <w:t>To the extent required, the applicable prospectus supplement will set forth whether or not underwriters may over-allot or effect transactions that stabilize, maintain or otherwise affect the market price of the Common Stock at levels above those that might otherwise prevail in the open market, including, for example, by entering stabilizing bids, effecting syndicate covering transactions or imposing penalty bids.</w:t>
      </w:r>
    </w:p>
    <w:p>
      <w:pPr>
        <w:spacing w:after="0" w:line="108" w:lineRule="exact"/>
        <w:rPr>
          <w:sz w:val="20"/>
          <w:szCs w:val="20"/>
          <w:color w:val="auto"/>
        </w:rPr>
      </w:pPr>
    </w:p>
    <w:p>
      <w:pPr>
        <w:jc w:val="both"/>
        <w:ind w:left="900" w:right="899" w:firstLine="516"/>
        <w:spacing w:after="0" w:line="274" w:lineRule="auto"/>
        <w:rPr>
          <w:sz w:val="20"/>
          <w:szCs w:val="20"/>
          <w:color w:val="auto"/>
        </w:rPr>
      </w:pPr>
      <w:r>
        <w:rPr>
          <w:rFonts w:ascii="Times New Roman" w:cs="Times New Roman" w:eastAsia="Times New Roman" w:hAnsi="Times New Roman"/>
          <w:sz w:val="14"/>
          <w:szCs w:val="14"/>
          <w:color w:val="auto"/>
        </w:rPr>
        <w:t>If the Selling Stockholders utilize a dealer in the sale of the securities being offered pursuant to this prospectus, the Selling Stockholders will sell the securities to the dealer, as principal. The dealer may then resell the securities to the public at varying prices to be determined by the dealer at the time of resale.</w:t>
      </w:r>
    </w:p>
    <w:p>
      <w:pPr>
        <w:spacing w:after="0" w:line="104" w:lineRule="exact"/>
        <w:rPr>
          <w:sz w:val="20"/>
          <w:szCs w:val="20"/>
          <w:color w:val="auto"/>
        </w:rPr>
      </w:pPr>
    </w:p>
    <w:p>
      <w:pPr>
        <w:jc w:val="both"/>
        <w:ind w:left="900" w:right="899" w:firstLine="516"/>
        <w:spacing w:after="0" w:line="265" w:lineRule="auto"/>
        <w:rPr>
          <w:sz w:val="20"/>
          <w:szCs w:val="20"/>
          <w:color w:val="auto"/>
        </w:rPr>
      </w:pPr>
      <w:r>
        <w:rPr>
          <w:rFonts w:ascii="Times New Roman" w:cs="Times New Roman" w:eastAsia="Times New Roman" w:hAnsi="Times New Roman"/>
          <w:sz w:val="14"/>
          <w:szCs w:val="14"/>
          <w:color w:val="auto"/>
        </w:rPr>
        <w:t>The Selling Stockholders may also authorize agents or underwriters to solicit offers by certain types of institutional investors to purchase securities at the public offering price set forth in the revised prospectus or prospectus supplement pursuant to delayed delivery contracts providing for payment and delivery on a specified date in the future. The conditions to these contracts and the commission that the Selling Stockholders must pay for solicitation of these contracts will be described in a revised prospectus or prospectus supplement, to the extent such revised prospectus or prospectus supplement is required.</w:t>
      </w:r>
    </w:p>
    <w:p>
      <w:pPr>
        <w:spacing w:after="0" w:line="121" w:lineRule="exact"/>
        <w:rPr>
          <w:sz w:val="20"/>
          <w:szCs w:val="20"/>
          <w:color w:val="auto"/>
        </w:rPr>
      </w:pPr>
    </w:p>
    <w:p>
      <w:pPr>
        <w:jc w:val="both"/>
        <w:ind w:left="900" w:right="899" w:firstLine="516"/>
        <w:spacing w:after="0" w:line="265" w:lineRule="auto"/>
        <w:rPr>
          <w:sz w:val="20"/>
          <w:szCs w:val="20"/>
          <w:color w:val="auto"/>
        </w:rPr>
      </w:pPr>
      <w:r>
        <w:rPr>
          <w:rFonts w:ascii="Times New Roman" w:cs="Times New Roman" w:eastAsia="Times New Roman" w:hAnsi="Times New Roman"/>
          <w:sz w:val="14"/>
          <w:szCs w:val="14"/>
          <w:color w:val="auto"/>
        </w:rPr>
        <w:t>In connection with the sale of the shares of Common Stock covered by this prospectus through underwriters, underwriters may receive compensation in the form of underwriting discounts or commissions and may also receive commissions from purchasers of shares of Common Stock for whom they may act as agent. Underwriters may sell to or through dealers, and such dealers may receive compensation in the form of discounts, concessions or commissions from the underwriters and/or commissions from the purchasers for whom they may act as agent.</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1" w:name="page42"/>
    <w:bookmarkEnd w:id="41"/>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900" w:right="899" w:firstLine="516"/>
        <w:spacing w:after="0" w:line="268" w:lineRule="auto"/>
        <w:rPr>
          <w:sz w:val="20"/>
          <w:szCs w:val="20"/>
          <w:color w:val="auto"/>
        </w:rPr>
      </w:pPr>
      <w:r>
        <w:rPr>
          <w:rFonts w:ascii="Times New Roman" w:cs="Times New Roman" w:eastAsia="Times New Roman" w:hAnsi="Times New Roman"/>
          <w:sz w:val="14"/>
          <w:szCs w:val="14"/>
          <w:color w:val="auto"/>
        </w:rPr>
        <w:t>Any underwriters, broker/dealers or agents participating in the distribution of the shares of Common Stock covered by this prospectus may be deemed to be “underwriters” within the meaning of the Securities Act of 1933, as amended (the “Securities Act”), and any commissions received by any of those underwriters, broker/dealers or agents may be deemed to be underwriting commissions under the Securities Act.</w:t>
      </w:r>
    </w:p>
    <w:p>
      <w:pPr>
        <w:spacing w:after="0" w:line="119" w:lineRule="exact"/>
        <w:rPr>
          <w:sz w:val="20"/>
          <w:szCs w:val="20"/>
          <w:color w:val="auto"/>
        </w:rPr>
      </w:pPr>
    </w:p>
    <w:p>
      <w:pPr>
        <w:jc w:val="both"/>
        <w:ind w:left="900" w:right="899" w:firstLine="516"/>
        <w:spacing w:after="0" w:line="274" w:lineRule="auto"/>
        <w:rPr>
          <w:sz w:val="20"/>
          <w:szCs w:val="20"/>
          <w:color w:val="auto"/>
        </w:rPr>
      </w:pPr>
      <w:r>
        <w:rPr>
          <w:rFonts w:ascii="Times New Roman" w:cs="Times New Roman" w:eastAsia="Times New Roman" w:hAnsi="Times New Roman"/>
          <w:sz w:val="14"/>
          <w:szCs w:val="14"/>
          <w:color w:val="auto"/>
        </w:rPr>
        <w:t>We and the Selling Stockholders may agree to indemnify underwriters, broker-dealers or agents against certain liabilities, including liabilities under the Securities Act, and may also agree to contribute to payments which the underwriters, broker/dealers or agents may be required to make.</w:t>
      </w:r>
    </w:p>
    <w:p>
      <w:pPr>
        <w:spacing w:after="0" w:line="104" w:lineRule="exact"/>
        <w:rPr>
          <w:sz w:val="20"/>
          <w:szCs w:val="20"/>
          <w:color w:val="auto"/>
        </w:rPr>
      </w:pPr>
    </w:p>
    <w:p>
      <w:pPr>
        <w:jc w:val="both"/>
        <w:ind w:left="900" w:right="919" w:firstLine="516"/>
        <w:spacing w:after="0" w:line="274" w:lineRule="auto"/>
        <w:rPr>
          <w:sz w:val="20"/>
          <w:szCs w:val="20"/>
          <w:color w:val="auto"/>
        </w:rPr>
      </w:pPr>
      <w:r>
        <w:rPr>
          <w:rFonts w:ascii="Times New Roman" w:cs="Times New Roman" w:eastAsia="Times New Roman" w:hAnsi="Times New Roman"/>
          <w:sz w:val="14"/>
          <w:szCs w:val="14"/>
          <w:color w:val="auto"/>
        </w:rPr>
        <w:t>Certain of the underwriters, broker/dealers or agents who may become involved in the sale of the shares of Common Stock may engage in transactions with and perform other services for us in the ordinary course of their business for which they receive customary compensation.</w:t>
      </w:r>
    </w:p>
    <w:p>
      <w:pPr>
        <w:spacing w:after="0" w:line="104" w:lineRule="exact"/>
        <w:rPr>
          <w:sz w:val="20"/>
          <w:szCs w:val="20"/>
          <w:color w:val="auto"/>
        </w:rPr>
      </w:pPr>
    </w:p>
    <w:p>
      <w:pPr>
        <w:jc w:val="both"/>
        <w:ind w:left="900" w:right="919" w:firstLine="516"/>
        <w:spacing w:after="0" w:line="292" w:lineRule="auto"/>
        <w:rPr>
          <w:sz w:val="20"/>
          <w:szCs w:val="20"/>
          <w:color w:val="auto"/>
        </w:rPr>
      </w:pPr>
      <w:r>
        <w:rPr>
          <w:rFonts w:ascii="Times New Roman" w:cs="Times New Roman" w:eastAsia="Times New Roman" w:hAnsi="Times New Roman"/>
          <w:sz w:val="14"/>
          <w:szCs w:val="14"/>
          <w:color w:val="auto"/>
        </w:rPr>
        <w:t>Some of the shares of Common Stock covered by this prospectus may be sold by Selling Stockholders in private transactions or under Rule 144 under the Securities Act rather than pursuant to this prospectus.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2" w:name="page43"/>
    <w:bookmarkEnd w:id="42"/>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3" w:lineRule="exact"/>
        <w:rPr>
          <w:sz w:val="20"/>
          <w:szCs w:val="20"/>
          <w:color w:val="auto"/>
        </w:rPr>
      </w:pPr>
    </w:p>
    <w:p>
      <w:pPr>
        <w:jc w:val="both"/>
        <w:ind w:left="900" w:right="919" w:firstLine="516"/>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The following descriptions are summaries of the material terms of (i) our Second Amended and Restated Certificate of Incorporation, as amended from time to time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Certificate of Incorporation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and Amended and Restated Bylaws, as amended from time to time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Bylaws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and (ii) certain applicable provisions of Delaware law. Reference is made to the more detailed provisions of, and the descriptions are qualified in their entirety by reference to, the Certificate of Incorporation and the Bylaws, copies of which are incorporated by reference into the registration statement of which this prospectus is a part.</w:t>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u w:val="single" w:color="auto"/>
          <w:color w:val="auto"/>
        </w:rPr>
        <w:t>Common Stock</w:t>
      </w:r>
    </w:p>
    <w:p>
      <w:pPr>
        <w:spacing w:after="0" w:line="16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52" w:lineRule="exact"/>
        <w:rPr>
          <w:sz w:val="20"/>
          <w:szCs w:val="20"/>
          <w:color w:val="auto"/>
        </w:rPr>
      </w:pPr>
    </w:p>
    <w:p>
      <w:pPr>
        <w:jc w:val="both"/>
        <w:ind w:left="900" w:right="899" w:firstLine="516"/>
        <w:spacing w:after="0" w:line="265" w:lineRule="auto"/>
        <w:rPr>
          <w:sz w:val="20"/>
          <w:szCs w:val="20"/>
          <w:color w:val="auto"/>
        </w:rPr>
      </w:pPr>
      <w:r>
        <w:rPr>
          <w:rFonts w:ascii="Times New Roman" w:cs="Times New Roman" w:eastAsia="Times New Roman" w:hAnsi="Times New Roman"/>
          <w:sz w:val="14"/>
          <w:szCs w:val="14"/>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Certificate of Incorporation and Bylaws, where a 66 2/3% vote of the then outstanding shares of our Common Stock is required, the affirmative vote of a majority in voting power of shares present at a meeting of the holders of our Common Stock is required.</w:t>
      </w:r>
    </w:p>
    <w:p>
      <w:pPr>
        <w:spacing w:after="0" w:line="1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Dividend Rights and Limitations</w:t>
      </w:r>
    </w:p>
    <w:p>
      <w:pPr>
        <w:spacing w:after="0" w:line="163" w:lineRule="exact"/>
        <w:rPr>
          <w:sz w:val="20"/>
          <w:szCs w:val="20"/>
          <w:color w:val="auto"/>
        </w:rPr>
      </w:pPr>
    </w:p>
    <w:p>
      <w:pPr>
        <w:jc w:val="both"/>
        <w:ind w:left="900" w:right="919" w:firstLine="516"/>
        <w:spacing w:after="0" w:line="274" w:lineRule="auto"/>
        <w:rPr>
          <w:sz w:val="20"/>
          <w:szCs w:val="20"/>
          <w:color w:val="auto"/>
        </w:rPr>
      </w:pPr>
      <w:r>
        <w:rPr>
          <w:rFonts w:ascii="Times New Roman" w:cs="Times New Roman" w:eastAsia="Times New Roman" w:hAnsi="Times New Roman"/>
          <w:sz w:val="14"/>
          <w:szCs w:val="14"/>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0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152" w:lineRule="exact"/>
        <w:rPr>
          <w:sz w:val="20"/>
          <w:szCs w:val="20"/>
          <w:color w:val="auto"/>
        </w:rPr>
      </w:pPr>
    </w:p>
    <w:p>
      <w:pPr>
        <w:jc w:val="both"/>
        <w:ind w:left="900" w:right="899" w:firstLine="516"/>
        <w:spacing w:after="0" w:line="265" w:lineRule="auto"/>
        <w:rPr>
          <w:sz w:val="20"/>
          <w:szCs w:val="20"/>
          <w:color w:val="auto"/>
        </w:rPr>
      </w:pPr>
      <w:r>
        <w:rPr>
          <w:rFonts w:ascii="Times New Roman" w:cs="Times New Roman" w:eastAsia="Times New Roman" w:hAnsi="Times New Roman"/>
          <w:sz w:val="14"/>
          <w:szCs w:val="14"/>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 Holders of shares of our Common Stock do not have preemptive, subscription or conversion rights. There are no redemption or sinking fund provisions applicable to our Common Stock.</w:t>
      </w:r>
    </w:p>
    <w:p>
      <w:pPr>
        <w:spacing w:after="0" w:line="1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u w:val="single" w:color="auto"/>
          <w:color w:val="auto"/>
        </w:rPr>
        <w:t>Preferred Stock</w:t>
      </w:r>
    </w:p>
    <w:p>
      <w:pPr>
        <w:spacing w:after="0" w:line="152" w:lineRule="exact"/>
        <w:rPr>
          <w:sz w:val="20"/>
          <w:szCs w:val="20"/>
          <w:color w:val="auto"/>
        </w:rPr>
      </w:pPr>
    </w:p>
    <w:p>
      <w:pPr>
        <w:jc w:val="both"/>
        <w:ind w:left="900" w:right="919" w:firstLine="516"/>
        <w:spacing w:after="0" w:line="265" w:lineRule="auto"/>
        <w:rPr>
          <w:sz w:val="20"/>
          <w:szCs w:val="20"/>
          <w:color w:val="auto"/>
        </w:rPr>
      </w:pPr>
      <w:r>
        <w:rPr>
          <w:rFonts w:ascii="Times New Roman" w:cs="Times New Roman" w:eastAsia="Times New Roman" w:hAnsi="Times New Roman"/>
          <w:sz w:val="14"/>
          <w:szCs w:val="14"/>
          <w:color w:val="auto"/>
        </w:rPr>
        <w:t>We do not currently have any preferred stock outstanding. However, our Certificate of Incorporation authorizes our board of directors to establish one or more series of preferred stock (including convertible preferred stock). Unless required by law or by Nasdaq, the authorized shares of preferred stock will be available for issuance without further action by our stockholders. Our board of directors has discretion to determine, with respect to any series of preferred stock, the terms and rights of that series, including, without limitation:</w:t>
      </w:r>
    </w:p>
    <w:p>
      <w:pPr>
        <w:spacing w:after="0" w:line="110" w:lineRule="exact"/>
        <w:rPr>
          <w:sz w:val="20"/>
          <w:szCs w:val="20"/>
          <w:color w:val="auto"/>
        </w:rPr>
      </w:pPr>
    </w:p>
    <w:p>
      <w:pPr>
        <w:ind w:left="1660" w:hanging="249"/>
        <w:spacing w:after="0"/>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24" w:lineRule="exact"/>
        <w:rPr>
          <w:rFonts w:ascii="Times New Roman" w:cs="Times New Roman" w:eastAsia="Times New Roman" w:hAnsi="Times New Roman"/>
          <w:sz w:val="14"/>
          <w:szCs w:val="14"/>
          <w:color w:val="auto"/>
        </w:rPr>
      </w:pPr>
    </w:p>
    <w:p>
      <w:pPr>
        <w:jc w:val="both"/>
        <w:ind w:left="1660" w:right="919" w:hanging="249"/>
        <w:spacing w:after="0" w:line="256" w:lineRule="auto"/>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of such series then outstanding);</w:t>
      </w:r>
    </w:p>
    <w:p>
      <w:pPr>
        <w:ind w:left="1660" w:right="919" w:hanging="249"/>
        <w:spacing w:after="0" w:line="256" w:lineRule="auto"/>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payable on shares of the series in the event of any dissolution, liquidation or winding up of the affairs of the Company; and</w:t>
      </w:r>
    </w:p>
    <w:p>
      <w:pPr>
        <w:ind w:left="1660" w:hanging="249"/>
        <w:spacing w:after="0"/>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if any, of the holders of the series.</w:t>
      </w:r>
    </w:p>
    <w:p>
      <w:pPr>
        <w:spacing w:after="0" w:line="147" w:lineRule="exact"/>
        <w:rPr>
          <w:sz w:val="20"/>
          <w:szCs w:val="20"/>
          <w:color w:val="auto"/>
        </w:rPr>
      </w:pPr>
    </w:p>
    <w:p>
      <w:pPr>
        <w:jc w:val="both"/>
        <w:ind w:left="900" w:right="899" w:firstLine="516"/>
        <w:spacing w:after="0" w:line="261" w:lineRule="auto"/>
        <w:rPr>
          <w:sz w:val="20"/>
          <w:szCs w:val="20"/>
          <w:color w:val="auto"/>
        </w:rPr>
      </w:pPr>
      <w:r>
        <w:rPr>
          <w:rFonts w:ascii="Times New Roman" w:cs="Times New Roman" w:eastAsia="Times New Roman" w:hAnsi="Times New Roman"/>
          <w:sz w:val="14"/>
          <w:szCs w:val="14"/>
          <w:color w:val="auto"/>
        </w:rPr>
        <w:t>We are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the payment of dividends on the Common Stock, diluting the voting power of the Common Stock or subordinating the rights of the Common Stock to any payment upon a liquidation, dissolution or winding up of the Company or other event. The issuance of preferred stock could have the effect of delaying, deferring, impeding, or preventing a change of control, or other corporate action.</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3" w:name="page44"/>
    <w:bookmarkEnd w:id="43"/>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63" w:lineRule="exact"/>
        <w:rPr>
          <w:sz w:val="20"/>
          <w:szCs w:val="20"/>
          <w:color w:val="auto"/>
        </w:rPr>
      </w:pPr>
    </w:p>
    <w:p>
      <w:pPr>
        <w:jc w:val="both"/>
        <w:ind w:left="900" w:right="919" w:firstLine="516"/>
        <w:spacing w:after="0" w:line="261" w:lineRule="auto"/>
        <w:rPr>
          <w:sz w:val="20"/>
          <w:szCs w:val="20"/>
          <w:color w:val="auto"/>
        </w:rPr>
      </w:pPr>
      <w:r>
        <w:rPr>
          <w:rFonts w:ascii="Times New Roman" w:cs="Times New Roman" w:eastAsia="Times New Roman" w:hAnsi="Times New Roman"/>
          <w:sz w:val="14"/>
          <w:szCs w:val="14"/>
          <w:color w:val="auto"/>
        </w:rPr>
        <w:t>The Delaware General Corporate Law (“DGCL”) permits a corporation to declare and pay dividends out of “surplus” or, if there is no “surplus,” out of its net profits for the year in which the dividend is declared and/or the preceding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having a par value. Net assets equal the fair value of the total assets minus total liabilities. The DGCL also provides that dividends may not be paid out of net profits if, after the payment of the dividend, the capital of the corporation is less than the capital represented by the outstanding stock of all classes having a preference upon the distribution of assets.</w:t>
      </w:r>
    </w:p>
    <w:p>
      <w:pPr>
        <w:spacing w:after="0" w:line="114" w:lineRule="exact"/>
        <w:rPr>
          <w:sz w:val="20"/>
          <w:szCs w:val="20"/>
          <w:color w:val="auto"/>
        </w:rPr>
      </w:pPr>
    </w:p>
    <w:p>
      <w:pPr>
        <w:jc w:val="both"/>
        <w:ind w:left="900" w:right="899" w:firstLine="516"/>
        <w:spacing w:after="0" w:line="265" w:lineRule="auto"/>
        <w:rPr>
          <w:sz w:val="20"/>
          <w:szCs w:val="20"/>
          <w:color w:val="auto"/>
        </w:rPr>
      </w:pPr>
      <w:r>
        <w:rPr>
          <w:rFonts w:ascii="Times New Roman" w:cs="Times New Roman" w:eastAsia="Times New Roman" w:hAnsi="Times New Roman"/>
          <w:sz w:val="14"/>
          <w:szCs w:val="14"/>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08" w:lineRule="exact"/>
        <w:rPr>
          <w:sz w:val="20"/>
          <w:szCs w:val="20"/>
          <w:color w:val="auto"/>
        </w:rPr>
      </w:pPr>
    </w:p>
    <w:p>
      <w:pPr>
        <w:jc w:val="both"/>
        <w:ind w:left="900" w:right="919"/>
        <w:spacing w:after="0" w:line="295" w:lineRule="auto"/>
        <w:rPr>
          <w:sz w:val="20"/>
          <w:szCs w:val="20"/>
          <w:color w:val="auto"/>
        </w:rPr>
      </w:pPr>
      <w:r>
        <w:rPr>
          <w:rFonts w:ascii="Times New Roman" w:cs="Times New Roman" w:eastAsia="Times New Roman" w:hAnsi="Times New Roman"/>
          <w:sz w:val="14"/>
          <w:szCs w:val="14"/>
          <w:b w:val="1"/>
          <w:bCs w:val="1"/>
          <w:color w:val="auto"/>
        </w:rPr>
        <w:t>Anti-Takeover Effects of Our Second Amended and Restated Certificate of Incorporation and Amended and Restated Bylaws and Certain Provisions of Delaware Law</w:t>
      </w:r>
    </w:p>
    <w:p>
      <w:pPr>
        <w:spacing w:after="0" w:line="100" w:lineRule="exact"/>
        <w:rPr>
          <w:sz w:val="20"/>
          <w:szCs w:val="20"/>
          <w:color w:val="auto"/>
        </w:rPr>
      </w:pPr>
    </w:p>
    <w:p>
      <w:pPr>
        <w:jc w:val="both"/>
        <w:ind w:left="900" w:right="899" w:firstLine="516"/>
        <w:spacing w:after="0" w:line="261" w:lineRule="auto"/>
        <w:rPr>
          <w:sz w:val="20"/>
          <w:szCs w:val="20"/>
          <w:color w:val="auto"/>
        </w:rPr>
      </w:pPr>
      <w:r>
        <w:rPr>
          <w:rFonts w:ascii="Times New Roman" w:cs="Times New Roman" w:eastAsia="Times New Roman" w:hAnsi="Times New Roman"/>
          <w:sz w:val="14"/>
          <w:szCs w:val="14"/>
          <w:color w:val="auto"/>
        </w:rPr>
        <w:t>Our Certificate of Incorporation, Bylaws, and the DGCL,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2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154" w:lineRule="exact"/>
        <w:rPr>
          <w:sz w:val="20"/>
          <w:szCs w:val="20"/>
          <w:color w:val="auto"/>
        </w:rPr>
      </w:pPr>
    </w:p>
    <w:p>
      <w:pPr>
        <w:jc w:val="both"/>
        <w:ind w:left="900" w:right="899" w:firstLine="516"/>
        <w:spacing w:after="0" w:line="265"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21" w:lineRule="exact"/>
        <w:rPr>
          <w:sz w:val="20"/>
          <w:szCs w:val="20"/>
          <w:color w:val="auto"/>
        </w:rPr>
      </w:pPr>
    </w:p>
    <w:p>
      <w:pPr>
        <w:jc w:val="both"/>
        <w:ind w:left="900" w:right="919" w:firstLine="516"/>
        <w:spacing w:after="0" w:line="268" w:lineRule="auto"/>
        <w:rPr>
          <w:sz w:val="20"/>
          <w:szCs w:val="20"/>
          <w:color w:val="auto"/>
        </w:rPr>
      </w:pPr>
      <w:r>
        <w:rPr>
          <w:rFonts w:ascii="Times New Roman" w:cs="Times New Roman" w:eastAsia="Times New Roman" w:hAnsi="Times New Roman"/>
          <w:sz w:val="14"/>
          <w:szCs w:val="14"/>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08" w:lineRule="exact"/>
        <w:rPr>
          <w:sz w:val="20"/>
          <w:szCs w:val="20"/>
          <w:color w:val="auto"/>
        </w:rPr>
      </w:pPr>
    </w:p>
    <w:p>
      <w:pPr>
        <w:jc w:val="both"/>
        <w:ind w:left="900" w:right="919" w:firstLine="516"/>
        <w:spacing w:after="0" w:line="265"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65" w:lineRule="exact"/>
        <w:rPr>
          <w:sz w:val="20"/>
          <w:szCs w:val="20"/>
          <w:color w:val="auto"/>
        </w:rPr>
      </w:pPr>
    </w:p>
    <w:p>
      <w:pPr>
        <w:jc w:val="both"/>
        <w:ind w:left="900" w:right="919" w:firstLine="516"/>
        <w:spacing w:after="0" w:line="262" w:lineRule="auto"/>
        <w:rPr>
          <w:sz w:val="20"/>
          <w:szCs w:val="20"/>
          <w:color w:val="auto"/>
        </w:rPr>
      </w:pPr>
      <w:r>
        <w:rPr>
          <w:rFonts w:ascii="Times New Roman" w:cs="Times New Roman" w:eastAsia="Times New Roman" w:hAnsi="Times New Roman"/>
          <w:sz w:val="14"/>
          <w:szCs w:val="14"/>
          <w:color w:val="auto"/>
        </w:rPr>
        <w:t>Our Certificate of Incorporation divides our board of directors into three classes of directors, with the classes to be as nearly equal in number as possible, and with the directors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and Bylaws will provide that, subject to any rights of holders of preferred stock to elect additional directors under specified circumstances, the total number of directors constituting our board of directors will be fixed from time to time exclusively pursuant to a resolution adopted by the board of directors.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4" w:name="page45"/>
    <w:bookmarkEnd w:id="44"/>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65" w:lineRule="exact"/>
        <w:rPr>
          <w:sz w:val="20"/>
          <w:szCs w:val="20"/>
          <w:color w:val="auto"/>
        </w:rPr>
      </w:pPr>
    </w:p>
    <w:p>
      <w:pPr>
        <w:jc w:val="both"/>
        <w:ind w:left="900" w:right="919" w:firstLine="516"/>
        <w:spacing w:after="0" w:line="274" w:lineRule="auto"/>
        <w:rPr>
          <w:sz w:val="20"/>
          <w:szCs w:val="20"/>
          <w:color w:val="auto"/>
        </w:rPr>
      </w:pPr>
      <w:r>
        <w:rPr>
          <w:rFonts w:ascii="Times New Roman" w:cs="Times New Roman" w:eastAsia="Times New Roman" w:hAnsi="Times New Roman"/>
          <w:sz w:val="14"/>
          <w:szCs w:val="14"/>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04" w:lineRule="exact"/>
        <w:rPr>
          <w:sz w:val="20"/>
          <w:szCs w:val="20"/>
          <w:color w:val="auto"/>
        </w:rPr>
      </w:pPr>
    </w:p>
    <w:p>
      <w:pPr>
        <w:ind w:left="1660" w:right="919" w:hanging="249"/>
        <w:spacing w:after="0" w:line="266" w:lineRule="auto"/>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our board of directors approved either the business combination or the transaction which resulted in the stockholder becoming an interested stockholder;</w:t>
      </w:r>
    </w:p>
    <w:p>
      <w:pPr>
        <w:jc w:val="both"/>
        <w:ind w:left="1660" w:right="919" w:hanging="249"/>
        <w:spacing w:after="0" w:line="256" w:lineRule="auto"/>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jc w:val="both"/>
        <w:ind w:left="1660" w:right="899" w:hanging="249"/>
        <w:spacing w:after="0" w:line="272" w:lineRule="auto"/>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276" w:lineRule="exact"/>
        <w:rPr>
          <w:sz w:val="20"/>
          <w:szCs w:val="20"/>
          <w:color w:val="auto"/>
        </w:rPr>
      </w:pPr>
    </w:p>
    <w:p>
      <w:pPr>
        <w:jc w:val="both"/>
        <w:ind w:left="900" w:right="899" w:firstLine="516"/>
        <w:spacing w:after="0" w:line="267"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293" w:lineRule="exact"/>
        <w:rPr>
          <w:sz w:val="20"/>
          <w:szCs w:val="20"/>
          <w:color w:val="auto"/>
        </w:rPr>
      </w:pPr>
    </w:p>
    <w:p>
      <w:pPr>
        <w:jc w:val="both"/>
        <w:ind w:left="900" w:right="899" w:firstLine="516"/>
        <w:spacing w:after="0" w:line="260" w:lineRule="auto"/>
        <w:rPr>
          <w:sz w:val="20"/>
          <w:szCs w:val="20"/>
          <w:color w:val="auto"/>
        </w:rPr>
      </w:pPr>
      <w:r>
        <w:rPr>
          <w:rFonts w:ascii="Times New Roman" w:cs="Times New Roman" w:eastAsia="Times New Roman" w:hAnsi="Times New Roman"/>
          <w:sz w:val="14"/>
          <w:szCs w:val="14"/>
          <w:color w:val="auto"/>
        </w:rPr>
        <w:t>This provision makes it more difficult for a person who would be an “interested stockholder” to effect various business combinations with the Company for a three-year period after the time at which they became an interested stockholder subject to the restrictions on business combinations. This provision may encourage companies interested in acquiring the Company to negotiate in advance with our board of directors because the restrictions on business combinations would not apply to an interested stockholder if our board of directors, prior to the time a person becomes an interested stockholder, approves either the business combination or the transaction which results in the stockholder becoming an interested stockholder. By discouraging persons from becoming interested stockholders, these provisions may have the effect of preventing changes in our board of directors and may make it more difficult to accomplish transactions which stockholders may otherwise deem to be in their best interests.</w:t>
      </w:r>
    </w:p>
    <w:p>
      <w:pPr>
        <w:spacing w:after="0" w:line="116" w:lineRule="exact"/>
        <w:rPr>
          <w:sz w:val="20"/>
          <w:szCs w:val="20"/>
          <w:color w:val="auto"/>
        </w:rPr>
      </w:pPr>
    </w:p>
    <w:p>
      <w:pPr>
        <w:jc w:val="both"/>
        <w:ind w:left="900" w:right="899" w:firstLine="516"/>
        <w:spacing w:after="0" w:line="268" w:lineRule="auto"/>
        <w:rPr>
          <w:sz w:val="20"/>
          <w:szCs w:val="20"/>
          <w:color w:val="auto"/>
        </w:rPr>
      </w:pPr>
      <w:r>
        <w:rPr>
          <w:rFonts w:ascii="Times New Roman" w:cs="Times New Roman" w:eastAsia="Times New Roman" w:hAnsi="Times New Roman"/>
          <w:sz w:val="14"/>
          <w:szCs w:val="14"/>
          <w:color w:val="auto"/>
        </w:rPr>
        <w:t>Our Certificate of Incorporation provides that any of KKR Phoenix Aggregator L.P., an investment entity owned by investment funds and other entities affiliated with the KKR Stockholder and its affiliates and any of its direct or indirect transferees and any group as to which such persons are a party do not constitute “interested stockholders” for purposes of this provision.</w:t>
      </w:r>
    </w:p>
    <w:p>
      <w:pPr>
        <w:spacing w:after="0" w:line="1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 Vacancies</w:t>
      </w:r>
    </w:p>
    <w:p>
      <w:pPr>
        <w:spacing w:after="0" w:line="165" w:lineRule="exact"/>
        <w:rPr>
          <w:sz w:val="20"/>
          <w:szCs w:val="20"/>
          <w:color w:val="auto"/>
        </w:rPr>
      </w:pPr>
    </w:p>
    <w:p>
      <w:pPr>
        <w:jc w:val="both"/>
        <w:ind w:left="900" w:right="899" w:firstLine="516"/>
        <w:spacing w:after="0" w:line="258" w:lineRule="auto"/>
        <w:rPr>
          <w:sz w:val="20"/>
          <w:szCs w:val="20"/>
          <w:color w:val="auto"/>
        </w:rPr>
      </w:pPr>
      <w:r>
        <w:rPr>
          <w:rFonts w:ascii="Times New Roman" w:cs="Times New Roman" w:eastAsia="Times New Roman" w:hAnsi="Times New Roman"/>
          <w:sz w:val="14"/>
          <w:szCs w:val="14"/>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generally in the election of directors, voting together as a single class; provided, however, at any time when the KKR Stockholder and its affiliates beneficially own, in the aggregate, less than 40% of the voting power of all outstanding shares of stock entitled to vote generally in the election of directors, directors may only be removed for cause and only by the affirmative vote of holders of at least 66 2/3% in voting power of all the then-outstanding shares of stock entitled to vote generally in the election of directors, voting together as a single class. In addition, our Certificate of Incorporation provides that, subject to the rights granted to one or more series of preferred stock then outstanding or the rights granted to the KKR Stockholder under the Amended and Restated Stockholders’ Agreement, dated as of March 5, 2019, with the KKR Stockholder and the other parties party thereto (the “Stockholders Agreement”), any vacancies on our board of directors will be filled only by the affirmative vote of a majority of the remaining directors, even if less than a quorum, by a sole remaining director or by the stockholders; provided, however, at any time when the KKR Stockholder and its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54" w:lineRule="exact"/>
        <w:rPr>
          <w:sz w:val="20"/>
          <w:szCs w:val="20"/>
          <w:color w:val="auto"/>
        </w:rPr>
      </w:pPr>
    </w:p>
    <w:p>
      <w:pPr>
        <w:jc w:val="both"/>
        <w:ind w:left="900" w:right="899" w:firstLine="516"/>
        <w:spacing w:after="0" w:line="268" w:lineRule="auto"/>
        <w:rPr>
          <w:sz w:val="20"/>
          <w:szCs w:val="20"/>
          <w:color w:val="auto"/>
        </w:rPr>
      </w:pPr>
      <w:r>
        <w:rPr>
          <w:rFonts w:ascii="Times New Roman" w:cs="Times New Roman" w:eastAsia="Times New Roman" w:hAnsi="Times New Roman"/>
          <w:sz w:val="14"/>
          <w:szCs w:val="14"/>
          <w:color w:val="auto"/>
        </w:rPr>
        <w:t>Under Delaware law, the right to vote cumulatively does not exist unless the certificate of incorporation specifically authorizes cumulative voting. Our Certificate of Incorporation does not authorize cumulative voting. Therefore, stockholders holding a majority in voting power of the shares of our stock entitled to vote generally in the election of directors will be able to elect all of our directors who are elected by a vote of our stockholders generally.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5" w:name="page46"/>
    <w:bookmarkEnd w:id="45"/>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165" w:lineRule="exact"/>
        <w:rPr>
          <w:sz w:val="20"/>
          <w:szCs w:val="20"/>
          <w:color w:val="auto"/>
        </w:rPr>
      </w:pPr>
    </w:p>
    <w:p>
      <w:pPr>
        <w:jc w:val="both"/>
        <w:ind w:left="900" w:right="899" w:firstLine="516"/>
        <w:spacing w:after="0" w:line="262" w:lineRule="auto"/>
        <w:rPr>
          <w:sz w:val="20"/>
          <w:szCs w:val="20"/>
          <w:color w:val="auto"/>
        </w:rPr>
      </w:pPr>
      <w:r>
        <w:rPr>
          <w:rFonts w:ascii="Times New Roman" w:cs="Times New Roman" w:eastAsia="Times New Roman" w:hAnsi="Times New Roman"/>
          <w:sz w:val="14"/>
          <w:szCs w:val="14"/>
          <w:color w:val="auto"/>
        </w:rPr>
        <w:t>Our Certificate of Incorporation provides that special meetings of our stockholders may be called at any time only by or at the direction of the board of directors or the chairman of the board of directors; provided, however, that the KKR Stockholder and its affiliates are permitted to call special meetings of our stockholders for so long as they hold, in the aggregate, at least 40% of the voting power of all outstanding shares of stock entitled to vote generally in the election of directors. Our Bylaws prohibits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Director Nominations and Stockholder Proposals</w:t>
      </w:r>
    </w:p>
    <w:p>
      <w:pPr>
        <w:spacing w:after="0" w:line="154" w:lineRule="exact"/>
        <w:rPr>
          <w:sz w:val="20"/>
          <w:szCs w:val="20"/>
          <w:color w:val="auto"/>
        </w:rPr>
      </w:pPr>
    </w:p>
    <w:p>
      <w:pPr>
        <w:jc w:val="both"/>
        <w:ind w:left="900" w:right="899" w:firstLine="516"/>
        <w:spacing w:after="0" w:line="259" w:lineRule="auto"/>
        <w:rPr>
          <w:sz w:val="20"/>
          <w:szCs w:val="20"/>
          <w:color w:val="auto"/>
        </w:rPr>
      </w:pPr>
      <w:r>
        <w:rPr>
          <w:rFonts w:ascii="Times New Roman" w:cs="Times New Roman" w:eastAsia="Times New Roman" w:hAnsi="Times New Roman"/>
          <w:sz w:val="14"/>
          <w:szCs w:val="14"/>
          <w:color w:val="auto"/>
        </w:rPr>
        <w:t>Our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Bylaws also specifies requirements as to the form and content of a stockholder’s notice. Our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the KKR Stockholder and its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154" w:lineRule="exact"/>
        <w:rPr>
          <w:sz w:val="20"/>
          <w:szCs w:val="20"/>
          <w:color w:val="auto"/>
        </w:rPr>
      </w:pPr>
    </w:p>
    <w:p>
      <w:pPr>
        <w:jc w:val="both"/>
        <w:ind w:left="900" w:right="919" w:firstLine="516"/>
        <w:spacing w:after="0" w:line="261" w:lineRule="auto"/>
        <w:rPr>
          <w:sz w:val="20"/>
          <w:szCs w:val="20"/>
          <w:color w:val="auto"/>
        </w:rPr>
      </w:pPr>
      <w:r>
        <w:rPr>
          <w:rFonts w:ascii="Times New Roman" w:cs="Times New Roman" w:eastAsia="Times New Roman" w:hAnsi="Times New Roman"/>
          <w:sz w:val="14"/>
          <w:szCs w:val="14"/>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Certificate of Incorporation provides otherwise. Our Certificate of Incorporation precludes stockholder action by written consent once the KKR Stockholder and its affiliates beneficially owns, in the aggregate, less than 40% of the voting power of all outstanding shares of stock entitled to vote generally in the election of directors.</w:t>
      </w:r>
    </w:p>
    <w:p>
      <w:pPr>
        <w:spacing w:after="0" w:line="2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Supermajority Provisions</w:t>
      </w:r>
    </w:p>
    <w:p>
      <w:pPr>
        <w:spacing w:after="0" w:line="165" w:lineRule="exact"/>
        <w:rPr>
          <w:sz w:val="20"/>
          <w:szCs w:val="20"/>
          <w:color w:val="auto"/>
        </w:rPr>
      </w:pPr>
    </w:p>
    <w:p>
      <w:pPr>
        <w:jc w:val="both"/>
        <w:ind w:left="900" w:right="899" w:firstLine="516"/>
        <w:spacing w:after="0" w:line="259" w:lineRule="auto"/>
        <w:rPr>
          <w:sz w:val="20"/>
          <w:szCs w:val="20"/>
          <w:color w:val="auto"/>
        </w:rPr>
      </w:pPr>
      <w:r>
        <w:rPr>
          <w:rFonts w:ascii="Times New Roman" w:cs="Times New Roman" w:eastAsia="Times New Roman" w:hAnsi="Times New Roman"/>
          <w:sz w:val="14"/>
          <w:szCs w:val="14"/>
          <w:color w:val="auto"/>
        </w:rPr>
        <w:t>Our Certificate of Incorporation and Bylaws provide that the board of directors is expressly authorized to make, alter, amend, change, add to, rescind, or repeal, in whole or in part, our Bylaws without a stockholder vote in any matter not inconsistent with the laws of the State of Delaware or our Certificate of Incorporation. For as long as the KKR Stockholder and its affiliates beneficially owns, in the aggregate, at least 40% of the voting power of all outstanding shares of stock entitled to vote generally in the election of directors, any amendment, alteration, change, addition, rescission, or repeal of our Bylaws by our stockholders requires the affirmative vote of a majority in voting power of the outstanding shares of our stock present in person or represented by proxy at the meeting of stockholders and entitled to vote on such amendment, alteration, change, addition, rescission, or repeal. At any time when the KKR Stockholder and its affiliates beneficially owns, in the aggregate, less than 40% of the voting power of all outstanding shares of stock entitled to vote generally in the election of directors, any amendment, alteration, change, addition, rescission, or repeal of our Bylaws by our stockholders will require the affirmative vote of the holders of at least 66 2/3% in voting power of all the then-outstanding shares of stock entitled to vote generally in the election of directors, voting together as a single class.</w:t>
      </w:r>
    </w:p>
    <w:p>
      <w:pPr>
        <w:spacing w:after="0" w:line="117" w:lineRule="exact"/>
        <w:rPr>
          <w:sz w:val="20"/>
          <w:szCs w:val="20"/>
          <w:color w:val="auto"/>
        </w:rPr>
      </w:pPr>
    </w:p>
    <w:p>
      <w:pPr>
        <w:jc w:val="both"/>
        <w:ind w:left="900" w:right="899" w:firstLine="516"/>
        <w:spacing w:after="0" w:line="274" w:lineRule="auto"/>
        <w:rPr>
          <w:sz w:val="20"/>
          <w:szCs w:val="20"/>
          <w:color w:val="auto"/>
        </w:rPr>
      </w:pPr>
      <w:r>
        <w:rPr>
          <w:rFonts w:ascii="Times New Roman" w:cs="Times New Roman" w:eastAsia="Times New Roman" w:hAnsi="Times New Roman"/>
          <w:sz w:val="14"/>
          <w:szCs w:val="14"/>
          <w:color w:val="auto"/>
        </w:rPr>
        <w:t>The DGCL generally provides that the affirmative vote of the holders of a majority in voting power of the outstanding shares entitled to vote thereon, voting together as a single class, is required to amend a corporation’s certificate of incorporation, unless the certificate of incorporation requires a greater percentage.</w:t>
      </w:r>
    </w:p>
    <w:p>
      <w:pPr>
        <w:spacing w:after="0" w:line="104" w:lineRule="exact"/>
        <w:rPr>
          <w:sz w:val="20"/>
          <w:szCs w:val="20"/>
          <w:color w:val="auto"/>
        </w:rPr>
      </w:pPr>
    </w:p>
    <w:p>
      <w:pPr>
        <w:jc w:val="both"/>
        <w:ind w:left="900" w:right="919" w:firstLine="516"/>
        <w:spacing w:after="0" w:line="274" w:lineRule="auto"/>
        <w:rPr>
          <w:sz w:val="20"/>
          <w:szCs w:val="20"/>
          <w:color w:val="auto"/>
        </w:rPr>
      </w:pPr>
      <w:r>
        <w:rPr>
          <w:rFonts w:ascii="Times New Roman" w:cs="Times New Roman" w:eastAsia="Times New Roman" w:hAnsi="Times New Roman"/>
          <w:sz w:val="14"/>
          <w:szCs w:val="14"/>
          <w:color w:val="auto"/>
        </w:rPr>
        <w:t>Our Certificate of Incorporation provides that once the KKR Stockholder and its affiliates beneficially own, in the aggregate, less than 40% of the voting power of all outstanding shares of stock entitled to vote generally in the election of directors, the following provisions in our Certificate of Incorporation may be amended, altered, repealed or rescinded only by</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6" w:name="page47"/>
    <w:bookmarkEnd w:id="46"/>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00" w:right="919"/>
        <w:spacing w:after="0" w:line="292" w:lineRule="auto"/>
        <w:rPr>
          <w:sz w:val="20"/>
          <w:szCs w:val="20"/>
          <w:color w:val="auto"/>
        </w:rPr>
      </w:pPr>
      <w:r>
        <w:rPr>
          <w:rFonts w:ascii="Times New Roman" w:cs="Times New Roman" w:eastAsia="Times New Roman" w:hAnsi="Times New Roman"/>
          <w:sz w:val="14"/>
          <w:szCs w:val="14"/>
          <w:color w:val="auto"/>
        </w:rPr>
        <w:t>the affirmative vote of the holders of at least 66 2/3% in the voting power of all outstanding shares of stock entitled to vote generally in the election of directors, voting together as a single class:</w:t>
      </w:r>
    </w:p>
    <w:p>
      <w:pPr>
        <w:spacing w:after="0" w:line="102" w:lineRule="exact"/>
        <w:rPr>
          <w:sz w:val="20"/>
          <w:szCs w:val="20"/>
          <w:color w:val="auto"/>
        </w:rPr>
      </w:pPr>
    </w:p>
    <w:p>
      <w:pPr>
        <w:ind w:left="1660" w:hanging="249"/>
        <w:spacing w:after="0"/>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requiring a 66 2/3% supermajority vote for stockholders to amend our Bylaws;</w:t>
      </w:r>
    </w:p>
    <w:p>
      <w:pPr>
        <w:spacing w:after="0" w:line="24"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providing for a classified board of directors (the election and term of our directors);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the total number of directors;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resignation and removal of directors;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competition and corporate opportunities;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entering into business combinations with interested stockholders;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stockholder action by written consent;</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calling special meetings of stockholders;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filling vacancies on our board of directors and newly created directorships;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eliminating monetary damages for breaches of fiduciary duty by a director or officer; and</w:t>
      </w:r>
    </w:p>
    <w:p>
      <w:pPr>
        <w:spacing w:after="0" w:line="10" w:lineRule="exact"/>
        <w:rPr>
          <w:rFonts w:ascii="Times New Roman" w:cs="Times New Roman" w:eastAsia="Times New Roman" w:hAnsi="Times New Roman"/>
          <w:sz w:val="14"/>
          <w:szCs w:val="14"/>
          <w:color w:val="auto"/>
        </w:rPr>
      </w:pPr>
    </w:p>
    <w:p>
      <w:pPr>
        <w:ind w:left="1660" w:right="919" w:hanging="249"/>
        <w:spacing w:after="0" w:line="256" w:lineRule="auto"/>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amendment provision requiring that the above provisions be amended only with a 66 2/3% supermajority vote.</w:t>
      </w:r>
    </w:p>
    <w:p>
      <w:pPr>
        <w:spacing w:after="0" w:line="298" w:lineRule="exact"/>
        <w:rPr>
          <w:sz w:val="20"/>
          <w:szCs w:val="20"/>
          <w:color w:val="auto"/>
        </w:rPr>
      </w:pPr>
    </w:p>
    <w:p>
      <w:pPr>
        <w:jc w:val="both"/>
        <w:ind w:left="900" w:right="899" w:firstLine="516"/>
        <w:spacing w:after="0" w:line="265" w:lineRule="auto"/>
        <w:rPr>
          <w:sz w:val="20"/>
          <w:szCs w:val="20"/>
          <w:color w:val="auto"/>
        </w:rPr>
      </w:pPr>
      <w:r>
        <w:rPr>
          <w:rFonts w:ascii="Times New Roman" w:cs="Times New Roman" w:eastAsia="Times New Roman" w:hAnsi="Times New Roman"/>
          <w:sz w:val="14"/>
          <w:szCs w:val="14"/>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10" w:lineRule="exact"/>
        <w:rPr>
          <w:sz w:val="20"/>
          <w:szCs w:val="20"/>
          <w:color w:val="auto"/>
        </w:rPr>
      </w:pPr>
    </w:p>
    <w:p>
      <w:pPr>
        <w:jc w:val="both"/>
        <w:ind w:left="900" w:right="899" w:firstLine="516"/>
        <w:spacing w:after="0" w:line="260" w:lineRule="auto"/>
        <w:rPr>
          <w:sz w:val="20"/>
          <w:szCs w:val="20"/>
          <w:color w:val="auto"/>
        </w:rPr>
      </w:pPr>
      <w:r>
        <w:rPr>
          <w:rFonts w:ascii="Times New Roman" w:cs="Times New Roman" w:eastAsia="Times New Roman" w:hAnsi="Times New Roman"/>
          <w:sz w:val="14"/>
          <w:szCs w:val="14"/>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1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152" w:lineRule="exact"/>
        <w:rPr>
          <w:sz w:val="20"/>
          <w:szCs w:val="20"/>
          <w:color w:val="auto"/>
        </w:rPr>
      </w:pPr>
    </w:p>
    <w:p>
      <w:pPr>
        <w:jc w:val="both"/>
        <w:ind w:left="900" w:right="899" w:firstLine="516"/>
        <w:spacing w:after="0" w:line="268" w:lineRule="auto"/>
        <w:rPr>
          <w:sz w:val="20"/>
          <w:szCs w:val="20"/>
          <w:color w:val="auto"/>
        </w:rPr>
      </w:pPr>
      <w:r>
        <w:rPr>
          <w:rFonts w:ascii="Times New Roman" w:cs="Times New Roman" w:eastAsia="Times New Roman" w:hAnsi="Times New Roman"/>
          <w:sz w:val="14"/>
          <w:szCs w:val="14"/>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has the right to receive payment in cash of the fair value of their shares as determined by the Delaware Court of Chancery.</w:t>
      </w:r>
    </w:p>
    <w:p>
      <w:pPr>
        <w:spacing w:after="0" w:line="1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163" w:lineRule="exact"/>
        <w:rPr>
          <w:sz w:val="20"/>
          <w:szCs w:val="20"/>
          <w:color w:val="auto"/>
        </w:rPr>
      </w:pPr>
    </w:p>
    <w:p>
      <w:pPr>
        <w:jc w:val="both"/>
        <w:ind w:left="900" w:right="919" w:firstLine="516"/>
        <w:spacing w:after="0" w:line="274"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0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152" w:lineRule="exact"/>
        <w:rPr>
          <w:sz w:val="20"/>
          <w:szCs w:val="20"/>
          <w:color w:val="auto"/>
        </w:rPr>
      </w:pPr>
    </w:p>
    <w:p>
      <w:pPr>
        <w:jc w:val="both"/>
        <w:ind w:left="900" w:right="899" w:firstLine="516"/>
        <w:spacing w:after="0" w:line="260" w:lineRule="auto"/>
        <w:rPr>
          <w:sz w:val="20"/>
          <w:szCs w:val="20"/>
          <w:color w:val="auto"/>
        </w:rPr>
      </w:pPr>
      <w:r>
        <w:rPr>
          <w:rFonts w:ascii="Times New Roman" w:cs="Times New Roman" w:eastAsia="Times New Roman" w:hAnsi="Times New Roman"/>
          <w:sz w:val="14"/>
          <w:szCs w:val="14"/>
          <w:color w:val="auto"/>
        </w:rPr>
        <w:t>Our Certificate of Incorporation provides, subject to limited exceptions, that unless we consent to the selection of an alternative forum, the Court of Chancery of the State of Delaware (or if such court does not have subject matter jurisdiction another state or the federal court (as appropriate) located within the State of Delaware) is, to the fullest extent permitted by law, the sole and exclusive forum for any (i) derivative action or proceeding brought on behalf of the Company, (ii) action asserting a claim of breach of a fiduciary duty owed by any current or former director, officer or other employee or stockholder of the Company to the Company or our stockholders, creditors, or other constituents, (iii) action asserting a claim against the Company or any current or former director or officer of the Company arising pursuant to any provision of the DGCL or our Certificate of Incorporation or our Bylaws or as to which the DGCL confers jurisdiction on the Court of Chancery of the State of Delaware, or (iv) action asserting a claim governed by the internal affairs doctrine.</w:t>
      </w:r>
    </w:p>
    <w:p>
      <w:pPr>
        <w:spacing w:after="0" w:line="127" w:lineRule="exact"/>
        <w:rPr>
          <w:sz w:val="20"/>
          <w:szCs w:val="20"/>
          <w:color w:val="auto"/>
        </w:rPr>
      </w:pPr>
    </w:p>
    <w:p>
      <w:pPr>
        <w:jc w:val="both"/>
        <w:ind w:left="900" w:right="899" w:firstLine="516"/>
        <w:spacing w:after="0" w:line="267" w:lineRule="auto"/>
        <w:rPr>
          <w:sz w:val="20"/>
          <w:szCs w:val="20"/>
          <w:color w:val="auto"/>
        </w:rPr>
      </w:pPr>
      <w:r>
        <w:rPr>
          <w:rFonts w:ascii="Times New Roman" w:cs="Times New Roman" w:eastAsia="Times New Roman" w:hAnsi="Times New Roman"/>
          <w:sz w:val="14"/>
          <w:szCs w:val="14"/>
          <w:color w:val="auto"/>
        </w:rPr>
        <w:t>Our Certificate of Incorporation also provides that, unless we consent in writing to the selection of an alternative forum, to the fullest extent permitted by law, the U.S. federal district courts are the exclusive forum for the resolution of any complaint asserting a cause of action arising under the federal securities laws of the United States, including any claims under the Securities Act, and the Exchange Act. However, Section 22 of the Securities Act creates concurrent jurisdiction for federal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7" w:name="page48"/>
    <w:bookmarkEnd w:id="47"/>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900" w:right="919"/>
        <w:spacing w:after="0" w:line="265" w:lineRule="auto"/>
        <w:rPr>
          <w:sz w:val="20"/>
          <w:szCs w:val="20"/>
          <w:color w:val="auto"/>
        </w:rPr>
      </w:pPr>
      <w:r>
        <w:rPr>
          <w:rFonts w:ascii="Times New Roman" w:cs="Times New Roman" w:eastAsia="Times New Roman" w:hAnsi="Times New Roman"/>
          <w:sz w:val="14"/>
          <w:szCs w:val="14"/>
          <w:color w:val="auto"/>
        </w:rPr>
        <w:t>and state courts over all suits brought to enforce a duty or liability created by the Securities Act or the rules and regulations thereunder and accordingly, we cannot be certain that a court would enforce such provision.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121" w:lineRule="exact"/>
        <w:rPr>
          <w:sz w:val="20"/>
          <w:szCs w:val="20"/>
          <w:color w:val="auto"/>
        </w:rPr>
      </w:pPr>
    </w:p>
    <w:p>
      <w:pPr>
        <w:jc w:val="both"/>
        <w:ind w:left="900" w:right="919" w:firstLine="516"/>
        <w:spacing w:after="0" w:line="265" w:lineRule="auto"/>
        <w:rPr>
          <w:sz w:val="20"/>
          <w:szCs w:val="20"/>
          <w:color w:val="auto"/>
        </w:rPr>
      </w:pPr>
      <w:r>
        <w:rPr>
          <w:rFonts w:ascii="Times New Roman" w:cs="Times New Roman" w:eastAsia="Times New Roman" w:hAnsi="Times New Roman"/>
          <w:sz w:val="14"/>
          <w:szCs w:val="14"/>
          <w:color w:val="auto"/>
        </w:rPr>
        <w:t>Any person or entity purchasing or otherwise acquiring or holding any interest in shares of capital stock of the Company is be deemed to have notice of and consented to the forum provisions in our Certificate of Incorporation. Our exclusive forum provision shall not relieve the Company of its duties to comply with the federal securities laws and the rules and regulations thereunder, and our stockholders are not deemed to have waived our compliance with these laws, rules, and regulations.</w:t>
      </w:r>
    </w:p>
    <w:p>
      <w:pPr>
        <w:spacing w:after="0" w:line="1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152" w:lineRule="exact"/>
        <w:rPr>
          <w:sz w:val="20"/>
          <w:szCs w:val="20"/>
          <w:color w:val="auto"/>
        </w:rPr>
      </w:pPr>
    </w:p>
    <w:p>
      <w:pPr>
        <w:jc w:val="both"/>
        <w:ind w:left="900" w:right="899" w:firstLine="516"/>
        <w:spacing w:after="0" w:line="258" w:lineRule="auto"/>
        <w:rPr>
          <w:sz w:val="20"/>
          <w:szCs w:val="20"/>
          <w:color w:val="auto"/>
        </w:rPr>
      </w:pPr>
      <w:r>
        <w:rPr>
          <w:rFonts w:ascii="Times New Roman" w:cs="Times New Roman" w:eastAsia="Times New Roman" w:hAnsi="Times New Roman"/>
          <w:sz w:val="14"/>
          <w:szCs w:val="14"/>
          <w:color w:val="auto"/>
        </w:rPr>
        <w:t>Delaware law permits corporations to adopt provisions renouncing any interest or expectancy in certain opportunities that are presented to the corporation or its officers, directors, or stockholders. Our Certificate of Incorporation renounces, to the maximum extent permitted from time to time by Delaware law,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Certificate of Incorporation provides that, to the fullest extent permitted by law, any of the KKR Stockholder or any of its affiliates or any director who is not employed by us or his or her affiliates does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the KKR Stockholder or any of its affiliates or any non-employee director acquires knowledge of a potential transaction or other business opportunity which may be a corporate opportunity for itself or himself or its or his affiliates or for us or our affiliates, such person has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expressly offered to a non-employee director solely in his or her capacity as a director or officer of the Company. To the fullest extent permitted by law, no business opportunity is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spacing w:after="0" w:line="1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152" w:lineRule="exact"/>
        <w:rPr>
          <w:sz w:val="20"/>
          <w:szCs w:val="20"/>
          <w:color w:val="auto"/>
        </w:rPr>
      </w:pPr>
    </w:p>
    <w:p>
      <w:pPr>
        <w:jc w:val="both"/>
        <w:ind w:left="900" w:right="919" w:firstLine="516"/>
        <w:spacing w:after="0" w:line="259" w:lineRule="auto"/>
        <w:rPr>
          <w:sz w:val="20"/>
          <w:szCs w:val="20"/>
          <w:color w:val="auto"/>
        </w:rPr>
      </w:pPr>
      <w:r>
        <w:rPr>
          <w:rFonts w:ascii="Times New Roman" w:cs="Times New Roman" w:eastAsia="Times New Roman" w:hAnsi="Times New Roman"/>
          <w:sz w:val="14"/>
          <w:szCs w:val="14"/>
          <w:color w:val="auto"/>
        </w:rPr>
        <w:t>The DGCL authorizes corporations to limit or eliminate the personal liability of directors and certain officers to corporations and their stockholders for monetary damages for breaches of directors’ and certain officers’ fiduciary duties, subject to certain exceptions. Our Certificate of Incorporation includes a provision that eliminates the personal liability of directors and officers for monetary damages for any breach of fiduciary duty as a director or officer,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This provision does not limit or eliminate the liability of any officer in any action by or in the right of the Company, including any derivative claims. Further, the exculpation does not apply to any director or officer if the director or officer has breached the duty of loyalty to the corporation and its stockholders, acted in bad faith, knowingly or intentionally violated the law, or derived an improper benefit from his or her actions as a director or officer. In addition, exculpation does not apply to any director in connection with the authorization of illegal dividends, redemptions or stock repurchases.</w:t>
      </w:r>
    </w:p>
    <w:p>
      <w:pPr>
        <w:spacing w:after="0" w:line="117" w:lineRule="exact"/>
        <w:rPr>
          <w:sz w:val="20"/>
          <w:szCs w:val="20"/>
          <w:color w:val="auto"/>
        </w:rPr>
      </w:pPr>
    </w:p>
    <w:p>
      <w:pPr>
        <w:jc w:val="both"/>
        <w:ind w:left="900" w:right="899" w:firstLine="516"/>
        <w:spacing w:after="0" w:line="261" w:lineRule="auto"/>
        <w:rPr>
          <w:sz w:val="20"/>
          <w:szCs w:val="20"/>
          <w:color w:val="auto"/>
        </w:rPr>
      </w:pPr>
      <w:r>
        <w:rPr>
          <w:rFonts w:ascii="Times New Roman" w:cs="Times New Roman" w:eastAsia="Times New Roman" w:hAnsi="Times New Roman"/>
          <w:sz w:val="14"/>
          <w:szCs w:val="14"/>
          <w:color w:val="auto"/>
        </w:rPr>
        <w:t>Our Bylaws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intend to enter into indemnification agreements with our directors and executive officers,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officers.</w:t>
      </w:r>
    </w:p>
    <w:p>
      <w:pPr>
        <w:spacing w:after="0" w:line="124" w:lineRule="exact"/>
        <w:rPr>
          <w:sz w:val="20"/>
          <w:szCs w:val="20"/>
          <w:color w:val="auto"/>
        </w:rPr>
      </w:pPr>
    </w:p>
    <w:p>
      <w:pPr>
        <w:jc w:val="both"/>
        <w:ind w:left="900" w:right="899" w:firstLine="516"/>
        <w:spacing w:after="0" w:line="267" w:lineRule="auto"/>
        <w:rPr>
          <w:sz w:val="20"/>
          <w:szCs w:val="20"/>
          <w:color w:val="auto"/>
        </w:rPr>
      </w:pPr>
      <w:r>
        <w:rPr>
          <w:rFonts w:ascii="Times New Roman" w:cs="Times New Roman" w:eastAsia="Times New Roman" w:hAnsi="Times New Roman"/>
          <w:sz w:val="14"/>
          <w:szCs w:val="14"/>
          <w:color w:val="auto"/>
        </w:rPr>
        <w:t>The limitation of liability, indemnification, and advancement provisions in our Certificate of Incorporation and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8" w:name="page49"/>
    <w:bookmarkEnd w:id="48"/>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00" w:right="919"/>
        <w:spacing w:after="0" w:line="292" w:lineRule="auto"/>
        <w:rPr>
          <w:sz w:val="20"/>
          <w:szCs w:val="20"/>
          <w:color w:val="auto"/>
        </w:rPr>
      </w:pPr>
      <w:r>
        <w:rPr>
          <w:rFonts w:ascii="Times New Roman" w:cs="Times New Roman" w:eastAsia="Times New Roman" w:hAnsi="Times New Roman"/>
          <w:sz w:val="14"/>
          <w:szCs w:val="14"/>
          <w:color w:val="auto"/>
        </w:rPr>
        <w:t>affected to the extent we pay the costs of settlement and damage awards against directors and officers pursuant to these indemnification provisions.</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w:t>
      </w:r>
    </w:p>
    <w:p>
      <w:pPr>
        <w:spacing w:after="0" w:line="14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6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Common Stock is listed on Nasdaq under the symbol “BTSG.”</w:t>
      </w:r>
    </w:p>
    <w:p>
      <w:pPr>
        <w:spacing w:after="0" w:line="9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9" w:name="page50"/>
    <w:bookmarkEnd w:id="49"/>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5" w:lineRule="exact"/>
        <w:rPr>
          <w:sz w:val="20"/>
          <w:szCs w:val="20"/>
          <w:color w:val="auto"/>
        </w:rPr>
      </w:pPr>
    </w:p>
    <w:p>
      <w:pPr>
        <w:jc w:val="both"/>
        <w:ind w:left="900" w:right="919" w:firstLine="516"/>
        <w:spacing w:after="0" w:line="268" w:lineRule="auto"/>
        <w:rPr>
          <w:sz w:val="20"/>
          <w:szCs w:val="20"/>
          <w:color w:val="auto"/>
        </w:rPr>
      </w:pPr>
      <w:r>
        <w:rPr>
          <w:rFonts w:ascii="Times New Roman" w:cs="Times New Roman" w:eastAsia="Times New Roman" w:hAnsi="Times New Roman"/>
          <w:sz w:val="14"/>
          <w:szCs w:val="14"/>
          <w:color w:val="auto"/>
        </w:rPr>
        <w:t>Unless otherwise specified in connection with the particular offering of any securities, the validity of the securities offered by this prospectus will be passed upon for us by Barnes &amp; Thornburg LLP, Nashville, Tennessee. As of the date of this prospectus, Barnes &amp; Thornburg LLP beneficially owned restricted stock units in the Company with a market value in excess of $50,000.</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5" w:lineRule="exact"/>
        <w:rPr>
          <w:sz w:val="20"/>
          <w:szCs w:val="20"/>
          <w:color w:val="auto"/>
        </w:rPr>
      </w:pPr>
    </w:p>
    <w:p>
      <w:pPr>
        <w:jc w:val="both"/>
        <w:ind w:left="900" w:right="899" w:firstLine="516"/>
        <w:spacing w:after="0" w:line="265" w:lineRule="auto"/>
        <w:rPr>
          <w:sz w:val="20"/>
          <w:szCs w:val="20"/>
          <w:color w:val="auto"/>
        </w:rPr>
      </w:pPr>
      <w:r>
        <w:rPr>
          <w:rFonts w:ascii="Times New Roman" w:cs="Times New Roman" w:eastAsia="Times New Roman" w:hAnsi="Times New Roman"/>
          <w:sz w:val="14"/>
          <w:szCs w:val="14"/>
          <w:color w:val="auto"/>
        </w:rPr>
        <w:t>The consolidated financial statements of BrightSpring Health Services, Inc. and its subsidiaries as of December 31, 2024 and 2023, and for each of the years in the three-year period ended December 31, 2024, incorporated by reference herein to the Company’s Current Report on Form 8-K filed with the Securities and Exchange Commission on June 10, 2025 in reliance upon the report of KPMG LLP, independent registered public accounting firm, incorporated by reference herein, and upon the authority of said firm as experts in accounting and auditing.</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0" w:name="page51"/>
    <w:bookmarkEnd w:id="50"/>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5" w:lineRule="exact"/>
        <w:rPr>
          <w:sz w:val="20"/>
          <w:szCs w:val="20"/>
          <w:color w:val="auto"/>
        </w:rPr>
      </w:pPr>
    </w:p>
    <w:p>
      <w:pPr>
        <w:jc w:val="both"/>
        <w:ind w:left="900" w:right="899" w:firstLine="516"/>
        <w:spacing w:after="0" w:line="260" w:lineRule="auto"/>
        <w:rPr>
          <w:sz w:val="20"/>
          <w:szCs w:val="20"/>
          <w:color w:val="auto"/>
        </w:rPr>
      </w:pPr>
      <w:r>
        <w:rPr>
          <w:rFonts w:ascii="Times New Roman" w:cs="Times New Roman" w:eastAsia="Times New Roman" w:hAnsi="Times New Roman"/>
          <w:sz w:val="14"/>
          <w:szCs w:val="14"/>
          <w:color w:val="auto"/>
        </w:rPr>
        <w:t>Our Annual Report on Form 10-K, Quarterly Reports on Form 10-Q, Current Reports on Form 8-K and all amendments to those reports filed with or furnished to the SEC pursuant to Section 13(a) or 15(d) of the Securities Exchange Act are available free of charge on our website, under the “Investors - Financial Information - SEC Filings” caption, as soon as reasonably practicable after we electronically file them with, or furnish them to, the SEC. We also make available through the Investors section of our website other reports filed with or furnished to the SEC under the Exchange Act, including our proxy statements and reports filed by officers and directors under Section 16(a) of the Exchange Act, as well as our Code of Ethics and Business Conduct, Corporate Governance Guidelines and Board committee charters. The information on our website (or any webpages referenced in this Annual Report on Form 10-K) is not part of this or any other report that we file with, or furnish to, the SEC. The SEC also maintains a website (www.sec.gov) where you can search for annual, quarterly and current reports, proxy and information statements and other information regarding us and other public companies.</w:t>
      </w:r>
    </w:p>
    <w:p>
      <w:pPr>
        <w:spacing w:after="0" w:line="114" w:lineRule="exact"/>
        <w:rPr>
          <w:sz w:val="20"/>
          <w:szCs w:val="20"/>
          <w:color w:val="auto"/>
        </w:rPr>
      </w:pPr>
    </w:p>
    <w:p>
      <w:pPr>
        <w:jc w:val="both"/>
        <w:ind w:left="900" w:right="919" w:firstLine="516"/>
        <w:spacing w:after="0" w:line="274"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have filed with the SEC under the Securities Act and does not contain all of the information in such registration statement. You may read or obtain a copy of the registration statement, including the exhibits thereto, from the SEC or us as described above.</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185" w:lineRule="exact"/>
        <w:rPr>
          <w:sz w:val="20"/>
          <w:szCs w:val="20"/>
          <w:color w:val="auto"/>
        </w:rPr>
      </w:pPr>
    </w:p>
    <w:p>
      <w:pPr>
        <w:jc w:val="both"/>
        <w:ind w:left="900" w:right="919" w:firstLine="516"/>
        <w:spacing w:after="0" w:line="274"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This means that we can disclose important information to you by referring you to another document. The information incorporated by reference is considered to be a part of this prospectus. This prospectus incorporates by reference the documents listed below:</w:t>
      </w:r>
    </w:p>
    <w:p>
      <w:pPr>
        <w:spacing w:after="0" w:line="114" w:lineRule="exact"/>
        <w:rPr>
          <w:sz w:val="20"/>
          <w:szCs w:val="20"/>
          <w:color w:val="auto"/>
        </w:rPr>
      </w:pPr>
    </w:p>
    <w:p>
      <w:pPr>
        <w:ind w:left="1660" w:hanging="249"/>
        <w:spacing w:after="0"/>
        <w:tabs>
          <w:tab w:leader="none" w:pos="1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74">
        <w:r>
          <w:rPr>
            <w:rFonts w:ascii="Times New Roman" w:cs="Times New Roman" w:eastAsia="Times New Roman" w:hAnsi="Times New Roman"/>
            <w:sz w:val="14"/>
            <w:szCs w:val="14"/>
            <w:u w:val="single" w:color="auto"/>
            <w:color w:val="0000FF"/>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March 6, 2025;</w:t>
      </w:r>
    </w:p>
    <w:p>
      <w:pPr>
        <w:spacing w:after="0" w:line="24" w:lineRule="exact"/>
        <w:rPr>
          <w:rFonts w:ascii="Times New Roman" w:cs="Times New Roman" w:eastAsia="Times New Roman" w:hAnsi="Times New Roman"/>
          <w:sz w:val="14"/>
          <w:szCs w:val="14"/>
          <w:color w:val="auto"/>
        </w:rPr>
      </w:pPr>
    </w:p>
    <w:p>
      <w:pPr>
        <w:ind w:left="1660" w:right="899" w:hanging="249"/>
        <w:spacing w:after="0" w:line="256" w:lineRule="auto"/>
        <w:tabs>
          <w:tab w:leader="none" w:pos="1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75">
        <w:r>
          <w:rPr>
            <w:rFonts w:ascii="Times New Roman" w:cs="Times New Roman" w:eastAsia="Times New Roman" w:hAnsi="Times New Roman"/>
            <w:sz w:val="14"/>
            <w:szCs w:val="14"/>
            <w:u w:val="single" w:color="auto"/>
            <w:color w:val="0000FF"/>
          </w:rPr>
          <w:t>Quarterly Report on 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quarterly period ended March 31, 2025, filed with the SEC on May 2, 2025;</w:t>
      </w:r>
    </w:p>
    <w:p>
      <w:pPr>
        <w:ind w:left="1660" w:right="919" w:hanging="249"/>
        <w:spacing w:after="0" w:line="256" w:lineRule="auto"/>
        <w:tabs>
          <w:tab w:leader="none" w:pos="1660" w:val="left"/>
        </w:tabs>
        <w:numPr>
          <w:ilvl w:val="0"/>
          <w:numId w:val="26"/>
        </w:numPr>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 xml:space="preserve">our Current Reports on Form 8-K filed on </w:t>
      </w:r>
      <w:hyperlink r:id="rId76">
        <w:r>
          <w:rPr>
            <w:rFonts w:ascii="Times New Roman" w:cs="Times New Roman" w:eastAsia="Times New Roman" w:hAnsi="Times New Roman"/>
            <w:sz w:val="14"/>
            <w:szCs w:val="14"/>
            <w:u w:val="single" w:color="auto"/>
            <w:color w:val="0000FF"/>
          </w:rPr>
          <w:t>January 21, 2025</w:t>
        </w:r>
      </w:hyperlink>
      <w:r>
        <w:rPr>
          <w:rFonts w:ascii="Times New Roman" w:cs="Times New Roman" w:eastAsia="Times New Roman" w:hAnsi="Times New Roman"/>
          <w:sz w:val="14"/>
          <w:szCs w:val="14"/>
          <w:color w:val="auto"/>
        </w:rPr>
        <w:t xml:space="preserve">, </w:t>
      </w:r>
      <w:hyperlink r:id="rId77">
        <w:r>
          <w:rPr>
            <w:rFonts w:ascii="Times New Roman" w:cs="Times New Roman" w:eastAsia="Times New Roman" w:hAnsi="Times New Roman"/>
            <w:sz w:val="14"/>
            <w:szCs w:val="14"/>
            <w:u w:val="single" w:color="auto"/>
            <w:color w:val="0000FF"/>
          </w:rPr>
          <w:t>March 5, 2025</w:t>
        </w:r>
      </w:hyperlink>
      <w:r>
        <w:rPr>
          <w:rFonts w:ascii="Times New Roman" w:cs="Times New Roman" w:eastAsia="Times New Roman" w:hAnsi="Times New Roman"/>
          <w:sz w:val="14"/>
          <w:szCs w:val="14"/>
          <w:color w:val="auto"/>
        </w:rPr>
        <w:t xml:space="preserve">, </w:t>
      </w:r>
      <w:hyperlink r:id="rId78">
        <w:r>
          <w:rPr>
            <w:rFonts w:ascii="Times New Roman" w:cs="Times New Roman" w:eastAsia="Times New Roman" w:hAnsi="Times New Roman"/>
            <w:sz w:val="14"/>
            <w:szCs w:val="14"/>
            <w:u w:val="single" w:color="auto"/>
            <w:color w:val="0000FF"/>
          </w:rPr>
          <w:t>April 15, 2025</w:t>
        </w:r>
      </w:hyperlink>
      <w:r>
        <w:rPr>
          <w:rFonts w:ascii="Times New Roman" w:cs="Times New Roman" w:eastAsia="Times New Roman" w:hAnsi="Times New Roman"/>
          <w:sz w:val="14"/>
          <w:szCs w:val="14"/>
          <w:color w:val="auto"/>
        </w:rPr>
        <w:t xml:space="preserve">, </w:t>
      </w:r>
      <w:hyperlink r:id="rId79">
        <w:r>
          <w:rPr>
            <w:rFonts w:ascii="Times New Roman" w:cs="Times New Roman" w:eastAsia="Times New Roman" w:hAnsi="Times New Roman"/>
            <w:sz w:val="14"/>
            <w:szCs w:val="14"/>
            <w:u w:val="single" w:color="auto"/>
            <w:color w:val="0000FF"/>
          </w:rPr>
          <w:t>June 3, 2025</w:t>
        </w:r>
      </w:hyperlink>
      <w:r>
        <w:rPr>
          <w:rFonts w:ascii="Times New Roman" w:cs="Times New Roman" w:eastAsia="Times New Roman" w:hAnsi="Times New Roman"/>
          <w:sz w:val="14"/>
          <w:szCs w:val="14"/>
          <w:color w:val="auto"/>
        </w:rPr>
        <w:t xml:space="preserve">, and </w:t>
      </w:r>
      <w:hyperlink r:id="rId80">
        <w:r>
          <w:rPr>
            <w:rFonts w:ascii="Times New Roman" w:cs="Times New Roman" w:eastAsia="Times New Roman" w:hAnsi="Times New Roman"/>
            <w:sz w:val="14"/>
            <w:szCs w:val="14"/>
            <w:u w:val="single" w:color="auto"/>
            <w:color w:val="0000FF"/>
          </w:rPr>
          <w:t>June 10, 2025</w:t>
        </w:r>
      </w:hyperlink>
      <w:r>
        <w:rPr>
          <w:rFonts w:ascii="Times New Roman" w:cs="Times New Roman" w:eastAsia="Times New Roman" w:hAnsi="Times New Roman"/>
          <w:sz w:val="14"/>
          <w:szCs w:val="14"/>
          <w:color w:val="000000"/>
        </w:rPr>
        <w:t>;</w:t>
      </w:r>
    </w:p>
    <w:p>
      <w:pPr>
        <w:ind w:left="1660" w:right="919" w:hanging="249"/>
        <w:spacing w:after="0" w:line="256" w:lineRule="auto"/>
        <w:tabs>
          <w:tab w:leader="none" w:pos="1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portions of the </w:t>
      </w:r>
      <w:hyperlink r:id="rId81">
        <w:r>
          <w:rPr>
            <w:rFonts w:ascii="Times New Roman" w:cs="Times New Roman" w:eastAsia="Times New Roman" w:hAnsi="Times New Roman"/>
            <w:sz w:val="14"/>
            <w:szCs w:val="14"/>
            <w:u w:val="single" w:color="auto"/>
            <w:color w:val="0000FF"/>
          </w:rPr>
          <w:t>Definitive Proxy Statement on Schedule 14A</w:t>
        </w:r>
      </w:hyperlink>
      <w:r>
        <w:rPr>
          <w:rFonts w:ascii="Times New Roman" w:cs="Times New Roman" w:eastAsia="Times New Roman" w:hAnsi="Times New Roman"/>
          <w:sz w:val="14"/>
          <w:szCs w:val="14"/>
          <w:color w:val="auto"/>
        </w:rPr>
        <w:t xml:space="preserve">, filed with the SEC on April 18, 2025, as supplemented on </w:t>
      </w:r>
      <w:hyperlink r:id="rId82">
        <w:r>
          <w:rPr>
            <w:rFonts w:ascii="Times New Roman" w:cs="Times New Roman" w:eastAsia="Times New Roman" w:hAnsi="Times New Roman"/>
            <w:sz w:val="14"/>
            <w:szCs w:val="14"/>
            <w:u w:val="single" w:color="auto"/>
            <w:color w:val="0000FF"/>
          </w:rPr>
          <w:t>May 5, 2025</w:t>
        </w:r>
      </w:hyperlink>
      <w:r>
        <w:rPr>
          <w:rFonts w:ascii="Times New Roman" w:cs="Times New Roman" w:eastAsia="Times New Roman" w:hAnsi="Times New Roman"/>
          <w:sz w:val="14"/>
          <w:szCs w:val="14"/>
          <w:color w:val="auto"/>
        </w:rPr>
        <w:t>, that are deemed “filed” with the SEC under the Exchange Act;</w:t>
      </w:r>
    </w:p>
    <w:p>
      <w:pPr>
        <w:ind w:left="1660" w:right="919" w:hanging="249"/>
        <w:spacing w:after="0" w:line="256" w:lineRule="auto"/>
        <w:tabs>
          <w:tab w:leader="none" w:pos="1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capital stock contained in the </w:t>
      </w:r>
      <w:hyperlink r:id="rId54">
        <w:r>
          <w:rPr>
            <w:rFonts w:ascii="Times New Roman" w:cs="Times New Roman" w:eastAsia="Times New Roman" w:hAnsi="Times New Roman"/>
            <w:sz w:val="14"/>
            <w:szCs w:val="14"/>
            <w:u w:val="single" w:color="auto"/>
            <w:color w:val="0000FF"/>
          </w:rPr>
          <w:t>Registration Statement on Form 8-A</w:t>
        </w:r>
      </w:hyperlink>
      <w:r>
        <w:rPr>
          <w:rFonts w:ascii="Times New Roman" w:cs="Times New Roman" w:eastAsia="Times New Roman" w:hAnsi="Times New Roman"/>
          <w:sz w:val="14"/>
          <w:szCs w:val="14"/>
          <w:color w:val="auto"/>
        </w:rPr>
        <w:t>, filed with the SEC on January 26, 2024, including any amendments or reports filed for the purpose of updating such description; and</w:t>
      </w:r>
    </w:p>
    <w:p>
      <w:pPr>
        <w:jc w:val="both"/>
        <w:ind w:left="1660" w:right="899" w:hanging="249"/>
        <w:spacing w:after="0" w:line="264" w:lineRule="auto"/>
        <w:tabs>
          <w:tab w:leader="none" w:pos="1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documents filed by us under sections 13(a), 13(c), 14 or 15(d) of the Exchange Act after the date of this prospectus and before the termination of the offerings to which this prospectus relates (other than documents and information furnished and not filed in accordance with SEC rules, unless expressly stated otherwise therein).</w:t>
      </w:r>
    </w:p>
    <w:p>
      <w:pPr>
        <w:spacing w:after="0" w:line="282" w:lineRule="exact"/>
        <w:rPr>
          <w:rFonts w:ascii="Times New Roman" w:cs="Times New Roman" w:eastAsia="Times New Roman" w:hAnsi="Times New Roman"/>
          <w:sz w:val="14"/>
          <w:szCs w:val="14"/>
          <w:color w:val="auto"/>
        </w:rPr>
      </w:pPr>
    </w:p>
    <w:p>
      <w:pPr>
        <w:jc w:val="both"/>
        <w:ind w:left="900" w:right="899" w:firstLine="516"/>
        <w:spacing w:after="0" w:line="274" w:lineRule="auto"/>
        <w:rPr>
          <w:sz w:val="20"/>
          <w:szCs w:val="20"/>
          <w:color w:val="auto"/>
        </w:rPr>
      </w:pPr>
      <w:r>
        <w:rPr>
          <w:rFonts w:ascii="Times New Roman" w:cs="Times New Roman" w:eastAsia="Times New Roman" w:hAnsi="Times New Roman"/>
          <w:sz w:val="14"/>
          <w:szCs w:val="14"/>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04" w:lineRule="exact"/>
        <w:rPr>
          <w:rFonts w:ascii="Times New Roman" w:cs="Times New Roman" w:eastAsia="Times New Roman" w:hAnsi="Times New Roman"/>
          <w:sz w:val="14"/>
          <w:szCs w:val="14"/>
          <w:color w:val="auto"/>
        </w:rPr>
      </w:pPr>
    </w:p>
    <w:p>
      <w:pPr>
        <w:jc w:val="both"/>
        <w:ind w:left="900" w:right="919" w:firstLine="516"/>
        <w:spacing w:after="0" w:line="292" w:lineRule="auto"/>
        <w:rPr>
          <w:sz w:val="20"/>
          <w:szCs w:val="20"/>
          <w:color w:val="auto"/>
        </w:rPr>
      </w:pPr>
      <w:r>
        <w:rPr>
          <w:rFonts w:ascii="Times New Roman" w:cs="Times New Roman" w:eastAsia="Times New Roman" w:hAnsi="Times New Roman"/>
          <w:sz w:val="14"/>
          <w:szCs w:val="14"/>
          <w:color w:val="auto"/>
        </w:rPr>
        <w:t>You can obtain any of the filings incorporated by reference into this prospectus through us or from the SEC as noted above in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38"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1" w:name="page52"/>
    <w:bookmarkEnd w:id="51"/>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14,999,771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168275</wp:posOffset>
            </wp:positionV>
            <wp:extent cx="1793240" cy="340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1793240" cy="34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BrightSpring Health Services, Inc.</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June 3, 2026</w:t>
      </w:r>
    </w:p>
    <w:p>
      <w:pPr>
        <w:spacing w:after="0" w:line="37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659765</wp:posOffset>
            </wp:positionV>
            <wp:extent cx="56038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Calculation of Filing Fee Table</w:t>
      </w: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 424(b)(7)</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(Form Type)</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u w:val="single" w:color="auto"/>
          <w:color w:val="auto"/>
        </w:rPr>
        <w:t>Table 1: Newly Registered Securities</w:t>
      </w:r>
    </w:p>
    <w:p>
      <w:pPr>
        <w:spacing w:after="0" w:line="194" w:lineRule="exact"/>
        <w:rPr>
          <w:sz w:val="20"/>
          <w:szCs w:val="20"/>
          <w:color w:val="auto"/>
        </w:rPr>
      </w:pPr>
    </w:p>
    <w:tbl>
      <w:tblPr>
        <w:tblLayout w:type="fixed"/>
        <w:tblInd w:w="270" w:type="dxa"/>
        <w:tblCellMar>
          <w:top w:w="0" w:type="dxa"/>
          <w:left w:w="0" w:type="dxa"/>
          <w:bottom w:w="0" w:type="dxa"/>
          <w:right w:w="0" w:type="dxa"/>
        </w:tblCellMar>
      </w:tblPr>
      <w:tr>
        <w:trPr>
          <w:trHeight w:val="159"/>
        </w:trPr>
        <w:tc>
          <w:tcPr>
            <w:tcW w:w="980" w:type="dxa"/>
            <w:vAlign w:val="bottom"/>
            <w:tcBorders>
              <w:top w:val="single" w:sz="8" w:color="auto"/>
              <w:left w:val="single" w:sz="8" w:color="auto"/>
              <w:right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2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color w:val="auto"/>
              </w:rPr>
              <w:t>Fee</w:t>
            </w:r>
          </w:p>
        </w:tc>
        <w:tc>
          <w:tcPr>
            <w:tcW w:w="760" w:type="dxa"/>
            <w:vAlign w:val="bottom"/>
            <w:tcBorders>
              <w:top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jc w:val="center"/>
              <w:ind w:right="4"/>
              <w:spacing w:after="0"/>
              <w:rPr>
                <w:sz w:val="20"/>
                <w:szCs w:val="20"/>
                <w:color w:val="auto"/>
              </w:rPr>
            </w:pPr>
            <w:r>
              <w:rPr>
                <w:rFonts w:ascii="Times New Roman" w:cs="Times New Roman" w:eastAsia="Times New Roman" w:hAnsi="Times New Roman"/>
                <w:sz w:val="11"/>
                <w:szCs w:val="11"/>
                <w:color w:val="auto"/>
              </w:rPr>
              <w:t>Proposed</w:t>
            </w:r>
          </w:p>
        </w:tc>
        <w:tc>
          <w:tcPr>
            <w:tcW w:w="110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80" w:type="dxa"/>
            <w:vAlign w:val="bottom"/>
            <w:tcBorders>
              <w:left w:val="single" w:sz="8" w:color="auto"/>
              <w:right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ind w:right="3"/>
              <w:spacing w:after="0" w:line="119" w:lineRule="exact"/>
              <w:rPr>
                <w:sz w:val="20"/>
                <w:szCs w:val="20"/>
                <w:color w:val="auto"/>
              </w:rPr>
            </w:pPr>
            <w:r>
              <w:rPr>
                <w:rFonts w:ascii="Times New Roman" w:cs="Times New Roman" w:eastAsia="Times New Roman" w:hAnsi="Times New Roman"/>
                <w:sz w:val="11"/>
                <w:szCs w:val="11"/>
                <w:color w:val="auto"/>
              </w:rPr>
              <w:t>Calculation</w:t>
            </w: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jc w:val="center"/>
              <w:ind w:right="4"/>
              <w:spacing w:after="0" w:line="119" w:lineRule="exact"/>
              <w:rPr>
                <w:sz w:val="20"/>
                <w:szCs w:val="20"/>
                <w:color w:val="auto"/>
              </w:rPr>
            </w:pPr>
            <w:r>
              <w:rPr>
                <w:rFonts w:ascii="Times New Roman" w:cs="Times New Roman" w:eastAsia="Times New Roman" w:hAnsi="Times New Roman"/>
                <w:sz w:val="11"/>
                <w:szCs w:val="11"/>
                <w:color w:val="auto"/>
              </w:rPr>
              <w:t>Maximum</w:t>
            </w:r>
          </w:p>
        </w:tc>
        <w:tc>
          <w:tcPr>
            <w:tcW w:w="1100" w:type="dxa"/>
            <w:vAlign w:val="bottom"/>
            <w:tcBorders>
              <w:right w:val="single" w:sz="8" w:color="auto"/>
            </w:tcBorders>
            <w:vMerge w:val="restart"/>
          </w:tcPr>
          <w:p>
            <w:pPr>
              <w:jc w:val="center"/>
              <w:ind w:right="3"/>
              <w:spacing w:after="0"/>
              <w:rPr>
                <w:sz w:val="20"/>
                <w:szCs w:val="20"/>
                <w:color w:val="auto"/>
              </w:rPr>
            </w:pPr>
            <w:r>
              <w:rPr>
                <w:rFonts w:ascii="Times New Roman" w:cs="Times New Roman" w:eastAsia="Times New Roman" w:hAnsi="Times New Roman"/>
                <w:sz w:val="11"/>
                <w:szCs w:val="11"/>
                <w:color w:val="auto"/>
              </w:rPr>
              <w:t>Maximum</w:t>
            </w:r>
          </w:p>
        </w:tc>
        <w:tc>
          <w:tcPr>
            <w:tcW w:w="10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Amount of</w:t>
            </w:r>
          </w:p>
        </w:tc>
        <w:tc>
          <w:tcPr>
            <w:tcW w:w="0" w:type="dxa"/>
            <w:vAlign w:val="bottom"/>
          </w:tcPr>
          <w:p>
            <w:pPr>
              <w:spacing w:after="0"/>
              <w:rPr>
                <w:sz w:val="1"/>
                <w:szCs w:val="1"/>
                <w:color w:val="auto"/>
              </w:rPr>
            </w:pPr>
          </w:p>
        </w:tc>
      </w:tr>
      <w:tr>
        <w:trPr>
          <w:trHeight w:val="118"/>
        </w:trPr>
        <w:tc>
          <w:tcPr>
            <w:tcW w:w="980" w:type="dxa"/>
            <w:vAlign w:val="bottom"/>
            <w:tcBorders>
              <w:left w:val="single" w:sz="8" w:color="auto"/>
              <w:right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ind w:right="3"/>
              <w:spacing w:after="0"/>
              <w:rPr>
                <w:sz w:val="20"/>
                <w:szCs w:val="20"/>
                <w:color w:val="auto"/>
              </w:rPr>
            </w:pPr>
            <w:r>
              <w:rPr>
                <w:rFonts w:ascii="Times New Roman" w:cs="Times New Roman" w:eastAsia="Times New Roman" w:hAnsi="Times New Roman"/>
                <w:sz w:val="11"/>
                <w:szCs w:val="11"/>
                <w:color w:val="auto"/>
              </w:rPr>
              <w:t>Security Class</w:t>
            </w:r>
          </w:p>
        </w:tc>
        <w:tc>
          <w:tcPr>
            <w:tcW w:w="760" w:type="dxa"/>
            <w:vAlign w:val="bottom"/>
            <w:tcBorders>
              <w:right w:val="single" w:sz="8" w:color="auto"/>
            </w:tcBorders>
          </w:tcPr>
          <w:p>
            <w:pPr>
              <w:jc w:val="center"/>
              <w:ind w:right="3"/>
              <w:spacing w:after="0" w:line="119" w:lineRule="exact"/>
              <w:rPr>
                <w:sz w:val="20"/>
                <w:szCs w:val="20"/>
                <w:color w:val="auto"/>
              </w:rPr>
            </w:pPr>
            <w:r>
              <w:rPr>
                <w:rFonts w:ascii="Times New Roman" w:cs="Times New Roman" w:eastAsia="Times New Roman" w:hAnsi="Times New Roman"/>
                <w:sz w:val="11"/>
                <w:szCs w:val="11"/>
                <w:color w:val="auto"/>
              </w:rPr>
              <w:t>or Carry</w:t>
            </w:r>
          </w:p>
        </w:tc>
        <w:tc>
          <w:tcPr>
            <w:tcW w:w="760" w:type="dxa"/>
            <w:vAlign w:val="bottom"/>
            <w:tcBorders>
              <w:right w:val="single" w:sz="8" w:color="auto"/>
            </w:tcBorders>
            <w:vMerge w:val="restart"/>
          </w:tcPr>
          <w:p>
            <w:pPr>
              <w:jc w:val="center"/>
              <w:ind w:right="12"/>
              <w:spacing w:after="0"/>
              <w:rPr>
                <w:sz w:val="20"/>
                <w:szCs w:val="20"/>
                <w:color w:val="auto"/>
              </w:rPr>
            </w:pPr>
            <w:r>
              <w:rPr>
                <w:rFonts w:ascii="Times New Roman" w:cs="Times New Roman" w:eastAsia="Times New Roman" w:hAnsi="Times New Roman"/>
                <w:sz w:val="11"/>
                <w:szCs w:val="11"/>
                <w:color w:val="auto"/>
              </w:rPr>
              <w:t>Amount</w:t>
            </w:r>
          </w:p>
        </w:tc>
        <w:tc>
          <w:tcPr>
            <w:tcW w:w="700" w:type="dxa"/>
            <w:vAlign w:val="bottom"/>
            <w:tcBorders>
              <w:right w:val="single" w:sz="8" w:color="auto"/>
            </w:tcBorders>
          </w:tcPr>
          <w:p>
            <w:pPr>
              <w:jc w:val="center"/>
              <w:ind w:right="4"/>
              <w:spacing w:after="0" w:line="119" w:lineRule="exact"/>
              <w:rPr>
                <w:sz w:val="20"/>
                <w:szCs w:val="20"/>
                <w:color w:val="auto"/>
              </w:rPr>
            </w:pPr>
            <w:r>
              <w:rPr>
                <w:rFonts w:ascii="Times New Roman" w:cs="Times New Roman" w:eastAsia="Times New Roman" w:hAnsi="Times New Roman"/>
                <w:sz w:val="11"/>
                <w:szCs w:val="11"/>
                <w:color w:val="auto"/>
              </w:rPr>
              <w:t>Offering</w:t>
            </w:r>
          </w:p>
        </w:tc>
        <w:tc>
          <w:tcPr>
            <w:tcW w:w="110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980" w:type="dxa"/>
            <w:vAlign w:val="bottom"/>
            <w:tcBorders>
              <w:left w:val="single" w:sz="8" w:color="auto"/>
              <w:right w:val="single" w:sz="8" w:color="auto"/>
            </w:tcBorders>
          </w:tcPr>
          <w:p>
            <w:pPr>
              <w:spacing w:after="0"/>
              <w:rPr>
                <w:sz w:val="9"/>
                <w:szCs w:val="9"/>
                <w:color w:val="auto"/>
              </w:rPr>
            </w:pPr>
          </w:p>
        </w:tc>
        <w:tc>
          <w:tcPr>
            <w:tcW w:w="1160" w:type="dxa"/>
            <w:vAlign w:val="bottom"/>
            <w:vMerge w:val="restart"/>
          </w:tcPr>
          <w:p>
            <w:pPr>
              <w:jc w:val="center"/>
              <w:ind w:left="143"/>
              <w:spacing w:after="0"/>
              <w:rPr>
                <w:sz w:val="20"/>
                <w:szCs w:val="20"/>
                <w:color w:val="auto"/>
              </w:rPr>
            </w:pPr>
            <w:r>
              <w:rPr>
                <w:rFonts w:ascii="Times New Roman" w:cs="Times New Roman" w:eastAsia="Times New Roman" w:hAnsi="Times New Roman"/>
                <w:sz w:val="11"/>
                <w:szCs w:val="11"/>
                <w:color w:val="auto"/>
              </w:rPr>
              <w:t>Security Type</w:t>
            </w:r>
          </w:p>
        </w:tc>
        <w:tc>
          <w:tcPr>
            <w:tcW w:w="2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jc w:val="center"/>
              <w:ind w:right="3"/>
              <w:spacing w:after="0" w:line="114" w:lineRule="exact"/>
              <w:rPr>
                <w:sz w:val="20"/>
                <w:szCs w:val="20"/>
                <w:color w:val="auto"/>
              </w:rPr>
            </w:pPr>
            <w:r>
              <w:rPr>
                <w:rFonts w:ascii="Times New Roman" w:cs="Times New Roman" w:eastAsia="Times New Roman" w:hAnsi="Times New Roman"/>
                <w:sz w:val="11"/>
                <w:szCs w:val="11"/>
                <w:color w:val="auto"/>
              </w:rPr>
              <w:t>Forward</w:t>
            </w:r>
          </w:p>
        </w:tc>
        <w:tc>
          <w:tcPr>
            <w:tcW w:w="76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jc w:val="center"/>
              <w:ind w:right="24"/>
              <w:spacing w:after="0" w:line="114" w:lineRule="exact"/>
              <w:rPr>
                <w:sz w:val="20"/>
                <w:szCs w:val="20"/>
                <w:color w:val="auto"/>
              </w:rPr>
            </w:pPr>
            <w:r>
              <w:rPr>
                <w:rFonts w:ascii="Times New Roman" w:cs="Times New Roman" w:eastAsia="Times New Roman" w:hAnsi="Times New Roman"/>
                <w:sz w:val="11"/>
                <w:szCs w:val="11"/>
                <w:color w:val="auto"/>
              </w:rPr>
              <w:t>Price Per</w:t>
            </w:r>
          </w:p>
        </w:tc>
        <w:tc>
          <w:tcPr>
            <w:tcW w:w="1100" w:type="dxa"/>
            <w:vAlign w:val="bottom"/>
            <w:tcBorders>
              <w:right w:val="single" w:sz="8" w:color="auto"/>
            </w:tcBorders>
          </w:tcPr>
          <w:p>
            <w:pPr>
              <w:jc w:val="center"/>
              <w:ind w:right="23"/>
              <w:spacing w:after="0" w:line="114" w:lineRule="exact"/>
              <w:rPr>
                <w:sz w:val="20"/>
                <w:szCs w:val="20"/>
                <w:color w:val="auto"/>
              </w:rPr>
            </w:pPr>
            <w:r>
              <w:rPr>
                <w:rFonts w:ascii="Times New Roman" w:cs="Times New Roman" w:eastAsia="Times New Roman" w:hAnsi="Times New Roman"/>
                <w:sz w:val="11"/>
                <w:szCs w:val="11"/>
                <w:color w:val="auto"/>
              </w:rPr>
              <w:t>Aggregate Offering</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Fee Rate</w:t>
            </w:r>
          </w:p>
        </w:tc>
        <w:tc>
          <w:tcPr>
            <w:tcW w:w="780" w:type="dxa"/>
            <w:vAlign w:val="bottom"/>
            <w:tcBorders>
              <w:right w:val="single" w:sz="8" w:color="auto"/>
            </w:tcBorders>
          </w:tcPr>
          <w:p>
            <w:pPr>
              <w:jc w:val="center"/>
              <w:ind w:right="4"/>
              <w:spacing w:after="0" w:line="114" w:lineRule="exact"/>
              <w:rPr>
                <w:sz w:val="20"/>
                <w:szCs w:val="20"/>
                <w:color w:val="auto"/>
              </w:rPr>
            </w:pPr>
            <w:r>
              <w:rPr>
                <w:rFonts w:ascii="Times New Roman" w:cs="Times New Roman" w:eastAsia="Times New Roman" w:hAnsi="Times New Roman"/>
                <w:sz w:val="11"/>
                <w:szCs w:val="11"/>
                <w:color w:val="auto"/>
              </w:rPr>
              <w:t>Registration</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bottom w:val="single" w:sz="8" w:color="auto"/>
              <w:right w:val="single" w:sz="8" w:color="auto"/>
            </w:tcBorders>
          </w:tcPr>
          <w:p>
            <w:pPr>
              <w:spacing w:after="0"/>
              <w:rPr>
                <w:sz w:val="11"/>
                <w:szCs w:val="11"/>
                <w:color w:val="auto"/>
              </w:rPr>
            </w:pPr>
          </w:p>
        </w:tc>
        <w:tc>
          <w:tcPr>
            <w:tcW w:w="116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1"/>
                <w:szCs w:val="11"/>
                <w:color w:val="auto"/>
              </w:rPr>
              <w:t>Title</w:t>
            </w:r>
          </w:p>
        </w:tc>
        <w:tc>
          <w:tcPr>
            <w:tcW w:w="7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1"/>
                <w:szCs w:val="11"/>
                <w:color w:val="auto"/>
              </w:rPr>
              <w:t>Rule</w:t>
            </w:r>
          </w:p>
        </w:tc>
        <w:tc>
          <w:tcPr>
            <w:tcW w:w="7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1"/>
                <w:szCs w:val="11"/>
                <w:color w:val="auto"/>
              </w:rPr>
              <w:t>Registered</w:t>
            </w:r>
          </w:p>
        </w:tc>
        <w:tc>
          <w:tcPr>
            <w:tcW w:w="70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0"/>
                <w:szCs w:val="10"/>
                <w:color w:val="auto"/>
              </w:rPr>
              <w:t>Unit</w:t>
            </w:r>
            <w:r>
              <w:rPr>
                <w:rFonts w:ascii="Times New Roman" w:cs="Times New Roman" w:eastAsia="Times New Roman" w:hAnsi="Times New Roman"/>
                <w:sz w:val="13"/>
                <w:szCs w:val="13"/>
                <w:color w:val="auto"/>
                <w:vertAlign w:val="superscript"/>
              </w:rPr>
              <w:t>(1)</w:t>
            </w:r>
          </w:p>
        </w:tc>
        <w:tc>
          <w:tcPr>
            <w:tcW w:w="11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1"/>
                <w:szCs w:val="11"/>
                <w:color w:val="auto"/>
                <w:w w:val="97"/>
              </w:rPr>
              <w:t>Price</w:t>
            </w:r>
          </w:p>
        </w:tc>
        <w:tc>
          <w:tcPr>
            <w:tcW w:w="106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0"/>
                <w:szCs w:val="10"/>
                <w:color w:val="auto"/>
              </w:rPr>
              <w:t>Fee</w:t>
            </w:r>
            <w:r>
              <w:rPr>
                <w:rFonts w:ascii="Times New Roman" w:cs="Times New Roman" w:eastAsia="Times New Roman" w:hAnsi="Times New Roman"/>
                <w:sz w:val="13"/>
                <w:szCs w:val="13"/>
                <w:color w:val="auto"/>
                <w:vertAlign w:val="superscript"/>
              </w:rPr>
              <w:t>(2)</w:t>
            </w:r>
          </w:p>
        </w:tc>
        <w:tc>
          <w:tcPr>
            <w:tcW w:w="0" w:type="dxa"/>
            <w:vAlign w:val="bottom"/>
          </w:tcPr>
          <w:p>
            <w:pPr>
              <w:spacing w:after="0"/>
              <w:rPr>
                <w:sz w:val="1"/>
                <w:szCs w:val="1"/>
                <w:color w:val="auto"/>
              </w:rPr>
            </w:pPr>
          </w:p>
        </w:tc>
      </w:tr>
      <w:tr>
        <w:trPr>
          <w:trHeight w:val="92"/>
        </w:trPr>
        <w:tc>
          <w:tcPr>
            <w:tcW w:w="9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1"/>
                <w:szCs w:val="11"/>
                <w:color w:val="auto"/>
              </w:rPr>
              <w:t>Fees to Be Paid</w:t>
            </w:r>
          </w:p>
        </w:tc>
        <w:tc>
          <w:tcPr>
            <w:tcW w:w="1160" w:type="dxa"/>
            <w:vAlign w:val="bottom"/>
            <w:vMerge w:val="restart"/>
          </w:tcPr>
          <w:p>
            <w:pPr>
              <w:jc w:val="center"/>
              <w:ind w:left="143"/>
              <w:spacing w:after="0"/>
              <w:rPr>
                <w:sz w:val="20"/>
                <w:szCs w:val="20"/>
                <w:color w:val="auto"/>
              </w:rPr>
            </w:pPr>
            <w:r>
              <w:rPr>
                <w:rFonts w:ascii="Times New Roman" w:cs="Times New Roman" w:eastAsia="Times New Roman" w:hAnsi="Times New Roman"/>
                <w:sz w:val="11"/>
                <w:szCs w:val="11"/>
                <w:color w:val="auto"/>
              </w:rPr>
              <w:t>Equity</w:t>
            </w:r>
          </w:p>
        </w:tc>
        <w:tc>
          <w:tcPr>
            <w:tcW w:w="22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Common Stock</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457(r)</w:t>
            </w:r>
          </w:p>
        </w:tc>
        <w:tc>
          <w:tcPr>
            <w:tcW w:w="760" w:type="dxa"/>
            <w:vAlign w:val="bottom"/>
            <w:tcBorders>
              <w:right w:val="single" w:sz="8" w:color="auto"/>
            </w:tcBorders>
          </w:tcPr>
          <w:p>
            <w:pPr>
              <w:jc w:val="center"/>
              <w:ind w:right="32"/>
              <w:spacing w:after="0" w:line="92" w:lineRule="exact"/>
              <w:rPr>
                <w:sz w:val="20"/>
                <w:szCs w:val="20"/>
                <w:color w:val="auto"/>
              </w:rPr>
            </w:pPr>
            <w:r>
              <w:rPr>
                <w:rFonts w:ascii="Times New Roman" w:cs="Times New Roman" w:eastAsia="Times New Roman" w:hAnsi="Times New Roman"/>
                <w:sz w:val="8"/>
                <w:szCs w:val="8"/>
                <w:color w:val="auto"/>
              </w:rPr>
              <w:t>14,999,771</w:t>
            </w:r>
            <w:r>
              <w:rPr>
                <w:rFonts w:ascii="Times New Roman" w:cs="Times New Roman" w:eastAsia="Times New Roman" w:hAnsi="Times New Roman"/>
                <w:sz w:val="10"/>
                <w:szCs w:val="10"/>
                <w:color w:val="auto"/>
                <w:vertAlign w:val="superscript"/>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$58.75</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$881,236,546.25</w:t>
            </w:r>
          </w:p>
        </w:tc>
        <w:tc>
          <w:tcPr>
            <w:tcW w:w="1060" w:type="dxa"/>
            <w:vAlign w:val="bottom"/>
            <w:tcBorders>
              <w:right w:val="single" w:sz="8" w:color="auto"/>
            </w:tcBorders>
            <w:vMerge w:val="restart"/>
          </w:tcPr>
          <w:p>
            <w:pPr>
              <w:jc w:val="right"/>
              <w:ind w:right="243"/>
              <w:spacing w:after="0"/>
              <w:rPr>
                <w:sz w:val="20"/>
                <w:szCs w:val="20"/>
                <w:color w:val="auto"/>
              </w:rPr>
            </w:pPr>
            <w:r>
              <w:rPr>
                <w:rFonts w:ascii="Times New Roman" w:cs="Times New Roman" w:eastAsia="Times New Roman" w:hAnsi="Times New Roman"/>
                <w:sz w:val="11"/>
                <w:szCs w:val="11"/>
                <w:color w:val="auto"/>
              </w:rPr>
              <w:t>0.0001381</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$121,698.77</w:t>
            </w:r>
          </w:p>
        </w:tc>
        <w:tc>
          <w:tcPr>
            <w:tcW w:w="0" w:type="dxa"/>
            <w:vAlign w:val="bottom"/>
          </w:tcPr>
          <w:p>
            <w:pPr>
              <w:spacing w:after="0"/>
              <w:rPr>
                <w:sz w:val="1"/>
                <w:szCs w:val="1"/>
                <w:color w:val="auto"/>
              </w:rPr>
            </w:pPr>
          </w:p>
        </w:tc>
      </w:tr>
      <w:tr>
        <w:trPr>
          <w:trHeight w:val="103"/>
        </w:trPr>
        <w:tc>
          <w:tcPr>
            <w:tcW w:w="9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vMerge w:val="continue"/>
          </w:tcPr>
          <w:p>
            <w:pPr>
              <w:spacing w:after="0"/>
              <w:rPr>
                <w:sz w:val="8"/>
                <w:szCs w:val="8"/>
                <w:color w:val="auto"/>
              </w:rPr>
            </w:pPr>
          </w:p>
        </w:tc>
        <w:tc>
          <w:tcPr>
            <w:tcW w:w="760" w:type="dxa"/>
            <w:vAlign w:val="bottom"/>
            <w:tcBorders>
              <w:bottom w:val="single" w:sz="8" w:color="auto"/>
              <w:right w:val="single" w:sz="8" w:color="auto"/>
            </w:tcBorders>
            <w:vMerge w:val="continue"/>
          </w:tcPr>
          <w:p>
            <w:pPr>
              <w:spacing w:after="0"/>
              <w:rPr>
                <w:sz w:val="8"/>
                <w:szCs w:val="8"/>
                <w:color w:val="auto"/>
              </w:rPr>
            </w:pPr>
          </w:p>
        </w:tc>
        <w:tc>
          <w:tcPr>
            <w:tcW w:w="76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Borders>
              <w:bottom w:val="single" w:sz="8" w:color="auto"/>
              <w:right w:val="single" w:sz="8" w:color="auto"/>
            </w:tcBorders>
            <w:vMerge w:val="continue"/>
          </w:tcPr>
          <w:p>
            <w:pPr>
              <w:spacing w:after="0"/>
              <w:rPr>
                <w:sz w:val="8"/>
                <w:szCs w:val="8"/>
                <w:color w:val="auto"/>
              </w:rPr>
            </w:pPr>
          </w:p>
        </w:tc>
        <w:tc>
          <w:tcPr>
            <w:tcW w:w="1100" w:type="dxa"/>
            <w:vAlign w:val="bottom"/>
            <w:tcBorders>
              <w:bottom w:val="single" w:sz="8" w:color="auto"/>
              <w:right w:val="single" w:sz="8" w:color="auto"/>
            </w:tcBorders>
            <w:vMerge w:val="continue"/>
          </w:tcPr>
          <w:p>
            <w:pPr>
              <w:spacing w:after="0"/>
              <w:rPr>
                <w:sz w:val="8"/>
                <w:szCs w:val="8"/>
                <w:color w:val="auto"/>
              </w:rPr>
            </w:pPr>
          </w:p>
        </w:tc>
        <w:tc>
          <w:tcPr>
            <w:tcW w:w="1060" w:type="dxa"/>
            <w:vAlign w:val="bottom"/>
            <w:tcBorders>
              <w:bottom w:val="single" w:sz="8" w:color="auto"/>
              <w:right w:val="single" w:sz="8" w:color="auto"/>
            </w:tcBorders>
            <w:vMerge w:val="continue"/>
          </w:tcPr>
          <w:p>
            <w:pPr>
              <w:spacing w:after="0"/>
              <w:rPr>
                <w:sz w:val="8"/>
                <w:szCs w:val="8"/>
                <w:color w:val="auto"/>
              </w:rPr>
            </w:pPr>
          </w:p>
        </w:tc>
        <w:tc>
          <w:tcPr>
            <w:tcW w:w="7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98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gridSpan w:val="2"/>
          </w:tcPr>
          <w:p>
            <w:pPr>
              <w:jc w:val="center"/>
              <w:ind w:right="583"/>
              <w:spacing w:after="0" w:line="114" w:lineRule="exact"/>
              <w:rPr>
                <w:sz w:val="20"/>
                <w:szCs w:val="20"/>
                <w:color w:val="auto"/>
              </w:rPr>
            </w:pPr>
            <w:r>
              <w:rPr>
                <w:rFonts w:ascii="Times New Roman" w:cs="Times New Roman" w:eastAsia="Times New Roman" w:hAnsi="Times New Roman"/>
                <w:sz w:val="11"/>
                <w:szCs w:val="11"/>
                <w:color w:val="auto"/>
              </w:rPr>
              <w:t>Total Offering Amounts</w:t>
            </w:r>
          </w:p>
        </w:tc>
        <w:tc>
          <w:tcPr>
            <w:tcW w:w="76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1"/>
                <w:szCs w:val="11"/>
                <w:color w:val="auto"/>
              </w:rPr>
              <w:t>$881,236,546.25</w:t>
            </w:r>
          </w:p>
        </w:tc>
        <w:tc>
          <w:tcPr>
            <w:tcW w:w="106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1"/>
                <w:szCs w:val="11"/>
                <w:color w:val="auto"/>
              </w:rPr>
              <w:t>$121,698.77</w:t>
            </w:r>
          </w:p>
        </w:tc>
        <w:tc>
          <w:tcPr>
            <w:tcW w:w="0" w:type="dxa"/>
            <w:vAlign w:val="bottom"/>
          </w:tcPr>
          <w:p>
            <w:pPr>
              <w:spacing w:after="0"/>
              <w:rPr>
                <w:sz w:val="1"/>
                <w:szCs w:val="1"/>
                <w:color w:val="auto"/>
              </w:rPr>
            </w:pPr>
          </w:p>
        </w:tc>
      </w:tr>
      <w:tr>
        <w:trPr>
          <w:trHeight w:val="109"/>
        </w:trPr>
        <w:tc>
          <w:tcPr>
            <w:tcW w:w="98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3"/>
          </w:tcPr>
          <w:p>
            <w:pPr>
              <w:jc w:val="center"/>
              <w:ind w:right="363"/>
              <w:spacing w:after="0" w:line="109" w:lineRule="exact"/>
              <w:rPr>
                <w:sz w:val="20"/>
                <w:szCs w:val="20"/>
                <w:color w:val="auto"/>
              </w:rPr>
            </w:pPr>
            <w:r>
              <w:rPr>
                <w:rFonts w:ascii="Times New Roman" w:cs="Times New Roman" w:eastAsia="Times New Roman" w:hAnsi="Times New Roman"/>
                <w:sz w:val="11"/>
                <w:szCs w:val="11"/>
                <w:color w:val="auto"/>
              </w:rPr>
              <w:t>Total Fees Previously Paid</w:t>
            </w:r>
          </w:p>
        </w:tc>
        <w:tc>
          <w:tcPr>
            <w:tcW w:w="76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98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center"/>
              <w:ind w:left="63"/>
              <w:spacing w:after="0" w:line="109" w:lineRule="exact"/>
              <w:rPr>
                <w:sz w:val="20"/>
                <w:szCs w:val="20"/>
                <w:color w:val="auto"/>
              </w:rPr>
            </w:pPr>
            <w:r>
              <w:rPr>
                <w:rFonts w:ascii="Times New Roman" w:cs="Times New Roman" w:eastAsia="Times New Roman" w:hAnsi="Times New Roman"/>
                <w:sz w:val="11"/>
                <w:szCs w:val="11"/>
                <w:color w:val="auto"/>
              </w:rPr>
              <w:t>Total Fee Offsets</w:t>
            </w:r>
          </w:p>
        </w:tc>
        <w:tc>
          <w:tcPr>
            <w:tcW w:w="76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98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center"/>
              <w:ind w:left="63"/>
              <w:spacing w:after="0" w:line="109" w:lineRule="exact"/>
              <w:rPr>
                <w:sz w:val="20"/>
                <w:szCs w:val="20"/>
                <w:color w:val="auto"/>
              </w:rPr>
            </w:pPr>
            <w:r>
              <w:rPr>
                <w:rFonts w:ascii="Times New Roman" w:cs="Times New Roman" w:eastAsia="Times New Roman" w:hAnsi="Times New Roman"/>
                <w:sz w:val="11"/>
                <w:szCs w:val="11"/>
                <w:color w:val="auto"/>
              </w:rPr>
              <w:t>Net Fee Due</w:t>
            </w:r>
          </w:p>
        </w:tc>
        <w:tc>
          <w:tcPr>
            <w:tcW w:w="76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1"/>
                <w:szCs w:val="11"/>
                <w:color w:val="auto"/>
              </w:rPr>
              <w:t>$121,698.77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-469900</wp:posOffset>
            </wp:positionV>
            <wp:extent cx="481076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4810760" cy="6985"/>
                    </a:xfrm>
                    <a:prstGeom prst="rect">
                      <a:avLst/>
                    </a:prstGeom>
                    <a:noFill/>
                  </pic:spPr>
                </pic:pic>
              </a:graphicData>
            </a:graphic>
          </wp:anchor>
        </w:drawing>
      </w:r>
    </w:p>
    <w:p>
      <w:pPr>
        <w:spacing w:after="0" w:line="46" w:lineRule="exact"/>
        <w:rPr>
          <w:sz w:val="20"/>
          <w:szCs w:val="20"/>
          <w:color w:val="auto"/>
        </w:rPr>
      </w:pPr>
    </w:p>
    <w:p>
      <w:pPr>
        <w:ind w:left="500" w:hanging="222"/>
        <w:spacing w:after="0"/>
        <w:tabs>
          <w:tab w:leader="none" w:pos="500" w:val="left"/>
        </w:tabs>
        <w:numPr>
          <w:ilvl w:val="0"/>
          <w:numId w:val="2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Publicly communicated offering price.</w:t>
      </w:r>
    </w:p>
    <w:p>
      <w:pPr>
        <w:spacing w:after="0" w:line="77" w:lineRule="exact"/>
        <w:rPr>
          <w:rFonts w:ascii="Times New Roman" w:cs="Times New Roman" w:eastAsia="Times New Roman" w:hAnsi="Times New Roman"/>
          <w:sz w:val="15"/>
          <w:szCs w:val="15"/>
          <w:color w:val="auto"/>
          <w:vertAlign w:val="superscript"/>
        </w:rPr>
      </w:pPr>
    </w:p>
    <w:p>
      <w:pPr>
        <w:ind w:left="480" w:right="420" w:hanging="202"/>
        <w:spacing w:after="0" w:line="213" w:lineRule="auto"/>
        <w:tabs>
          <w:tab w:leader="none" w:pos="513" w:val="left"/>
        </w:tabs>
        <w:numPr>
          <w:ilvl w:val="0"/>
          <w:numId w:val="2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registration fee is calculated in accordance with Rule 457(r) under the Securities Act and represents deferred payment of the registration fees in connection with the Registrant’s Registration Statement on Form S-3 (No. 333-287916).</w:t>
      </w:r>
    </w:p>
    <w:p>
      <w:pPr>
        <w:spacing w:after="0" w:line="53" w:lineRule="exact"/>
        <w:rPr>
          <w:rFonts w:ascii="Times New Roman" w:cs="Times New Roman" w:eastAsia="Times New Roman" w:hAnsi="Times New Roman"/>
          <w:sz w:val="15"/>
          <w:szCs w:val="15"/>
          <w:color w:val="auto"/>
          <w:vertAlign w:val="superscript"/>
        </w:rPr>
      </w:pPr>
    </w:p>
    <w:p>
      <w:pPr>
        <w:ind w:left="500" w:hanging="222"/>
        <w:spacing w:after="0"/>
        <w:tabs>
          <w:tab w:leader="none" w:pos="500" w:val="left"/>
        </w:tabs>
        <w:numPr>
          <w:ilvl w:val="0"/>
          <w:numId w:val="2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shares of Common Stock that may be offered and sold by the Selling Stockholders named in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981710</wp:posOffset>
            </wp:positionV>
            <wp:extent cx="722249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9180"/>
          </w:cols>
          <w:pgMar w:left="1440" w:top="1154" w:right="127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3"/>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lowerLetter"/>
      <w:start w:val="2"/>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Roman"/>
      <w:start w:val="3"/>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jpe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jpe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15" Type="http://schemas.openxmlformats.org/officeDocument/2006/relationships/hyperlink" Target="https://www.sec.gov/ix?doc=/Archives/edgar/data/0001865782/000119312526079454/btsg-20251231.htm" TargetMode="External"/><Relationship Id="rId49" Type="http://schemas.openxmlformats.org/officeDocument/2006/relationships/hyperlink" Target="https://www.sec.gov/ix?doc=/Archives/edgar/data/0001865782/000119312526199339/btsg-20260331.htm" TargetMode="External"/><Relationship Id="rId50" Type="http://schemas.openxmlformats.org/officeDocument/2006/relationships/hyperlink" Target="https://www.sec.gov/ix?doc=/Archives/edgar/data/0001865782/000186578226000008/btsg-20260302.htm" TargetMode="External"/><Relationship Id="rId51" Type="http://schemas.openxmlformats.org/officeDocument/2006/relationships/hyperlink" Target="https://www.sec.gov/ix?doc=/Archives/edgar/data/0001865782/000119312526133307/btsg-20260330.htm" TargetMode="External"/><Relationship Id="rId52" Type="http://schemas.openxmlformats.org/officeDocument/2006/relationships/hyperlink" Target="https://www.sec.gov/ix?doc=/Archives/edgar/data/0001865782/000119312526234435/btsg-20260521.htm" TargetMode="External"/><Relationship Id="rId53" Type="http://schemas.openxmlformats.org/officeDocument/2006/relationships/hyperlink" Target="https://www.sec.gov/ix?doc=/Archives/edgar/data/0001865782/000119312526151207/btsg-20260410.htm" TargetMode="External"/><Relationship Id="rId54" Type="http://schemas.openxmlformats.org/officeDocument/2006/relationships/hyperlink" Target="https://www.sec.gov/Archives/edgar/data/1865782/000119312524015961/d736994d8a12b.htm" TargetMode="External"/><Relationship Id="rId74" Type="http://schemas.openxmlformats.org/officeDocument/2006/relationships/hyperlink" Target="https://www.sec.gov/ix?doc=/Archives/edgar/data/1865782/000095017025034196/btsg-20241231.htm" TargetMode="External"/><Relationship Id="rId75" Type="http://schemas.openxmlformats.org/officeDocument/2006/relationships/hyperlink" Target="https://www.sec.gov/ix?doc=/Archives/edgar/data/1865782/000095017025062263/btsg-20250331.htm" TargetMode="External"/><Relationship Id="rId76" Type="http://schemas.openxmlformats.org/officeDocument/2006/relationships/hyperlink" Target="https://www.sec.gov/ix?doc=/Archives/edgar/data/1865782/000095017025006965/btsg-20250117.htm" TargetMode="External"/><Relationship Id="rId77" Type="http://schemas.openxmlformats.org/officeDocument/2006/relationships/hyperlink" Target="https://www.sec.gov/ix?doc=/Archives/edgar/data/1865782/000095017025033847/btsg-20250305.htm" TargetMode="External"/><Relationship Id="rId78" Type="http://schemas.openxmlformats.org/officeDocument/2006/relationships/hyperlink" Target="https://www.sec.gov/ix?doc=/Archives/edgar/data/1865782/000095017025054320/btsg-20250414.htm" TargetMode="External"/><Relationship Id="rId79" Type="http://schemas.openxmlformats.org/officeDocument/2006/relationships/hyperlink" Target="https://www.sec.gov/ix?doc=/Archives/edgar/data/1865782/000095017025081109/btsg-20250603.htm" TargetMode="External"/><Relationship Id="rId80" Type="http://schemas.openxmlformats.org/officeDocument/2006/relationships/hyperlink" Target="https://www.sec.gov/ix?doc=/Archives/edgar/data/0001865782/000095017025084281/btsg-20250610.htm" TargetMode="External"/><Relationship Id="rId81" Type="http://schemas.openxmlformats.org/officeDocument/2006/relationships/hyperlink" Target="https://www.sec.gov/ix?doc=/Archives/edgar/data/1865782/000095017025055886/btsg-20250418.htm" TargetMode="External"/><Relationship Id="rId82" Type="http://schemas.openxmlformats.org/officeDocument/2006/relationships/hyperlink" Target="https://www.sec.gov/Archives/edgar/data/1865782/000095017025063730/btsg_-_supplement_to_2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2026-06-05T05:32:15Z</dcterms:created>
  <dcterms:modified xsi:type="dcterms:W3CDTF">2026-06-05T05:32:15Z</dcterms:modified>
</cp:coreProperties>
</file>