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1315085</wp:posOffset>
            </wp:positionH>
            <wp:positionV relativeFrom="page">
              <wp:posOffset>587375</wp:posOffset>
            </wp:positionV>
            <wp:extent cx="491934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page">
              <wp:posOffset>1315085</wp:posOffset>
            </wp:positionH>
            <wp:positionV relativeFrom="page">
              <wp:posOffset>601345</wp:posOffset>
            </wp:positionV>
            <wp:extent cx="491934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9345" cy="698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62230</wp:posOffset>
            </wp:positionV>
            <wp:extent cx="9836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80010</wp:posOffset>
            </wp:positionV>
            <wp:extent cx="9836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73"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9"/>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8" w:lineRule="exact"/>
        <w:rPr>
          <w:sz w:val="24"/>
          <w:szCs w:val="24"/>
          <w:color w:val="auto"/>
        </w:rPr>
      </w:pPr>
    </w:p>
    <w:p>
      <w:pPr>
        <w:ind w:left="960" w:hanging="319"/>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7" w:lineRule="exact"/>
        <w:rPr>
          <w:sz w:val="24"/>
          <w:szCs w:val="24"/>
          <w:color w:val="auto"/>
        </w:rPr>
      </w:pPr>
    </w:p>
    <w:p>
      <w:pPr>
        <w:ind w:left="2960"/>
        <w:spacing w:after="0"/>
        <w:tabs>
          <w:tab w:leader="none" w:pos="59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001-41938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BrightSpring Health Services,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67945</wp:posOffset>
            </wp:positionV>
            <wp:extent cx="9836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88" w:lineRule="exact"/>
        <w:rPr>
          <w:sz w:val="24"/>
          <w:szCs w:val="24"/>
          <w:color w:val="auto"/>
        </w:rPr>
      </w:pPr>
    </w:p>
    <w:tbl>
      <w:tblPr>
        <w:tblLayout w:type="fixed"/>
        <w:tblInd w:w="2280" w:type="dxa"/>
        <w:tblCellMar>
          <w:top w:w="0" w:type="dxa"/>
          <w:left w:w="0" w:type="dxa"/>
          <w:bottom w:w="0" w:type="dxa"/>
          <w:right w:w="0" w:type="dxa"/>
        </w:tblCellMar>
      </w:tblP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82-2956404</w:t>
            </w:r>
          </w:p>
        </w:tc>
      </w:tr>
    </w:tbl>
    <w:p>
      <w:pPr>
        <w:spacing w:after="0" w:line="7" w:lineRule="exact"/>
        <w:rPr>
          <w:sz w:val="24"/>
          <w:szCs w:val="24"/>
          <w:color w:val="auto"/>
        </w:rPr>
      </w:pPr>
    </w:p>
    <w:p>
      <w:pPr>
        <w:sectPr>
          <w:pgSz w:w="11900" w:h="16838" w:orient="portrait"/>
          <w:cols w:equalWidth="0" w:num="1">
            <w:col w:w="9019"/>
          </w:cols>
          <w:pgMar w:left="1440" w:top="1048" w:right="1440" w:bottom="1440" w:gutter="0" w:footer="0" w:header="0"/>
        </w:sect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1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4"/>
          <w:szCs w:val="14"/>
          <w:b w:val="1"/>
          <w:bCs w:val="1"/>
          <w:color w:val="auto"/>
        </w:rPr>
        <w:t>805 N. Whittington Parkway</w:t>
      </w:r>
    </w:p>
    <w:p>
      <w:pPr>
        <w:spacing w:after="0" w:line="27"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Louisville, Kentucky</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9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40222</w:t>
      </w:r>
    </w:p>
    <w:p>
      <w:pPr>
        <w:spacing w:after="0" w:line="34" w:lineRule="exact"/>
        <w:rPr>
          <w:sz w:val="24"/>
          <w:szCs w:val="24"/>
          <w:color w:val="auto"/>
        </w:rPr>
      </w:pPr>
    </w:p>
    <w:p>
      <w:pPr>
        <w:sectPr>
          <w:pgSz w:w="11900" w:h="16838" w:orient="portrait"/>
          <w:cols w:equalWidth="0" w:num="2">
            <w:col w:w="5320" w:space="720"/>
            <w:col w:w="2979"/>
          </w:cols>
          <w:pgMar w:left="1440" w:top="1048"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5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(502) 394-2100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79375</wp:posOffset>
            </wp:positionV>
            <wp:extent cx="9836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3615" cy="6985"/>
                    </a:xfrm>
                    <a:prstGeom prst="rect">
                      <a:avLst/>
                    </a:prstGeom>
                    <a:noFill/>
                  </pic:spPr>
                </pic:pic>
              </a:graphicData>
            </a:graphic>
          </wp:anchor>
        </w:drawing>
      </w:r>
    </w:p>
    <w:p>
      <w:pPr>
        <w:spacing w:after="0" w:line="14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Common Stock, par value $0.01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BTSG</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r>
        <w:trPr>
          <w:trHeight w:val="167"/>
        </w:trPr>
        <w:tc>
          <w:tcPr>
            <w:tcW w:w="2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6.75% Tangible Equity Units</w:t>
            </w: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BTSGU</w:t>
            </w:r>
          </w:p>
        </w:tc>
        <w:tc>
          <w:tcPr>
            <w:tcW w:w="80" w:type="dxa"/>
            <w:vAlign w:val="bottom"/>
          </w:tcPr>
          <w:p>
            <w:pPr>
              <w:spacing w:after="0"/>
              <w:rPr>
                <w:sz w:val="14"/>
                <w:szCs w:val="14"/>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70" w:lineRule="exact"/>
        <w:rPr>
          <w:sz w:val="24"/>
          <w:szCs w:val="24"/>
          <w:color w:val="auto"/>
        </w:rPr>
      </w:pPr>
    </w:p>
    <w:p>
      <w:pPr>
        <w:ind w:left="640" w:right="67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640" w:right="719"/>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9" w:lineRule="exact"/>
        <w:rPr>
          <w:sz w:val="24"/>
          <w:szCs w:val="24"/>
          <w:color w:val="auto"/>
        </w:rPr>
      </w:pPr>
    </w:p>
    <w:p>
      <w:pPr>
        <w:ind w:left="640" w:right="639"/>
        <w:spacing w:after="0" w:line="273"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2"/>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40" w:type="dxa"/>
            <w:vAlign w:val="bottom"/>
          </w:tcPr>
          <w:p>
            <w:pPr>
              <w:ind w:left="8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50" w:lineRule="exact"/>
        <w:rPr>
          <w:sz w:val="24"/>
          <w:szCs w:val="24"/>
          <w:color w:val="auto"/>
        </w:rPr>
      </w:pPr>
    </w:p>
    <w:p>
      <w:pPr>
        <w:jc w:val="both"/>
        <w:ind w:left="640" w:right="69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640" w:right="1519"/>
        <w:spacing w:after="0" w:line="19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The number of shares of Registrant’s Common Stock outstanding as of May 1, 2024 was 171,320,174.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400685</wp:posOffset>
            </wp:positionH>
            <wp:positionV relativeFrom="paragraph">
              <wp:posOffset>78740</wp:posOffset>
            </wp:positionV>
            <wp:extent cx="49193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92075</wp:posOffset>
            </wp:positionV>
            <wp:extent cx="491934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9345" cy="6985"/>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687705</wp:posOffset>
            </wp:positionV>
            <wp:extent cx="494474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48" w:right="1440"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314"/>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0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Shareholders'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EE"/>
            </w:tcBorders>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1680" w:type="dxa"/>
            <w:vAlign w:val="bottom"/>
            <w:tcBorders>
              <w:left w:val="single" w:sz="8" w:color="0000FF"/>
            </w:tcBorders>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80" w:type="dxa"/>
            <w:vAlign w:val="bottom"/>
            <w:gridSpan w:val="2"/>
            <w:vMerge w:val="continue"/>
          </w:tcPr>
          <w:p>
            <w:pPr>
              <w:spacing w:after="0"/>
              <w:rPr>
                <w:sz w:val="24"/>
                <w:szCs w:val="24"/>
                <w:color w:val="auto"/>
              </w:rPr>
            </w:pP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1A.</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2.</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3.</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4.</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00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5.</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left w:val="single" w:sz="8" w:color="0000EE"/>
            </w:tcBorders>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Item 6.</w:t>
            </w:r>
          </w:p>
        </w:tc>
        <w:tc>
          <w:tcPr>
            <w:tcW w:w="642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63"/>
        </w:trPr>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Borders>
              <w:top w:val="single" w:sz="8" w:color="0000FF"/>
            </w:tcBorders>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62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 w:name="page3"/>
    <w:bookmarkEnd w:id="2"/>
    <w:p>
      <w:pPr>
        <w:ind w:left="640" w:right="879"/>
        <w:spacing w:after="0" w:line="293" w:lineRule="auto"/>
        <w:rPr>
          <w:sz w:val="20"/>
          <w:szCs w:val="20"/>
          <w:color w:val="auto"/>
        </w:rPr>
      </w:pPr>
      <w:r>
        <w:rPr>
          <w:rFonts w:ascii="Times New Roman" w:cs="Times New Roman" w:eastAsia="Times New Roman" w:hAnsi="Times New Roman"/>
          <w:sz w:val="14"/>
          <w:szCs w:val="14"/>
          <w:color w:val="auto"/>
        </w:rPr>
        <w:t>Unless the context requires otherwise, references in this Quarterly Report on Form 10-Q (this “Form 10-Q”) to “BrightSpring,” the “Company,” “we,” “us,” and “our” refer to BrightSpring Health Services, Inc. and its consolidated subsidiaries.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5" w:lineRule="exact"/>
        <w:rPr>
          <w:sz w:val="20"/>
          <w:szCs w:val="20"/>
          <w:color w:val="auto"/>
        </w:rPr>
      </w:pPr>
    </w:p>
    <w:p>
      <w:pPr>
        <w:ind w:left="640" w:right="659" w:firstLine="516"/>
        <w:spacing w:after="0" w:line="268" w:lineRule="auto"/>
        <w:rPr>
          <w:sz w:val="20"/>
          <w:szCs w:val="20"/>
          <w:color w:val="auto"/>
        </w:rPr>
      </w:pPr>
      <w:r>
        <w:rPr>
          <w:rFonts w:ascii="Times New Roman" w:cs="Times New Roman" w:eastAsia="Times New Roman" w:hAnsi="Times New Roman"/>
          <w:sz w:val="14"/>
          <w:szCs w:val="14"/>
          <w:color w:val="auto"/>
        </w:rPr>
        <w:t>This Quarterly Report on Form 10-Q includes forward-looking statements that reflect our current views with respect to, among other things, our operations, and financial performance. We have used the words “anticipate,” “assume,” “believe,” “continue,” “could,” “estimate,” “expect,” “intend,” “may,” “plan,” “potential,” “predict,” “project,” “future,” “will,” “seek,” “foreseeable,” the negative version of these words, or similar terms and phrases to identify forward-looking statements.</w:t>
      </w:r>
    </w:p>
    <w:p>
      <w:pPr>
        <w:spacing w:after="0" w:line="56" w:lineRule="exact"/>
        <w:rPr>
          <w:sz w:val="20"/>
          <w:szCs w:val="20"/>
          <w:color w:val="auto"/>
        </w:rPr>
      </w:pPr>
    </w:p>
    <w:p>
      <w:pPr>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Forward-looking statements are neither historical facts nor assurances of future performance. Instead, they are based only on our current beliefs, expectations and assumptions regarding the future of our industries, business strategy, goals and expectations concerning our market position, future operations, margins, profitability, capital expenditures, liquidity and capital resources and other financial and operating information.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2023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58,037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990,581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881,627</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373,740</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402,776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150,451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159,167</w:t>
            </w:r>
          </w:p>
        </w:tc>
        <w:tc>
          <w:tcPr>
            <w:tcW w:w="80" w:type="dxa"/>
            <w:vAlign w:val="bottom"/>
          </w:tcPr>
          <w:p>
            <w:pPr>
              <w:spacing w:after="0"/>
              <w:rPr>
                <w:sz w:val="16"/>
                <w:szCs w:val="16"/>
                <w:color w:val="auto"/>
              </w:rPr>
            </w:pPr>
          </w:p>
        </w:tc>
      </w:tr>
      <w:tr>
        <w:trPr>
          <w:trHeight w:val="185"/>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1,572,809</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1,456,641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6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$386,619 and $368,089 at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245,686</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245,908</w:t>
            </w:r>
          </w:p>
        </w:tc>
        <w:tc>
          <w:tcPr>
            <w:tcW w:w="80" w:type="dxa"/>
            <w:vAlign w:val="bottom"/>
          </w:tcPr>
          <w:p>
            <w:pPr>
              <w:spacing w:after="0"/>
              <w:rPr>
                <w:sz w:val="14"/>
                <w:szCs w:val="14"/>
                <w:color w:val="auto"/>
              </w:rPr>
            </w:pPr>
          </w:p>
        </w:tc>
      </w:tr>
      <w:tr>
        <w:trPr>
          <w:trHeight w:val="192"/>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March 31, 2024 and December 31, 2023, respectively</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2,609,228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2,608,412</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net of accumulated amortization</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856,016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881,476</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right-of-use assets, net</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276,075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267,446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11,156</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84,585</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72,838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5,655,555</w:t>
            </w:r>
          </w:p>
        </w:tc>
        <w:tc>
          <w:tcPr>
            <w:tcW w:w="200" w:type="dxa"/>
            <w:vAlign w:val="bottom"/>
          </w:tcPr>
          <w:p>
            <w:pPr>
              <w:spacing w:after="0"/>
              <w:rPr>
                <w:sz w:val="16"/>
                <w:szCs w:val="16"/>
                <w:color w:val="auto"/>
              </w:rPr>
            </w:pPr>
          </w:p>
        </w:tc>
        <w:tc>
          <w:tcPr>
            <w:tcW w:w="2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5,532,721</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Trade 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655,776</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641,607</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451,785</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492,363</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77,078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71,053</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obligations under financing leases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11,690</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11,141</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48,670</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32,273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1,244,999</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1,248,437</w:t>
            </w:r>
          </w:p>
        </w:tc>
        <w:tc>
          <w:tcPr>
            <w:tcW w:w="80" w:type="dxa"/>
            <w:vAlign w:val="bottom"/>
          </w:tcPr>
          <w:p>
            <w:pPr>
              <w:spacing w:after="0"/>
              <w:rPr>
                <w:sz w:val="16"/>
                <w:szCs w:val="16"/>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208,238</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201,655</w:t>
            </w: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Obligations under financing leases, net of current portion</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24,419</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22,528</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debt, net of current portion</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2,515,139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3,331,941</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 net</w:t>
            </w:r>
          </w:p>
        </w:tc>
        <w:tc>
          <w:tcPr>
            <w:tcW w:w="12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23,668</w:t>
            </w:r>
          </w:p>
        </w:tc>
        <w:tc>
          <w:tcPr>
            <w:tcW w:w="80" w:type="dxa"/>
            <w:vAlign w:val="bottom"/>
          </w:tcPr>
          <w:p>
            <w:pPr>
              <w:spacing w:after="0"/>
              <w:rPr>
                <w:sz w:val="16"/>
                <w:szCs w:val="16"/>
                <w:color w:val="auto"/>
              </w:rPr>
            </w:pP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88,481</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91,943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4,081,276</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4,920,172</w:t>
            </w:r>
          </w:p>
        </w:tc>
        <w:tc>
          <w:tcPr>
            <w:tcW w:w="80" w:type="dxa"/>
            <w:vAlign w:val="bottom"/>
          </w:tcPr>
          <w:p>
            <w:pPr>
              <w:spacing w:after="0"/>
              <w:rPr>
                <w:sz w:val="16"/>
                <w:szCs w:val="16"/>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2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2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27,139</w:t>
            </w:r>
          </w:p>
        </w:tc>
        <w:tc>
          <w:tcPr>
            <w:tcW w:w="80" w:type="dxa"/>
            <w:vAlign w:val="bottom"/>
            <w:shd w:val="clear" w:color="auto" w:fill="CFF0FC"/>
          </w:tcPr>
          <w:p>
            <w:pPr>
              <w:spacing w:after="0"/>
              <w:rPr>
                <w:sz w:val="16"/>
                <w:szCs w:val="16"/>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1"/>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Common stock, $0.01 par value, 1,500,000,000 and 137,398,625 shares authorized,</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171,190,389 and 117,857,055 shares issued and outstanding at March 31, 2024 and</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8"/>
        </w:trPr>
        <w:tc>
          <w:tcPr>
            <w:tcW w:w="53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December 31, 2023, respectively</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8"/>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$0.01 par value, 250,000,000 authorized, no shares issued and</w:t>
            </w: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outstanding at March 31, 2024; no shares authorized, issued or outstanding at</w:t>
            </w: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2"/>
        </w:trPr>
        <w:tc>
          <w:tcPr>
            <w:tcW w:w="5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December 31, 2023</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1,788,728</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771,336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(246,069 )</w:t>
            </w:r>
          </w:p>
        </w:tc>
        <w:tc>
          <w:tcPr>
            <w:tcW w:w="28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(200,319 )</w:t>
            </w:r>
          </w:p>
        </w:tc>
      </w:tr>
      <w:tr>
        <w:trPr>
          <w:trHeight w:val="19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23,115</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1,567,486</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584,740</w:t>
            </w:r>
          </w:p>
        </w:tc>
        <w:tc>
          <w:tcPr>
            <w:tcW w:w="80" w:type="dxa"/>
            <w:vAlign w:val="bottom"/>
          </w:tcPr>
          <w:p>
            <w:pPr>
              <w:spacing w:after="0"/>
              <w:rPr>
                <w:sz w:val="16"/>
                <w:szCs w:val="16"/>
                <w:color w:val="auto"/>
              </w:rPr>
            </w:pPr>
          </w:p>
        </w:tc>
      </w:tr>
      <w:tr>
        <w:trPr>
          <w:trHeight w:val="184"/>
        </w:trPr>
        <w:tc>
          <w:tcPr>
            <w:tcW w:w="5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2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1,568,004</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585,410</w:t>
            </w:r>
          </w:p>
        </w:tc>
        <w:tc>
          <w:tcPr>
            <w:tcW w:w="80" w:type="dxa"/>
            <w:vAlign w:val="bottom"/>
          </w:tcPr>
          <w:p>
            <w:pPr>
              <w:spacing w:after="0"/>
              <w:rPr>
                <w:sz w:val="16"/>
                <w:szCs w:val="16"/>
                <w:color w:val="auto"/>
              </w:rPr>
            </w:pPr>
          </w:p>
        </w:tc>
      </w:tr>
      <w:tr>
        <w:trPr>
          <w:trHeight w:val="224"/>
        </w:trPr>
        <w:tc>
          <w:tcPr>
            <w:tcW w:w="5320" w:type="dxa"/>
            <w:vAlign w:val="bottom"/>
            <w:tcBorders>
              <w:bottom w:val="single" w:sz="8" w:color="CFF0FC"/>
            </w:tcBorders>
            <w:shd w:val="clear" w:color="auto" w:fill="CFF0FC"/>
          </w:tcPr>
          <w:p>
            <w:pPr>
              <w:ind w:left="580"/>
              <w:spacing w:after="0"/>
              <w:rPr>
                <w:sz w:val="20"/>
                <w:szCs w:val="20"/>
                <w:color w:val="auto"/>
              </w:rPr>
            </w:pPr>
            <w:r>
              <w:rPr>
                <w:rFonts w:ascii="Times New Roman" w:cs="Times New Roman" w:eastAsia="Times New Roman" w:hAnsi="Times New Roman"/>
                <w:sz w:val="14"/>
                <w:szCs w:val="14"/>
                <w:b w:val="1"/>
                <w:bCs w:val="1"/>
                <w:color w:val="auto"/>
              </w:rPr>
              <w:t>Total liabilities, redeemable noncontrolling interests, and equity</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5,655,555</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31"/>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5,532,721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-4590415</wp:posOffset>
            </wp:positionV>
            <wp:extent cx="4762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-4590415</wp:posOffset>
            </wp:positionV>
            <wp:extent cx="476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-3736340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-3736340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-2725420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-2725420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-1973580</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-1973580</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-539115</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-539115</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-279400</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-19685</wp:posOffset>
            </wp:positionV>
            <wp:extent cx="4762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-6350</wp:posOffset>
            </wp:positionV>
            <wp:extent cx="476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660" w:type="dxa"/>
            <w:vAlign w:val="bottom"/>
          </w:tcPr>
          <w:p>
            <w:pPr>
              <w:spacing w:after="0"/>
              <w:rPr>
                <w:sz w:val="12"/>
                <w:szCs w:val="12"/>
                <w:color w:val="auto"/>
              </w:rPr>
            </w:pPr>
          </w:p>
        </w:tc>
        <w:tc>
          <w:tcPr>
            <w:tcW w:w="208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31"/>
        </w:trPr>
        <w:tc>
          <w:tcPr>
            <w:tcW w:w="566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1,977,035</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1,467,002</w:t>
            </w:r>
          </w:p>
        </w:tc>
        <w:tc>
          <w:tcPr>
            <w:tcW w:w="80" w:type="dxa"/>
            <w:vAlign w:val="bottom"/>
          </w:tcPr>
          <w:p>
            <w:pPr>
              <w:spacing w:after="0"/>
              <w:rPr>
                <w:sz w:val="16"/>
                <w:szCs w:val="16"/>
                <w:color w:val="auto"/>
              </w:rPr>
            </w:pPr>
          </w:p>
        </w:tc>
      </w:tr>
      <w:tr>
        <w:trPr>
          <w:trHeight w:val="194"/>
        </w:trPr>
        <w:tc>
          <w:tcPr>
            <w:tcW w:w="56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2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599,603</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561,376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2,576,638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2,028,378</w:t>
            </w:r>
          </w:p>
        </w:tc>
        <w:tc>
          <w:tcPr>
            <w:tcW w:w="80" w:type="dxa"/>
            <w:vAlign w:val="bottom"/>
          </w:tcPr>
          <w:p>
            <w:pPr>
              <w:spacing w:after="0"/>
              <w:rPr>
                <w:sz w:val="16"/>
                <w:szCs w:val="16"/>
                <w:color w:val="auto"/>
              </w:rPr>
            </w:pPr>
          </w:p>
        </w:tc>
      </w:tr>
      <w:tr>
        <w:trPr>
          <w:trHeight w:val="19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1,807,100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1,306,981</w:t>
            </w:r>
          </w:p>
        </w:tc>
        <w:tc>
          <w:tcPr>
            <w:tcW w:w="80" w:type="dxa"/>
            <w:vAlign w:val="bottom"/>
            <w:shd w:val="clear" w:color="auto" w:fill="CFF0FC"/>
          </w:tcPr>
          <w:p>
            <w:pPr>
              <w:spacing w:after="0"/>
              <w:rPr>
                <w:sz w:val="17"/>
                <w:szCs w:val="17"/>
                <w:color w:val="auto"/>
              </w:rPr>
            </w:pP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400,147</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386,684</w:t>
            </w:r>
          </w:p>
        </w:tc>
        <w:tc>
          <w:tcPr>
            <w:tcW w:w="80" w:type="dxa"/>
            <w:vAlign w:val="bottom"/>
          </w:tcPr>
          <w:p>
            <w:pPr>
              <w:spacing w:after="0"/>
              <w:rPr>
                <w:sz w:val="16"/>
                <w:szCs w:val="16"/>
                <w:color w:val="auto"/>
              </w:rPr>
            </w:pPr>
          </w:p>
        </w:tc>
      </w:tr>
      <w:tr>
        <w:trPr>
          <w:trHeight w:val="18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369,391</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334,713</w:t>
            </w:r>
          </w:p>
        </w:tc>
        <w:tc>
          <w:tcPr>
            <w:tcW w:w="80" w:type="dxa"/>
            <w:vAlign w:val="bottom"/>
            <w:shd w:val="clear" w:color="auto" w:fill="CFF0FC"/>
          </w:tcPr>
          <w:p>
            <w:pPr>
              <w:spacing w:after="0"/>
              <w:rPr>
                <w:sz w:val="16"/>
                <w:szCs w:val="16"/>
                <w:color w:val="auto"/>
              </w:rPr>
            </w:pPr>
          </w:p>
        </w:tc>
      </w:tr>
      <w:tr>
        <w:trPr>
          <w:trHeight w:val="190"/>
        </w:trPr>
        <w:tc>
          <w:tcPr>
            <w:tcW w:w="5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361,324</w:t>
            </w:r>
          </w:p>
        </w:tc>
        <w:tc>
          <w:tcPr>
            <w:tcW w:w="16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283,158</w:t>
            </w:r>
          </w:p>
        </w:tc>
        <w:tc>
          <w:tcPr>
            <w:tcW w:w="80" w:type="dxa"/>
            <w:vAlign w:val="bottom"/>
            <w:tcBorders>
              <w:bottom w:val="single" w:sz="8" w:color="CFF0FC"/>
            </w:tcBorders>
          </w:tcPr>
          <w:p>
            <w:pPr>
              <w:spacing w:after="0"/>
              <w:rPr>
                <w:sz w:val="16"/>
                <w:szCs w:val="16"/>
                <w:color w:val="auto"/>
              </w:rPr>
            </w:pPr>
          </w:p>
        </w:tc>
      </w:tr>
      <w:tr>
        <w:trPr>
          <w:trHeight w:val="18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51,555</w:t>
            </w:r>
          </w:p>
        </w:tc>
        <w:tc>
          <w:tcPr>
            <w:tcW w:w="80" w:type="dxa"/>
            <w:vAlign w:val="bottom"/>
            <w:shd w:val="clear" w:color="auto" w:fill="CFF0FC"/>
          </w:tcPr>
          <w:p>
            <w:pPr>
              <w:spacing w:after="0"/>
              <w:rPr>
                <w:sz w:val="16"/>
                <w:szCs w:val="16"/>
                <w:color w:val="auto"/>
              </w:rPr>
            </w:pP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22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65,020</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78,177</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(69,679 )</w:t>
            </w: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(26,622 )</w:t>
            </w:r>
          </w:p>
        </w:tc>
      </w:tr>
      <w:tr>
        <w:trPr>
          <w:trHeight w:val="19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(23,294 )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(4,346 )</w:t>
            </w: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(46,385 )</w:t>
            </w: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(22,276 )</w:t>
            </w:r>
          </w:p>
        </w:tc>
      </w:tr>
      <w:tr>
        <w:trPr>
          <w:trHeight w:val="19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2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(635 )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(894 )</w:t>
            </w: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BrightSpring Health Services, Inc. and subsidiaries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(45,750 )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(21,382 )</w:t>
            </w: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4"/>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per common share (Note 12):</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Loss per share - basic:</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(0.26 )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(0.18 )</w:t>
            </w:r>
          </w:p>
        </w:tc>
      </w:tr>
      <w:tr>
        <w:trPr>
          <w:trHeight w:val="19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per share - diluted:</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(0.26 )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(0.18 )</w:t>
            </w: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Basic</w:t>
            </w: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175,531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117,866</w:t>
            </w:r>
          </w:p>
        </w:tc>
        <w:tc>
          <w:tcPr>
            <w:tcW w:w="80" w:type="dxa"/>
            <w:vAlign w:val="bottom"/>
            <w:shd w:val="clear" w:color="auto" w:fill="CFF0FC"/>
          </w:tcPr>
          <w:p>
            <w:pPr>
              <w:spacing w:after="0"/>
              <w:rPr>
                <w:sz w:val="17"/>
                <w:szCs w:val="17"/>
                <w:color w:val="auto"/>
              </w:rPr>
            </w:pPr>
          </w:p>
        </w:tc>
      </w:tr>
      <w:tr>
        <w:trPr>
          <w:trHeight w:val="186"/>
        </w:trPr>
        <w:tc>
          <w:tcPr>
            <w:tcW w:w="566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175,531</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117,866</w:t>
            </w:r>
          </w:p>
        </w:tc>
        <w:tc>
          <w:tcPr>
            <w:tcW w:w="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-2515235</wp:posOffset>
            </wp:positionV>
            <wp:extent cx="4762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-2515235</wp:posOffset>
            </wp:positionV>
            <wp:extent cx="476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-1886585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-1886585</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-1511300</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-1511300</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-1258570</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-1258570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-1005840</wp:posOffset>
            </wp:positionV>
            <wp:extent cx="4762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-1005840</wp:posOffset>
            </wp:positionV>
            <wp:extent cx="4762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31"/>
        </w:trPr>
        <w:tc>
          <w:tcPr>
            <w:tcW w:w="5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(46,385 )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(22,276 )</w:t>
            </w: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(146 )</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flow hedges: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ind w:left="280"/>
              <w:spacing w:after="0" w:line="198" w:lineRule="exact"/>
              <w:rPr>
                <w:sz w:val="20"/>
                <w:szCs w:val="20"/>
                <w:color w:val="auto"/>
              </w:rPr>
            </w:pPr>
            <w:r>
              <w:rPr>
                <w:rFonts w:ascii="Times New Roman" w:cs="Times New Roman" w:eastAsia="Times New Roman" w:hAnsi="Times New Roman"/>
                <w:sz w:val="14"/>
                <w:szCs w:val="14"/>
                <w:color w:val="auto"/>
              </w:rPr>
              <w:t xml:space="preserve">Net change in fair value, net of tax </w:t>
            </w:r>
            <w:r>
              <w:rPr>
                <w:rFonts w:ascii="Times New Roman" w:cs="Times New Roman" w:eastAsia="Times New Roman" w:hAnsi="Times New Roman"/>
                <w:sz w:val="19"/>
                <w:szCs w:val="19"/>
                <w:color w:val="auto"/>
                <w:vertAlign w:val="superscript"/>
              </w:rPr>
              <w:t>(1)</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(6,352 )</w:t>
            </w:r>
          </w:p>
        </w:tc>
      </w:tr>
      <w:tr>
        <w:trPr>
          <w:trHeight w:val="194"/>
        </w:trPr>
        <w:tc>
          <w:tcPr>
            <w:tcW w:w="5320" w:type="dxa"/>
            <w:vAlign w:val="bottom"/>
          </w:tcPr>
          <w:p>
            <w:pPr>
              <w:ind w:left="280"/>
              <w:spacing w:after="0" w:line="193" w:lineRule="exact"/>
              <w:rPr>
                <w:sz w:val="20"/>
                <w:szCs w:val="20"/>
                <w:color w:val="auto"/>
              </w:rPr>
            </w:pPr>
            <w:r>
              <w:rPr>
                <w:rFonts w:ascii="Times New Roman" w:cs="Times New Roman" w:eastAsia="Times New Roman" w:hAnsi="Times New Roman"/>
                <w:sz w:val="14"/>
                <w:szCs w:val="14"/>
                <w:color w:val="auto"/>
              </w:rPr>
              <w:t xml:space="preserve">Amounts reclassified to earnings, net of tax </w:t>
            </w:r>
            <w:r>
              <w:rPr>
                <w:rFonts w:ascii="Times New Roman" w:cs="Times New Roman" w:eastAsia="Times New Roman" w:hAnsi="Times New Roman"/>
                <w:sz w:val="19"/>
                <w:szCs w:val="19"/>
                <w:color w:val="auto"/>
                <w:vertAlign w:val="superscript"/>
              </w:rPr>
              <w:t>(2)</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(7,242 )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(3,862 )</w:t>
            </w: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comprehensive income (loss), net of tax</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(10,211 )</w:t>
            </w:r>
          </w:p>
        </w:tc>
      </w:tr>
      <w:tr>
        <w:trPr>
          <w:trHeight w:val="20"/>
        </w:trPr>
        <w:tc>
          <w:tcPr>
            <w:tcW w:w="5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Total comprehensive loss</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(35,814 )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(32,487 )</w:t>
            </w: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interests</w:t>
            </w:r>
          </w:p>
        </w:tc>
        <w:tc>
          <w:tcPr>
            <w:tcW w:w="14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(483 )</w:t>
            </w:r>
          </w:p>
        </w:tc>
        <w:tc>
          <w:tcPr>
            <w:tcW w:w="2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(894 )</w:t>
            </w: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(152 )</w:t>
            </w:r>
          </w:p>
        </w:tc>
        <w:tc>
          <w:tcPr>
            <w:tcW w:w="24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5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Comprehensive loss attributable to BrightSpring Health Services, Inc. and subsidiaries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(35,179 )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(31,593 )</w:t>
            </w: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-532130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-532130</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-19685</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-6350</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719" w:hanging="349"/>
        <w:spacing w:after="0" w:line="226" w:lineRule="auto"/>
        <w:tabs>
          <w:tab w:leader="none" w:pos="9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the net change in fair value were $(5,815) and $2,114 for the three months ended March 31, 2024 and 2023, respectively.</w:t>
      </w:r>
    </w:p>
    <w:p>
      <w:pPr>
        <w:spacing w:after="0" w:line="73" w:lineRule="exact"/>
        <w:rPr>
          <w:rFonts w:ascii="Times New Roman" w:cs="Times New Roman" w:eastAsia="Times New Roman" w:hAnsi="Times New Roman"/>
          <w:sz w:val="19"/>
          <w:szCs w:val="19"/>
          <w:color w:val="auto"/>
          <w:vertAlign w:val="superscript"/>
        </w:rPr>
      </w:pPr>
    </w:p>
    <w:p>
      <w:pPr>
        <w:ind w:left="980" w:right="759" w:hanging="349"/>
        <w:spacing w:after="0" w:line="226" w:lineRule="auto"/>
        <w:tabs>
          <w:tab w:leader="none" w:pos="98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income tax effects of amounts reclassified to earnings were $2,345 and $1,285 for the three months ended March 31, 2024 and 2023, respectively.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Shareholders’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share data or otherwise indicated)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0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2024</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460" w:type="dxa"/>
            <w:vAlign w:val="bottom"/>
            <w:gridSpan w:val="6"/>
            <w:vMerge w:val="restart"/>
          </w:tcPr>
          <w:p>
            <w:pPr>
              <w:jc w:val="right"/>
              <w:ind w:right="8"/>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jc w:val="right"/>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tcPr>
          <w:p>
            <w:pPr>
              <w:jc w:val="right"/>
              <w:ind w:right="24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8"/>
                <w:szCs w:val="8"/>
                <w:color w:val="auto"/>
              </w:rPr>
            </w:pPr>
          </w:p>
        </w:tc>
        <w:tc>
          <w:tcPr>
            <w:tcW w:w="1300" w:type="dxa"/>
            <w:vAlign w:val="bottom"/>
            <w:gridSpan w:val="4"/>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020" w:type="dxa"/>
            <w:vAlign w:val="bottom"/>
            <w:gridSpan w:val="5"/>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460" w:type="dxa"/>
            <w:vAlign w:val="bottom"/>
            <w:gridSpan w:val="6"/>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160" w:type="dxa"/>
            <w:vAlign w:val="bottom"/>
            <w:tcBorders>
              <w:top w:val="single" w:sz="8" w:color="auto"/>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Borders>
              <w:top w:val="single" w:sz="8" w:color="auto"/>
            </w:tcBorders>
            <w:gridSpan w:val="2"/>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2023</w:t>
            </w: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117,857,055</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1,179</w:t>
            </w:r>
          </w:p>
        </w:tc>
        <w:tc>
          <w:tcPr>
            <w:tcW w:w="12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771,336</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(200,319 )</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585,410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0" w:type="dxa"/>
            <w:vAlign w:val="bottom"/>
          </w:tcPr>
          <w:p>
            <w:pPr>
              <w:ind w:left="20"/>
              <w:spacing w:after="0" w:line="193" w:lineRule="exact"/>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9"/>
                <w:szCs w:val="19"/>
                <w:color w:val="auto"/>
                <w:vertAlign w:val="superscript"/>
              </w:rPr>
              <w:t>(1)</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(45,750 )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(152 )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(45,902 )</w:t>
            </w:r>
          </w:p>
        </w:tc>
        <w:tc>
          <w:tcPr>
            <w:tcW w:w="0" w:type="dxa"/>
            <w:vAlign w:val="bottom"/>
          </w:tcPr>
          <w:p>
            <w:pPr>
              <w:spacing w:after="0"/>
              <w:rPr>
                <w:sz w:val="1"/>
                <w:szCs w:val="1"/>
                <w:color w:val="auto"/>
              </w:rPr>
            </w:pPr>
          </w:p>
        </w:tc>
      </w:tr>
      <w:tr>
        <w:trPr>
          <w:trHeight w:val="19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2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24,848</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Extinguishment of redeemable</w:t>
            </w:r>
          </w:p>
        </w:tc>
        <w:tc>
          <w:tcPr>
            <w:tcW w:w="12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14,981</w:t>
            </w: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on initial public</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53,333,334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655,952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 net of underwriting discounts</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and commissions, and offering-related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expenses of $36.8 million</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stock purchase contract</w:t>
            </w:r>
          </w:p>
        </w:tc>
        <w:tc>
          <w:tcPr>
            <w:tcW w:w="12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321,611</w:t>
            </w:r>
          </w:p>
        </w:tc>
        <w:tc>
          <w:tcPr>
            <w:tcW w:w="2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issued under tangible equity units,</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of underwriting discounts and</w:t>
            </w: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commissions of $9.1 million</w:t>
            </w:r>
          </w:p>
        </w:tc>
        <w:tc>
          <w:tcPr>
            <w:tcW w:w="10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2024</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171,190,389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1,788,728</w:t>
            </w:r>
          </w:p>
        </w:tc>
        <w:tc>
          <w:tcPr>
            <w:tcW w:w="2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(246,069 )</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1,568,004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8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10"/>
          </w:tcPr>
          <w:p>
            <w:pPr>
              <w:ind w:lef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2023</w:t>
            </w: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800" w:type="dxa"/>
            <w:vAlign w:val="bottom"/>
          </w:tcPr>
          <w:p>
            <w:pPr>
              <w:spacing w:after="0"/>
              <w:rPr>
                <w:sz w:val="8"/>
                <w:szCs w:val="8"/>
                <w:color w:val="auto"/>
              </w:rPr>
            </w:pPr>
          </w:p>
        </w:tc>
        <w:tc>
          <w:tcPr>
            <w:tcW w:w="1280" w:type="dxa"/>
            <w:vAlign w:val="bottom"/>
            <w:gridSpan w:val="4"/>
            <w:vMerge w:val="restart"/>
          </w:tcPr>
          <w:p>
            <w:pPr>
              <w:ind w:left="5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3"/>
          </w:tcPr>
          <w:p>
            <w:pPr>
              <w:jc w:val="right"/>
              <w:ind w:right="280"/>
              <w:spacing w:after="0" w:line="101"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gridSpan w:val="4"/>
          </w:tcPr>
          <w:p>
            <w:pPr>
              <w:jc w:val="right"/>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20" w:type="dxa"/>
            <w:vAlign w:val="bottom"/>
          </w:tcPr>
          <w:p>
            <w:pPr>
              <w:spacing w:after="0"/>
              <w:rPr>
                <w:sz w:val="8"/>
                <w:szCs w:val="8"/>
                <w:color w:val="auto"/>
              </w:rPr>
            </w:pPr>
          </w:p>
        </w:tc>
        <w:tc>
          <w:tcPr>
            <w:tcW w:w="1300" w:type="dxa"/>
            <w:vAlign w:val="bottom"/>
            <w:gridSpan w:val="4"/>
          </w:tcPr>
          <w:p>
            <w:pPr>
              <w:jc w:val="right"/>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120" w:type="dxa"/>
            <w:vAlign w:val="bottom"/>
          </w:tcPr>
          <w:p>
            <w:pPr>
              <w:spacing w:after="0"/>
              <w:rPr>
                <w:sz w:val="8"/>
                <w:szCs w:val="8"/>
                <w:color w:val="auto"/>
              </w:rPr>
            </w:pPr>
          </w:p>
        </w:tc>
        <w:tc>
          <w:tcPr>
            <w:tcW w:w="900" w:type="dxa"/>
            <w:vAlign w:val="bottom"/>
            <w:gridSpan w:val="4"/>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Paid-In Capital</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2"/>
                <w:szCs w:val="12"/>
                <w:color w:val="auto"/>
              </w:rPr>
            </w:pPr>
          </w:p>
        </w:tc>
        <w:tc>
          <w:tcPr>
            <w:tcW w:w="130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Comprehensive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spacing w:after="0"/>
              <w:rPr>
                <w:sz w:val="11"/>
                <w:szCs w:val="11"/>
                <w:color w:val="auto"/>
              </w:rPr>
            </w:pPr>
          </w:p>
        </w:tc>
        <w:tc>
          <w:tcPr>
            <w:tcW w:w="1280" w:type="dxa"/>
            <w:vAlign w:val="bottom"/>
            <w:tcBorders>
              <w:top w:val="single" w:sz="8" w:color="auto"/>
            </w:tcBorders>
            <w:gridSpan w:val="4"/>
          </w:tcPr>
          <w:p>
            <w:pPr>
              <w:ind w:left="3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Balances at December 31,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117,860,839</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5"/>
              </w:rPr>
              <w:t>1,179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778,121</w:t>
            </w:r>
          </w:p>
        </w:tc>
        <w:tc>
          <w:tcPr>
            <w:tcW w:w="20" w:type="dxa"/>
            <w:vAlign w:val="bottom"/>
            <w:shd w:val="clear" w:color="auto" w:fill="CFF0FC"/>
          </w:tcPr>
          <w:p>
            <w:pPr>
              <w:spacing w:after="0"/>
              <w:rPr>
                <w:sz w:val="16"/>
                <w:szCs w:val="16"/>
                <w:color w:val="auto"/>
              </w:rPr>
            </w:pPr>
          </w:p>
        </w:tc>
        <w:tc>
          <w:tcPr>
            <w:tcW w:w="360" w:type="dxa"/>
            <w:vAlign w:val="bottom"/>
            <w:gridSpan w:val="3"/>
            <w:shd w:val="clear" w:color="auto" w:fill="CFF0FC"/>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(45,716 )</w:t>
            </w:r>
          </w:p>
        </w:tc>
        <w:tc>
          <w:tcPr>
            <w:tcW w:w="74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21,192</w:t>
            </w:r>
          </w:p>
        </w:tc>
        <w:tc>
          <w:tcPr>
            <w:tcW w:w="8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754,776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800" w:type="dxa"/>
            <w:vAlign w:val="bottom"/>
          </w:tcPr>
          <w:p>
            <w:pPr>
              <w:ind w:left="20"/>
              <w:spacing w:after="0" w:line="193" w:lineRule="exact"/>
              <w:rPr>
                <w:sz w:val="20"/>
                <w:szCs w:val="20"/>
                <w:color w:val="auto"/>
              </w:rPr>
            </w:pPr>
            <w:r>
              <w:rPr>
                <w:rFonts w:ascii="Times New Roman" w:cs="Times New Roman" w:eastAsia="Times New Roman" w:hAnsi="Times New Roman"/>
                <w:sz w:val="14"/>
                <w:szCs w:val="14"/>
                <w:color w:val="auto"/>
              </w:rPr>
              <w:t xml:space="preserve">Net loss </w:t>
            </w:r>
            <w:r>
              <w:rPr>
                <w:rFonts w:ascii="Times New Roman" w:cs="Times New Roman" w:eastAsia="Times New Roman" w:hAnsi="Times New Roman"/>
                <w:sz w:val="19"/>
                <w:szCs w:val="19"/>
                <w:color w:val="auto"/>
                <w:vertAlign w:val="superscript"/>
              </w:rPr>
              <w:t>(1)</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(21,382 )</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(21,382 )</w:t>
            </w:r>
          </w:p>
        </w:tc>
        <w:tc>
          <w:tcPr>
            <w:tcW w:w="0" w:type="dxa"/>
            <w:vAlign w:val="bottom"/>
          </w:tcPr>
          <w:p>
            <w:pPr>
              <w:spacing w:after="0"/>
              <w:rPr>
                <w:sz w:val="1"/>
                <w:szCs w:val="1"/>
                <w:color w:val="auto"/>
              </w:rPr>
            </w:pPr>
          </w:p>
        </w:tc>
      </w:tr>
      <w:tr>
        <w:trPr>
          <w:trHeight w:val="194"/>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28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(10,211 )</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(10,211 )</w:t>
            </w: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8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issued under share-based</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22,392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6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8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 plan, including tax effects</w:t>
            </w:r>
          </w:p>
        </w:tc>
        <w:tc>
          <w:tcPr>
            <w:tcW w:w="104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5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Balances at March 31, 2023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117,883,231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1,179</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778,716</w:t>
            </w:r>
          </w:p>
        </w:tc>
        <w:tc>
          <w:tcPr>
            <w:tcW w:w="20" w:type="dxa"/>
            <w:vAlign w:val="bottom"/>
          </w:tcPr>
          <w:p>
            <w:pPr>
              <w:spacing w:after="0"/>
              <w:rPr>
                <w:sz w:val="15"/>
                <w:szCs w:val="15"/>
                <w:color w:val="auto"/>
              </w:rPr>
            </w:pPr>
          </w:p>
        </w:tc>
        <w:tc>
          <w:tcPr>
            <w:tcW w:w="36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(67,098 )</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10,981</w:t>
            </w:r>
          </w:p>
        </w:tc>
        <w:tc>
          <w:tcPr>
            <w:tcW w:w="8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-1502410</wp:posOffset>
            </wp:positionV>
            <wp:extent cx="685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-1502410</wp:posOffset>
            </wp:positionV>
            <wp:extent cx="6858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3718560</wp:posOffset>
            </wp:positionH>
            <wp:positionV relativeFrom="paragraph">
              <wp:posOffset>-1502410</wp:posOffset>
            </wp:positionV>
            <wp:extent cx="6858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4312920</wp:posOffset>
            </wp:positionH>
            <wp:positionV relativeFrom="paragraph">
              <wp:posOffset>-1502410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5214620</wp:posOffset>
            </wp:positionH>
            <wp:positionV relativeFrom="paragraph">
              <wp:posOffset>-1502410</wp:posOffset>
            </wp:positionV>
            <wp:extent cx="6159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-1502410</wp:posOffset>
            </wp:positionV>
            <wp:extent cx="6159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-1502410</wp:posOffset>
            </wp:positionV>
            <wp:extent cx="6159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-149860</wp:posOffset>
            </wp:positionV>
            <wp:extent cx="6858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-149860</wp:posOffset>
            </wp:positionV>
            <wp:extent cx="6858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3711575</wp:posOffset>
            </wp:positionH>
            <wp:positionV relativeFrom="paragraph">
              <wp:posOffset>-149860</wp:posOffset>
            </wp:positionV>
            <wp:extent cx="6858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985"/>
                    </a:xfrm>
                    <a:prstGeom prst="rect">
                      <a:avLst/>
                    </a:prstGeom>
                    <a:noFill/>
                  </pic:spPr>
                </pic:pic>
              </a:graphicData>
            </a:graphic>
          </wp:anchor>
        </w:drawing>
        <w:drawing>
          <wp:anchor simplePos="0" relativeHeight="251657728" behindDoc="1" locked="0" layoutInCell="0" allowOverlap="1">
            <wp:simplePos x="0" y="0"/>
            <wp:positionH relativeFrom="column">
              <wp:posOffset>4380865</wp:posOffset>
            </wp:positionH>
            <wp:positionV relativeFrom="paragraph">
              <wp:posOffset>-149860</wp:posOffset>
            </wp:positionV>
            <wp:extent cx="6159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-149860</wp:posOffset>
            </wp:positionV>
            <wp:extent cx="6159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-149860</wp:posOffset>
            </wp:positionV>
            <wp:extent cx="6159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6499225</wp:posOffset>
            </wp:positionH>
            <wp:positionV relativeFrom="paragraph">
              <wp:posOffset>-149860</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48" w:lineRule="exact"/>
        <w:rPr>
          <w:sz w:val="20"/>
          <w:szCs w:val="20"/>
          <w:color w:val="auto"/>
        </w:rPr>
      </w:pPr>
    </w:p>
    <w:p>
      <w:pPr>
        <w:ind w:right="80" w:firstLine="3"/>
        <w:spacing w:after="0" w:line="233" w:lineRule="auto"/>
        <w:tabs>
          <w:tab w:leader="none" w:pos="148" w:val="left"/>
        </w:tabs>
        <w:numPr>
          <w:ilvl w:val="0"/>
          <w:numId w:val="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Net loss to the Company for the three months ended March 31, 2024 and 2023 excludes $(483) and $(894), respectively, allocable to the redeemable noncontrolling interests for our joint venture arrangements.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386080</wp:posOffset>
            </wp:positionV>
            <wp:extent cx="6584315" cy="39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84315" cy="39370"/>
                    </a:xfrm>
                    <a:prstGeom prst="rect">
                      <a:avLst/>
                    </a:prstGeom>
                    <a:noFill/>
                  </pic:spPr>
                </pic:pic>
              </a:graphicData>
            </a:graphic>
          </wp:anchor>
        </w:drawing>
      </w:r>
    </w:p>
    <w:p>
      <w:pPr>
        <w:sectPr>
          <w:pgSz w:w="11900" w:h="16838" w:orient="portrait"/>
          <w:cols w:equalWidth="0" w:num="1">
            <w:col w:w="10340"/>
          </w:cols>
          <w:pgMar w:left="820" w:top="811" w:right="7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231F20"/>
        </w:rPr>
        <w:t>Condensed 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(In thousands)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231F20"/>
        </w:rPr>
        <w:t>(Unaudited)</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680" w:type="dxa"/>
            <w:vAlign w:val="bottom"/>
          </w:tcPr>
          <w:p>
            <w:pPr>
              <w:spacing w:after="0"/>
              <w:rPr>
                <w:sz w:val="12"/>
                <w:szCs w:val="12"/>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31"/>
        </w:trPr>
        <w:tc>
          <w:tcPr>
            <w:tcW w:w="568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(46,385 )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(22,276 )</w:t>
            </w:r>
          </w:p>
        </w:tc>
      </w:tr>
      <w:tr>
        <w:trPr>
          <w:trHeight w:val="198"/>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cash (used in) provided by operating activities: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50,345</w:t>
            </w: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1,769</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6,216</w:t>
            </w: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Amortization of deferred debt issuance costs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5,197</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(31,732 )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(13,321 )</w:t>
            </w: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Loss on disposition of fixed assets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(312 )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Change in operating assets and liabilities, net of acquisitions and dispositions: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(115,576 )</w:t>
            </w: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(54,035 )</w:t>
            </w:r>
          </w:p>
        </w:tc>
      </w:tr>
      <w:tr>
        <w:trPr>
          <w:trHeight w:val="198"/>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31,076</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30,485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69,213</w:t>
            </w: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Trade accounts payable</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21,605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(66,966 )</w:t>
            </w:r>
          </w:p>
        </w:tc>
      </w:tr>
      <w:tr>
        <w:trPr>
          <w:trHeight w:val="190"/>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(43,430 )</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33,971</w:t>
            </w:r>
          </w:p>
        </w:tc>
        <w:tc>
          <w:tcPr>
            <w:tcW w:w="80" w:type="dxa"/>
            <w:vAlign w:val="bottom"/>
          </w:tcPr>
          <w:p>
            <w:pPr>
              <w:spacing w:after="0"/>
              <w:rPr>
                <w:sz w:val="16"/>
                <w:szCs w:val="16"/>
                <w:color w:val="auto"/>
              </w:rPr>
            </w:pPr>
          </w:p>
        </w:tc>
      </w:tr>
      <w:tr>
        <w:trPr>
          <w:trHeight w:val="194"/>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(1,886 )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(3,328 )</w:t>
            </w: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(78,859 )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39,896</w:t>
            </w:r>
          </w:p>
        </w:tc>
        <w:tc>
          <w:tcPr>
            <w:tcW w:w="80" w:type="dxa"/>
            <w:vAlign w:val="bottom"/>
          </w:tcPr>
          <w:p>
            <w:pPr>
              <w:spacing w:after="0"/>
              <w:rPr>
                <w:sz w:val="16"/>
                <w:szCs w:val="16"/>
                <w:color w:val="auto"/>
              </w:rPr>
            </w:pP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(21,816 )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(17,846 )</w:t>
            </w:r>
          </w:p>
        </w:tc>
      </w:tr>
      <w:tr>
        <w:trPr>
          <w:trHeight w:val="198"/>
        </w:trPr>
        <w:tc>
          <w:tcPr>
            <w:tcW w:w="56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(9,394 )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6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6"/>
                <w:szCs w:val="16"/>
                <w:color w:val="auto"/>
              </w:rPr>
            </w:pPr>
          </w:p>
        </w:tc>
      </w:tr>
      <w:tr>
        <w:trPr>
          <w:trHeight w:val="184"/>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(30,938 )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(17,463 )</w:t>
            </w:r>
          </w:p>
        </w:tc>
      </w:tr>
      <w:tr>
        <w:trPr>
          <w:trHeight w:val="185"/>
        </w:trPr>
        <w:tc>
          <w:tcPr>
            <w:tcW w:w="5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r>
      <w:tr>
        <w:trPr>
          <w:trHeight w:val="197"/>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Long-term debt repayments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(793,353 )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(7,785 )</w:t>
            </w:r>
          </w:p>
        </w:tc>
      </w:tr>
      <w:tr>
        <w:trPr>
          <w:trHeight w:val="19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 on initial public offering, net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656,485</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Proceeds from issuance of tangible equity units, net</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the Revolving Credit Facility, net</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(50,700 )</w:t>
            </w: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(14,300 )</w:t>
            </w:r>
          </w:p>
        </w:tc>
      </w:tr>
      <w:tr>
        <w:trPr>
          <w:trHeight w:val="198"/>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(42,963 )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shares of common stock</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(325 )</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Shares issued under share-based compensation plan, including tax effects</w:t>
            </w: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20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(300 )</w:t>
            </w:r>
          </w:p>
        </w:tc>
        <w:tc>
          <w:tcPr>
            <w:tcW w:w="20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Payment of financing lease obligations</w:t>
            </w:r>
          </w:p>
        </w:tc>
        <w:tc>
          <w:tcPr>
            <w:tcW w:w="2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(3,081 )</w:t>
            </w: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(2,885 )</w:t>
            </w:r>
          </w:p>
        </w:tc>
      </w:tr>
      <w:tr>
        <w:trPr>
          <w:trHeight w:val="20"/>
        </w:trPr>
        <w:tc>
          <w:tcPr>
            <w:tcW w:w="5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84"/>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154,763</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(24,881 )</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8"/>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44,966</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(2,448 )</w:t>
            </w:r>
          </w:p>
        </w:tc>
      </w:tr>
      <w:tr>
        <w:trPr>
          <w:trHeight w:val="190"/>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beginning of year</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13,628</w:t>
            </w:r>
          </w:p>
        </w:tc>
        <w:tc>
          <w:tcPr>
            <w:tcW w:w="80" w:type="dxa"/>
            <w:vAlign w:val="bottom"/>
          </w:tcPr>
          <w:p>
            <w:pPr>
              <w:spacing w:after="0"/>
              <w:rPr>
                <w:sz w:val="16"/>
                <w:szCs w:val="16"/>
                <w:color w:val="auto"/>
              </w:rPr>
            </w:pPr>
          </w:p>
        </w:tc>
      </w:tr>
      <w:tr>
        <w:trPr>
          <w:trHeight w:val="224"/>
        </w:trPr>
        <w:tc>
          <w:tcPr>
            <w:tcW w:w="5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and cash equivalents at end of year</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58,037</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6"/>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disclosures of cash flow information:</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8"/>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Cash paid for:</w:t>
            </w: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net</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60,282</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72,998</w:t>
            </w: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Income taxes, net of refunds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11,186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3,730</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spacing w:after="0"/>
              <w:rPr>
                <w:sz w:val="20"/>
                <w:szCs w:val="20"/>
                <w:color w:val="auto"/>
              </w:rPr>
            </w:pPr>
            <w:r>
              <w:rPr>
                <w:rFonts w:ascii="Times New Roman" w:cs="Times New Roman" w:eastAsia="Times New Roman" w:hAnsi="Times New Roman"/>
                <w:sz w:val="14"/>
                <w:szCs w:val="14"/>
                <w:color w:val="auto"/>
              </w:rPr>
              <w:t>Supplemental schedule of non-cash investing and financing activities: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Financing lease obligations</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2,883</w:t>
            </w:r>
          </w:p>
        </w:tc>
        <w:tc>
          <w:tcPr>
            <w:tcW w:w="80" w:type="dxa"/>
            <w:vAlign w:val="bottom"/>
            <w:shd w:val="clear" w:color="auto" w:fill="CFF0FC"/>
          </w:tcPr>
          <w:p>
            <w:pPr>
              <w:spacing w:after="0"/>
              <w:rPr>
                <w:sz w:val="17"/>
                <w:szCs w:val="17"/>
                <w:color w:val="auto"/>
              </w:rPr>
            </w:pPr>
          </w:p>
        </w:tc>
      </w:tr>
      <w:tr>
        <w:trPr>
          <w:trHeight w:val="190"/>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Repurchases of common stock in accounts payable</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6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 in accounts payable</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80" w:type="dxa"/>
            <w:vAlign w:val="bottom"/>
            <w:shd w:val="clear" w:color="auto" w:fill="CFF0FC"/>
          </w:tcPr>
          <w:p>
            <w:pPr>
              <w:spacing w:after="0"/>
              <w:rPr>
                <w:sz w:val="17"/>
                <w:szCs w:val="17"/>
                <w:color w:val="auto"/>
              </w:rPr>
            </w:pPr>
          </w:p>
        </w:tc>
      </w:tr>
      <w:tr>
        <w:trPr>
          <w:trHeight w:val="186"/>
        </w:trPr>
        <w:tc>
          <w:tcPr>
            <w:tcW w:w="56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Consideration for purchase of redeemable noncontrolling interest in accounts payable</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6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-3642995</wp:posOffset>
            </wp:positionV>
            <wp:extent cx="4762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-3642995</wp:posOffset>
            </wp:positionV>
            <wp:extent cx="4762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-2870835</wp:posOffset>
            </wp:positionV>
            <wp:extent cx="4762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-2870835</wp:posOffset>
            </wp:positionV>
            <wp:extent cx="4762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-1633855</wp:posOffset>
            </wp:positionV>
            <wp:extent cx="4762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-1633855</wp:posOffset>
            </wp:positionV>
            <wp:extent cx="4762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-1121410</wp:posOffset>
            </wp:positionV>
            <wp:extent cx="4762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4602480</wp:posOffset>
            </wp:positionH>
            <wp:positionV relativeFrom="paragraph">
              <wp:posOffset>-1108075</wp:posOffset>
            </wp:positionV>
            <wp:extent cx="4762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-1121410</wp:posOffset>
            </wp:positionV>
            <wp:extent cx="4762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-1108075</wp:posOffset>
            </wp:positionV>
            <wp:extent cx="4762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BrightSpring Health Services,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Notes to Condensed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(Unaudited)</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Significant Accounting Policies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Description of Business</w:t>
      </w:r>
    </w:p>
    <w:p>
      <w:pPr>
        <w:spacing w:after="0" w:line="99" w:lineRule="exact"/>
        <w:rPr>
          <w:sz w:val="20"/>
          <w:szCs w:val="20"/>
          <w:color w:val="auto"/>
        </w:rPr>
      </w:pPr>
    </w:p>
    <w:p>
      <w:pPr>
        <w:ind w:left="640" w:right="799"/>
        <w:spacing w:after="0" w:line="275" w:lineRule="auto"/>
        <w:rPr>
          <w:sz w:val="20"/>
          <w:szCs w:val="20"/>
          <w:color w:val="auto"/>
        </w:rPr>
      </w:pPr>
      <w:r>
        <w:rPr>
          <w:rFonts w:ascii="Times New Roman" w:cs="Times New Roman" w:eastAsia="Times New Roman" w:hAnsi="Times New Roman"/>
          <w:sz w:val="14"/>
          <w:szCs w:val="14"/>
          <w:color w:val="auto"/>
        </w:rPr>
        <w:t>BrightSpring Health Services, Inc. is a leading home and community-based healthcare services platform, focused on delivering complementary pharmacy and provider services to complex patients. Our platform delivers clinical services and pharmacy solutions across Medicare, Medicaid, and commercially-insured populations.</w:t>
      </w:r>
    </w:p>
    <w:p>
      <w:pPr>
        <w:spacing w:after="0" w:line="49" w:lineRule="exact"/>
        <w:rPr>
          <w:sz w:val="20"/>
          <w:szCs w:val="20"/>
          <w:color w:val="auto"/>
        </w:rPr>
      </w:pPr>
    </w:p>
    <w:p>
      <w:pPr>
        <w:jc w:val="both"/>
        <w:ind w:left="640" w:right="999"/>
        <w:spacing w:after="0" w:line="275" w:lineRule="auto"/>
        <w:rPr>
          <w:sz w:val="20"/>
          <w:szCs w:val="20"/>
          <w:color w:val="auto"/>
        </w:rPr>
      </w:pPr>
      <w:r>
        <w:rPr>
          <w:rFonts w:ascii="Times New Roman" w:cs="Times New Roman" w:eastAsia="Times New Roman" w:hAnsi="Times New Roman"/>
          <w:sz w:val="14"/>
          <w:szCs w:val="14"/>
          <w:color w:val="auto"/>
        </w:rPr>
        <w:t>On December 7, 2017, affiliates of Kohlberg Kravis Roberts &amp; Co. L.P. (“KKR”) and Walgreens Boots Alliance, Inc. (“WBA”) purchased PharMerica Corporation (“PharMerica”) and on March 5, 2019, expanded with the acquisition of BrightSpring Health Holdings Corp. The surviving entity has been renamed as BrightSpring Health Services, Inc.</w:t>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BrightSpring Health Services, Inc. completed its initial public offering (“IPO”) of 53,333,334 shares of its common stock at a price of</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$13.00 per share and its concurrent offering of 8,000,000 6.75% tangible equity units (“TEUs”) with a stated amount of $50.00 per</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unit in January 2024 (collectively, “the IPO Offerings”). The net proceeds from the IPO Offerings amounted to $656.5 million and</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$389.0 million for the common stock and TEUs, respectively, after deducting underwriting discounts and commissions, and offering-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related expenses. The shares and TEUs began trading on the Nasdaq Global Select Market on January 26, 2024 under the ticker</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symbols “BTSG” and “BTSGU,” respectively. BrightSpring Health Services, Inc. used a portion of the net proceeds received from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IPO Offerings to repay certain indebtedness (see Note 5). Additionally, a portion of the net proceeds will be used to pay termination</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fees in connection with the termination of our monitoring agreement with our controlling stockholders, KKR and WBA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“Monitoring Agreement”) (see Note 13). The remaining proceeds were retained for general corporate purposes. In connection with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IPO Offerings, the Company also granted equity awards to management and certain other full-time employees (see Note 15).</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Principles of Consolidation</w:t>
      </w:r>
    </w:p>
    <w:p>
      <w:pPr>
        <w:spacing w:after="0" w:line="99" w:lineRule="exact"/>
        <w:rPr>
          <w:sz w:val="20"/>
          <w:szCs w:val="20"/>
          <w:color w:val="auto"/>
        </w:rPr>
      </w:pPr>
    </w:p>
    <w:p>
      <w:pPr>
        <w:ind w:left="640" w:right="739"/>
        <w:spacing w:after="0" w:line="268" w:lineRule="auto"/>
        <w:rPr>
          <w:sz w:val="20"/>
          <w:szCs w:val="20"/>
          <w:color w:val="auto"/>
        </w:rPr>
      </w:pPr>
      <w:r>
        <w:rPr>
          <w:rFonts w:ascii="Times New Roman" w:cs="Times New Roman" w:eastAsia="Times New Roman" w:hAnsi="Times New Roman"/>
          <w:sz w:val="14"/>
          <w:szCs w:val="14"/>
          <w:color w:val="auto"/>
        </w:rPr>
        <w:t>The accompanying unaudited condensed consolidated financial statements include the accounts of BrightSpring Health Services, Inc. and its subsidiaries (“BrightSpring,” the “Company,” “we,” “us,” or “our”). The Company consolidates its majority-owned and controlled entities, including variable interest entities (“VIEs”) for which the Company is the primary beneficiary. All intercompany balances and transactions have been eliminated.</w:t>
      </w:r>
    </w:p>
    <w:p>
      <w:pPr>
        <w:spacing w:after="0" w:line="56"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We record a noncontrolling interest for the allocable portion of income or loss and comprehensive income or loss to which the noncontrolling interest holders are entitled based upon their ownership share of the affiliate. The Company determined noncontrolling interests for certain of these VIEs to be redeemable noncontrolling interests, which are presented in the unaudited condensed consolidated balance sheets as redeemable noncontrolling interests. See Note 11.</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99" w:lineRule="exact"/>
        <w:rPr>
          <w:sz w:val="20"/>
          <w:szCs w:val="20"/>
          <w:color w:val="auto"/>
        </w:rPr>
      </w:pPr>
    </w:p>
    <w:p>
      <w:pPr>
        <w:ind w:left="640" w:right="719"/>
        <w:spacing w:after="0" w:line="268" w:lineRule="auto"/>
        <w:rPr>
          <w:sz w:val="20"/>
          <w:szCs w:val="20"/>
          <w:color w:val="auto"/>
        </w:rPr>
      </w:pPr>
      <w:r>
        <w:rPr>
          <w:rFonts w:ascii="Times New Roman" w:cs="Times New Roman" w:eastAsia="Times New Roman" w:hAnsi="Times New Roman"/>
          <w:sz w:val="14"/>
          <w:szCs w:val="14"/>
          <w:color w:val="auto"/>
        </w:rPr>
        <w:t>In our opinion, the accompanying unaudited condensed consolidated financial statements contain all adjustments (consisting solely of normal recurring adjustments) necessary to present fairly our financial position, our results of operations, and our cash flows in accordance with U.S. generally accepted accounting principles (“U.S. GAAP”) for interim financial reporting. Our results of operations for the interim periods presented are not necessarily indicative of the results of our operations for the entire year.</w:t>
      </w:r>
    </w:p>
    <w:p>
      <w:pPr>
        <w:spacing w:after="0" w:line="56" w:lineRule="exact"/>
        <w:rPr>
          <w:sz w:val="20"/>
          <w:szCs w:val="20"/>
          <w:color w:val="auto"/>
        </w:rPr>
      </w:pPr>
    </w:p>
    <w:p>
      <w:pPr>
        <w:jc w:val="both"/>
        <w:ind w:left="640" w:right="759"/>
        <w:spacing w:after="0" w:line="265" w:lineRule="auto"/>
        <w:rPr>
          <w:sz w:val="20"/>
          <w:szCs w:val="20"/>
          <w:color w:val="auto"/>
        </w:rPr>
      </w:pPr>
      <w:r>
        <w:rPr>
          <w:rFonts w:ascii="Times New Roman" w:cs="Times New Roman" w:eastAsia="Times New Roman" w:hAnsi="Times New Roman"/>
          <w:sz w:val="14"/>
          <w:szCs w:val="14"/>
          <w:color w:val="auto"/>
        </w:rPr>
        <w:t>This report should be read in conjunction with our consolidated financial statements and related notes thereto included in our Annual Report on Form 10-K for the year ended December 31, 2023, which include information and disclosures not included herein. Certain information and footnote disclosures normally included in annual financial statements prepared in accordance with U.S. GAAP have been condensed or omitted from the interim financial information presented, as allowed by the rules and regulations of the Securities and Exchange Commission.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Use of Estimates</w:t>
      </w:r>
    </w:p>
    <w:p>
      <w:pPr>
        <w:spacing w:after="0" w:line="99" w:lineRule="exact"/>
        <w:rPr>
          <w:sz w:val="20"/>
          <w:szCs w:val="20"/>
          <w:color w:val="auto"/>
        </w:rPr>
      </w:pPr>
    </w:p>
    <w:p>
      <w:pPr>
        <w:ind w:left="640" w:right="819"/>
        <w:spacing w:after="0" w:line="264" w:lineRule="auto"/>
        <w:rPr>
          <w:sz w:val="20"/>
          <w:szCs w:val="20"/>
          <w:color w:val="auto"/>
        </w:rPr>
      </w:pPr>
      <w:r>
        <w:rPr>
          <w:rFonts w:ascii="Times New Roman" w:cs="Times New Roman" w:eastAsia="Times New Roman" w:hAnsi="Times New Roman"/>
          <w:sz w:val="14"/>
          <w:szCs w:val="14"/>
          <w:color w:val="auto"/>
        </w:rPr>
        <w:t>The preparation of consolidated financial statements in conformity with U.S. GAAP requires us to make estimates and assumptions that affect the reported amounts and related disclosures. We rely on historical experience and on various other assumptions that we believe to be reasonable under the circumstances to make judgments about the carrying values of assets and liabilities that are not readily apparent from other sources. Significant estimates are involved in the valuation of accounts receivable, inventory, long-lived assets, definite and indefinite-lived intangibles, derivatives, insurance reserves, stock-based compensation, and goodwill. Actual amounts may differ from these estimates.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4"/>
          <w:szCs w:val="14"/>
          <w:i w:val="1"/>
          <w:iCs w:val="1"/>
          <w:color w:val="auto"/>
        </w:rPr>
        <w:t>Transition Services Agreement</w:t>
      </w:r>
    </w:p>
    <w:p>
      <w:pPr>
        <w:spacing w:after="0" w:line="99"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In conjunction with the divestiture of Workforce Solutions on November 1, 2022, BrightSpring entered into a transition services agreement (“TSA”) with the buyer to provide certain transition services in exchange for service fees totaling $15.0 million over the 36 months following the close of the transaction. Services provided primarily include business development, finance and accounting, human resources, IT, facilities management, and compliance. For the three months ended March 31, 2024 and 2023, the Company recognized $1.4 million and $1.9 million, respectively, of other income within selling, general, and administrative expenses in our unaudited condensed consolidated statements of operations related to services rendered under the TSA.</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Fair Value of Financial Instruments</w:t>
      </w:r>
    </w:p>
    <w:p>
      <w:pPr>
        <w:spacing w:after="0" w:line="99" w:lineRule="exact"/>
        <w:rPr>
          <w:sz w:val="20"/>
          <w:szCs w:val="20"/>
          <w:color w:val="auto"/>
        </w:rPr>
      </w:pPr>
    </w:p>
    <w:p>
      <w:pPr>
        <w:ind w:left="640" w:right="699"/>
        <w:spacing w:after="0" w:line="262" w:lineRule="auto"/>
        <w:rPr>
          <w:sz w:val="20"/>
          <w:szCs w:val="20"/>
          <w:color w:val="auto"/>
        </w:rPr>
      </w:pPr>
      <w:r>
        <w:rPr>
          <w:rFonts w:ascii="Times New Roman" w:cs="Times New Roman" w:eastAsia="Times New Roman" w:hAnsi="Times New Roman"/>
          <w:sz w:val="14"/>
          <w:szCs w:val="14"/>
          <w:color w:val="auto"/>
        </w:rPr>
        <w:t>At March 31, 2024 and December 31, 2023, the fair value of cash and cash equivalents, accounts receivable, trade accounts payable, and accrued expenses approximated their carrying values because of the short-term nature of these instruments. The carrying amounts of the Company’s long-term debt approximated fair value as interest rates and negotiated terms and conditions are consistent with current market rates due to the close proximity of recent refinancing transactions to the dates of these unaudited condensed consolidated financial statements. All debt classifications and interest rate swaps represent Level 2 fair value measurements. Contingent consideration, which represents future earn-outs associated with acquisitions, represents a Level 3 fair value measurement as there is little or no market data available. Refer to Note 9.</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Debt Issuance Costs</w:t>
      </w:r>
    </w:p>
    <w:p>
      <w:pPr>
        <w:spacing w:after="0" w:line="99" w:lineRule="exact"/>
        <w:rPr>
          <w:sz w:val="20"/>
          <w:szCs w:val="20"/>
          <w:color w:val="auto"/>
        </w:rPr>
      </w:pPr>
    </w:p>
    <w:p>
      <w:pPr>
        <w:ind w:left="640" w:right="759"/>
        <w:spacing w:after="0" w:line="265" w:lineRule="auto"/>
        <w:rPr>
          <w:sz w:val="20"/>
          <w:szCs w:val="20"/>
          <w:color w:val="auto"/>
        </w:rPr>
      </w:pPr>
      <w:r>
        <w:rPr>
          <w:rFonts w:ascii="Times New Roman" w:cs="Times New Roman" w:eastAsia="Times New Roman" w:hAnsi="Times New Roman"/>
          <w:sz w:val="14"/>
          <w:szCs w:val="14"/>
          <w:color w:val="auto"/>
        </w:rPr>
        <w:t>The Company capitalizes financing fees related to acquiring or issuing new debt instruments. These expenditures include bank fees and premiums, legal costs, and filing fees. Debt issuance costs are capitalized and amortized as interest expense over the terms of the related debt using the effective interest rate method. Debt issuance costs related to term loans and specified maturity borrowings are presented as a direct reduction of the carrying value of the debt. Debt issuance costs related to revolving credit facilities and lines of credit are presented as other assets in our unaudited condensed consolidated balance sheets.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Deferred Offering Costs</w:t>
      </w:r>
    </w:p>
    <w:p>
      <w:pPr>
        <w:spacing w:after="0" w:line="99" w:lineRule="exact"/>
        <w:rPr>
          <w:sz w:val="20"/>
          <w:szCs w:val="20"/>
          <w:color w:val="auto"/>
        </w:rPr>
      </w:pPr>
    </w:p>
    <w:p>
      <w:pPr>
        <w:ind w:left="640" w:right="799"/>
        <w:spacing w:after="0" w:line="268" w:lineRule="auto"/>
        <w:rPr>
          <w:sz w:val="20"/>
          <w:szCs w:val="20"/>
          <w:color w:val="auto"/>
        </w:rPr>
      </w:pPr>
      <w:r>
        <w:rPr>
          <w:rFonts w:ascii="Times New Roman" w:cs="Times New Roman" w:eastAsia="Times New Roman" w:hAnsi="Times New Roman"/>
          <w:sz w:val="14"/>
          <w:szCs w:val="14"/>
          <w:color w:val="auto"/>
        </w:rPr>
        <w:t>Deferred offering costs of $5.6 million, which consist of legal, accounting, filing, and other fees and costs directly attributable to the Company’s IPO, were capitalized, and upon completion of the IPO in January 2024, were subsequently recorded in shareholders’ equity as a reduction of proceeds. There were $3.9 million of deferred offering costs included in other assets in the accompanying unaudited condensed consolidated balance sheet as of December 31, 2023.</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Government Actions to Mitigate COVID-19’s Impact</w:t>
      </w:r>
    </w:p>
    <w:p>
      <w:pPr>
        <w:spacing w:after="0" w:line="99" w:lineRule="exact"/>
        <w:rPr>
          <w:sz w:val="20"/>
          <w:szCs w:val="20"/>
          <w:color w:val="auto"/>
        </w:rPr>
      </w:pPr>
    </w:p>
    <w:p>
      <w:pPr>
        <w:ind w:left="640" w:right="859"/>
        <w:spacing w:after="0" w:line="268" w:lineRule="auto"/>
        <w:rPr>
          <w:sz w:val="20"/>
          <w:szCs w:val="20"/>
          <w:color w:val="auto"/>
        </w:rPr>
      </w:pPr>
      <w:r>
        <w:rPr>
          <w:rFonts w:ascii="Times New Roman" w:cs="Times New Roman" w:eastAsia="Times New Roman" w:hAnsi="Times New Roman"/>
          <w:sz w:val="14"/>
          <w:szCs w:val="14"/>
          <w:color w:val="auto"/>
        </w:rPr>
        <w:t>On May 11, 2023, the Department of Health and Human Services declared the COVID-19 pandemic is no longer a public health emergency. Through the Coronavirus Aid, Relief, and Economic Security Act, the Paycheck Protection Program and Health Care Enhancement Act, and the Consolidated Appropriations Act, $178 billion of funding was authorized to be distributed to health care providers through the Provider Relief Fund (“PRF”) in response to COVID-19.</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 received and recognized the following amounts from the PRF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280" w:type="dxa"/>
            <w:vAlign w:val="bottom"/>
          </w:tcPr>
          <w:p>
            <w:pPr>
              <w:spacing w:after="0"/>
              <w:rPr>
                <w:sz w:val="12"/>
                <w:szCs w:val="12"/>
                <w:color w:val="auto"/>
              </w:rPr>
            </w:pPr>
          </w:p>
        </w:tc>
        <w:tc>
          <w:tcPr>
            <w:tcW w:w="2460" w:type="dxa"/>
            <w:vAlign w:val="bottom"/>
            <w:gridSpan w:val="6"/>
          </w:tcPr>
          <w:p>
            <w:pPr>
              <w:ind w:left="2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31"/>
        </w:trPr>
        <w:tc>
          <w:tcPr>
            <w:tcW w:w="52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Amounts received from the Provider Relief Fund</w:t>
            </w:r>
          </w:p>
        </w:tc>
        <w:tc>
          <w:tcPr>
            <w:tcW w:w="820" w:type="dxa"/>
            <w:vAlign w:val="bottom"/>
            <w:shd w:val="clear" w:color="auto" w:fill="CFF0FC"/>
          </w:tcPr>
          <w:p>
            <w:pPr>
              <w:jc w:val="right"/>
              <w:ind w:right="67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18,804</w:t>
            </w:r>
          </w:p>
        </w:tc>
        <w:tc>
          <w:tcPr>
            <w:tcW w:w="80" w:type="dxa"/>
            <w:vAlign w:val="bottom"/>
            <w:shd w:val="clear" w:color="auto" w:fill="CFF0FC"/>
          </w:tcPr>
          <w:p>
            <w:pPr>
              <w:spacing w:after="0"/>
              <w:rPr>
                <w:sz w:val="16"/>
                <w:szCs w:val="16"/>
                <w:color w:val="auto"/>
              </w:rPr>
            </w:pP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Amounts recognized into income</w:t>
            </w:r>
          </w:p>
        </w:tc>
        <w:tc>
          <w:tcPr>
            <w:tcW w:w="820" w:type="dxa"/>
            <w:vAlign w:val="bottom"/>
          </w:tcPr>
          <w:p>
            <w:pPr>
              <w:jc w:val="right"/>
              <w:ind w:right="675"/>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18,804</w:t>
            </w:r>
          </w:p>
        </w:tc>
        <w:tc>
          <w:tcPr>
            <w:tcW w:w="80" w:type="dxa"/>
            <w:vAlign w:val="bottom"/>
          </w:tcPr>
          <w:p>
            <w:pPr>
              <w:spacing w:after="0"/>
              <w:rPr>
                <w:sz w:val="16"/>
                <w:szCs w:val="16"/>
                <w:color w:val="auto"/>
              </w:rPr>
            </w:pPr>
          </w:p>
        </w:tc>
      </w:tr>
    </w:tbl>
    <w:p>
      <w:pPr>
        <w:spacing w:after="0" w:line="79"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4"/>
          <w:szCs w:val="14"/>
          <w:color w:val="auto"/>
        </w:rPr>
        <w:t>The income recognized in the three months ended March 31, 2023 was offset directly by the expenses incurred within selling, general, and administrative expenses on our unaudited condensed consolidated statements of operations, which resulted in no net financial impact to the Company.</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Adopted Accounting Standards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There were no new accounting standards adopted during the three months ended March 31, 2024.</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Recently Issued Accounting Standards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 November 2023, the Financial Accounting Standards Board (“FASB”) issued Accounting Standards Update (“ASU”) 2023-07,</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Reporting</w:t>
      </w:r>
      <w:r>
        <w:rPr>
          <w:rFonts w:ascii="Times New Roman" w:cs="Times New Roman" w:eastAsia="Times New Roman" w:hAnsi="Times New Roman"/>
          <w:sz w:val="14"/>
          <w:szCs w:val="14"/>
          <w:color w:val="auto"/>
        </w:rPr>
        <w:t>. This ASU requires the following disclosures on an annual and interim basis:</w:t>
      </w:r>
    </w:p>
    <w:p>
      <w:pPr>
        <w:spacing w:after="0" w:line="84" w:lineRule="exact"/>
        <w:rPr>
          <w:sz w:val="20"/>
          <w:szCs w:val="20"/>
          <w:color w:val="auto"/>
        </w:rPr>
      </w:pPr>
    </w:p>
    <w:p>
      <w:pPr>
        <w:ind w:left="1340" w:right="799" w:hanging="359"/>
        <w:spacing w:after="0" w:line="293" w:lineRule="auto"/>
        <w:tabs>
          <w:tab w:leader="none" w:pos="1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segment expenses that are regularly provided to the chief operating decision maker (“CODM”) and included with each reported measure of segment profit/loss;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0" w:name="page11"/>
    <w:bookmarkEnd w:id="10"/>
    <w:p>
      <w:pPr>
        <w:ind w:left="1340" w:right="81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by reportable segment, consisting of differences between segment revenue and segment profit/loss not already disclosed above;</w:t>
      </w:r>
    </w:p>
    <w:p>
      <w:pPr>
        <w:spacing w:after="0" w:line="37" w:lineRule="exact"/>
        <w:rPr>
          <w:rFonts w:ascii="Times New Roman" w:cs="Times New Roman" w:eastAsia="Times New Roman" w:hAnsi="Times New Roman"/>
          <w:sz w:val="14"/>
          <w:szCs w:val="14"/>
          <w:color w:val="auto"/>
        </w:rPr>
      </w:pPr>
    </w:p>
    <w:p>
      <w:pPr>
        <w:ind w:left="1340" w:right="77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information by reportable segment, including total assets, depreciation and amortization, and capital expenditures; and</w:t>
      </w:r>
    </w:p>
    <w:p>
      <w:pPr>
        <w:spacing w:after="0" w:line="37" w:lineRule="exact"/>
        <w:rPr>
          <w:rFonts w:ascii="Times New Roman" w:cs="Times New Roman" w:eastAsia="Times New Roman" w:hAnsi="Times New Roman"/>
          <w:sz w:val="14"/>
          <w:szCs w:val="14"/>
          <w:color w:val="auto"/>
        </w:rPr>
      </w:pPr>
    </w:p>
    <w:p>
      <w:pPr>
        <w:ind w:left="1340" w:right="1119" w:hanging="359"/>
        <w:spacing w:after="0" w:line="293" w:lineRule="auto"/>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CODM and an explanation of how the CODM uses the reported measures of segment profit/loss in assessing segment performance and deciding how to allocate resources.</w:t>
      </w:r>
    </w:p>
    <w:p>
      <w:pPr>
        <w:spacing w:after="0" w:line="37"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The amendments in this ASU are effective for fiscal years beginning after December 15, 2023, and interim periods within fiscal years beginning after December 15, 2024, with early adoption permitted, and should be applied on a retrospective basis. This ASU will have no impact on the Company’s consolidated financial condition or results of operations. The Company is evaluating the impact to the related segment reporting disclosures.</w:t>
      </w:r>
    </w:p>
    <w:p>
      <w:pPr>
        <w:spacing w:after="0" w:line="54" w:lineRule="exact"/>
        <w:rPr>
          <w:sz w:val="20"/>
          <w:szCs w:val="20"/>
          <w:color w:val="auto"/>
        </w:rPr>
      </w:pPr>
    </w:p>
    <w:p>
      <w:pPr>
        <w:ind w:left="640" w:right="819"/>
        <w:spacing w:after="0" w:line="296"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This ASU requires the following disclosures on an annual basis:</w:t>
      </w:r>
    </w:p>
    <w:p>
      <w:pPr>
        <w:spacing w:after="0" w:line="35" w:lineRule="exact"/>
        <w:rPr>
          <w:sz w:val="20"/>
          <w:szCs w:val="20"/>
          <w:color w:val="auto"/>
        </w:rPr>
      </w:pPr>
    </w:p>
    <w:p>
      <w:pPr>
        <w:ind w:left="1340" w:right="1199" w:hanging="359"/>
        <w:spacing w:after="0" w:line="293"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tabular rate reconciliation using both percentages and amounts, broken out into specific categories with certain reconciling items at or above 5% of the statutory tax further broken out by nature and/or jurisdiction;</w:t>
      </w:r>
    </w:p>
    <w:p>
      <w:pPr>
        <w:spacing w:after="0" w:line="37" w:lineRule="exact"/>
        <w:rPr>
          <w:rFonts w:ascii="Times New Roman" w:cs="Times New Roman" w:eastAsia="Times New Roman" w:hAnsi="Times New Roman"/>
          <w:sz w:val="14"/>
          <w:szCs w:val="14"/>
          <w:color w:val="auto"/>
        </w:rPr>
      </w:pPr>
    </w:p>
    <w:p>
      <w:pPr>
        <w:ind w:left="1340" w:right="1099" w:hanging="359"/>
        <w:spacing w:after="0" w:line="293"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Qualitative disclosure of the nature and effect of significant reconciling items by specific categories and individual jurisdictions; and</w:t>
      </w:r>
    </w:p>
    <w:p>
      <w:pPr>
        <w:spacing w:after="0" w:line="37" w:lineRule="exact"/>
        <w:rPr>
          <w:rFonts w:ascii="Times New Roman" w:cs="Times New Roman" w:eastAsia="Times New Roman" w:hAnsi="Times New Roman"/>
          <w:sz w:val="14"/>
          <w:szCs w:val="14"/>
          <w:color w:val="auto"/>
        </w:rPr>
      </w:pPr>
    </w:p>
    <w:p>
      <w:pPr>
        <w:ind w:left="1340" w:right="819" w:hanging="359"/>
        <w:spacing w:after="0" w:line="293" w:lineRule="auto"/>
        <w:tabs>
          <w:tab w:leader="none" w:pos="1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Income taxes paid (net of refunds received), broken out between federal, state/local and foreign, and amounts paid to an individual jurisdiction when 5% or more of the total income taxes paid.</w:t>
      </w:r>
    </w:p>
    <w:p>
      <w:pPr>
        <w:spacing w:after="0" w:line="37" w:lineRule="exact"/>
        <w:rPr>
          <w:sz w:val="20"/>
          <w:szCs w:val="20"/>
          <w:color w:val="auto"/>
        </w:rPr>
      </w:pPr>
    </w:p>
    <w:p>
      <w:pPr>
        <w:jc w:val="both"/>
        <w:ind w:left="640" w:right="739"/>
        <w:spacing w:after="0" w:line="275" w:lineRule="auto"/>
        <w:rPr>
          <w:sz w:val="20"/>
          <w:szCs w:val="20"/>
          <w:color w:val="auto"/>
        </w:rPr>
      </w:pPr>
      <w:r>
        <w:rPr>
          <w:rFonts w:ascii="Times New Roman" w:cs="Times New Roman" w:eastAsia="Times New Roman" w:hAnsi="Times New Roman"/>
          <w:sz w:val="14"/>
          <w:szCs w:val="14"/>
          <w:color w:val="auto"/>
        </w:rPr>
        <w:t>The amendments in this ASU are effective for annual periods beginning after December 15, 2024, with early adoption permitted, and should be applied on a prospective basis. This ASU will have no impact on the Company’s consolidated financial condition or results of operations. The Company is currently evaluating the impact to the income tax disclosures.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Revenue</w:t>
      </w:r>
    </w:p>
    <w:p>
      <w:pPr>
        <w:spacing w:after="0" w:line="185" w:lineRule="exact"/>
        <w:rPr>
          <w:sz w:val="20"/>
          <w:szCs w:val="20"/>
          <w:color w:val="auto"/>
        </w:rPr>
      </w:pPr>
    </w:p>
    <w:p>
      <w:pPr>
        <w:ind w:left="640" w:right="659"/>
        <w:spacing w:after="0" w:line="268" w:lineRule="auto"/>
        <w:rPr>
          <w:sz w:val="20"/>
          <w:szCs w:val="20"/>
          <w:color w:val="auto"/>
        </w:rPr>
      </w:pPr>
      <w:r>
        <w:rPr>
          <w:rFonts w:ascii="Times New Roman" w:cs="Times New Roman" w:eastAsia="Times New Roman" w:hAnsi="Times New Roman"/>
          <w:sz w:val="14"/>
          <w:szCs w:val="14"/>
          <w:color w:val="auto"/>
        </w:rPr>
        <w:t>The Company is substantially dependent on revenues received under contracts with federal, state, and local government agencies. Operating funding sources are generally earned from Medicaid, Medicare, commercial insurance reimbursement, and from private and other payors. There is no single customer whose revenue was 10% or more of our consolidated revenue. The following tables set forth revenue by payor type (in millions):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25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504.4</w:t>
            </w:r>
          </w:p>
        </w:tc>
        <w:tc>
          <w:tcPr>
            <w:tcW w:w="2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19.6 %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2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17.6 %</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C</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195.5</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D</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29.4 %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20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20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22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76.7 %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5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2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0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0" w:type="dxa"/>
            <w:vAlign w:val="bottom"/>
          </w:tcPr>
          <w:p>
            <w:pPr>
              <w:spacing w:after="0"/>
              <w:rPr>
                <w:sz w:val="1"/>
                <w:szCs w:val="1"/>
                <w:color w:val="auto"/>
              </w:rPr>
            </w:pPr>
          </w:p>
        </w:tc>
      </w:tr>
      <w:tr>
        <w:trPr>
          <w:trHeight w:val="19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334.5</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15.8 %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A</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r>
        <w:trPr>
          <w:trHeight w:val="194"/>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Medicare C</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0.8 %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0.7 %</w:t>
            </w:r>
          </w:p>
        </w:tc>
        <w:tc>
          <w:tcPr>
            <w:tcW w:w="0" w:type="dxa"/>
            <w:vAlign w:val="bottom"/>
          </w:tcPr>
          <w:p>
            <w:pPr>
              <w:spacing w:after="0"/>
              <w:rPr>
                <w:sz w:val="1"/>
                <w:szCs w:val="1"/>
                <w:color w:val="auto"/>
              </w:rPr>
            </w:pPr>
          </w:p>
        </w:tc>
      </w:tr>
      <w:tr>
        <w:trPr>
          <w:trHeight w:val="200"/>
        </w:trPr>
        <w:tc>
          <w:tcPr>
            <w:tcW w:w="256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22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20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2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20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4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5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25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-3108325</wp:posOffset>
            </wp:positionV>
            <wp:extent cx="4919345" cy="123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-2861945</wp:posOffset>
            </wp:positionV>
            <wp:extent cx="4919345" cy="1231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-2616200</wp:posOffset>
            </wp:positionV>
            <wp:extent cx="4919345" cy="1231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-2370455</wp:posOffset>
            </wp:positionV>
            <wp:extent cx="4919345" cy="129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-1604645</wp:posOffset>
            </wp:positionV>
            <wp:extent cx="4919345" cy="123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-1358900</wp:posOffset>
            </wp:positionV>
            <wp:extent cx="4919345" cy="1231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-1113155</wp:posOffset>
            </wp:positionV>
            <wp:extent cx="4919345" cy="1231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 w:name="page12"/>
    <w:bookmarkEnd w:id="11"/>
    <w:tbl>
      <w:tblPr>
        <w:tblLayout w:type="fixed"/>
        <w:tblInd w:w="64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7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7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20" w:type="dxa"/>
            <w:vAlign w:val="bottom"/>
          </w:tcPr>
          <w:p>
            <w:pPr>
              <w:spacing w:after="0"/>
              <w:rPr>
                <w:sz w:val="11"/>
                <w:szCs w:val="11"/>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200" w:type="dxa"/>
            <w:vAlign w:val="bottom"/>
          </w:tcPr>
          <w:p>
            <w:pPr>
              <w:spacing w:after="0"/>
              <w:rPr>
                <w:sz w:val="11"/>
                <w:szCs w:val="11"/>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11"/>
                <w:szCs w:val="11"/>
                <w:color w:val="auto"/>
              </w:rPr>
            </w:pPr>
          </w:p>
        </w:tc>
      </w:tr>
      <w:tr>
        <w:trPr>
          <w:trHeight w:val="17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Commercial insurance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551.8</w:t>
            </w:r>
          </w:p>
        </w:tc>
        <w:tc>
          <w:tcPr>
            <w:tcW w:w="220" w:type="dxa"/>
            <w:vAlign w:val="bottom"/>
          </w:tcPr>
          <w:p>
            <w:pPr>
              <w:spacing w:after="0"/>
              <w:rPr>
                <w:sz w:val="15"/>
                <w:szCs w:val="15"/>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21.4 %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391.5</w:t>
            </w:r>
          </w:p>
        </w:tc>
        <w:tc>
          <w:tcPr>
            <w:tcW w:w="2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19.3 %</w:t>
            </w: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Medicaid</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521.8</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20.3 %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464.2</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22.9 %</w:t>
            </w:r>
          </w:p>
        </w:tc>
      </w:tr>
      <w:tr>
        <w:trPr>
          <w:trHeight w:val="194"/>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Medicare A</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11.9 %</w:t>
            </w:r>
          </w:p>
        </w:tc>
      </w:tr>
      <w:tr>
        <w:trPr>
          <w:trHeight w:val="194"/>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Medicare B</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0.9 %</w:t>
            </w:r>
          </w:p>
        </w:tc>
      </w:tr>
      <w:tr>
        <w:trPr>
          <w:trHeight w:val="194"/>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Medicare C</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357.1</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13.9 %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10.3 %</w:t>
            </w:r>
          </w:p>
        </w:tc>
      </w:tr>
      <w:tr>
        <w:trPr>
          <w:trHeight w:val="194"/>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Medicare D</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29.4 %</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571.1</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28.2 %</w:t>
            </w:r>
          </w:p>
        </w:tc>
      </w:tr>
      <w:tr>
        <w:trPr>
          <w:trHeight w:val="20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Private &amp; other</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w:t>
            </w:r>
          </w:p>
        </w:tc>
        <w:tc>
          <w:tcPr>
            <w:tcW w:w="22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4.9 %</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20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6.5 %</w:t>
            </w:r>
          </w:p>
        </w:tc>
      </w:tr>
      <w:tr>
        <w:trPr>
          <w:trHeight w:val="20"/>
        </w:trPr>
        <w:tc>
          <w:tcPr>
            <w:tcW w:w="4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6"/>
        </w:trPr>
        <w:tc>
          <w:tcPr>
            <w:tcW w:w="40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2,576.6</w:t>
            </w:r>
          </w:p>
        </w:tc>
        <w:tc>
          <w:tcPr>
            <w:tcW w:w="220" w:type="dxa"/>
            <w:vAlign w:val="bottom"/>
          </w:tcPr>
          <w:p>
            <w:pPr>
              <w:spacing w:after="0"/>
              <w:rPr>
                <w:sz w:val="16"/>
                <w:szCs w:val="16"/>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100.0 % $</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2,028.4</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-1010285</wp:posOffset>
            </wp:positionV>
            <wp:extent cx="4919345" cy="1231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-764540</wp:posOffset>
            </wp:positionV>
            <wp:extent cx="4919345" cy="1231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-518795</wp:posOffset>
            </wp:positionV>
            <wp:extent cx="4919345" cy="1231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-272415</wp:posOffset>
            </wp:positionV>
            <wp:extent cx="4919345" cy="1295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19345" cy="129540"/>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Refer to Note 14 for the disaggregation of revenue by reportable segment.</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3. Acquisitions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2024 Acquisition</w:t>
      </w:r>
    </w:p>
    <w:p>
      <w:pPr>
        <w:spacing w:after="0" w:line="99"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During the period ended March 31, 2024, we completed one acquisition within the Pharmacy Solutions segment. We entered into the transaction on March 19, 2024, in order to expand our services and geographic offerings. Aggregate consideration for the acquisition was approximately $7.1 million. No cash was acquired as a part of the transaction. The operating results of the acquisition are included in our unaudited condensed consolidated financial statements from the date of the acquisition.</w:t>
      </w:r>
    </w:p>
    <w:p>
      <w:pPr>
        <w:spacing w:after="0" w:line="56" w:lineRule="exact"/>
        <w:rPr>
          <w:sz w:val="20"/>
          <w:szCs w:val="20"/>
          <w:color w:val="auto"/>
        </w:rPr>
      </w:pPr>
    </w:p>
    <w:p>
      <w:pPr>
        <w:ind w:left="640" w:right="999"/>
        <w:spacing w:after="0" w:line="293" w:lineRule="auto"/>
        <w:rPr>
          <w:sz w:val="20"/>
          <w:szCs w:val="20"/>
          <w:color w:val="auto"/>
        </w:rPr>
      </w:pPr>
      <w:r>
        <w:rPr>
          <w:rFonts w:ascii="Times New Roman" w:cs="Times New Roman" w:eastAsia="Times New Roman" w:hAnsi="Times New Roman"/>
          <w:sz w:val="14"/>
          <w:szCs w:val="14"/>
          <w:color w:val="auto"/>
        </w:rPr>
        <w:t>The following table summarizes the consideration paid (in thousands) for the 2024 acquisition and the estimated fair value of the assets acquired at the acquisition date, which are adjusted for measurement-period adjustments through March 31, 2024.</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Inventories</w:t>
            </w:r>
          </w:p>
        </w:tc>
        <w:tc>
          <w:tcPr>
            <w:tcW w:w="520" w:type="dxa"/>
            <w:vAlign w:val="bottom"/>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80" w:type="dxa"/>
            <w:vAlign w:val="bottom"/>
            <w:shd w:val="clear" w:color="auto" w:fill="CFF0FC"/>
          </w:tcPr>
          <w:p>
            <w:pPr>
              <w:spacing w:after="0"/>
              <w:rPr>
                <w:sz w:val="16"/>
                <w:szCs w:val="16"/>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5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4,572</w:t>
            </w:r>
          </w:p>
        </w:tc>
        <w:tc>
          <w:tcPr>
            <w:tcW w:w="80" w:type="dxa"/>
            <w:vAlign w:val="bottom"/>
            <w:shd w:val="clear" w:color="auto" w:fill="CFF0FC"/>
          </w:tcPr>
          <w:p>
            <w:pPr>
              <w:spacing w:after="0"/>
              <w:rPr>
                <w:sz w:val="17"/>
                <w:szCs w:val="17"/>
                <w:color w:val="auto"/>
              </w:rPr>
            </w:pPr>
          </w:p>
        </w:tc>
      </w:tr>
      <w:tr>
        <w:trPr>
          <w:trHeight w:val="18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purchase price</w:t>
            </w:r>
          </w:p>
        </w:tc>
        <w:tc>
          <w:tcPr>
            <w:tcW w:w="5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7,144</w:t>
            </w:r>
          </w:p>
        </w:tc>
        <w:tc>
          <w:tcPr>
            <w:tcW w:w="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640" w:right="899"/>
        <w:spacing w:after="0" w:line="268" w:lineRule="auto"/>
        <w:rPr>
          <w:sz w:val="20"/>
          <w:szCs w:val="20"/>
          <w:color w:val="auto"/>
        </w:rPr>
      </w:pPr>
      <w:r>
        <w:rPr>
          <w:rFonts w:ascii="Times New Roman" w:cs="Times New Roman" w:eastAsia="Times New Roman" w:hAnsi="Times New Roman"/>
          <w:sz w:val="14"/>
          <w:szCs w:val="14"/>
          <w:color w:val="auto"/>
        </w:rPr>
        <w:t>The Company is in the process of reviewing the fair value of the assets acquired. We have estimated the fair value of acquired customer relationships, trade names, and non-compete agreements based on the values assigned in prior acquisitions. Based on the Company’s preliminary valuations, the total estimated consideration of $7.1 million has been allocated to assets acquired as of the acquisition date.</w:t>
      </w:r>
    </w:p>
    <w:p>
      <w:pPr>
        <w:spacing w:after="0" w:line="56"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The estimated intangible assets consist primarily of $3.9 million in customer relationships, $0.4 million in trade names, and $0.3 million in covenants not to compete. Definite-lived intangible assets have an estimated weighted average useful life of 7.3 years. We expect all of the goodwill will be deductible for tax purposes. The Company believes the resulting amount of goodwill reflects its expectation of synergistic benefits of the acquisition.</w:t>
      </w:r>
    </w:p>
    <w:p>
      <w:pPr>
        <w:spacing w:after="0" w:line="56" w:lineRule="exact"/>
        <w:rPr>
          <w:sz w:val="20"/>
          <w:szCs w:val="20"/>
          <w:color w:val="auto"/>
        </w:rPr>
      </w:pPr>
    </w:p>
    <w:p>
      <w:pPr>
        <w:ind w:left="640" w:right="719"/>
        <w:spacing w:after="0" w:line="275" w:lineRule="auto"/>
        <w:rPr>
          <w:sz w:val="20"/>
          <w:szCs w:val="20"/>
          <w:color w:val="auto"/>
        </w:rPr>
      </w:pPr>
      <w:r>
        <w:rPr>
          <w:rFonts w:ascii="Times New Roman" w:cs="Times New Roman" w:eastAsia="Times New Roman" w:hAnsi="Times New Roman"/>
          <w:sz w:val="14"/>
          <w:szCs w:val="14"/>
          <w:color w:val="auto"/>
        </w:rPr>
        <w:t>The above acquisition contributed approximately $0.8 million in revenue and $0.1 million in operating income during the three months ended March 31, 2024. Pro forma financial data for the 2024 acquisition has not been included as the results of the operations are not material to our unaudited condensed consolidated financial statements.</w:t>
      </w:r>
    </w:p>
    <w:p>
      <w:pPr>
        <w:spacing w:after="0" w:line="49" w:lineRule="exact"/>
        <w:rPr>
          <w:sz w:val="20"/>
          <w:szCs w:val="20"/>
          <w:color w:val="auto"/>
        </w:rPr>
      </w:pPr>
    </w:p>
    <w:p>
      <w:pPr>
        <w:ind w:left="640" w:right="799"/>
        <w:spacing w:after="0" w:line="275" w:lineRule="auto"/>
        <w:rPr>
          <w:sz w:val="20"/>
          <w:szCs w:val="20"/>
          <w:color w:val="auto"/>
        </w:rPr>
      </w:pPr>
      <w:r>
        <w:rPr>
          <w:rFonts w:ascii="Times New Roman" w:cs="Times New Roman" w:eastAsia="Times New Roman" w:hAnsi="Times New Roman"/>
          <w:sz w:val="14"/>
          <w:szCs w:val="14"/>
          <w:color w:val="auto"/>
        </w:rPr>
        <w:t>During the three months ended March 31, 2024, the Company incurred approximately $0.2 million in transaction costs related to the completed 2024 acquisition. These costs are included in selling, general, and administrative expenses in our unaudited condensed consolidated statements of operations.</w:t>
      </w:r>
    </w:p>
    <w:p>
      <w:pPr>
        <w:spacing w:after="0" w:line="49" w:lineRule="exact"/>
        <w:rPr>
          <w:sz w:val="20"/>
          <w:szCs w:val="20"/>
          <w:color w:val="auto"/>
        </w:rPr>
      </w:pPr>
    </w:p>
    <w:p>
      <w:pPr>
        <w:jc w:val="both"/>
        <w:ind w:left="640" w:right="939"/>
        <w:spacing w:after="0" w:line="275" w:lineRule="auto"/>
        <w:rPr>
          <w:sz w:val="20"/>
          <w:szCs w:val="20"/>
          <w:color w:val="auto"/>
        </w:rPr>
      </w:pPr>
      <w:r>
        <w:rPr>
          <w:rFonts w:ascii="Times New Roman" w:cs="Times New Roman" w:eastAsia="Times New Roman" w:hAnsi="Times New Roman"/>
          <w:sz w:val="14"/>
          <w:szCs w:val="14"/>
          <w:color w:val="auto"/>
        </w:rPr>
        <w:t>The Company also purchased the remaining 30% noncontrolling interest in Gateway Pediatric Therapy LLC during the first fiscal quarter of 2024. This transaction did not meet the definition of a business combination in accordance with Accounting Standards Codification 805</w:t>
      </w:r>
      <w:r>
        <w:rPr>
          <w:rFonts w:ascii="Times New Roman" w:cs="Times New Roman" w:eastAsia="Times New Roman" w:hAnsi="Times New Roman"/>
          <w:sz w:val="14"/>
          <w:szCs w:val="14"/>
          <w:i w:val="1"/>
          <w:iCs w:val="1"/>
          <w:color w:val="auto"/>
        </w:rPr>
        <w:t>, Business Combinations</w:t>
      </w:r>
      <w:r>
        <w:rPr>
          <w:rFonts w:ascii="Times New Roman" w:cs="Times New Roman" w:eastAsia="Times New Roman" w:hAnsi="Times New Roman"/>
          <w:sz w:val="14"/>
          <w:szCs w:val="14"/>
          <w:color w:val="auto"/>
        </w:rPr>
        <w:t>. For further discussion, refer to Note 11.</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2023 Acquisitions</w:t>
      </w:r>
    </w:p>
    <w:p>
      <w:pPr>
        <w:spacing w:after="0" w:line="99" w:lineRule="exact"/>
        <w:rPr>
          <w:sz w:val="20"/>
          <w:szCs w:val="20"/>
          <w:color w:val="auto"/>
        </w:rPr>
      </w:pPr>
    </w:p>
    <w:p>
      <w:pPr>
        <w:ind w:left="640" w:right="879"/>
        <w:spacing w:after="0" w:line="268" w:lineRule="auto"/>
        <w:rPr>
          <w:sz w:val="20"/>
          <w:szCs w:val="20"/>
          <w:color w:val="auto"/>
        </w:rPr>
      </w:pPr>
      <w:r>
        <w:rPr>
          <w:rFonts w:ascii="Times New Roman" w:cs="Times New Roman" w:eastAsia="Times New Roman" w:hAnsi="Times New Roman"/>
          <w:sz w:val="14"/>
          <w:szCs w:val="14"/>
          <w:color w:val="auto"/>
        </w:rPr>
        <w:t>During the year ended December 31, 2023, we completed five acquisitions within the Pharmacy Solutions and Provider Services segments. We entered into these transactions in order to expand our services and geographic offerings. Aggregate consideration for these acquisitions was approximately $73.1 million. No cash was acquired as a part of these transactions. The operating results of these acquisitions are included in our unaudited condensed consolidated financial statements from the date of each acquisition.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20" w:right="1440" w:bottom="1440" w:gutter="0" w:footer="0" w:header="0"/>
        </w:sectPr>
      </w:pPr>
    </w:p>
    <w:bookmarkStart w:id="12" w:name="page13"/>
    <w:bookmarkEnd w:id="12"/>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following table summarizes the consideration paid (in thousands) for these 2023 acquisitions and the estimated fair value of the assets acquired and the liabilities assumed at the acquisition dates, which are adjusted for immaterial measurement-period adjustments through March 31, 2024. Consideration paid for acquisitions by the Pharmacy Solutions and Provider Services segments was $29.8 million and $43.3 million, respectively.</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receivable</w:t>
            </w:r>
          </w:p>
        </w:tc>
        <w:tc>
          <w:tcPr>
            <w:tcW w:w="480" w:type="dxa"/>
            <w:vAlign w:val="bottom"/>
            <w:shd w:val="clear" w:color="auto" w:fill="CFF0FC"/>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FF0FC"/>
          </w:tcPr>
          <w:p>
            <w:pPr>
              <w:spacing w:after="0"/>
              <w:rPr>
                <w:sz w:val="16"/>
                <w:szCs w:val="16"/>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Inventories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and equipment</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Goodwill</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31,494</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37,914</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shd w:val="clear" w:color="auto" w:fill="CFF0FC"/>
          </w:tcPr>
          <w:p>
            <w:pPr>
              <w:spacing w:after="0"/>
              <w:rPr>
                <w:sz w:val="17"/>
                <w:szCs w:val="17"/>
                <w:color w:val="auto"/>
              </w:rPr>
            </w:pPr>
          </w:p>
        </w:tc>
      </w:tr>
      <w:tr>
        <w:trPr>
          <w:trHeight w:val="190"/>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Current portion of obligations under operating leases</w:t>
            </w:r>
          </w:p>
        </w:tc>
        <w:tc>
          <w:tcPr>
            <w:tcW w:w="4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r>
      <w:tr>
        <w:trPr>
          <w:trHeight w:val="198"/>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Obligations under operating leases, net of current portion</w:t>
            </w:r>
          </w:p>
        </w:tc>
        <w:tc>
          <w:tcPr>
            <w:tcW w:w="4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FF0FC"/>
          </w:tcPr>
          <w:p>
            <w:pPr>
              <w:spacing w:after="0"/>
              <w:rPr>
                <w:sz w:val="17"/>
                <w:szCs w:val="17"/>
                <w:color w:val="auto"/>
              </w:rPr>
            </w:pPr>
          </w:p>
        </w:tc>
      </w:tr>
      <w:tr>
        <w:trPr>
          <w:trHeight w:val="18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Aggregate purchase price</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73,077</w:t>
            </w:r>
          </w:p>
        </w:tc>
        <w:tc>
          <w:tcPr>
            <w:tcW w:w="80" w:type="dxa"/>
            <w:vAlign w:val="bottom"/>
          </w:tcPr>
          <w:p>
            <w:pPr>
              <w:spacing w:after="0"/>
              <w:rPr>
                <w:sz w:val="15"/>
                <w:szCs w:val="15"/>
                <w:color w:val="auto"/>
              </w:rPr>
            </w:pPr>
          </w:p>
        </w:tc>
      </w:tr>
      <w:tr>
        <w:trPr>
          <w:trHeight w:val="20"/>
        </w:trPr>
        <w:tc>
          <w:tcPr>
            <w:tcW w:w="6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7" w:lineRule="exact"/>
        <w:rPr>
          <w:sz w:val="20"/>
          <w:szCs w:val="20"/>
          <w:color w:val="auto"/>
        </w:rPr>
      </w:pPr>
    </w:p>
    <w:p>
      <w:pPr>
        <w:ind w:left="640" w:right="759"/>
        <w:spacing w:after="0" w:line="268" w:lineRule="auto"/>
        <w:rPr>
          <w:sz w:val="20"/>
          <w:szCs w:val="20"/>
          <w:color w:val="auto"/>
        </w:rPr>
      </w:pPr>
      <w:r>
        <w:rPr>
          <w:rFonts w:ascii="Times New Roman" w:cs="Times New Roman" w:eastAsia="Times New Roman" w:hAnsi="Times New Roman"/>
          <w:sz w:val="14"/>
          <w:szCs w:val="14"/>
          <w:color w:val="auto"/>
        </w:rPr>
        <w:t>The intangible assets consist primarily of $18.9 million in licenses, $14.0 million in customer relationships, $3.9 million in trade names, and $1.1 million in covenants not to compete. Definite-lived intangible assets have an estimated weighted average useful life of 11.2 years, and the licenses were assigned an indefinite life. We expect all of the goodwill will be deductible for tax purposes. The Company believes the resulting amount of goodwill reflects its expectation of synergistic benefits of the acquisitions.</w:t>
      </w:r>
    </w:p>
    <w:p>
      <w:pPr>
        <w:spacing w:after="0" w:line="56" w:lineRule="exact"/>
        <w:rPr>
          <w:sz w:val="20"/>
          <w:szCs w:val="20"/>
          <w:color w:val="auto"/>
        </w:rPr>
      </w:pPr>
    </w:p>
    <w:p>
      <w:pPr>
        <w:jc w:val="both"/>
        <w:ind w:left="640" w:right="839"/>
        <w:spacing w:after="0" w:line="275" w:lineRule="auto"/>
        <w:rPr>
          <w:sz w:val="20"/>
          <w:szCs w:val="20"/>
          <w:color w:val="auto"/>
        </w:rPr>
      </w:pPr>
      <w:r>
        <w:rPr>
          <w:rFonts w:ascii="Times New Roman" w:cs="Times New Roman" w:eastAsia="Times New Roman" w:hAnsi="Times New Roman"/>
          <w:sz w:val="14"/>
          <w:szCs w:val="14"/>
          <w:color w:val="auto"/>
        </w:rPr>
        <w:t>Measurement period adjustments for 2023 acquisitions recorded in the three months ended March 31, 2024 were not material to the unaudited condensed consolidated financial statements. The Company expects to finalize the purchase price allocation for the 2023 acquisitions prior to the one-year anniversary date of each acquisition.</w:t>
      </w:r>
    </w:p>
    <w:p>
      <w:pPr>
        <w:spacing w:after="0" w:line="49"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4"/>
          <w:szCs w:val="14"/>
          <w:color w:val="auto"/>
        </w:rPr>
        <w:t>The above acquisitions contributed approximately $26.8 million in revenue and $0.9 million of operating income during the three months ended March 31, 2024. No 2023 acquisitions were completed during the first fiscal quarter of 2023, as such the acquisitions did not contribute any revenue or operating income during the three months ended March 31, 2023. Pro forma financial data for 2023 acquisitions has not been included as the results of the operations are not material to our unaudited condensed consolidated financial statements.</w:t>
      </w:r>
    </w:p>
    <w:p>
      <w:pPr>
        <w:spacing w:after="0" w:line="58"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4"/>
          <w:szCs w:val="14"/>
          <w:color w:val="auto"/>
        </w:rPr>
        <w:t>During the three months ended March 31, 2023, the Company incurred approximately $0.1 million in transaction costs related to 2023 acquisitions that were completed in subsequent quarters of 2023. These costs are included in selling, general, and administrative expenses in our unaudited condensed consolidated statements of operations.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4. Goodwill and Intangible Assets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 summary of changes to goodwill, by segment, is as follows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340" w:type="dxa"/>
            <w:vAlign w:val="bottom"/>
          </w:tcPr>
          <w:p>
            <w:pPr>
              <w:spacing w:after="0"/>
              <w:rPr>
                <w:sz w:val="11"/>
                <w:szCs w:val="11"/>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200" w:type="dxa"/>
            <w:vAlign w:val="bottom"/>
          </w:tcPr>
          <w:p>
            <w:pPr>
              <w:spacing w:after="0"/>
              <w:rPr>
                <w:sz w:val="11"/>
                <w:szCs w:val="1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January 1, 2024*</w:t>
            </w:r>
          </w:p>
        </w:tc>
        <w:tc>
          <w:tcPr>
            <w:tcW w:w="380" w:type="dxa"/>
            <w:vAlign w:val="bottom"/>
            <w:shd w:val="clear" w:color="auto" w:fill="CFF0FC"/>
          </w:tcPr>
          <w:p>
            <w:pPr>
              <w:jc w:val="right"/>
              <w:ind w:right="21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833,989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1,774,423</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2,608,412</w:t>
            </w:r>
          </w:p>
        </w:tc>
        <w:tc>
          <w:tcPr>
            <w:tcW w:w="80" w:type="dxa"/>
            <w:vAlign w:val="bottom"/>
            <w:shd w:val="clear" w:color="auto" w:fill="CFF0FC"/>
          </w:tcPr>
          <w:p>
            <w:pPr>
              <w:spacing w:after="0"/>
              <w:rPr>
                <w:sz w:val="16"/>
                <w:szCs w:val="16"/>
                <w:color w:val="auto"/>
              </w:rPr>
            </w:pP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Goodwill added through acquisitions</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80" w:type="dxa"/>
            <w:vAlign w:val="bottom"/>
          </w:tcPr>
          <w:p>
            <w:pPr>
              <w:spacing w:after="0"/>
              <w:rPr>
                <w:sz w:val="16"/>
                <w:szCs w:val="16"/>
                <w:color w:val="auto"/>
              </w:rPr>
            </w:pPr>
          </w:p>
        </w:tc>
      </w:tr>
      <w:tr>
        <w:trPr>
          <w:trHeight w:val="198"/>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Measurement period adjustments</w:t>
            </w: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(200 )</w:t>
            </w:r>
          </w:p>
        </w:tc>
        <w:tc>
          <w:tcPr>
            <w:tcW w:w="2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(200 )</w:t>
            </w:r>
          </w:p>
        </w:tc>
      </w:tr>
      <w:tr>
        <w:trPr>
          <w:trHeight w:val="190"/>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adjustments</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(107 )</w:t>
            </w:r>
          </w:p>
        </w:tc>
        <w:tc>
          <w:tcPr>
            <w:tcW w:w="20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(107 )</w:t>
            </w:r>
          </w:p>
        </w:tc>
      </w:tr>
      <w:tr>
        <w:trPr>
          <w:trHeight w:val="224"/>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at March 31, 2024*</w:t>
            </w:r>
          </w:p>
        </w:tc>
        <w:tc>
          <w:tcPr>
            <w:tcW w:w="380" w:type="dxa"/>
            <w:vAlign w:val="bottom"/>
            <w:tcBorders>
              <w:top w:val="single" w:sz="8" w:color="auto"/>
              <w:bottom w:val="single" w:sz="8" w:color="auto"/>
            </w:tcBorders>
            <w:shd w:val="clear" w:color="auto" w:fill="CFF0FC"/>
          </w:tcPr>
          <w:p>
            <w:pPr>
              <w:jc w:val="right"/>
              <w:ind w:right="213"/>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835,112</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1,774,116</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2,609,228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3891915</wp:posOffset>
            </wp:positionH>
            <wp:positionV relativeFrom="paragraph">
              <wp:posOffset>-19685</wp:posOffset>
            </wp:positionV>
            <wp:extent cx="546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3891915</wp:posOffset>
            </wp:positionH>
            <wp:positionV relativeFrom="paragraph">
              <wp:posOffset>-6350</wp:posOffset>
            </wp:positionV>
            <wp:extent cx="546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-19685</wp:posOffset>
            </wp:positionV>
            <wp:extent cx="4762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-6350</wp:posOffset>
            </wp:positionV>
            <wp:extent cx="4762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48" w:lineRule="exact"/>
        <w:rPr>
          <w:sz w:val="20"/>
          <w:szCs w:val="20"/>
          <w:color w:val="auto"/>
        </w:rPr>
      </w:pPr>
    </w:p>
    <w:p>
      <w:pPr>
        <w:jc w:val="center"/>
        <w:ind w:left="4440" w:right="1059" w:hanging="3809"/>
        <w:spacing w:after="0" w:line="721" w:lineRule="auto"/>
        <w:tabs>
          <w:tab w:leader="none" w:pos="719"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period presented, the carrying amount of goodwill is presented net of accumulated impairment losses of $40.9 million.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85725</wp:posOffset>
            </wp:positionV>
            <wp:extent cx="4944745"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color w:val="auto"/>
        </w:rPr>
        <w:t>Intangible assets are as follows (in thousands):</w:t>
      </w:r>
    </w:p>
    <w:p>
      <w:pPr>
        <w:spacing w:after="0" w:line="193"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1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3"/>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2023</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96"/>
        </w:trPr>
        <w:tc>
          <w:tcPr>
            <w:tcW w:w="1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jc w:val="right"/>
              <w:ind w:right="58"/>
              <w:spacing w:after="0" w:line="96"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 w:type="dxa"/>
            <w:vAlign w:val="bottom"/>
          </w:tcPr>
          <w:p>
            <w:pPr>
              <w:spacing w:after="0"/>
              <w:rPr>
                <w:sz w:val="8"/>
                <w:szCs w:val="8"/>
                <w:color w:val="auto"/>
              </w:rPr>
            </w:pPr>
          </w:p>
        </w:tc>
        <w:tc>
          <w:tcPr>
            <w:tcW w:w="68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Net Carrying</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8"/>
                <w:szCs w:val="8"/>
                <w:color w:val="auto"/>
              </w:rPr>
            </w:pPr>
          </w:p>
        </w:tc>
        <w:tc>
          <w:tcPr>
            <w:tcW w:w="640" w:type="dxa"/>
            <w:vAlign w:val="bottom"/>
            <w:gridSpan w:val="2"/>
          </w:tcPr>
          <w:p>
            <w:pPr>
              <w:jc w:val="right"/>
              <w:spacing w:after="0" w:line="96" w:lineRule="exact"/>
              <w:rPr>
                <w:sz w:val="20"/>
                <w:szCs w:val="20"/>
                <w:color w:val="auto"/>
              </w:rPr>
            </w:pPr>
            <w:r>
              <w:rPr>
                <w:rFonts w:ascii="Times New Roman" w:cs="Times New Roman" w:eastAsia="Times New Roman" w:hAnsi="Times New Roman"/>
                <w:sz w:val="10"/>
                <w:szCs w:val="10"/>
                <w:b w:val="1"/>
                <w:bCs w:val="1"/>
                <w:color w:val="auto"/>
              </w:rPr>
              <w:t>Net Carrying</w:t>
            </w:r>
          </w:p>
        </w:tc>
        <w:tc>
          <w:tcPr>
            <w:tcW w:w="160" w:type="dxa"/>
            <w:vAlign w:val="bottom"/>
          </w:tcPr>
          <w:p>
            <w:pPr>
              <w:spacing w:after="0"/>
              <w:rPr>
                <w:sz w:val="8"/>
                <w:szCs w:val="8"/>
                <w:color w:val="auto"/>
              </w:rPr>
            </w:pPr>
          </w:p>
        </w:tc>
        <w:tc>
          <w:tcPr>
            <w:tcW w:w="660" w:type="dxa"/>
            <w:vAlign w:val="bottom"/>
          </w:tcPr>
          <w:p>
            <w:pPr>
              <w:jc w:val="center"/>
              <w:spacing w:after="0" w:line="96" w:lineRule="exact"/>
              <w:rPr>
                <w:sz w:val="20"/>
                <w:szCs w:val="20"/>
                <w:color w:val="auto"/>
              </w:rPr>
            </w:pPr>
            <w:r>
              <w:rPr>
                <w:rFonts w:ascii="Times New Roman" w:cs="Times New Roman" w:eastAsia="Times New Roman" w:hAnsi="Times New Roman"/>
                <w:sz w:val="10"/>
                <w:szCs w:val="10"/>
                <w:b w:val="1"/>
                <w:bCs w:val="1"/>
                <w:color w:val="auto"/>
              </w:rPr>
              <w:t>Life</w:t>
            </w:r>
          </w:p>
        </w:tc>
      </w:tr>
      <w:tr>
        <w:trPr>
          <w:trHeight w:val="133"/>
        </w:trPr>
        <w:tc>
          <w:tcPr>
            <w:tcW w:w="17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0"/>
                <w:szCs w:val="10"/>
                <w:b w:val="1"/>
                <w:bCs w:val="1"/>
                <w:color w:val="auto"/>
                <w:w w:val="97"/>
              </w:rPr>
              <w:t>Amortization</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Gross</w:t>
            </w:r>
          </w:p>
        </w:tc>
        <w:tc>
          <w:tcPr>
            <w:tcW w:w="160" w:type="dxa"/>
            <w:vAlign w:val="bottom"/>
          </w:tcPr>
          <w:p>
            <w:pPr>
              <w:spacing w:after="0"/>
              <w:rPr>
                <w:sz w:val="11"/>
                <w:szCs w:val="11"/>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6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(Years)</w:t>
            </w:r>
          </w:p>
        </w:tc>
      </w:tr>
      <w:tr>
        <w:trPr>
          <w:trHeight w:val="175"/>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Customer relationships</w:t>
            </w:r>
          </w:p>
        </w:tc>
        <w:tc>
          <w:tcPr>
            <w:tcW w:w="2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696,840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357,671</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339,169</w:t>
            </w:r>
          </w:p>
        </w:tc>
        <w:tc>
          <w:tcPr>
            <w:tcW w:w="3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697,947</w:t>
            </w:r>
          </w:p>
        </w:tc>
        <w:tc>
          <w:tcPr>
            <w:tcW w:w="3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344,662</w:t>
            </w:r>
          </w:p>
        </w:tc>
        <w:tc>
          <w:tcPr>
            <w:tcW w:w="2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353,285</w:t>
            </w:r>
          </w:p>
        </w:tc>
        <w:tc>
          <w:tcPr>
            <w:tcW w:w="82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3"/>
                <w:szCs w:val="13"/>
                <w:color w:val="auto"/>
              </w:rPr>
              <w:t>5-20</w:t>
            </w:r>
          </w:p>
        </w:tc>
      </w:tr>
      <w:tr>
        <w:trPr>
          <w:trHeight w:val="175"/>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Trade names</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330,458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123,574</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206,884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330,029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117,579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212,450</w:t>
            </w:r>
          </w:p>
        </w:tc>
        <w:tc>
          <w:tcPr>
            <w:tcW w:w="8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auto"/>
              </w:rPr>
              <w:t>3-20</w:t>
            </w:r>
          </w:p>
        </w:tc>
      </w:tr>
      <w:tr>
        <w:trPr>
          <w:trHeight w:val="19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Licenses</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236,757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58,616</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178,141</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238,682</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56,022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182,660</w:t>
            </w:r>
          </w:p>
        </w:tc>
        <w:tc>
          <w:tcPr>
            <w:tcW w:w="82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3"/>
                <w:szCs w:val="13"/>
                <w:color w:val="auto"/>
                <w:w w:val="98"/>
              </w:rPr>
              <w:t>15-20</w:t>
            </w:r>
          </w:p>
        </w:tc>
      </w:tr>
      <w:tr>
        <w:trPr>
          <w:trHeight w:val="175"/>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Doctor/payor network</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3,930</w:t>
            </w:r>
          </w:p>
        </w:tc>
        <w:tc>
          <w:tcPr>
            <w:tcW w:w="8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auto"/>
                <w:w w:val="92"/>
              </w:rPr>
              <w:t>5-8</w:t>
            </w:r>
          </w:p>
        </w:tc>
      </w:tr>
      <w:tr>
        <w:trPr>
          <w:trHeight w:val="19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Covenants not to compete</w:t>
            </w: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13,376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9,113</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4,263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13,126</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8,535</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4,591</w:t>
            </w:r>
          </w:p>
        </w:tc>
        <w:tc>
          <w:tcPr>
            <w:tcW w:w="820" w:type="dxa"/>
            <w:vAlign w:val="bottom"/>
            <w:gridSpan w:val="2"/>
            <w:shd w:val="clear" w:color="auto" w:fill="CFF0FC"/>
          </w:tcPr>
          <w:p>
            <w:pPr>
              <w:jc w:val="center"/>
              <w:ind w:left="75"/>
              <w:spacing w:after="0"/>
              <w:rPr>
                <w:sz w:val="20"/>
                <w:szCs w:val="20"/>
                <w:color w:val="auto"/>
              </w:rPr>
            </w:pPr>
            <w:r>
              <w:rPr>
                <w:rFonts w:ascii="Times New Roman" w:cs="Times New Roman" w:eastAsia="Times New Roman" w:hAnsi="Times New Roman"/>
                <w:sz w:val="13"/>
                <w:szCs w:val="13"/>
                <w:color w:val="auto"/>
                <w:w w:val="92"/>
              </w:rPr>
              <w:t>2-7</w:t>
            </w:r>
          </w:p>
        </w:tc>
      </w:tr>
      <w:tr>
        <w:trPr>
          <w:trHeight w:val="180"/>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10,949</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5,750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10,949</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4,809</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6,140</w:t>
            </w:r>
          </w:p>
        </w:tc>
        <w:tc>
          <w:tcPr>
            <w:tcW w:w="820" w:type="dxa"/>
            <w:vAlign w:val="bottom"/>
            <w:gridSpan w:val="2"/>
          </w:tcPr>
          <w:p>
            <w:pPr>
              <w:jc w:val="center"/>
              <w:ind w:left="75"/>
              <w:spacing w:after="0"/>
              <w:rPr>
                <w:sz w:val="20"/>
                <w:szCs w:val="20"/>
                <w:color w:val="auto"/>
              </w:rPr>
            </w:pPr>
            <w:r>
              <w:rPr>
                <w:rFonts w:ascii="Times New Roman" w:cs="Times New Roman" w:eastAsia="Times New Roman" w:hAnsi="Times New Roman"/>
                <w:sz w:val="13"/>
                <w:szCs w:val="13"/>
                <w:color w:val="auto"/>
                <w:w w:val="92"/>
              </w:rPr>
              <w:t>5-7</w:t>
            </w:r>
          </w:p>
        </w:tc>
      </w:tr>
      <w:tr>
        <w:trPr>
          <w:trHeight w:val="176"/>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definite-lived assets</w:t>
            </w:r>
          </w:p>
        </w:tc>
        <w:tc>
          <w:tcPr>
            <w:tcW w:w="20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1,301,110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563,514</w:t>
            </w:r>
          </w:p>
        </w:tc>
        <w:tc>
          <w:tcPr>
            <w:tcW w:w="30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737,596</w:t>
            </w:r>
          </w:p>
        </w:tc>
        <w:tc>
          <w:tcPr>
            <w:tcW w:w="3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1,303,463</w:t>
            </w:r>
          </w:p>
        </w:tc>
        <w:tc>
          <w:tcPr>
            <w:tcW w:w="300" w:type="dxa"/>
            <w:vAlign w:val="bottom"/>
            <w:gridSpan w:val="2"/>
            <w:shd w:val="clear" w:color="auto" w:fill="CFF0FC"/>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540,407</w:t>
            </w:r>
          </w:p>
        </w:tc>
        <w:tc>
          <w:tcPr>
            <w:tcW w:w="28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763,056</w:t>
            </w: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r>
      <w:tr>
        <w:trPr>
          <w:trHeight w:val="180"/>
        </w:trPr>
        <w:tc>
          <w:tcPr>
            <w:tcW w:w="1700" w:type="dxa"/>
            <w:vAlign w:val="bottom"/>
          </w:tcPr>
          <w:p>
            <w:pPr>
              <w:spacing w:after="0"/>
              <w:rPr>
                <w:sz w:val="20"/>
                <w:szCs w:val="20"/>
                <w:color w:val="auto"/>
              </w:rPr>
            </w:pPr>
            <w:r>
              <w:rPr>
                <w:rFonts w:ascii="Times New Roman" w:cs="Times New Roman" w:eastAsia="Times New Roman" w:hAnsi="Times New Roman"/>
                <w:sz w:val="13"/>
                <w:szCs w:val="13"/>
                <w:color w:val="auto"/>
              </w:rPr>
              <w:t>Licenses</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118,420</w:t>
            </w:r>
          </w:p>
        </w:tc>
        <w:tc>
          <w:tcPr>
            <w:tcW w:w="1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Indefinite</w:t>
            </w:r>
          </w:p>
        </w:tc>
      </w:tr>
      <w:tr>
        <w:trPr>
          <w:trHeight w:val="208"/>
        </w:trPr>
        <w:tc>
          <w:tcPr>
            <w:tcW w:w="1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Total intangible assets</w:t>
            </w:r>
          </w:p>
        </w:tc>
        <w:tc>
          <w:tcPr>
            <w:tcW w:w="20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1,419,530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563,514</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856,016</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1,421,883</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ind w:right="5"/>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540,407</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ind w:right="3"/>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881,476</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2040255</wp:posOffset>
            </wp:positionH>
            <wp:positionV relativeFrom="paragraph">
              <wp:posOffset>-19685</wp:posOffset>
            </wp:positionV>
            <wp:extent cx="546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2040255</wp:posOffset>
            </wp:positionH>
            <wp:positionV relativeFrom="paragraph">
              <wp:posOffset>-6350</wp:posOffset>
            </wp:positionV>
            <wp:extent cx="5461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-19685</wp:posOffset>
            </wp:positionV>
            <wp:extent cx="546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2647950</wp:posOffset>
            </wp:positionH>
            <wp:positionV relativeFrom="paragraph">
              <wp:posOffset>-6350</wp:posOffset>
            </wp:positionV>
            <wp:extent cx="5461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-19685</wp:posOffset>
            </wp:positionV>
            <wp:extent cx="476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-6350</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-19685</wp:posOffset>
            </wp:positionV>
            <wp:extent cx="4762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-6350</wp:posOffset>
            </wp:positionV>
            <wp:extent cx="4762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-19685</wp:posOffset>
            </wp:positionV>
            <wp:extent cx="4762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-6350</wp:posOffset>
            </wp:positionV>
            <wp:extent cx="4762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-19685</wp:posOffset>
            </wp:positionV>
            <wp:extent cx="4762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4800600</wp:posOffset>
            </wp:positionH>
            <wp:positionV relativeFrom="paragraph">
              <wp:posOffset>-6350</wp:posOffset>
            </wp:positionV>
            <wp:extent cx="476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Amortization expense for the three months ended March 31, 2024 and 2023 was $28.6 million and $30.8 million, respectively.</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Debt and Derivatives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180" w:type="dxa"/>
            <w:vAlign w:val="bottom"/>
          </w:tcPr>
          <w:p>
            <w:pPr>
              <w:spacing w:after="0"/>
              <w:rPr>
                <w:sz w:val="12"/>
                <w:szCs w:val="12"/>
                <w:color w:val="auto"/>
              </w:rPr>
            </w:pPr>
          </w:p>
        </w:tc>
        <w:tc>
          <w:tcPr>
            <w:tcW w:w="1720" w:type="dxa"/>
            <w:vAlign w:val="bottom"/>
            <w:gridSpan w:val="4"/>
          </w:tcPr>
          <w:p>
            <w:pPr>
              <w:jc w:val="right"/>
              <w:ind w:right="409"/>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40" w:type="dxa"/>
            <w:vAlign w:val="bottom"/>
          </w:tcPr>
          <w:p>
            <w:pPr>
              <w:spacing w:after="0"/>
              <w:rPr>
                <w:sz w:val="12"/>
                <w:szCs w:val="12"/>
                <w:color w:val="auto"/>
              </w:rPr>
            </w:pPr>
          </w:p>
        </w:tc>
        <w:tc>
          <w:tcPr>
            <w:tcW w:w="170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1"/>
        </w:trPr>
        <w:tc>
          <w:tcPr>
            <w:tcW w:w="418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Rate</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Rate</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32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r>
      <w:tr>
        <w:trPr>
          <w:trHeight w:val="184"/>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 payable to lenders at SOFR plus applicable margin</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4"/>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8.72 %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1,719,360</w:t>
            </w:r>
          </w:p>
        </w:tc>
        <w:tc>
          <w:tcPr>
            <w:tcW w:w="80" w:type="dxa"/>
            <w:vAlign w:val="bottom"/>
            <w:shd w:val="clear" w:color="auto" w:fill="CFF0FC"/>
          </w:tcPr>
          <w:p>
            <w:pPr>
              <w:spacing w:after="0"/>
              <w:rPr>
                <w:sz w:val="16"/>
                <w:szCs w:val="16"/>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First Lien Incremental Term Loans Tranches B-2 and B-3 - payable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8.97 %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1,189,975</w:t>
            </w:r>
          </w:p>
        </w:tc>
        <w:tc>
          <w:tcPr>
            <w:tcW w:w="80" w:type="dxa"/>
            <w:vAlign w:val="bottom"/>
          </w:tcPr>
          <w:p>
            <w:pPr>
              <w:spacing w:after="0"/>
              <w:rPr>
                <w:sz w:val="14"/>
                <w:szCs w:val="14"/>
                <w:color w:val="auto"/>
              </w:rPr>
            </w:pPr>
          </w:p>
        </w:tc>
      </w:tr>
      <w:tr>
        <w:trPr>
          <w:trHeight w:val="192"/>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lenders at SOFR plus applicable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First Lien Incremental Term Loan Tranche B-4 - payable to lenders</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8.58 %</w:t>
            </w: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2,566,000</w:t>
            </w:r>
          </w:p>
        </w:tc>
        <w:tc>
          <w:tcPr>
            <w:tcW w:w="140" w:type="dxa"/>
            <w:vAlign w:val="bottom"/>
            <w:shd w:val="clear" w:color="auto" w:fill="CFF0FC"/>
          </w:tcPr>
          <w:p>
            <w:pPr>
              <w:spacing w:after="0"/>
              <w:rPr>
                <w:sz w:val="15"/>
                <w:szCs w:val="15"/>
                <w:color w:val="auto"/>
              </w:rPr>
            </w:pPr>
          </w:p>
        </w:tc>
        <w:tc>
          <w:tcPr>
            <w:tcW w:w="940" w:type="dxa"/>
            <w:vAlign w:val="bottom"/>
            <w:gridSpan w:val="3"/>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at SOFR plus applicable margin</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Second Lien - payable to lenders at SOFR plus applicable margin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13.97 %</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w:t>
            </w:r>
          </w:p>
        </w:tc>
        <w:tc>
          <w:tcPr>
            <w:tcW w:w="80" w:type="dxa"/>
            <w:vAlign w:val="bottom"/>
          </w:tcPr>
          <w:p>
            <w:pPr>
              <w:spacing w:after="0"/>
              <w:rPr>
                <w:sz w:val="16"/>
                <w:szCs w:val="16"/>
                <w:color w:val="auto"/>
              </w:rPr>
            </w:pPr>
          </w:p>
        </w:tc>
      </w:tr>
      <w:tr>
        <w:trPr>
          <w:trHeight w:val="172"/>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Revolving Credit Loans - payable to lenders at SOFR plus</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8.55 %</w:t>
            </w: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9.59 %</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80" w:type="dxa"/>
            <w:vAlign w:val="bottom"/>
            <w:shd w:val="clear" w:color="auto" w:fill="CFF0FC"/>
          </w:tcPr>
          <w:p>
            <w:pPr>
              <w:spacing w:after="0"/>
              <w:rPr>
                <w:sz w:val="14"/>
                <w:szCs w:val="14"/>
                <w:color w:val="auto"/>
              </w:rPr>
            </w:pPr>
          </w:p>
        </w:tc>
      </w:tr>
      <w:tr>
        <w:trPr>
          <w:trHeight w:val="198"/>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applicable margin</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Swingline/Base Rate - payable to lenders at ABR plus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10.75 %</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11.75 %</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tcPr>
          <w:p>
            <w:pPr>
              <w:spacing w:after="0"/>
              <w:rPr>
                <w:sz w:val="14"/>
                <w:szCs w:val="14"/>
                <w:color w:val="auto"/>
              </w:rPr>
            </w:pPr>
          </w:p>
        </w:tc>
      </w:tr>
      <w:tr>
        <w:trPr>
          <w:trHeight w:val="192"/>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applicable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0"/>
        </w:trPr>
        <w:tc>
          <w:tcPr>
            <w:tcW w:w="4180" w:type="dxa"/>
            <w:vAlign w:val="bottom"/>
            <w:shd w:val="clear" w:color="auto" w:fill="CFF0FC"/>
          </w:tcPr>
          <w:p>
            <w:pPr>
              <w:spacing w:after="0" w:line="200" w:lineRule="exact"/>
              <w:rPr>
                <w:sz w:val="20"/>
                <w:szCs w:val="20"/>
                <w:color w:val="auto"/>
              </w:rPr>
            </w:pPr>
            <w:r>
              <w:rPr>
                <w:rFonts w:ascii="Times New Roman" w:cs="Times New Roman" w:eastAsia="Times New Roman" w:hAnsi="Times New Roman"/>
                <w:sz w:val="14"/>
                <w:szCs w:val="14"/>
                <w:color w:val="auto"/>
              </w:rPr>
              <w:t xml:space="preserve">Amortizing Notes </w:t>
            </w:r>
            <w:r>
              <w:rPr>
                <w:rFonts w:ascii="Times New Roman" w:cs="Times New Roman" w:eastAsia="Times New Roman" w:hAnsi="Times New Roman"/>
                <w:sz w:val="19"/>
                <w:szCs w:val="19"/>
                <w:color w:val="auto"/>
                <w:vertAlign w:val="superscript"/>
              </w:rPr>
              <w:t>(1)</w:t>
            </w: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69,294</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Notes payable and other</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4,356</w:t>
            </w:r>
          </w:p>
        </w:tc>
        <w:tc>
          <w:tcPr>
            <w:tcW w:w="80" w:type="dxa"/>
            <w:vAlign w:val="bottom"/>
          </w:tcPr>
          <w:p>
            <w:pPr>
              <w:spacing w:after="0"/>
              <w:rPr>
                <w:sz w:val="16"/>
                <w:szCs w:val="16"/>
                <w:color w:val="auto"/>
              </w:rPr>
            </w:pPr>
          </w:p>
        </w:tc>
      </w:tr>
      <w:tr>
        <w:trPr>
          <w:trHeight w:val="188"/>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w:t>
            </w: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2,639,632</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3,414,391</w:t>
            </w:r>
          </w:p>
        </w:tc>
        <w:tc>
          <w:tcPr>
            <w:tcW w:w="80" w:type="dxa"/>
            <w:vAlign w:val="bottom"/>
            <w:shd w:val="clear" w:color="auto" w:fill="CFF0FC"/>
          </w:tcPr>
          <w:p>
            <w:pPr>
              <w:spacing w:after="0"/>
              <w:rPr>
                <w:sz w:val="16"/>
                <w:szCs w:val="16"/>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Less: debt issuance costs, net</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75,823</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50,177</w:t>
            </w:r>
          </w:p>
        </w:tc>
        <w:tc>
          <w:tcPr>
            <w:tcW w:w="80" w:type="dxa"/>
            <w:vAlign w:val="bottom"/>
          </w:tcPr>
          <w:p>
            <w:pPr>
              <w:spacing w:after="0"/>
              <w:rPr>
                <w:sz w:val="16"/>
                <w:szCs w:val="16"/>
                <w:color w:val="auto"/>
              </w:rPr>
            </w:pPr>
          </w:p>
        </w:tc>
      </w:tr>
      <w:tr>
        <w:trPr>
          <w:trHeight w:val="188"/>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debt, net of debt issuance costs</w:t>
            </w: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2,563,809</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3,364,214</w:t>
            </w:r>
          </w:p>
        </w:tc>
        <w:tc>
          <w:tcPr>
            <w:tcW w:w="80" w:type="dxa"/>
            <w:vAlign w:val="bottom"/>
            <w:shd w:val="clear" w:color="auto" w:fill="CFF0FC"/>
          </w:tcPr>
          <w:p>
            <w:pPr>
              <w:spacing w:after="0"/>
              <w:rPr>
                <w:sz w:val="16"/>
                <w:szCs w:val="16"/>
                <w:color w:val="auto"/>
              </w:rPr>
            </w:pPr>
          </w:p>
        </w:tc>
      </w:tr>
      <w:tr>
        <w:trPr>
          <w:trHeight w:val="190"/>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48,670</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32,273</w:t>
            </w:r>
          </w:p>
        </w:tc>
        <w:tc>
          <w:tcPr>
            <w:tcW w:w="80" w:type="dxa"/>
            <w:vAlign w:val="bottom"/>
          </w:tcPr>
          <w:p>
            <w:pPr>
              <w:spacing w:after="0"/>
              <w:rPr>
                <w:sz w:val="16"/>
                <w:szCs w:val="16"/>
                <w:color w:val="auto"/>
              </w:rPr>
            </w:pPr>
          </w:p>
        </w:tc>
      </w:tr>
      <w:tr>
        <w:trPr>
          <w:trHeight w:val="224"/>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long-term debt</w:t>
            </w:r>
          </w:p>
        </w:tc>
        <w:tc>
          <w:tcPr>
            <w:tcW w:w="7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2,515,139</w:t>
            </w:r>
          </w:p>
        </w:tc>
        <w:tc>
          <w:tcPr>
            <w:tcW w:w="920" w:type="dxa"/>
            <w:vAlign w:val="bottom"/>
            <w:tcBorders>
              <w:bottom w:val="single" w:sz="8" w:color="CFF0FC"/>
            </w:tcBorders>
            <w:gridSpan w:val="3"/>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3,331,941</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-19685</wp:posOffset>
            </wp:positionV>
            <wp:extent cx="4762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-6350</wp:posOffset>
            </wp:positionV>
            <wp:extent cx="4762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4"/>
          <w:szCs w:val="14"/>
          <w:color w:val="auto"/>
        </w:rPr>
        <w:t xml:space="preserve"> See Note 6 for discussion of Amortizing Notes.</w:t>
      </w:r>
    </w:p>
    <w:p>
      <w:pPr>
        <w:spacing w:after="0" w:line="174" w:lineRule="exact"/>
        <w:rPr>
          <w:sz w:val="20"/>
          <w:szCs w:val="20"/>
          <w:color w:val="auto"/>
        </w:rPr>
      </w:pPr>
    </w:p>
    <w:p>
      <w:pPr>
        <w:ind w:left="640" w:right="779"/>
        <w:spacing w:after="0" w:line="275" w:lineRule="auto"/>
        <w:rPr>
          <w:sz w:val="20"/>
          <w:szCs w:val="20"/>
          <w:color w:val="auto"/>
        </w:rPr>
      </w:pPr>
      <w:r>
        <w:rPr>
          <w:rFonts w:ascii="Times New Roman" w:cs="Times New Roman" w:eastAsia="Times New Roman" w:hAnsi="Times New Roman"/>
          <w:sz w:val="14"/>
          <w:szCs w:val="14"/>
          <w:color w:val="auto"/>
        </w:rPr>
        <w:t>The following discussion summarizes the debt agreements and related modifications for the three months ended March 31, 2024 and the year ended December 31, 2023. We were in compliance with all applicable financial debt covenants at March 31, 2024 and December 31, 2023.</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On March 5, 2019, the Company entered into a First Lien Credit Agreement (the “First Lien”), with Morgan Stanley Senior Funding, Inc., as the Administrative Agent and the Collateral Agent. The First Lien originally consisted of a principal amount of $1,650.0 million. In 2019, an additional delayed draw of $150.0 million was made on the First Lien, resulting in a gross borrowing of $1,800.0 million (“Tranche B-1”). The First Lien, as amended in 2020, provided for the establishment of a Tranche B-2 Term Loan (“Tranche B-2”) in an aggregate principal amount equal to $550.0 million. The First Lien, as amended in 2021, provided for the establishment of a Tranche B-3 Term Loan (“Tranche B-3”) in an aggregate principal amount equal to $675.0 million.</w:t>
      </w:r>
    </w:p>
    <w:p>
      <w:pPr>
        <w:spacing w:after="0" w:line="56" w:lineRule="exact"/>
        <w:rPr>
          <w:sz w:val="20"/>
          <w:szCs w:val="20"/>
          <w:color w:val="auto"/>
        </w:rPr>
      </w:pPr>
    </w:p>
    <w:p>
      <w:pPr>
        <w:ind w:left="640" w:right="899"/>
        <w:spacing w:after="0" w:line="268"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amended the First Lien to establish a new Tranche B-4 Term Loan (“Tranche B-4”) in an aggregate principal amount of $2,566.0 million. The proceeds from Tranche B-4 borrowings were used to refinance the equivalent amount of the remaining First Lien Tranches B-1, B-2, and B-3 borrowings at a rate equal to Secured Overnight Financing Rate</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4" w:name="page15"/>
    <w:bookmarkEnd w:id="14"/>
    <w:p>
      <w:pPr>
        <w:ind w:left="640" w:right="879"/>
        <w:spacing w:after="0" w:line="275" w:lineRule="auto"/>
        <w:rPr>
          <w:sz w:val="20"/>
          <w:szCs w:val="20"/>
          <w:color w:val="auto"/>
        </w:rPr>
      </w:pPr>
      <w:r>
        <w:rPr>
          <w:rFonts w:ascii="Times New Roman" w:cs="Times New Roman" w:eastAsia="Times New Roman" w:hAnsi="Times New Roman"/>
          <w:sz w:val="14"/>
          <w:szCs w:val="14"/>
          <w:color w:val="auto"/>
        </w:rPr>
        <w:t>(“SOFR”) plus 3.25%. Tranche B-4 has a maturity date of February 21, 2031. The transaction was accounted for as a debt modification. Principal payments are due on the last business day of each quarter, commencing in the second fiscal quarter of 2024 and equate to 1% of the principal at issuance with a balloon payment due February 21, 2031.</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First Lien also extended credit in the form of Revolving Credit Facility (the “Revolver”) made available at any time and from time to time prior to the Revolving Credit Maturity Date (as defined in the First Lien). The Revolver comprises Revolving Credit Loans and Swingline Loans. The Swingline Lender may issue Swingline Loans at any time and from time to time prior to the Revolving Credit Maturity Date, in an aggregated amount outstanding not in excess of $50.0 million. Additionally, the Letter of Credit Issuer may issue standby Letters of Credit at any time, in an aggregate stated amount outstanding not in excess of $82.5 million (the “LC Sublimit”), which reduces the Revolver borrowing capacity. In connection with the First Lien modification on February 21, 2024, borrowings of the Revolver bear interest at a rate equal to, SOFR (with a floor of 0.00%) plus 3.25% for the Revolving Credit Loans or Alternate Base Rate (“ABR”) plus 2.25% for the Swingline Loans. The modification also removed the springing maturity covenant of the Revolver. As such, the Revolver has a Revolving Credit Maturity Date of June 30, 2028.</w:t>
      </w:r>
    </w:p>
    <w:p>
      <w:pPr>
        <w:spacing w:after="0" w:line="6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The total borrowing capacity under the Revolver was $475.0 million as of March 31, 2024 and December 31, 2023. As of March 31, 2024, the Company had no borrowings outstanding under the Revolver and $7.8 million of letters of credit, reducing the available borrowing capacity to approximately $467.2 million. As of December 31, 2023, the Company had $50.7 million of borrowings outstanding under the Revolver and $6.6 million of letters of credit reducing the available borrowing capacity to approximately $417.7 million.</w:t>
      </w:r>
    </w:p>
    <w:p>
      <w:pPr>
        <w:spacing w:after="0" w:line="58" w:lineRule="exact"/>
        <w:rPr>
          <w:sz w:val="20"/>
          <w:szCs w:val="20"/>
          <w:color w:val="auto"/>
        </w:rPr>
      </w:pPr>
    </w:p>
    <w:p>
      <w:pPr>
        <w:ind w:left="640" w:right="719"/>
        <w:spacing w:after="0" w:line="272" w:lineRule="auto"/>
        <w:rPr>
          <w:sz w:val="20"/>
          <w:szCs w:val="20"/>
          <w:color w:val="auto"/>
        </w:rPr>
      </w:pPr>
      <w:r>
        <w:rPr>
          <w:rFonts w:ascii="Times New Roman" w:cs="Times New Roman" w:eastAsia="Times New Roman" w:hAnsi="Times New Roman"/>
          <w:sz w:val="14"/>
          <w:szCs w:val="14"/>
          <w:color w:val="auto"/>
        </w:rPr>
        <w:t>The Company’s First Lien also provides for an additional $55.0 million of letter of credit commitments (the “LC Facility”), which are not subject to the LC Sublimit and do not reduce the Revolver borrowing capacity. As of March 31, 2024 and December 31, 2023, there were $54.3 million of letters of credit outstanding under the LC Facility resulting in an available borrowing capacity of $0.7 million.</w:t>
      </w:r>
    </w:p>
    <w:p>
      <w:pPr>
        <w:spacing w:after="0" w:line="3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Company’s amended and restated Second Lien Credit Agreement (the “Second Lien Facility”), with certain Lenders and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Wilmington Trust, National Association, as the Administrative Agent and the Collateral Agent consists of a principal amount of</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$450.0 million. On January 30, 2024, we used a portion of the net proceeds received from the IPO Offerings to repay all outstanding</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borrowings under the Second Lien Facility. No remaining obligation exists related to the Second Lien Facility. This transaction was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accounted for as a debt extinguishment and the Company incurred a loss on extinguishment of debt of $12.7 million related to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write-off of unamortized debt issuance costs.</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Derivative Financial Instruments</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three receive-variable, pay-fixed interest rate swap agreements, all effective September 30, 2022. Taken together with the related debt, these swaps create the economic equivalent of fixed-rate debt, up to the notional amount of the hedged debt. By using a derivative instrument to hedge exposures to changes in interest rates, we expose ourselves to credit risk. Credit risk is the failure of the counterparty to perform under the terms of the derivative contract. When the fair value of a derivative contract is positive, the counterparty owes the Company, which creates credit risk for the Company. When the fair value of a derivative contract is negative, the Company owes the counterparty and, therefore, the Company is not exposed to the counterparty’s credit risk in those circumstances. The Company mitigates counterparty credit risk in derivative instruments by entering into transactions with high-quality counterparties. The derivative instruments entered into by the Company do not contain credit-risk-related contingent features.</w:t>
      </w:r>
    </w:p>
    <w:p>
      <w:pPr>
        <w:spacing w:after="0" w:line="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As of March 31, 2024, we have the following interest rate swap agreements with a total notional value of $2.0 billion:</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Financial Institution</w:t>
            </w:r>
          </w:p>
        </w:tc>
        <w:tc>
          <w:tcPr>
            <w:tcW w:w="100" w:type="dxa"/>
            <w:vAlign w:val="bottom"/>
          </w:tcPr>
          <w:p>
            <w:pPr>
              <w:spacing w:after="0"/>
              <w:rPr>
                <w:sz w:val="12"/>
                <w:szCs w:val="12"/>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Effective Dates</w:t>
            </w:r>
          </w:p>
        </w:tc>
        <w:tc>
          <w:tcPr>
            <w:tcW w:w="100" w:type="dxa"/>
            <w:vAlign w:val="bottom"/>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Floating Rate Debt</w:t>
            </w:r>
          </w:p>
        </w:tc>
        <w:tc>
          <w:tcPr>
            <w:tcW w:w="180" w:type="dxa"/>
            <w:vAlign w:val="bottom"/>
          </w:tcPr>
          <w:p>
            <w:pPr>
              <w:spacing w:after="0"/>
              <w:rPr>
                <w:sz w:val="12"/>
                <w:szCs w:val="12"/>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Fixed Rates</w:t>
            </w:r>
          </w:p>
        </w:tc>
        <w:tc>
          <w:tcPr>
            <w:tcW w:w="140" w:type="dxa"/>
            <w:vAlign w:val="bottom"/>
          </w:tcPr>
          <w:p>
            <w:pPr>
              <w:spacing w:after="0"/>
              <w:rPr>
                <w:sz w:val="12"/>
                <w:szCs w:val="12"/>
                <w:color w:val="auto"/>
              </w:rPr>
            </w:pPr>
          </w:p>
        </w:tc>
      </w:tr>
      <w:tr>
        <w:trPr>
          <w:trHeight w:val="177"/>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Credit Suisse</w:t>
            </w:r>
          </w:p>
        </w:tc>
        <w:tc>
          <w:tcPr>
            <w:tcW w:w="100" w:type="dxa"/>
            <w:vAlign w:val="bottom"/>
          </w:tcPr>
          <w:p>
            <w:pPr>
              <w:spacing w:after="0"/>
              <w:rPr>
                <w:sz w:val="15"/>
                <w:szCs w:val="15"/>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 2022 through September 30,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500,000,000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3.4165 %</w:t>
            </w:r>
          </w:p>
        </w:tc>
      </w:tr>
      <w:tr>
        <w:trPr>
          <w:trHeight w:val="190"/>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Morgan Stanley</w:t>
            </w:r>
          </w:p>
        </w:tc>
        <w:tc>
          <w:tcPr>
            <w:tcW w:w="10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 2022 through September 30,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1,050,000,000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3.4200 %</w:t>
            </w:r>
          </w:p>
        </w:tc>
      </w:tr>
      <w:tr>
        <w:trPr>
          <w:trHeight w:val="180"/>
        </w:trPr>
        <w:tc>
          <w:tcPr>
            <w:tcW w:w="2320" w:type="dxa"/>
            <w:vAlign w:val="bottom"/>
          </w:tcPr>
          <w:p>
            <w:pPr>
              <w:spacing w:after="0"/>
              <w:rPr>
                <w:sz w:val="20"/>
                <w:szCs w:val="20"/>
                <w:color w:val="auto"/>
              </w:rPr>
            </w:pPr>
            <w:r>
              <w:rPr>
                <w:rFonts w:ascii="Times New Roman" w:cs="Times New Roman" w:eastAsia="Times New Roman" w:hAnsi="Times New Roman"/>
                <w:sz w:val="14"/>
                <w:szCs w:val="14"/>
                <w:color w:val="auto"/>
              </w:rPr>
              <w:t>Credit Agricole Corporate</w:t>
            </w:r>
          </w:p>
        </w:tc>
        <w:tc>
          <w:tcPr>
            <w:tcW w:w="100" w:type="dxa"/>
            <w:vAlign w:val="bottom"/>
          </w:tcPr>
          <w:p>
            <w:pPr>
              <w:spacing w:after="0"/>
              <w:rPr>
                <w:sz w:val="15"/>
                <w:szCs w:val="15"/>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30, 2022 through September 30,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450,000,000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3.5241 %</w:t>
            </w:r>
          </w:p>
        </w:tc>
      </w:tr>
      <w:tr>
        <w:trPr>
          <w:trHeight w:val="186"/>
        </w:trPr>
        <w:tc>
          <w:tcPr>
            <w:tcW w:w="2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and Investment Bank</w:t>
            </w:r>
          </w:p>
        </w:tc>
        <w:tc>
          <w:tcPr>
            <w:tcW w:w="1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-469900</wp:posOffset>
            </wp:positionV>
            <wp:extent cx="4919345" cy="123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-224155</wp:posOffset>
            </wp:positionV>
            <wp:extent cx="4919345" cy="2324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19345" cy="232410"/>
                    </a:xfrm>
                    <a:prstGeom prst="rect">
                      <a:avLst/>
                    </a:prstGeom>
                    <a:noFill/>
                  </pic:spPr>
                </pic:pic>
              </a:graphicData>
            </a:graphic>
          </wp:anchor>
        </w:drawing>
      </w:r>
    </w:p>
    <w:p>
      <w:pPr>
        <w:spacing w:after="0" w:line="149" w:lineRule="exact"/>
        <w:rPr>
          <w:sz w:val="20"/>
          <w:szCs w:val="20"/>
          <w:color w:val="auto"/>
        </w:rPr>
      </w:pPr>
    </w:p>
    <w:p>
      <w:pPr>
        <w:ind w:left="640" w:right="1299"/>
        <w:spacing w:after="0" w:line="293" w:lineRule="auto"/>
        <w:rPr>
          <w:sz w:val="20"/>
          <w:szCs w:val="20"/>
          <w:color w:val="auto"/>
        </w:rPr>
      </w:pPr>
      <w:r>
        <w:rPr>
          <w:rFonts w:ascii="Times New Roman" w:cs="Times New Roman" w:eastAsia="Times New Roman" w:hAnsi="Times New Roman"/>
          <w:sz w:val="14"/>
          <w:szCs w:val="14"/>
          <w:color w:val="auto"/>
        </w:rPr>
        <w:t>The fair value of the interest rate swaps as of March 31, 2024 and December 31, 2023 was $39.1 million and $24.9 million, respectively, and is reflected in other assets in the unaudited condensed consolidated balance sheets.</w:t>
      </w:r>
    </w:p>
    <w:p>
      <w:pPr>
        <w:spacing w:after="0" w:line="37" w:lineRule="exact"/>
        <w:rPr>
          <w:sz w:val="20"/>
          <w:szCs w:val="20"/>
          <w:color w:val="auto"/>
        </w:rPr>
      </w:pPr>
    </w:p>
    <w:p>
      <w:pPr>
        <w:jc w:val="both"/>
        <w:ind w:left="640" w:right="659"/>
        <w:spacing w:after="0" w:line="268" w:lineRule="auto"/>
        <w:rPr>
          <w:sz w:val="20"/>
          <w:szCs w:val="20"/>
          <w:color w:val="auto"/>
        </w:rPr>
      </w:pPr>
      <w:r>
        <w:rPr>
          <w:rFonts w:ascii="Times New Roman" w:cs="Times New Roman" w:eastAsia="Times New Roman" w:hAnsi="Times New Roman"/>
          <w:sz w:val="14"/>
          <w:szCs w:val="14"/>
          <w:color w:val="auto"/>
        </w:rPr>
        <w:t>Amounts reported in accumulated other comprehensive income (“AOCI”) related to derivatives will be reclassified to interest expense as interest payments are made on the Company’s variable-rate debt. Interest received, including payments made or received under the cash flow hedges, was $9.6 million and $5.1 million for the three months ended March 31, 2024 and 2023, respectively. The Company expects approximately $29.4 million of pre-tax gains to be reclassified out of AOCI into earnings within the next twelve months.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15" w:name="page16"/>
    <w:bookmarkEnd w:id="15"/>
    <w:p>
      <w:pPr>
        <w:ind w:left="640" w:right="659"/>
        <w:spacing w:after="0" w:line="293" w:lineRule="auto"/>
        <w:rPr>
          <w:sz w:val="20"/>
          <w:szCs w:val="20"/>
          <w:color w:val="auto"/>
        </w:rPr>
      </w:pPr>
      <w:r>
        <w:rPr>
          <w:rFonts w:ascii="Times New Roman" w:cs="Times New Roman" w:eastAsia="Times New Roman" w:hAnsi="Times New Roman"/>
          <w:sz w:val="14"/>
          <w:szCs w:val="14"/>
          <w:color w:val="auto"/>
        </w:rPr>
        <w:t>The repayments on and modification of First Lien borrowings and extinguishment of the Second Lien Facility in the first fiscal quarter of 2024 did not impact the effectiveness of the cash flow hedge arrangements outstanding as of March 31, 2024.</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6. Tangible Equity Units</w:t>
      </w:r>
    </w:p>
    <w:p>
      <w:pPr>
        <w:spacing w:after="0" w:line="185" w:lineRule="exact"/>
        <w:rPr>
          <w:sz w:val="20"/>
          <w:szCs w:val="20"/>
          <w:color w:val="auto"/>
        </w:rPr>
      </w:pPr>
    </w:p>
    <w:p>
      <w:pPr>
        <w:ind w:left="640" w:right="679"/>
        <w:spacing w:after="0" w:line="262"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will be $0.8531 per Amortizing Note. In the aggregate, the annual quarterly cash installments will be the equivalent of 6.75% per year. Each installment payment constitutes a payment of interest and a partial repayment of principal. Each TEU may be separated by a holder into its constituent Purchase Contract and Amortizing Note, each of which is considered a freestanding financial instrument.</w:t>
      </w:r>
    </w:p>
    <w:p>
      <w:pPr>
        <w:spacing w:after="0" w:line="147" w:lineRule="exact"/>
        <w:rPr>
          <w:sz w:val="20"/>
          <w:szCs w:val="20"/>
          <w:color w:val="auto"/>
        </w:rPr>
      </w:pPr>
    </w:p>
    <w:p>
      <w:pPr>
        <w:ind w:left="640" w:right="719"/>
        <w:spacing w:after="0" w:line="264" w:lineRule="auto"/>
        <w:rPr>
          <w:sz w:val="20"/>
          <w:szCs w:val="20"/>
          <w:color w:val="auto"/>
        </w:rPr>
      </w:pPr>
      <w:r>
        <w:rPr>
          <w:rFonts w:ascii="Times New Roman" w:cs="Times New Roman" w:eastAsia="Times New Roman" w:hAnsi="Times New Roman"/>
          <w:sz w:val="14"/>
          <w:szCs w:val="14"/>
          <w:color w:val="auto"/>
        </w:rPr>
        <w:t>The Amortizing Notes will rank equally in right of payment with all other existing and future unsecured senior indebtedness and will rank senior to all of our existing and future indebtedness, if any, that is subordinated to the Amortizing Notes. At any time prior to the second scheduled trading day immediately preceding February 1, 2027, a holder may elect to settle its Purchase Contract early, in whole or in part, at an early settlement rate equal to the minimum settlement rate. The Company has the right to settle the Purchase Contracts on or after November 1, 2024, in whole but not in part, on a date fixed by it at an early mandatory settlement rate equal to the maximum settlement rate, subject to certain exceptions.</w:t>
      </w:r>
    </w:p>
    <w:p>
      <w:pPr>
        <w:spacing w:after="0" w:line="56"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The value allocated to the Purchase Contract is reflected net of issuance costs in additional paid-in capital. The value allocated to the Amortizing Notes is reflected in long-term debt in the unaudited condensed consolidated balance sheet, with payments expected in the next twelve months reflected in current portion of long-term debt. Issuance costs related to the Amortizing Notes are reflected as a reduction of the carrying amount and will be amortized through the maturity date using the effective interest rate method. The proceeds from the issuance were allocated to equity and debt based on the relative fair value of the respective components of each TEU as follows (in thousands, except per unit values):</w:t>
      </w:r>
    </w:p>
    <w:p>
      <w:pPr>
        <w:spacing w:after="0" w:line="241"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27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Equity Component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Debt Component</w:t>
            </w: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5"/>
                <w:szCs w:val="15"/>
                <w:color w:val="auto"/>
              </w:rPr>
            </w:pPr>
          </w:p>
        </w:tc>
      </w:tr>
      <w:tr>
        <w:trPr>
          <w:trHeight w:val="192"/>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Fair value per unit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41.3382</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8.6618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FF0FC"/>
          </w:tcPr>
          <w:p>
            <w:pPr>
              <w:spacing w:after="0"/>
              <w:rPr>
                <w:sz w:val="16"/>
                <w:szCs w:val="16"/>
                <w:color w:val="auto"/>
              </w:rPr>
            </w:pPr>
          </w:p>
        </w:tc>
      </w:tr>
      <w:tr>
        <w:trPr>
          <w:trHeight w:val="38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Gross proceeds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330,706</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69,294</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80" w:type="dxa"/>
            <w:vAlign w:val="bottom"/>
          </w:tcPr>
          <w:p>
            <w:pPr>
              <w:spacing w:after="0"/>
              <w:rPr>
                <w:sz w:val="24"/>
                <w:szCs w:val="24"/>
                <w:color w:val="auto"/>
              </w:rPr>
            </w:pPr>
          </w:p>
        </w:tc>
      </w:tr>
      <w:tr>
        <w:trPr>
          <w:trHeight w:val="196"/>
        </w:trPr>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issuance costs</w:t>
            </w:r>
          </w:p>
        </w:tc>
        <w:tc>
          <w:tcPr>
            <w:tcW w:w="14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9,095</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84"/>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Net proceeds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321,611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67,389</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389,000</w:t>
            </w:r>
          </w:p>
        </w:tc>
        <w:tc>
          <w:tcPr>
            <w:tcW w:w="80" w:type="dxa"/>
            <w:vAlign w:val="bottom"/>
          </w:tcPr>
          <w:p>
            <w:pPr>
              <w:spacing w:after="0"/>
              <w:rPr>
                <w:sz w:val="16"/>
                <w:szCs w:val="16"/>
                <w:color w:val="auto"/>
              </w:rPr>
            </w:pPr>
          </w:p>
        </w:tc>
      </w:tr>
      <w:tr>
        <w:trPr>
          <w:trHeight w:val="20"/>
        </w:trPr>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-149860</wp:posOffset>
            </wp:positionV>
            <wp:extent cx="4762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4301490</wp:posOffset>
            </wp:positionH>
            <wp:positionV relativeFrom="paragraph">
              <wp:posOffset>-149860</wp:posOffset>
            </wp:positionV>
            <wp:extent cx="4762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4"/>
          <w:szCs w:val="14"/>
          <w:color w:val="auto"/>
        </w:rPr>
        <w:t>Unless settled earlier at the holder’s option or at the Company's election, each Purchase Contract will, subject to postponement in certain limited circumstances, automatically settle on February 1, 2027 for a number of shares of our common stock, subject to certain anti-dilution adjustments, based upon the 20-day volume-weighted average price (“VWAP”) of our common stock as follows:</w:t>
      </w:r>
    </w:p>
    <w:p>
      <w:pPr>
        <w:spacing w:after="0" w:line="148" w:lineRule="exact"/>
        <w:rPr>
          <w:sz w:val="20"/>
          <w:szCs w:val="20"/>
          <w:color w:val="auto"/>
        </w:rPr>
      </w:pPr>
    </w:p>
    <w:tbl>
      <w:tblPr>
        <w:tblLayout w:type="fixed"/>
        <w:tblInd w:w="640" w:type="dxa"/>
        <w:tblCellMar>
          <w:top w:w="0" w:type="dxa"/>
          <w:left w:w="0" w:type="dxa"/>
          <w:bottom w:w="0" w:type="dxa"/>
          <w:right w:w="0" w:type="dxa"/>
        </w:tblCellMar>
      </w:tblPr>
      <w:tr>
        <w:trPr>
          <w:trHeight w:val="177"/>
        </w:trPr>
        <w:tc>
          <w:tcPr>
            <w:tcW w:w="440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3"/>
                <w:szCs w:val="13"/>
                <w:b w:val="1"/>
                <w:bCs w:val="1"/>
                <w:color w:val="auto"/>
              </w:rPr>
              <w:t>VWAP of BTSG Common Stock</w:t>
            </w:r>
          </w:p>
        </w:tc>
        <w:tc>
          <w:tcPr>
            <w:tcW w:w="100" w:type="dxa"/>
            <w:vAlign w:val="bottom"/>
          </w:tcPr>
          <w:p>
            <w:pPr>
              <w:spacing w:after="0"/>
              <w:rPr>
                <w:sz w:val="15"/>
                <w:szCs w:val="15"/>
                <w:color w:val="auto"/>
              </w:rPr>
            </w:pPr>
          </w:p>
        </w:tc>
        <w:tc>
          <w:tcPr>
            <w:tcW w:w="324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3"/>
                <w:szCs w:val="13"/>
                <w:b w:val="1"/>
                <w:bCs w:val="1"/>
                <w:color w:val="auto"/>
              </w:rPr>
              <w:t>Common Stock Issued</w:t>
            </w:r>
          </w:p>
        </w:tc>
      </w:tr>
      <w:tr>
        <w:trPr>
          <w:trHeight w:val="192"/>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Greater than $15.28</w:t>
            </w:r>
          </w:p>
        </w:tc>
        <w:tc>
          <w:tcPr>
            <w:tcW w:w="100" w:type="dxa"/>
            <w:vAlign w:val="bottom"/>
            <w:shd w:val="clear" w:color="auto" w:fill="CFF0FC"/>
          </w:tcPr>
          <w:p>
            <w:pPr>
              <w:spacing w:after="0"/>
              <w:rPr>
                <w:sz w:val="16"/>
                <w:szCs w:val="16"/>
                <w:color w:val="auto"/>
              </w:rPr>
            </w:pPr>
          </w:p>
        </w:tc>
        <w:tc>
          <w:tcPr>
            <w:tcW w:w="3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3.2733 shares (minimum settlement rate)</w:t>
            </w:r>
          </w:p>
        </w:tc>
      </w:tr>
      <w:tr>
        <w:trPr>
          <w:trHeight w:val="190"/>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Equal to or less than $15.28 but greater than or equal to $13.00</w:t>
            </w:r>
          </w:p>
        </w:tc>
        <w:tc>
          <w:tcPr>
            <w:tcW w:w="100" w:type="dxa"/>
            <w:vAlign w:val="bottom"/>
          </w:tcPr>
          <w:p>
            <w:pPr>
              <w:spacing w:after="0"/>
              <w:rPr>
                <w:sz w:val="16"/>
                <w:szCs w:val="16"/>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$50 divided by VWAP</w:t>
            </w:r>
          </w:p>
        </w:tc>
      </w:tr>
      <w:tr>
        <w:trPr>
          <w:trHeight w:val="198"/>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$13.00</w:t>
            </w:r>
          </w:p>
        </w:tc>
        <w:tc>
          <w:tcPr>
            <w:tcW w:w="100" w:type="dxa"/>
            <w:vAlign w:val="bottom"/>
            <w:shd w:val="clear" w:color="auto" w:fill="CFF0FC"/>
          </w:tcPr>
          <w:p>
            <w:pPr>
              <w:spacing w:after="0"/>
              <w:rPr>
                <w:sz w:val="17"/>
                <w:szCs w:val="17"/>
                <w:color w:val="auto"/>
              </w:rPr>
            </w:pPr>
          </w:p>
        </w:tc>
        <w:tc>
          <w:tcPr>
            <w:tcW w:w="3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3.8461 shares (maximum settlement rate)</w:t>
            </w:r>
          </w:p>
        </w:tc>
      </w:tr>
    </w:tbl>
    <w:p>
      <w:pPr>
        <w:spacing w:after="0" w:line="157" w:lineRule="exact"/>
        <w:rPr>
          <w:sz w:val="20"/>
          <w:szCs w:val="20"/>
          <w:color w:val="auto"/>
        </w:rPr>
      </w:pPr>
    </w:p>
    <w:p>
      <w:pPr>
        <w:ind w:left="640" w:right="779"/>
        <w:spacing w:after="0" w:line="264" w:lineRule="auto"/>
        <w:rPr>
          <w:sz w:val="20"/>
          <w:szCs w:val="20"/>
          <w:color w:val="auto"/>
        </w:rPr>
      </w:pPr>
      <w:r>
        <w:rPr>
          <w:rFonts w:ascii="Times New Roman" w:cs="Times New Roman" w:eastAsia="Times New Roman" w:hAnsi="Times New Roman"/>
          <w:sz w:val="14"/>
          <w:szCs w:val="14"/>
          <w:color w:val="auto"/>
        </w:rPr>
        <w:t>The Purchase Contracts are mandatorily convertible into a minimum of 26.2 million shares or a maximum of 30.8 million shares of our common stock on the mandatory settlement date (unless redeemed by us or settled earlier at the unit holder's option). The 26.2 million minimum shares are included in the calculation of basic weighted average shares outstanding. The difference between the minimum and maximum shares represents potentially dilutive securities, which are included in the calculation of diluted weighted average shares outstanding to the extent that the average applicable market value is equal to or greater than $13.00 but is less than or equal to $15.28 during the period. See Note 12.</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color w:val="auto"/>
        </w:rPr>
        <w:t>7. Income Taxes</w:t>
      </w:r>
    </w:p>
    <w:p>
      <w:pPr>
        <w:spacing w:after="0" w:line="185" w:lineRule="exact"/>
        <w:rPr>
          <w:sz w:val="20"/>
          <w:szCs w:val="20"/>
          <w:color w:val="auto"/>
        </w:rPr>
      </w:pPr>
    </w:p>
    <w:p>
      <w:pPr>
        <w:ind w:left="640" w:right="799"/>
        <w:spacing w:after="0" w:line="275" w:lineRule="auto"/>
        <w:rPr>
          <w:sz w:val="20"/>
          <w:szCs w:val="20"/>
          <w:color w:val="auto"/>
        </w:rPr>
      </w:pPr>
      <w:r>
        <w:rPr>
          <w:rFonts w:ascii="Times New Roman" w:cs="Times New Roman" w:eastAsia="Times New Roman" w:hAnsi="Times New Roman"/>
          <w:sz w:val="14"/>
          <w:szCs w:val="14"/>
          <w:color w:val="auto"/>
        </w:rPr>
        <w:t>The provision for income taxes is attributable to U.S federal, state, and foreign income taxes. The Company’s effective tax rate used for interim periods is based on an estimated annual effective tax rate and includes the tax effect of items required to be recorded discretely in the interim periods in which those items occur. A reconciliation of the Company’s effective tax rate is as follows:</w:t>
      </w:r>
    </w:p>
    <w:p>
      <w:pPr>
        <w:spacing w:after="0" w:line="1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p>
      <w:pPr>
        <w:spacing w:after="0" w:line="22"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r>
      <w:tr>
        <w:trPr>
          <w:trHeight w:val="177"/>
        </w:trPr>
        <w:tc>
          <w:tcPr>
            <w:tcW w:w="6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Estimated annual effective tax rate before discrete items</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40.3 %</w:t>
            </w:r>
          </w:p>
        </w:tc>
        <w:tc>
          <w:tcPr>
            <w:tcW w:w="22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17.4 %</w:t>
            </w:r>
          </w:p>
        </w:tc>
      </w:tr>
      <w:tr>
        <w:trPr>
          <w:trHeight w:val="196"/>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Discrete items recognized</w:t>
            </w:r>
          </w:p>
        </w:tc>
        <w:tc>
          <w:tcPr>
            <w:tcW w:w="760" w:type="dxa"/>
            <w:vAlign w:val="bottom"/>
          </w:tcPr>
          <w:p>
            <w:pPr>
              <w:spacing w:after="0"/>
              <w:rPr>
                <w:sz w:val="17"/>
                <w:szCs w:val="17"/>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(6.9 )%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(1.1 )%</w:t>
            </w:r>
          </w:p>
        </w:tc>
      </w:tr>
      <w:tr>
        <w:trPr>
          <w:trHeight w:val="20"/>
        </w:trPr>
        <w:tc>
          <w:tcPr>
            <w:tcW w:w="5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6"/>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Effective tax rate recognized in the statements of operations</w:t>
            </w:r>
          </w:p>
        </w:tc>
        <w:tc>
          <w:tcPr>
            <w:tcW w:w="760" w:type="dxa"/>
            <w:vAlign w:val="bottom"/>
          </w:tcPr>
          <w:p>
            <w:pPr>
              <w:spacing w:after="0"/>
              <w:rPr>
                <w:sz w:val="16"/>
                <w:szCs w:val="16"/>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33.4 %</w:t>
            </w:r>
          </w:p>
        </w:tc>
        <w:tc>
          <w:tcPr>
            <w:tcW w:w="22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16.3 %</w:t>
            </w:r>
          </w:p>
        </w:tc>
      </w:tr>
      <w:tr>
        <w:trPr>
          <w:trHeight w:val="20"/>
        </w:trPr>
        <w:tc>
          <w:tcPr>
            <w:tcW w:w="5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-395605</wp:posOffset>
            </wp:positionV>
            <wp:extent cx="4919345" cy="1231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-142875</wp:posOffset>
            </wp:positionV>
            <wp:extent cx="4919345" cy="143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19345" cy="143510"/>
                    </a:xfrm>
                    <a:prstGeom prst="rect">
                      <a:avLst/>
                    </a:prstGeom>
                    <a:noFill/>
                  </pic:spPr>
                </pic:pic>
              </a:graphicData>
            </a:graphic>
          </wp:anchor>
        </w:drawing>
      </w:r>
    </w:p>
    <w:p>
      <w:pPr>
        <w:spacing w:after="0" w:line="137" w:lineRule="exact"/>
        <w:rPr>
          <w:sz w:val="20"/>
          <w:szCs w:val="20"/>
          <w:color w:val="auto"/>
        </w:rPr>
      </w:pPr>
    </w:p>
    <w:p>
      <w:pPr>
        <w:ind w:left="640" w:right="679"/>
        <w:spacing w:after="0" w:line="263" w:lineRule="auto"/>
        <w:rPr>
          <w:sz w:val="20"/>
          <w:szCs w:val="20"/>
          <w:color w:val="auto"/>
        </w:rPr>
      </w:pPr>
      <w:r>
        <w:rPr>
          <w:rFonts w:ascii="Times New Roman" w:cs="Times New Roman" w:eastAsia="Times New Roman" w:hAnsi="Times New Roman"/>
          <w:sz w:val="14"/>
          <w:szCs w:val="14"/>
          <w:color w:val="auto"/>
        </w:rPr>
        <w:t>During the three months ended March 31, 2024, the Company’s effective tax rate was higher than the U.S. federal income tax rate, primarily as a result of limitations on the deductibility of certain executive compensation that now apply to the Company after the IPO Offerings, which were completed in January 2024. The discrete tax expense for the three months ended March 31, 2024 primarily relates to additional legal settlement accruals recorded in the period, which are not expected to be deductible for tax purposes. See Note 10 for further discussion. The Company’s effective tax rate for the three months ended March 31, 2023 was lower than the U.S. federal income tax rate, primarily as a result of the favorable impact of job credits as a percentage of estimated annual pre-tax book income.</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Detail of Certain Balance Sheet Accounts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Non-trade receivables</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55,952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67,126</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Rebate receivable</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Inventory returns receivable</w:t>
            </w: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14,314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maintenance</w:t>
            </w: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3,619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Income tax receivable</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prepaid expenses and current assets</w:t>
            </w:r>
          </w:p>
        </w:tc>
        <w:tc>
          <w:tcPr>
            <w:tcW w:w="15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14,211</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150,451</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Other assets consist of the following (in thousands):</w:t>
            </w:r>
          </w:p>
        </w:tc>
        <w:tc>
          <w:tcPr>
            <w:tcW w:w="1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338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3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1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39,134</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Notes receivable</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Cloud computing</w:t>
            </w: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8,754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Insurance recoveries</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8,023</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Deposits</w:t>
            </w: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Deferred debt issuance costs</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method investments</w:t>
            </w:r>
          </w:p>
        </w:tc>
        <w:tc>
          <w:tcPr>
            <w:tcW w:w="1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Deferred offering costs</w:t>
            </w: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15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8,705</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7,033</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Total other assets</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84,585</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72,838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520" w:type="dxa"/>
            <w:vAlign w:val="bottom"/>
            <w:vMerge w:val="restart"/>
          </w:tcPr>
          <w:p>
            <w:pPr>
              <w:jc w:val="right"/>
              <w:ind w:right="888"/>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33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3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-2547620</wp:posOffset>
            </wp:positionV>
            <wp:extent cx="476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-2547620</wp:posOffset>
            </wp:positionV>
            <wp:extent cx="4762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-866775</wp:posOffset>
            </wp:positionV>
            <wp:extent cx="476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-866775</wp:posOffset>
            </wp:positionV>
            <wp:extent cx="4762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color w:val="auto"/>
        </w:rPr>
        <w:t>Accrued expenses consist of the following (in thousands):</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9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12"/>
                <w:szCs w:val="12"/>
                <w:color w:val="auto"/>
              </w:rPr>
            </w:pPr>
          </w:p>
        </w:tc>
      </w:tr>
      <w:tr>
        <w:trPr>
          <w:trHeight w:val="18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Wages and payroll taxes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124,088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127,707</w:t>
            </w:r>
          </w:p>
        </w:tc>
        <w:tc>
          <w:tcPr>
            <w:tcW w:w="80" w:type="dxa"/>
            <w:vAlign w:val="bottom"/>
            <w:shd w:val="clear" w:color="auto" w:fill="CFF0FC"/>
          </w:tcPr>
          <w:p>
            <w:pPr>
              <w:spacing w:after="0"/>
              <w:rPr>
                <w:sz w:val="16"/>
                <w:szCs w:val="16"/>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115,644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114,677</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Compensated absences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34,873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32,085</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27,381</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revenue</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25,856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30,848</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Recoupment fees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36,071</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21,299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22,480</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Health insurance reserves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13,452</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7,836</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9,305</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22,738</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3,125</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2,650</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Checks in excess of cash balance</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9,018</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46,754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40,826</w:t>
            </w:r>
          </w:p>
        </w:tc>
        <w:tc>
          <w:tcPr>
            <w:tcW w:w="80" w:type="dxa"/>
            <w:vAlign w:val="bottom"/>
          </w:tcPr>
          <w:p>
            <w:pPr>
              <w:spacing w:after="0"/>
              <w:rPr>
                <w:sz w:val="16"/>
                <w:szCs w:val="16"/>
                <w:color w:val="auto"/>
              </w:rPr>
            </w:pPr>
          </w:p>
        </w:tc>
      </w:tr>
      <w:tr>
        <w:trPr>
          <w:trHeight w:val="22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451,785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492,363</w:t>
            </w:r>
          </w:p>
        </w:tc>
        <w:tc>
          <w:tcPr>
            <w:tcW w:w="80" w:type="dxa"/>
            <w:vAlign w:val="bottom"/>
            <w:shd w:val="clear" w:color="auto" w:fill="CFF0FC"/>
          </w:tcPr>
          <w:p>
            <w:pPr>
              <w:spacing w:after="0"/>
              <w:rPr>
                <w:sz w:val="19"/>
                <w:szCs w:val="19"/>
                <w:color w:val="auto"/>
              </w:rPr>
            </w:pPr>
          </w:p>
        </w:tc>
      </w:tr>
      <w:tr>
        <w:trPr>
          <w:trHeight w:val="319"/>
        </w:trPr>
        <w:tc>
          <w:tcPr>
            <w:tcW w:w="4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Long-term liabilities consist of the following (in thousands):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335"/>
        </w:trPr>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Pr>
          <w:p>
            <w:pPr>
              <w:spacing w:after="0"/>
              <w:rPr>
                <w:sz w:val="24"/>
                <w:szCs w:val="24"/>
                <w:color w:val="auto"/>
              </w:rPr>
            </w:pPr>
          </w:p>
        </w:tc>
      </w:tr>
      <w:tr>
        <w:trPr>
          <w:trHeight w:val="184"/>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Workers compensation insurance reserves</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28,635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30,514</w:t>
            </w:r>
          </w:p>
        </w:tc>
        <w:tc>
          <w:tcPr>
            <w:tcW w:w="80" w:type="dxa"/>
            <w:vAlign w:val="bottom"/>
            <w:shd w:val="clear" w:color="auto" w:fill="CFF0FC"/>
          </w:tcPr>
          <w:p>
            <w:pPr>
              <w:spacing w:after="0"/>
              <w:rPr>
                <w:sz w:val="16"/>
                <w:szCs w:val="16"/>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General and professional liability insurance reserves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28,221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28,350</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settlements and professional fees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Automobile insurance reserves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8,526</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Employee incentives</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5,189</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2,681</w:t>
            </w:r>
          </w:p>
        </w:tc>
        <w:tc>
          <w:tcPr>
            <w:tcW w:w="80" w:type="dxa"/>
            <w:vAlign w:val="bottom"/>
          </w:tcPr>
          <w:p>
            <w:pPr>
              <w:spacing w:after="0"/>
              <w:rPr>
                <w:sz w:val="16"/>
                <w:szCs w:val="16"/>
                <w:color w:val="auto"/>
              </w:rPr>
            </w:pPr>
          </w:p>
        </w:tc>
      </w:tr>
      <w:tr>
        <w:trPr>
          <w:trHeight w:val="198"/>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gain</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80" w:type="dxa"/>
            <w:vAlign w:val="bottom"/>
            <w:shd w:val="clear" w:color="auto" w:fill="CFF0FC"/>
          </w:tcPr>
          <w:p>
            <w:pPr>
              <w:spacing w:after="0"/>
              <w:rPr>
                <w:sz w:val="17"/>
                <w:szCs w:val="17"/>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5,337</w:t>
            </w:r>
          </w:p>
        </w:tc>
        <w:tc>
          <w:tcPr>
            <w:tcW w:w="80" w:type="dxa"/>
            <w:vAlign w:val="bottom"/>
          </w:tcPr>
          <w:p>
            <w:pPr>
              <w:spacing w:after="0"/>
              <w:rPr>
                <w:sz w:val="16"/>
                <w:szCs w:val="16"/>
                <w:color w:val="auto"/>
              </w:rPr>
            </w:pPr>
          </w:p>
        </w:tc>
      </w:tr>
      <w:tr>
        <w:trPr>
          <w:trHeight w:val="224"/>
        </w:trPr>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88,481</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91,943</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-1591310</wp:posOffset>
            </wp:positionV>
            <wp:extent cx="476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-1577340</wp:posOffset>
            </wp:positionV>
            <wp:extent cx="4762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-1591310</wp:posOffset>
            </wp:positionV>
            <wp:extent cx="4762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-1577340</wp:posOffset>
            </wp:positionV>
            <wp:extent cx="4762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-19685</wp:posOffset>
            </wp:positionV>
            <wp:extent cx="4762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-6350</wp:posOffset>
            </wp:positionV>
            <wp:extent cx="4762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Fair Value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231F20"/>
        </w:rPr>
        <w:t>Assets and liabilities measured at fair value are based on one or more of the following three valuation techniques:</w:t>
      </w:r>
    </w:p>
    <w:p>
      <w:pPr>
        <w:spacing w:after="0" w:line="95" w:lineRule="exact"/>
        <w:rPr>
          <w:sz w:val="20"/>
          <w:szCs w:val="20"/>
          <w:color w:val="auto"/>
        </w:rPr>
      </w:pPr>
    </w:p>
    <w:p>
      <w:pPr>
        <w:ind w:left="1340" w:right="1279" w:hanging="359"/>
        <w:spacing w:after="0" w:line="296" w:lineRule="auto"/>
        <w:tabs>
          <w:tab w:leader="none" w:pos="1340" w:val="left"/>
        </w:tabs>
        <w:numPr>
          <w:ilvl w:val="0"/>
          <w:numId w:val="9"/>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Market approach: </w:t>
      </w:r>
      <w:r>
        <w:rPr>
          <w:rFonts w:ascii="Times New Roman" w:cs="Times New Roman" w:eastAsia="Times New Roman" w:hAnsi="Times New Roman"/>
          <w:sz w:val="14"/>
          <w:szCs w:val="14"/>
          <w:color w:val="231F20"/>
        </w:rPr>
        <w:t>Prices and other relevant information generated by market transactions involving identical or</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comparable assets or liabilities.</w:t>
      </w:r>
    </w:p>
    <w:p>
      <w:pPr>
        <w:spacing w:after="0" w:line="33" w:lineRule="exact"/>
        <w:rPr>
          <w:rFonts w:ascii="Times New Roman" w:cs="Times New Roman" w:eastAsia="Times New Roman" w:hAnsi="Times New Roman"/>
          <w:sz w:val="14"/>
          <w:szCs w:val="14"/>
          <w:i w:val="1"/>
          <w:iCs w:val="1"/>
          <w:color w:val="231F20"/>
        </w:rPr>
      </w:pPr>
    </w:p>
    <w:p>
      <w:pPr>
        <w:ind w:left="1340" w:hanging="359"/>
        <w:spacing w:after="0"/>
        <w:tabs>
          <w:tab w:leader="none" w:pos="1340" w:val="left"/>
        </w:tabs>
        <w:numPr>
          <w:ilvl w:val="0"/>
          <w:numId w:val="9"/>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Cost approach: </w:t>
      </w:r>
      <w:r>
        <w:rPr>
          <w:rFonts w:ascii="Times New Roman" w:cs="Times New Roman" w:eastAsia="Times New Roman" w:hAnsi="Times New Roman"/>
          <w:sz w:val="14"/>
          <w:szCs w:val="14"/>
          <w:color w:val="231F20"/>
        </w:rPr>
        <w:t>Amount that would be required to replace the service capacity of an asset (replacement cost).</w:t>
      </w:r>
    </w:p>
    <w:p>
      <w:pPr>
        <w:spacing w:after="0" w:line="97" w:lineRule="exact"/>
        <w:rPr>
          <w:rFonts w:ascii="Times New Roman" w:cs="Times New Roman" w:eastAsia="Times New Roman" w:hAnsi="Times New Roman"/>
          <w:sz w:val="14"/>
          <w:szCs w:val="14"/>
          <w:i w:val="1"/>
          <w:iCs w:val="1"/>
          <w:color w:val="231F20"/>
        </w:rPr>
      </w:pPr>
    </w:p>
    <w:p>
      <w:pPr>
        <w:ind w:left="1340" w:right="1019" w:hanging="359"/>
        <w:spacing w:after="0" w:line="296" w:lineRule="auto"/>
        <w:tabs>
          <w:tab w:leader="none" w:pos="1340" w:val="left"/>
        </w:tabs>
        <w:numPr>
          <w:ilvl w:val="0"/>
          <w:numId w:val="9"/>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231F20"/>
        </w:rPr>
        <w:t xml:space="preserve">Income approach: </w:t>
      </w:r>
      <w:r>
        <w:rPr>
          <w:rFonts w:ascii="Times New Roman" w:cs="Times New Roman" w:eastAsia="Times New Roman" w:hAnsi="Times New Roman"/>
          <w:sz w:val="14"/>
          <w:szCs w:val="14"/>
          <w:color w:val="231F20"/>
        </w:rPr>
        <w:t>Techniques to convert future amounts to a single present amount based upon market expectations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231F20"/>
        </w:rPr>
        <w:t>(including present value techniques, option-pricing and excess earnings models).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Assets and Liabilities Measured at Fair Value on a Recurring Basis</w:t>
      </w:r>
    </w:p>
    <w:p>
      <w:pPr>
        <w:spacing w:after="0" w:line="99" w:lineRule="exact"/>
        <w:rPr>
          <w:sz w:val="20"/>
          <w:szCs w:val="20"/>
          <w:color w:val="auto"/>
        </w:rPr>
      </w:pPr>
    </w:p>
    <w:p>
      <w:pPr>
        <w:ind w:left="640" w:right="1059"/>
        <w:spacing w:after="0" w:line="293" w:lineRule="auto"/>
        <w:rPr>
          <w:sz w:val="20"/>
          <w:szCs w:val="20"/>
          <w:color w:val="auto"/>
        </w:rPr>
      </w:pPr>
      <w:r>
        <w:rPr>
          <w:rFonts w:ascii="Times New Roman" w:cs="Times New Roman" w:eastAsia="Times New Roman" w:hAnsi="Times New Roman"/>
          <w:sz w:val="14"/>
          <w:szCs w:val="14"/>
          <w:color w:val="auto"/>
        </w:rPr>
        <w:t>The financial assets or liabilities recorded at fair value on a recurring basis at March 31, 2024 are set forth in the table below (in thousands):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2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vMerge w:val="restart"/>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0" w:type="dxa"/>
            <w:vAlign w:val="bottom"/>
          </w:tcPr>
          <w:p>
            <w:pPr>
              <w:spacing w:after="0"/>
              <w:rPr>
                <w:sz w:val="1"/>
                <w:szCs w:val="1"/>
                <w:color w:val="auto"/>
              </w:rPr>
            </w:pPr>
          </w:p>
        </w:tc>
      </w:tr>
      <w:tr>
        <w:trPr>
          <w:trHeight w:val="184"/>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39,134</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39,134</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(4,651 )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(4,651 )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523"/>
        </w:trPr>
        <w:tc>
          <w:tcPr>
            <w:tcW w:w="3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8" w:name="page19"/>
    <w:bookmarkEnd w:id="18"/>
    <w:p>
      <w:pPr>
        <w:ind w:left="640" w:right="839"/>
        <w:spacing w:after="0" w:line="293" w:lineRule="auto"/>
        <w:rPr>
          <w:sz w:val="20"/>
          <w:szCs w:val="20"/>
          <w:color w:val="auto"/>
        </w:rPr>
      </w:pPr>
      <w:r>
        <w:rPr>
          <w:rFonts w:ascii="Times New Roman" w:cs="Times New Roman" w:eastAsia="Times New Roman" w:hAnsi="Times New Roman"/>
          <w:sz w:val="14"/>
          <w:szCs w:val="14"/>
          <w:color w:val="auto"/>
        </w:rPr>
        <w:t>The financial assets or liabilities recorded at fair value on a recurring basis at December 31, 2023 are set forth in the table below (in thousands):</w:t>
      </w:r>
    </w:p>
    <w:p>
      <w:pPr>
        <w:spacing w:after="0" w:line="12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Asset/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60" w:type="dxa"/>
            <w:vAlign w:val="bottom"/>
            <w:vMerge w:val="restart"/>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Valuation</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18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0" w:type="dxa"/>
            <w:vAlign w:val="bottom"/>
          </w:tcPr>
          <w:p>
            <w:pPr>
              <w:spacing w:after="0"/>
              <w:rPr>
                <w:sz w:val="1"/>
                <w:szCs w:val="1"/>
                <w:color w:val="auto"/>
              </w:rPr>
            </w:pPr>
          </w:p>
        </w:tc>
      </w:tr>
      <w:tr>
        <w:trPr>
          <w:trHeight w:val="184"/>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rate swaps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24,947</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93"/>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8"/>
              </w:rPr>
              <w:t>A</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Contingent consideration</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(5,331 )</w:t>
            </w:r>
          </w:p>
        </w:tc>
        <w:tc>
          <w:tcPr>
            <w:tcW w:w="540" w:type="dxa"/>
            <w:vAlign w:val="bottom"/>
          </w:tcPr>
          <w:p>
            <w:pPr>
              <w:jc w:val="right"/>
              <w:ind w:right="393"/>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(5,331 )</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40" w:right="679"/>
        <w:spacing w:after="0" w:line="268" w:lineRule="auto"/>
        <w:rPr>
          <w:sz w:val="20"/>
          <w:szCs w:val="20"/>
          <w:color w:val="auto"/>
        </w:rPr>
      </w:pPr>
      <w:r>
        <w:rPr>
          <w:rFonts w:ascii="Times New Roman" w:cs="Times New Roman" w:eastAsia="Times New Roman" w:hAnsi="Times New Roman"/>
          <w:sz w:val="14"/>
          <w:szCs w:val="14"/>
          <w:color w:val="auto"/>
        </w:rPr>
        <w:t>The fair values of our interest rate swaps are based upon Level 2 inputs, which include valuation models. The key inputs for the valuation models are quoted market prices, interest rates, forward yield curves, and credit risk adjustments that are necessary to reflect the probability of default by the counterparty or us. For disclosures about the fair value measurements of our derivative instruments, refer to Note 5.</w:t>
      </w:r>
    </w:p>
    <w:p>
      <w:pPr>
        <w:spacing w:after="0" w:line="56" w:lineRule="exact"/>
        <w:rPr>
          <w:sz w:val="20"/>
          <w:szCs w:val="20"/>
          <w:color w:val="auto"/>
        </w:rPr>
      </w:pPr>
    </w:p>
    <w:p>
      <w:pPr>
        <w:ind w:left="640" w:right="719"/>
        <w:spacing w:after="0" w:line="264" w:lineRule="auto"/>
        <w:rPr>
          <w:sz w:val="20"/>
          <w:szCs w:val="20"/>
          <w:color w:val="auto"/>
        </w:rPr>
      </w:pPr>
      <w:r>
        <w:rPr>
          <w:rFonts w:ascii="Times New Roman" w:cs="Times New Roman" w:eastAsia="Times New Roman" w:hAnsi="Times New Roman"/>
          <w:sz w:val="14"/>
          <w:szCs w:val="14"/>
          <w:color w:val="auto"/>
        </w:rPr>
        <w:t>The contingent consideration represents future earn-outs associated with acquisitions. Contingent consideration liabilities are recognized as part of the purchase price at the estimated fair value on the acquisition date. The fair values of the liabilities associated with the contingent consideration were derived using the income approach with unobservable inputs, which included future earnings forecasts and present value assumptions, and there was little or no market data (Level 3). The Company will re-assess the fair values on each reporting period thereafter until settlement. These liabilities are classified as accrued expenses and long-term liabilities in our accompanying unaudited condensed consolidated balance sheets.</w:t>
      </w:r>
    </w:p>
    <w:p>
      <w:pPr>
        <w:spacing w:after="0" w:line="2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10. Commitments and Contingencies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Legal Proceedings</w:t>
      </w:r>
    </w:p>
    <w:p>
      <w:pPr>
        <w:spacing w:after="0" w:line="99" w:lineRule="exact"/>
        <w:rPr>
          <w:sz w:val="20"/>
          <w:szCs w:val="20"/>
          <w:color w:val="auto"/>
        </w:rPr>
      </w:pPr>
    </w:p>
    <w:p>
      <w:pPr>
        <w:ind w:left="640" w:right="679"/>
        <w:spacing w:after="0" w:line="261" w:lineRule="auto"/>
        <w:rPr>
          <w:sz w:val="20"/>
          <w:szCs w:val="20"/>
          <w:color w:val="auto"/>
        </w:rPr>
      </w:pPr>
      <w:r>
        <w:rPr>
          <w:rFonts w:ascii="Times New Roman" w:cs="Times New Roman" w:eastAsia="Times New Roman" w:hAnsi="Times New Roman"/>
          <w:sz w:val="14"/>
          <w:szCs w:val="14"/>
          <w:color w:val="auto"/>
        </w:rPr>
        <w:t>On March 4, 2011, Relator Marc Silver, on behalf of the U.S. Government and various state governments, filed a complaint in the United States District Court for the District of New Jersey (“the District Court”) against PharMerica, seeking relief, with respect to alleged violations of the federal False Claims Act and state false claims acts, including three times the amount of damages to the federal government plus civil penalties and no less than a certain amount for each alleged false claim, as well as any other recoveries or relief provided for by the federal False Claims Act; damages, fines, penalties, and other recoveries or relief permitted under state false claims acts; and other forms of relief, including attorneys’ fees. The complaint alleged that, in violation of the Anti-Kickback Statute and the False Claims Act, PharMerica offered below-cost or below-fair-market-value prices on drugs in exchange for so-called preferred or exclusive provider status that would allow PharMerica to dispense drugs to patients for which PharMerica could bill federal health care program payers. The U.S. Government and state governments declined to intervene in the case.</w:t>
      </w:r>
    </w:p>
    <w:p>
      <w:pPr>
        <w:spacing w:after="0" w:line="60" w:lineRule="exact"/>
        <w:rPr>
          <w:sz w:val="20"/>
          <w:szCs w:val="20"/>
          <w:color w:val="auto"/>
        </w:rPr>
      </w:pPr>
    </w:p>
    <w:p>
      <w:pPr>
        <w:ind w:left="640" w:right="659"/>
        <w:spacing w:after="0" w:line="260" w:lineRule="auto"/>
        <w:rPr>
          <w:sz w:val="20"/>
          <w:szCs w:val="20"/>
          <w:color w:val="auto"/>
        </w:rPr>
      </w:pPr>
      <w:r>
        <w:rPr>
          <w:rFonts w:ascii="Times New Roman" w:cs="Times New Roman" w:eastAsia="Times New Roman" w:hAnsi="Times New Roman"/>
          <w:sz w:val="14"/>
          <w:szCs w:val="14"/>
          <w:color w:val="auto"/>
        </w:rPr>
        <w:t>The District Court issued an order dismissing the case in full in 2016. In 2018, however, the Third Circuit Court of Appeals issued an order reinstating the case. In April 2023, the District Court issued an order denying Relator’s motion seeking to strike portions of the opinions of PharMerica’s experts and granted in part PharMerica’s motions to exclude Relator’s experts. On June 28, 2023, the District Court issued an order setting a trial date of December 4, 2023. On November 6, 2023, the District Court denied our motion for summary judgment. On November 18, 2023, the Company agreed to settle the matter without admitting liability. The parties are in the process of negotiating a final settlement agreement, which is subject to the approval of the United States Department of Justice and the District Court. It is anticipated that settlement, provided the United States Department of Justice and District Court approve, will be finalized in or around the second fiscal quarter of 2024. The estimated financial impact of the settlement is $120.0 million; $110.0 million is included in accrued expenses and $10.0 million in long-term liabilities in the unaudited condensed consolidated balance sheet as of March 31, 2024. As of December 31, 2023 the estimated financial impact of the settlement was $115.0 million, $105.0 million of which was included in accrued expenses and $10.0 million in long term liabilities in the unaudited condensed consolidated balance sheet.</w:t>
      </w:r>
    </w:p>
    <w:p>
      <w:pPr>
        <w:spacing w:after="0" w:line="233" w:lineRule="exact"/>
        <w:rPr>
          <w:sz w:val="20"/>
          <w:szCs w:val="20"/>
          <w:color w:val="auto"/>
        </w:rPr>
      </w:pPr>
    </w:p>
    <w:p>
      <w:pPr>
        <w:ind w:left="640" w:right="719"/>
        <w:spacing w:after="0" w:line="275" w:lineRule="auto"/>
        <w:rPr>
          <w:sz w:val="20"/>
          <w:szCs w:val="20"/>
          <w:color w:val="auto"/>
        </w:rPr>
      </w:pPr>
      <w:r>
        <w:rPr>
          <w:rFonts w:ascii="Times New Roman" w:cs="Times New Roman" w:eastAsia="Times New Roman" w:hAnsi="Times New Roman"/>
          <w:sz w:val="14"/>
          <w:szCs w:val="14"/>
          <w:color w:val="auto"/>
        </w:rPr>
        <w:t>The Company is also party to various legal and/or administrative proceedings arising out of the operation of our programs and arising in the ordinary course of business. We record accruals for such contingencies to the extent that we conclude it is probable that a liability has been incurred and the amount of the loss can be reasonably estimated.</w:t>
      </w:r>
    </w:p>
    <w:p>
      <w:pPr>
        <w:spacing w:after="0" w:line="49"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4"/>
          <w:szCs w:val="14"/>
          <w:color w:val="auto"/>
        </w:rPr>
        <w:t>Other than the Silver matter discussed above, we do not believe the ultimate liability, if any, for outstanding proceedings or claims, individually or in the aggregate, in excess of amounts already provided, will have a material adverse effect on our consolidated financial condition, results of operations, or cash flows. It is reasonably possible that an adverse determination might have an impact on a particular period. While we believe our provision for legal contingencies is adequate, the outcome of legal proceedings is difficult to predict, and we may settle legal claims or be subject to judgments for amounts that exceed our estimates.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color w:val="auto"/>
        </w:rPr>
        <w:t>11. Redeemable Noncontrolling Interests</w:t>
      </w:r>
    </w:p>
    <w:p>
      <w:pPr>
        <w:spacing w:after="0" w:line="185"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Company has a 60% ownership interest in SHC Medical Partners LLC (“Abode Care Partners”) and a 55% ownership interest in Harvest Grove LTC LLC (“Harvest Grove”) each of which meets the definition of a VIE. The Company is deemed to be the primary beneficiary of these VIEs because it possesses the power to direct activities of the VIEs that most significantly impact their economic performance and has the obligation to absorb losses or the right to receive benefits from the VIEs that are significant to them. Through a management agreement with the respective entities, we manage and handle all day-to-day operating decisions for Abode Care Partners and Harvest Grove. The terms of the agreements prohibit us from using the assets of each entity to satisfy the obligations of other entities. The combined assets of the entities, excluding goodwill and intangible assets, are insignificant to the Company’s unaudited condensed consolidated balance sheets.</w:t>
      </w:r>
    </w:p>
    <w:p>
      <w:pPr>
        <w:spacing w:after="0" w:line="63" w:lineRule="exact"/>
        <w:rPr>
          <w:sz w:val="20"/>
          <w:szCs w:val="20"/>
          <w:color w:val="auto"/>
        </w:rPr>
      </w:pPr>
    </w:p>
    <w:p>
      <w:pPr>
        <w:ind w:left="640" w:right="759"/>
        <w:spacing w:after="0" w:line="264" w:lineRule="auto"/>
        <w:rPr>
          <w:sz w:val="20"/>
          <w:szCs w:val="20"/>
          <w:color w:val="auto"/>
        </w:rPr>
      </w:pPr>
      <w:r>
        <w:rPr>
          <w:rFonts w:ascii="Times New Roman" w:cs="Times New Roman" w:eastAsia="Times New Roman" w:hAnsi="Times New Roman"/>
          <w:sz w:val="14"/>
          <w:szCs w:val="14"/>
          <w:color w:val="auto"/>
        </w:rPr>
        <w:t>The respective joint venture agreements contain both a put option for the minority partners and a call option for the Company, requiring or allowing the Company, in certain circumstances, to purchase the partners’ remaining interest in the joint ventures at a price based on predetermined earnings multiples. Each of these options is to be triggered upon the occurrence of specified events and/or upon the passage of time. The Company calculates the redemption amount related to the Abode Care Partners and Harvest Grove options using a Monte Carlo simulation and records the amount, if any, by which the redemption amount exceeds the carrying value as a charge to accumulated deficit.</w:t>
      </w:r>
    </w:p>
    <w:p>
      <w:pPr>
        <w:spacing w:after="0" w:line="56" w:lineRule="exact"/>
        <w:rPr>
          <w:sz w:val="20"/>
          <w:szCs w:val="20"/>
          <w:color w:val="auto"/>
        </w:rPr>
      </w:pPr>
    </w:p>
    <w:p>
      <w:pPr>
        <w:ind w:left="640" w:right="699"/>
        <w:spacing w:after="0" w:line="265" w:lineRule="auto"/>
        <w:rPr>
          <w:sz w:val="20"/>
          <w:szCs w:val="20"/>
          <w:color w:val="auto"/>
        </w:rPr>
      </w:pPr>
      <w:r>
        <w:rPr>
          <w:rFonts w:ascii="Times New Roman" w:cs="Times New Roman" w:eastAsia="Times New Roman" w:hAnsi="Times New Roman"/>
          <w:sz w:val="14"/>
          <w:szCs w:val="14"/>
          <w:color w:val="auto"/>
        </w:rPr>
        <w:t>The total redeemable noncontrolling interest associated with Abode Care Partners was $5.2 million and $5.5 million as of March 31, 2024 and December 31, 2023, respectively. There was no change in the recorded redemption amount for Abode Care Partners for the three months ended March 31, 2024 or 2023. The total redeemable noncontrolling interest associated with Harvest Grove was $1.1 million and $1.0 million as of March 31, 2024 and December 31, 2023, respectively. There was no change in the recorded redemption amount for Harvest Grove for the three months ended March 31, 2024 or 2023.</w:t>
      </w:r>
    </w:p>
    <w:p>
      <w:pPr>
        <w:spacing w:after="0" w:line="58" w:lineRule="exact"/>
        <w:rPr>
          <w:sz w:val="20"/>
          <w:szCs w:val="20"/>
          <w:color w:val="auto"/>
        </w:rPr>
      </w:pPr>
    </w:p>
    <w:p>
      <w:pPr>
        <w:ind w:left="640" w:right="639"/>
        <w:spacing w:after="0" w:line="261" w:lineRule="auto"/>
        <w:rPr>
          <w:sz w:val="20"/>
          <w:szCs w:val="20"/>
          <w:color w:val="auto"/>
        </w:rPr>
      </w:pPr>
      <w:r>
        <w:rPr>
          <w:rFonts w:ascii="Times New Roman" w:cs="Times New Roman" w:eastAsia="Times New Roman" w:hAnsi="Times New Roman"/>
          <w:sz w:val="14"/>
          <w:szCs w:val="14"/>
          <w:color w:val="auto"/>
        </w:rPr>
        <w:t>On March 1, 2024, the Company purchased the remaining 30% noncontrolling interest related to Gateway Pediatric Therapy LLC (“Gateway”) for $5.4 million, $0.3 million of which was paid during the first fiscal quarter of 2024. The remaining $5.1 million is recorded in trade accounts payable in the unaudited condensed consolidated balance sheet as of March 31, 2024. As of March 31, 2024, the Company owns 100% of common stock in Gateway. As of December 31, 2023, Gateway met the definition of a VIE and the Company was deemed to be the primary beneficiary of the VIE. The total redeemable noncontrolling interest associated with the Company's 70% ownership in Gateway was $20.6 million as of December 31, 2023. The difference between cash consideration for the purchase of noncontrolling interest and the redeemable noncontrolling interest recorded in the unaudited condensed consolidated balance sheet of $15.0 million was recognized in additional paid-in capital as of the purchase date.</w:t>
      </w:r>
    </w:p>
    <w:p>
      <w:pPr>
        <w:spacing w:after="0" w:line="63" w:lineRule="exact"/>
        <w:rPr>
          <w:sz w:val="20"/>
          <w:szCs w:val="20"/>
          <w:color w:val="auto"/>
        </w:rPr>
      </w:pPr>
    </w:p>
    <w:p>
      <w:pPr>
        <w:ind w:left="640" w:right="1319"/>
        <w:spacing w:after="0" w:line="293" w:lineRule="auto"/>
        <w:rPr>
          <w:sz w:val="20"/>
          <w:szCs w:val="20"/>
          <w:color w:val="auto"/>
        </w:rPr>
      </w:pPr>
      <w:r>
        <w:rPr>
          <w:rFonts w:ascii="Times New Roman" w:cs="Times New Roman" w:eastAsia="Times New Roman" w:hAnsi="Times New Roman"/>
          <w:sz w:val="14"/>
          <w:szCs w:val="14"/>
          <w:color w:val="auto"/>
        </w:rPr>
        <w:t>The following table summarizes the changes in the carrying value of the Company’s redeemable noncontrolling interest (in thousands):</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46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27,139</w:t>
            </w:r>
          </w:p>
        </w:tc>
        <w:tc>
          <w:tcPr>
            <w:tcW w:w="80" w:type="dxa"/>
            <w:vAlign w:val="bottom"/>
            <w:shd w:val="clear" w:color="auto" w:fill="CFF0FC"/>
          </w:tcPr>
          <w:p>
            <w:pPr>
              <w:spacing w:after="0"/>
              <w:rPr>
                <w:sz w:val="16"/>
                <w:szCs w:val="16"/>
                <w:color w:val="auto"/>
              </w:rPr>
            </w:pPr>
          </w:p>
        </w:tc>
      </w:tr>
      <w:tr>
        <w:trPr>
          <w:trHeight w:val="19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Extinguishment of redeemable noncontrolling interest</w:t>
            </w:r>
          </w:p>
        </w:tc>
        <w:tc>
          <w:tcPr>
            <w:tcW w:w="4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(14,981 )</w:t>
            </w:r>
          </w:p>
        </w:tc>
      </w:tr>
      <w:tr>
        <w:trPr>
          <w:trHeight w:val="198"/>
        </w:trPr>
        <w:tc>
          <w:tcPr>
            <w:tcW w:w="6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Purchase of redeemable noncontrolling interest</w:t>
            </w:r>
          </w:p>
        </w:tc>
        <w:tc>
          <w:tcPr>
            <w:tcW w:w="4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(5,400 )</w:t>
            </w:r>
          </w:p>
        </w:tc>
      </w:tr>
      <w:tr>
        <w:trPr>
          <w:trHeight w:val="190"/>
        </w:trPr>
        <w:tc>
          <w:tcPr>
            <w:tcW w:w="6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interests</w:t>
            </w:r>
          </w:p>
        </w:tc>
        <w:tc>
          <w:tcPr>
            <w:tcW w:w="46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(483 )</w:t>
            </w:r>
          </w:p>
        </w:tc>
      </w:tr>
      <w:tr>
        <w:trPr>
          <w:trHeight w:val="224"/>
        </w:trPr>
        <w:tc>
          <w:tcPr>
            <w:tcW w:w="63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March 31, 2024</w:t>
            </w:r>
          </w:p>
        </w:tc>
        <w:tc>
          <w:tcPr>
            <w:tcW w:w="460" w:type="dxa"/>
            <w:vAlign w:val="bottom"/>
            <w:tcBorders>
              <w:top w:val="single" w:sz="8" w:color="auto"/>
              <w:bottom w:val="single" w:sz="8" w:color="auto"/>
            </w:tcBorders>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6,275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-19685</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-6350</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Earnings Per Share</w:t>
      </w:r>
    </w:p>
    <w:p>
      <w:pPr>
        <w:spacing w:after="0" w:line="185"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Basic net (loss) earnings per share of common stock is calculated by dividing net (loss) income attributable to common shareholders by the weighted average number of shares outstanding for the reporting period. Diluted net (loss) earnings per share of common stock is computed by giving effect to all potential weighted average dilutive common stock. In periods of net loss, no potentially dilutive common shares are included in the diluted shares outstanding as the effect is anti-dilutive.</w:t>
      </w:r>
    </w:p>
    <w:p>
      <w:pPr>
        <w:spacing w:after="0" w:line="56" w:lineRule="exact"/>
        <w:rPr>
          <w:sz w:val="20"/>
          <w:szCs w:val="20"/>
          <w:color w:val="auto"/>
        </w:rPr>
      </w:pPr>
    </w:p>
    <w:p>
      <w:pPr>
        <w:ind w:left="640" w:right="659"/>
        <w:spacing w:after="0" w:line="262"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stock option awards subject to only a time-based condition is calculated using the treasury stock method, if dilutive. Stock option awards subject to a performance condition are not included in the denominator of the diluted earnings per share calculation using the treasury stock method for the three months ended March 31, 2023 as the performance condition had not been satisfied. Upon completion of the IPO in January 2024, the performance condition was met. Thus, the number of additional shares of common stock related to stock option awards subject to a performance condition are included in the denominator of the diluted earnings per share calculation using the treasury stock method for the three months ended March 31, 2024, if dilutive.</w:t>
      </w:r>
    </w:p>
    <w:p>
      <w:pPr>
        <w:spacing w:after="0" w:line="61" w:lineRule="exact"/>
        <w:rPr>
          <w:sz w:val="20"/>
          <w:szCs w:val="20"/>
          <w:color w:val="auto"/>
        </w:rPr>
      </w:pPr>
    </w:p>
    <w:p>
      <w:pPr>
        <w:ind w:left="640" w:right="959"/>
        <w:spacing w:after="0" w:line="293" w:lineRule="auto"/>
        <w:rPr>
          <w:sz w:val="20"/>
          <w:szCs w:val="20"/>
          <w:color w:val="auto"/>
        </w:rPr>
      </w:pPr>
      <w:r>
        <w:rPr>
          <w:rFonts w:ascii="Times New Roman" w:cs="Times New Roman" w:eastAsia="Times New Roman" w:hAnsi="Times New Roman"/>
          <w:sz w:val="14"/>
          <w:szCs w:val="14"/>
          <w:color w:val="auto"/>
        </w:rPr>
        <w:t>The number of additional shares of common stock related to restricted stock units (“RSUs”) is reflected in the denominator of the diluted earnings per share calculation using the treasury stock method, if dilutive.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0" w:name="page21"/>
    <w:bookmarkEnd w:id="20"/>
    <w:p>
      <w:pPr>
        <w:ind w:left="640" w:right="879"/>
        <w:spacing w:after="0" w:line="268" w:lineRule="auto"/>
        <w:rPr>
          <w:sz w:val="20"/>
          <w:szCs w:val="20"/>
          <w:color w:val="auto"/>
        </w:rPr>
      </w:pPr>
      <w:r>
        <w:rPr>
          <w:rFonts w:ascii="Times New Roman" w:cs="Times New Roman" w:eastAsia="Times New Roman" w:hAnsi="Times New Roman"/>
          <w:sz w:val="14"/>
          <w:szCs w:val="14"/>
          <w:color w:val="auto"/>
        </w:rPr>
        <w:t>For the three months ended March 31, 2024, the TEUs were assumed to be outstanding at the minimum settlement amount for weighted-average shares for basic earnings per share. For diluted earnings per share, the shares were assumed to be settled at a conversion factor based on the 20-day VWAP per share of the Company's common stock not to exceed 3.8461 shares per Purchase Contract, if dilutive. See Note 6 for further discussion of TEUs.</w:t>
      </w:r>
    </w:p>
    <w:p>
      <w:pPr>
        <w:spacing w:after="0" w:line="56" w:lineRule="exact"/>
        <w:rPr>
          <w:sz w:val="20"/>
          <w:szCs w:val="20"/>
          <w:color w:val="auto"/>
        </w:rPr>
      </w:pPr>
    </w:p>
    <w:p>
      <w:pPr>
        <w:ind w:left="640" w:right="1199"/>
        <w:spacing w:after="0" w:line="293"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share attributable to common shareholders (in thousands, except per share amounts):</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14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31"/>
        </w:trPr>
        <w:tc>
          <w:tcPr>
            <w:tcW w:w="14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64"/>
        </w:trPr>
        <w:tc>
          <w:tcPr>
            <w:tcW w:w="5320" w:type="dxa"/>
            <w:vAlign w:val="bottom"/>
            <w:gridSpan w:val="2"/>
            <w:shd w:val="clear" w:color="auto" w:fill="CFF0FC"/>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Basic net loss per share</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1"/>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900" w:type="dxa"/>
            <w:vAlign w:val="bottom"/>
            <w:tcBorders>
              <w:top w:val="single" w:sz="8" w:color="CFF0FC"/>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2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r>
      <w:tr>
        <w:trPr>
          <w:trHeight w:val="197"/>
        </w:trPr>
        <w:tc>
          <w:tcPr>
            <w:tcW w:w="5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(46,385 )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(22,276 )</w:t>
            </w:r>
          </w:p>
        </w:tc>
      </w:tr>
      <w:tr>
        <w:trPr>
          <w:trHeight w:val="190"/>
        </w:trPr>
        <w:tc>
          <w:tcPr>
            <w:tcW w:w="53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loss attributable to noncontrolling interests</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(635 )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(894 )</w:t>
            </w:r>
          </w:p>
        </w:tc>
      </w:tr>
      <w:tr>
        <w:trPr>
          <w:trHeight w:val="20"/>
        </w:trPr>
        <w:tc>
          <w:tcPr>
            <w:tcW w:w="1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5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(45,750 )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(21,382 )</w:t>
            </w:r>
          </w:p>
        </w:tc>
      </w:tr>
      <w:tr>
        <w:trPr>
          <w:trHeight w:val="167"/>
        </w:trPr>
        <w:tc>
          <w:tcPr>
            <w:tcW w:w="532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r>
      <w:tr>
        <w:trPr>
          <w:trHeight w:val="233"/>
        </w:trPr>
        <w:tc>
          <w:tcPr>
            <w:tcW w:w="53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1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175,531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117,866</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67"/>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Basic net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(0.26 )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(0.18 )</w:t>
            </w:r>
          </w:p>
        </w:tc>
      </w:tr>
      <w:tr>
        <w:trPr>
          <w:trHeight w:val="20"/>
        </w:trPr>
        <w:tc>
          <w:tcPr>
            <w:tcW w:w="1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532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1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175,531</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117,866</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67"/>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Diluted net loss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(0.26 )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(0.18 )</w:t>
            </w:r>
          </w:p>
        </w:tc>
      </w:tr>
      <w:tr>
        <w:trPr>
          <w:trHeight w:val="20"/>
        </w:trPr>
        <w:tc>
          <w:tcPr>
            <w:tcW w:w="14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-716915</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-702945</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-716915</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-702945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-450215</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-436880</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-450215</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-436880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-163195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-149860</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-163195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both"/>
        <w:ind w:left="640" w:right="799"/>
        <w:spacing w:after="0" w:line="275" w:lineRule="auto"/>
        <w:rPr>
          <w:sz w:val="20"/>
          <w:szCs w:val="20"/>
          <w:color w:val="auto"/>
        </w:rPr>
      </w:pPr>
      <w:r>
        <w:rPr>
          <w:rFonts w:ascii="Times New Roman" w:cs="Times New Roman" w:eastAsia="Times New Roman" w:hAnsi="Times New Roman"/>
          <w:sz w:val="14"/>
          <w:szCs w:val="14"/>
          <w:color w:val="auto"/>
        </w:rPr>
        <w:t>The following potentially common share equivalents were excluded from the computation of diluted net loss per share because their effect would have been anti-dilutive for the periods presented, as well as options that are contingent upon the satisfaction of certain conditions which were not satisfied by the end of the period (in thousands):</w:t>
      </w:r>
    </w:p>
    <w:p>
      <w:pPr>
        <w:spacing w:after="0" w:line="14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p>
      <w:pPr>
        <w:spacing w:after="0" w:line="22" w:lineRule="exact"/>
        <w:rPr>
          <w:sz w:val="20"/>
          <w:szCs w:val="20"/>
          <w:color w:val="auto"/>
        </w:rPr>
      </w:pPr>
    </w:p>
    <w:tbl>
      <w:tblPr>
        <w:tblLayout w:type="fixed"/>
        <w:tblInd w:w="640" w:type="dxa"/>
        <w:tblCellMar>
          <w:top w:w="0" w:type="dxa"/>
          <w:left w:w="0" w:type="dxa"/>
          <w:bottom w:w="0" w:type="dxa"/>
          <w:right w:w="0" w:type="dxa"/>
        </w:tblCellMar>
      </w:tblPr>
      <w:tr>
        <w:trPr>
          <w:trHeight w:val="131"/>
        </w:trPr>
        <w:tc>
          <w:tcPr>
            <w:tcW w:w="528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15,583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7,085</w:t>
            </w:r>
          </w:p>
        </w:tc>
        <w:tc>
          <w:tcPr>
            <w:tcW w:w="80" w:type="dxa"/>
            <w:vAlign w:val="bottom"/>
            <w:shd w:val="clear" w:color="auto" w:fill="CFF0FC"/>
          </w:tcPr>
          <w:p>
            <w:pPr>
              <w:spacing w:after="0"/>
              <w:rPr>
                <w:sz w:val="16"/>
                <w:szCs w:val="16"/>
                <w:color w:val="auto"/>
              </w:rPr>
            </w:pPr>
          </w:p>
        </w:tc>
      </w:tr>
      <w:tr>
        <w:trPr>
          <w:trHeight w:val="190"/>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4,037</w:t>
            </w:r>
          </w:p>
        </w:tc>
        <w:tc>
          <w:tcPr>
            <w:tcW w:w="1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TEUs</w:t>
            </w:r>
          </w:p>
        </w:tc>
        <w:tc>
          <w:tcPr>
            <w:tcW w:w="7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4,582</w:t>
            </w:r>
          </w:p>
        </w:tc>
        <w:tc>
          <w:tcPr>
            <w:tcW w:w="160" w:type="dxa"/>
            <w:vAlign w:val="bottom"/>
            <w:tcBorders>
              <w:bottom w:val="single" w:sz="8" w:color="CFF0FC"/>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5"/>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24,202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7,085</w:t>
            </w:r>
          </w:p>
        </w:tc>
        <w:tc>
          <w:tcPr>
            <w:tcW w:w="80" w:type="dxa"/>
            <w:vAlign w:val="bottom"/>
          </w:tcPr>
          <w:p>
            <w:pPr>
              <w:spacing w:after="0"/>
              <w:rPr>
                <w:sz w:val="16"/>
                <w:szCs w:val="16"/>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4465320</wp:posOffset>
            </wp:positionH>
            <wp:positionV relativeFrom="paragraph">
              <wp:posOffset>-149860</wp:posOffset>
            </wp:positionV>
            <wp:extent cx="4762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All share and per share amounts have been retroactively adjusted to reflect the effects of the stock split that occurred in January 2024.</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See Note 15.</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Related Party Transactions</w:t>
      </w:r>
    </w:p>
    <w:p>
      <w:pPr>
        <w:spacing w:after="0" w:line="185" w:lineRule="exact"/>
        <w:rPr>
          <w:sz w:val="20"/>
          <w:szCs w:val="20"/>
          <w:color w:val="auto"/>
        </w:rPr>
      </w:pPr>
    </w:p>
    <w:p>
      <w:pPr>
        <w:ind w:left="640" w:right="659"/>
        <w:spacing w:after="0" w:line="261" w:lineRule="auto"/>
        <w:rPr>
          <w:sz w:val="20"/>
          <w:szCs w:val="20"/>
          <w:color w:val="auto"/>
        </w:rPr>
      </w:pPr>
      <w:r>
        <w:rPr>
          <w:rFonts w:ascii="Times New Roman" w:cs="Times New Roman" w:eastAsia="Times New Roman" w:hAnsi="Times New Roman"/>
          <w:sz w:val="14"/>
          <w:szCs w:val="14"/>
          <w:color w:val="auto"/>
        </w:rPr>
        <w:t>The Company was party to a Monitoring Agreement with KKR and WBA, which required payment of an aggregate advisory fee equivalent to 1% of consolidated earnings before interest, taxes, depreciation, and amortization (“EBITDA”), payable in quarterly installments in arrears at the end of each quarter. The Company recognized $0.7 million and $1.4 million in monitoring and advisory fees for the three months ended March 31, 2024 and 2023, respectively, as a component of selling, general, and administrative expenses in our accompanying unaudited condensed consolidated statements of operations. The Monitoring Agreement terminated upon the completion of the IPO Offerings in January 2024. As a result, the Company will pay $22.7 million in termination fees to KKR and WBA in accordance with the terms of the Monitoring Agreement. As of March 31, 2024, the termination fees were included in trade accounts payable in our unaudited condensed consolidated balance sheet and as selling, general, and administrative expense in our unaudited condensed consolidated statement of operations.</w:t>
      </w:r>
    </w:p>
    <w:p>
      <w:pPr>
        <w:spacing w:after="0" w:line="60" w:lineRule="exact"/>
        <w:rPr>
          <w:sz w:val="20"/>
          <w:szCs w:val="20"/>
          <w:color w:val="auto"/>
        </w:rPr>
      </w:pPr>
    </w:p>
    <w:p>
      <w:pPr>
        <w:ind w:left="640" w:right="699"/>
        <w:spacing w:after="0" w:line="268" w:lineRule="auto"/>
        <w:rPr>
          <w:sz w:val="20"/>
          <w:szCs w:val="20"/>
          <w:color w:val="auto"/>
        </w:rPr>
      </w:pPr>
      <w:r>
        <w:rPr>
          <w:rFonts w:ascii="Times New Roman" w:cs="Times New Roman" w:eastAsia="Times New Roman" w:hAnsi="Times New Roman"/>
          <w:sz w:val="14"/>
          <w:szCs w:val="14"/>
          <w:color w:val="auto"/>
        </w:rPr>
        <w:t>KKR Capital Markets LLC, a wholly owned subsidiary of KKR, acted as an arranger and bookrunner for the financing transactions in the first fiscal quarter of 2024, for which the Company paid a fee of $1.9 million. There were no similar fees paid to KKR Capital Markets LLC during the three months ended March 31, 2023. KKR Capital Markets LLC also acted as an underwriter in the IPO Offerings and received $7.4 million in underwriting discounts and commissions.</w:t>
      </w:r>
    </w:p>
    <w:p>
      <w:pPr>
        <w:spacing w:after="0" w:line="56" w:lineRule="exact"/>
        <w:rPr>
          <w:sz w:val="20"/>
          <w:szCs w:val="20"/>
          <w:color w:val="auto"/>
        </w:rPr>
      </w:pPr>
    </w:p>
    <w:p>
      <w:pPr>
        <w:jc w:val="both"/>
        <w:ind w:left="640" w:right="899"/>
        <w:spacing w:after="0" w:line="293" w:lineRule="auto"/>
        <w:rPr>
          <w:sz w:val="20"/>
          <w:szCs w:val="20"/>
          <w:color w:val="auto"/>
        </w:rPr>
      </w:pPr>
      <w:r>
        <w:rPr>
          <w:rFonts w:ascii="Times New Roman" w:cs="Times New Roman" w:eastAsia="Times New Roman" w:hAnsi="Times New Roman"/>
          <w:sz w:val="14"/>
          <w:szCs w:val="14"/>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37" w:lineRule="exact"/>
        <w:rPr>
          <w:sz w:val="20"/>
          <w:szCs w:val="20"/>
          <w:color w:val="auto"/>
        </w:rPr>
      </w:pPr>
    </w:p>
    <w:p>
      <w:pPr>
        <w:ind w:left="640" w:right="879"/>
        <w:spacing w:after="0" w:line="268" w:lineRule="auto"/>
        <w:rPr>
          <w:sz w:val="20"/>
          <w:szCs w:val="20"/>
          <w:color w:val="auto"/>
        </w:rPr>
      </w:pPr>
      <w:r>
        <w:rPr>
          <w:rFonts w:ascii="Times New Roman" w:cs="Times New Roman" w:eastAsia="Times New Roman" w:hAnsi="Times New Roman"/>
          <w:sz w:val="14"/>
          <w:szCs w:val="14"/>
          <w:color w:val="auto"/>
        </w:rPr>
        <w:t>The Company has agreements with WBA and/or certain of its affiliates under which the Company purchases significant volume of inventory, including a Joinder Agreement to the Pharmaceutical Purchase and Distribution Agreement between WBA and AmerisourceBergen Drug Corporation. The Company, as a third-party beneficiary to the Pharmaceutical Purchase and Distribution Agreement, has the right to participate in certain pricing and payment related terms as well as appoint WBA to negotiate certain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379730</wp:posOffset>
            </wp:positionV>
            <wp:extent cx="4944745" cy="3937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1" w:name="page22"/>
    <w:bookmarkEnd w:id="21"/>
    <w:p>
      <w:pPr>
        <w:ind w:left="640" w:right="959"/>
        <w:spacing w:after="0" w:line="293" w:lineRule="auto"/>
        <w:rPr>
          <w:sz w:val="20"/>
          <w:szCs w:val="20"/>
          <w:color w:val="auto"/>
        </w:rPr>
      </w:pPr>
      <w:r>
        <w:rPr>
          <w:rFonts w:ascii="Times New Roman" w:cs="Times New Roman" w:eastAsia="Times New Roman" w:hAnsi="Times New Roman"/>
          <w:sz w:val="14"/>
          <w:szCs w:val="14"/>
          <w:color w:val="auto"/>
        </w:rPr>
        <w:t>commercial and other mutually agreed upon terms for generic pharmaceutical products in accordance with guiding principles that address topics such as improvements in pricing and notification regarding switches in suppliers.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Segment Information</w:t>
      </w:r>
    </w:p>
    <w:p>
      <w:pPr>
        <w:spacing w:after="0" w:line="185" w:lineRule="exact"/>
        <w:rPr>
          <w:sz w:val="20"/>
          <w:szCs w:val="20"/>
          <w:color w:val="auto"/>
        </w:rPr>
      </w:pPr>
    </w:p>
    <w:p>
      <w:pPr>
        <w:ind w:left="640" w:right="819"/>
        <w:spacing w:after="0" w:line="293" w:lineRule="auto"/>
        <w:rPr>
          <w:sz w:val="20"/>
          <w:szCs w:val="20"/>
          <w:color w:val="auto"/>
        </w:rPr>
      </w:pPr>
      <w:r>
        <w:rPr>
          <w:rFonts w:ascii="Times New Roman" w:cs="Times New Roman" w:eastAsia="Times New Roman" w:hAnsi="Times New Roman"/>
          <w:sz w:val="14"/>
          <w:szCs w:val="14"/>
          <w:color w:val="auto"/>
        </w:rPr>
        <w:t>Our CODM evaluates the performance of our segments and allocates resources to them based on segment EBITDA. Segment assets are not reviewed by the Company’s CODM and, therefore, are not disclosed.</w:t>
      </w:r>
    </w:p>
    <w:p>
      <w:pPr>
        <w:spacing w:after="0" w:line="37"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Insignificant amounts of revenue and costs of goods and services may be recorded at the corporate level and are not attributable to a particular segment. Unallocated selling, general, and administrative expenses are those costs for functions performed in a centralized manner and therefore are not attributable to a particular segment. These costs include accounting, finance, human resources, legal, information technology, corporate office support, and overall corporate management.</w:t>
      </w:r>
    </w:p>
    <w:p>
      <w:pPr>
        <w:spacing w:after="0" w:line="56" w:lineRule="exact"/>
        <w:rPr>
          <w:sz w:val="20"/>
          <w:szCs w:val="20"/>
          <w:color w:val="auto"/>
        </w:rPr>
      </w:pPr>
    </w:p>
    <w:p>
      <w:pPr>
        <w:ind w:left="640" w:right="679"/>
        <w:spacing w:after="0" w:line="275" w:lineRule="auto"/>
        <w:rPr>
          <w:sz w:val="20"/>
          <w:szCs w:val="20"/>
          <w:color w:val="auto"/>
        </w:rPr>
      </w:pPr>
      <w:r>
        <w:rPr>
          <w:rFonts w:ascii="Times New Roman" w:cs="Times New Roman" w:eastAsia="Times New Roman" w:hAnsi="Times New Roman"/>
          <w:sz w:val="14"/>
          <w:szCs w:val="14"/>
          <w:color w:val="auto"/>
        </w:rPr>
        <w:t>The following tables set forth information about the Company’s reportable segments, along with the items necessary to reconcile the segment information to the totals reported in the Company’s unaudited condensed consolidated statements of operations as follows (in thousands):</w:t>
      </w:r>
    </w:p>
    <w:p>
      <w:pPr>
        <w:spacing w:after="0" w:line="163"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100" w:type="dxa"/>
            <w:vAlign w:val="bottom"/>
            <w:gridSpan w:val="7"/>
          </w:tcPr>
          <w:p>
            <w:pPr>
              <w:ind w:left="26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2024</w:t>
            </w:r>
          </w:p>
        </w:tc>
      </w:tr>
      <w:tr>
        <w:trPr>
          <w:trHeight w:val="131"/>
        </w:trPr>
        <w:tc>
          <w:tcPr>
            <w:tcW w:w="4340" w:type="dxa"/>
            <w:vAlign w:val="bottom"/>
          </w:tcPr>
          <w:p>
            <w:pPr>
              <w:spacing w:after="0"/>
              <w:rPr>
                <w:sz w:val="11"/>
                <w:szCs w:val="11"/>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1,977,035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599,603</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2,576,638</w:t>
            </w:r>
          </w:p>
        </w:tc>
        <w:tc>
          <w:tcPr>
            <w:tcW w:w="80" w:type="dxa"/>
            <w:vAlign w:val="bottom"/>
            <w:shd w:val="clear" w:color="auto" w:fill="CFF0FC"/>
          </w:tcPr>
          <w:p>
            <w:pPr>
              <w:spacing w:after="0"/>
              <w:rPr>
                <w:sz w:val="16"/>
                <w:szCs w:val="16"/>
                <w:color w:val="auto"/>
              </w:rPr>
            </w:pPr>
          </w:p>
        </w:tc>
      </w:tr>
      <w:tr>
        <w:trPr>
          <w:trHeight w:val="194"/>
        </w:trPr>
        <w:tc>
          <w:tcPr>
            <w:tcW w:w="434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Cost of goods and services </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1,807,100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400,147</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2,207,247</w:t>
            </w:r>
          </w:p>
        </w:tc>
        <w:tc>
          <w:tcPr>
            <w:tcW w:w="80" w:type="dxa"/>
            <w:vAlign w:val="bottom"/>
          </w:tcPr>
          <w:p>
            <w:pPr>
              <w:spacing w:after="0"/>
              <w:rPr>
                <w:sz w:val="16"/>
                <w:szCs w:val="16"/>
                <w:color w:val="auto"/>
              </w:rPr>
            </w:pPr>
          </w:p>
        </w:tc>
      </w:tr>
      <w:tr>
        <w:trPr>
          <w:trHeight w:val="194"/>
        </w:trPr>
        <w:tc>
          <w:tcPr>
            <w:tcW w:w="434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4"/>
                <w:szCs w:val="14"/>
                <w:color w:val="auto"/>
              </w:rPr>
              <w:t xml:space="preserve">Total depreciation and amortization </w:t>
            </w:r>
            <w:r>
              <w:rPr>
                <w:rFonts w:ascii="Times New Roman" w:cs="Times New Roman" w:eastAsia="Times New Roman" w:hAnsi="Times New Roman"/>
                <w:sz w:val="19"/>
                <w:szCs w:val="19"/>
                <w:color w:val="auto"/>
                <w:vertAlign w:val="superscript"/>
              </w:rPr>
              <w:t>(2)</w:t>
            </w:r>
          </w:p>
        </w:tc>
        <w:tc>
          <w:tcPr>
            <w:tcW w:w="3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27,249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15,428</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42,677</w:t>
            </w:r>
          </w:p>
        </w:tc>
        <w:tc>
          <w:tcPr>
            <w:tcW w:w="80" w:type="dxa"/>
            <w:vAlign w:val="bottom"/>
            <w:shd w:val="clear" w:color="auto" w:fill="CFF0FC"/>
          </w:tcPr>
          <w:p>
            <w:pPr>
              <w:spacing w:after="0"/>
              <w:rPr>
                <w:sz w:val="16"/>
                <w:szCs w:val="16"/>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81,912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170,086</w:t>
            </w:r>
          </w:p>
        </w:tc>
        <w:tc>
          <w:tcPr>
            <w:tcW w:w="80" w:type="dxa"/>
            <w:vAlign w:val="bottom"/>
          </w:tcPr>
          <w:p>
            <w:pPr>
              <w:spacing w:after="0"/>
              <w:rPr>
                <w:sz w:val="16"/>
                <w:szCs w:val="16"/>
                <w:color w:val="auto"/>
              </w:rPr>
            </w:pPr>
          </w:p>
        </w:tc>
      </w:tr>
      <w:tr>
        <w:trPr>
          <w:trHeight w:val="341"/>
        </w:trPr>
        <w:tc>
          <w:tcPr>
            <w:tcW w:w="4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00" w:type="dxa"/>
            <w:vAlign w:val="bottom"/>
            <w:gridSpan w:val="7"/>
          </w:tcPr>
          <w:p>
            <w:pPr>
              <w:ind w:left="26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2023</w:t>
            </w:r>
          </w:p>
        </w:tc>
      </w:tr>
      <w:tr>
        <w:trPr>
          <w:trHeight w:val="131"/>
        </w:trPr>
        <w:tc>
          <w:tcPr>
            <w:tcW w:w="4340" w:type="dxa"/>
            <w:vAlign w:val="bottom"/>
          </w:tcPr>
          <w:p>
            <w:pPr>
              <w:spacing w:after="0"/>
              <w:rPr>
                <w:sz w:val="11"/>
                <w:szCs w:val="11"/>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16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300" w:type="dxa"/>
            <w:vAlign w:val="bottom"/>
            <w:shd w:val="clear" w:color="auto" w:fill="CFF0FC"/>
          </w:tcPr>
          <w:p>
            <w:pPr>
              <w:jc w:val="right"/>
              <w:ind w:right="1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1,467,002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561,376</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2,028,378</w:t>
            </w:r>
          </w:p>
        </w:tc>
        <w:tc>
          <w:tcPr>
            <w:tcW w:w="80" w:type="dxa"/>
            <w:vAlign w:val="bottom"/>
            <w:shd w:val="clear" w:color="auto" w:fill="CFF0FC"/>
          </w:tcPr>
          <w:p>
            <w:pPr>
              <w:spacing w:after="0"/>
              <w:rPr>
                <w:sz w:val="16"/>
                <w:szCs w:val="16"/>
                <w:color w:val="auto"/>
              </w:rPr>
            </w:pPr>
          </w:p>
        </w:tc>
      </w:tr>
      <w:tr>
        <w:trPr>
          <w:trHeight w:val="194"/>
        </w:trPr>
        <w:tc>
          <w:tcPr>
            <w:tcW w:w="4340" w:type="dxa"/>
            <w:vAlign w:val="bottom"/>
          </w:tcPr>
          <w:p>
            <w:pPr>
              <w:spacing w:after="0" w:line="193" w:lineRule="exact"/>
              <w:rPr>
                <w:sz w:val="20"/>
                <w:szCs w:val="20"/>
                <w:color w:val="auto"/>
              </w:rPr>
            </w:pPr>
            <w:r>
              <w:rPr>
                <w:rFonts w:ascii="Times New Roman" w:cs="Times New Roman" w:eastAsia="Times New Roman" w:hAnsi="Times New Roman"/>
                <w:sz w:val="14"/>
                <w:szCs w:val="14"/>
                <w:color w:val="auto"/>
              </w:rPr>
              <w:t xml:space="preserve">Cost of goods and services </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1,306,981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386,684</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1,693,665</w:t>
            </w:r>
          </w:p>
        </w:tc>
        <w:tc>
          <w:tcPr>
            <w:tcW w:w="80" w:type="dxa"/>
            <w:vAlign w:val="bottom"/>
          </w:tcPr>
          <w:p>
            <w:pPr>
              <w:spacing w:after="0"/>
              <w:rPr>
                <w:sz w:val="16"/>
                <w:szCs w:val="16"/>
                <w:color w:val="auto"/>
              </w:rPr>
            </w:pPr>
          </w:p>
        </w:tc>
      </w:tr>
      <w:tr>
        <w:trPr>
          <w:trHeight w:val="194"/>
        </w:trPr>
        <w:tc>
          <w:tcPr>
            <w:tcW w:w="4340" w:type="dxa"/>
            <w:vAlign w:val="bottom"/>
            <w:shd w:val="clear" w:color="auto" w:fill="CFF0FC"/>
          </w:tcPr>
          <w:p>
            <w:pPr>
              <w:spacing w:after="0" w:line="193" w:lineRule="exact"/>
              <w:rPr>
                <w:sz w:val="20"/>
                <w:szCs w:val="20"/>
                <w:color w:val="auto"/>
              </w:rPr>
            </w:pPr>
            <w:r>
              <w:rPr>
                <w:rFonts w:ascii="Times New Roman" w:cs="Times New Roman" w:eastAsia="Times New Roman" w:hAnsi="Times New Roman"/>
                <w:sz w:val="14"/>
                <w:szCs w:val="14"/>
                <w:color w:val="auto"/>
              </w:rPr>
              <w:t xml:space="preserve">Total depreciation and amortization </w:t>
            </w:r>
            <w:r>
              <w:rPr>
                <w:rFonts w:ascii="Times New Roman" w:cs="Times New Roman" w:eastAsia="Times New Roman" w:hAnsi="Times New Roman"/>
                <w:sz w:val="19"/>
                <w:szCs w:val="19"/>
                <w:color w:val="auto"/>
                <w:vertAlign w:val="superscript"/>
              </w:rPr>
              <w:t>(2)</w:t>
            </w:r>
          </w:p>
        </w:tc>
        <w:tc>
          <w:tcPr>
            <w:tcW w:w="3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28,578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16,229</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44,807</w:t>
            </w:r>
          </w:p>
        </w:tc>
        <w:tc>
          <w:tcPr>
            <w:tcW w:w="80" w:type="dxa"/>
            <w:vAlign w:val="bottom"/>
            <w:shd w:val="clear" w:color="auto" w:fill="CFF0FC"/>
          </w:tcPr>
          <w:p>
            <w:pPr>
              <w:spacing w:after="0"/>
              <w:rPr>
                <w:sz w:val="16"/>
                <w:szCs w:val="16"/>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300" w:type="dxa"/>
            <w:vAlign w:val="bottom"/>
          </w:tcPr>
          <w:p>
            <w:pPr>
              <w:jc w:val="right"/>
              <w:ind w:right="153"/>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65,305</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147,627</w:t>
            </w:r>
          </w:p>
        </w:tc>
        <w:tc>
          <w:tcPr>
            <w:tcW w:w="80" w:type="dxa"/>
            <w:vAlign w:val="bottom"/>
          </w:tcPr>
          <w:p>
            <w:pPr>
              <w:spacing w:after="0"/>
              <w:rPr>
                <w:sz w:val="16"/>
                <w:szCs w:val="16"/>
                <w:color w:val="auto"/>
              </w:rPr>
            </w:pPr>
          </w:p>
        </w:tc>
      </w:tr>
    </w:tbl>
    <w:p>
      <w:pPr>
        <w:spacing w:after="0" w:line="165" w:lineRule="exact"/>
        <w:rPr>
          <w:sz w:val="20"/>
          <w:szCs w:val="20"/>
          <w:color w:val="auto"/>
        </w:rPr>
      </w:pPr>
    </w:p>
    <w:p>
      <w:pPr>
        <w:ind w:left="980" w:hanging="349"/>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includes depreciation and amortization expense that relates to revenue-generating assets</w:t>
      </w:r>
    </w:p>
    <w:p>
      <w:pPr>
        <w:spacing w:after="0" w:line="24" w:lineRule="exact"/>
        <w:rPr>
          <w:rFonts w:ascii="Times New Roman" w:cs="Times New Roman" w:eastAsia="Times New Roman" w:hAnsi="Times New Roman"/>
          <w:sz w:val="14"/>
          <w:szCs w:val="14"/>
          <w:color w:val="auto"/>
        </w:rPr>
      </w:pPr>
    </w:p>
    <w:p>
      <w:pPr>
        <w:ind w:left="980" w:hanging="349"/>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 is inclusive of any depreciation and amortization expense recorded in cost of goods and cost of services</w:t>
      </w:r>
    </w:p>
    <w:p>
      <w:pPr>
        <w:spacing w:after="0" w:line="197"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Segment reconciliation:</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Total Segment EBITDA</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170,086</w:t>
            </w:r>
          </w:p>
        </w:tc>
        <w:tc>
          <w:tcPr>
            <w:tcW w:w="2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 not allocated at segment level</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113,097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50,345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51,555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65,020</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78,177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(69,679 )</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(26,622 )</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3800"/>
              <w:spacing w:after="0"/>
              <w:rPr>
                <w:sz w:val="20"/>
                <w:szCs w:val="20"/>
                <w:color w:val="auto"/>
              </w:rPr>
            </w:pPr>
            <w:r>
              <w:rPr>
                <w:rFonts w:ascii="Times New Roman" w:cs="Times New Roman" w:eastAsia="Times New Roman" w:hAnsi="Times New Roman"/>
                <w:sz w:val="14"/>
                <w:szCs w:val="14"/>
                <w:color w:val="auto"/>
              </w:rPr>
              <w:t>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5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5"/>
        </w:trPr>
        <w:tc>
          <w:tcPr>
            <w:tcW w:w="5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-996950</wp:posOffset>
            </wp:positionV>
            <wp:extent cx="4762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-996950</wp:posOffset>
            </wp:positionV>
            <wp:extent cx="4762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color w:val="auto"/>
        </w:rPr>
        <w:t>15. Common Stock, Preferred Stock, and Share-Based Compensation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Common Stock and Preferred Stock</w:t>
      </w:r>
    </w:p>
    <w:p>
      <w:pPr>
        <w:spacing w:after="0" w:line="99" w:lineRule="exact"/>
        <w:rPr>
          <w:sz w:val="20"/>
          <w:szCs w:val="20"/>
          <w:color w:val="auto"/>
        </w:rPr>
      </w:pPr>
    </w:p>
    <w:p>
      <w:pPr>
        <w:ind w:left="640" w:right="67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approved a 15.7027-for-one stock split of the Company’s common stock on January 24, 2024. The stock split became effective on January 25, 2024. The par value per share of the Company’s common stock remained unchanged at $0.01 per share, and the authorized shares of the Company’s common stock was increased from 8,750,000 to 137,398,625. Upon completion of the IPO Offerings in January 2024, the Company's Board of Directors approved an amendment to our articles of incorporation to authorize 1,500,000,000 and 250,000,000 shares of common stock and preferred stock, respectively, each with a par value of $0.01 per share.</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Share-Based Compensation</w:t>
      </w:r>
    </w:p>
    <w:p>
      <w:pPr>
        <w:spacing w:after="0" w:line="99" w:lineRule="exact"/>
        <w:rPr>
          <w:sz w:val="20"/>
          <w:szCs w:val="20"/>
          <w:color w:val="auto"/>
        </w:rPr>
      </w:pPr>
    </w:p>
    <w:p>
      <w:pPr>
        <w:ind w:left="640" w:right="779"/>
        <w:spacing w:after="0" w:line="265" w:lineRule="auto"/>
        <w:rPr>
          <w:sz w:val="20"/>
          <w:szCs w:val="20"/>
          <w:color w:val="auto"/>
        </w:rPr>
      </w:pPr>
      <w:r>
        <w:rPr>
          <w:rFonts w:ascii="Times New Roman" w:cs="Times New Roman" w:eastAsia="Times New Roman" w:hAnsi="Times New Roman"/>
          <w:sz w:val="14"/>
          <w:szCs w:val="14"/>
          <w:color w:val="auto"/>
        </w:rPr>
        <w:t>Upon completion of the IPO and included in the results for the three months ended March 31, 2024, the Company recognized $8.1 million of costs related to new equity awards granted to management under the 2024 Stock Plan. Additionally, the performance condition was satisfied for the Tier I and Tier II performance-vesting options under the 2017 Stock Plan upon completion of the IPO which resulted in $15.0 million of previously unrecognized share-based compensation expense being recognized in the three months ended March 31, 2024.</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analyzes our financial condition and results of operations and should be read in conjunction with our unaudited condensed consolidated financial statements and related notes included elsewhere in this Quarterly Report on Form 10-Q (our “Form 10-Q”).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Item 2 of Part I of this Form 10-Q, and in Item 1A, “Risk Factors” of Part I of our Annual Report on Form 10-K for the year ended December 31, 2023 (our “Form 10-K”). Factors that could cause or contribute to such difference are not limited to those identified in “Risk Factors.” When used in the following discussion, “Senior” patients and populations mean individuals who are aged 65 and older, “Specialty” patients and populations mean individuals who have unique, specialized and most often chronic/life-long health conditions and needs, and “Behavioral” patients and populations mean individuals with intellectual and developmental disabilities including mental illness.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are a leading home and community-based healthcare services platform, focused on delivering complementary pharmacy and provider services to complex patients. We have a differentiated approach to care delivery, with an integrated and scaled model that addresses critical services that the highest-need and highest-cost patients require. With a focus on Senior and Specialty patients, which includes Behavioral populations, our platform provides pharmacy and provider services (both clinical and supportive care in nature) in lower-cost home and community settings largely to Medicare, Medicaid, and commercially-insured populations. We are an essential part of our nation’s health delivery network as a front-line provider of high-quality and cost-effective care to a large and growing number of people, who increasingly require a combination of specialized solutions to enable holistic health care management. Our presence spans all 50 states, we serve over 400,000 patients daily through our approximately 10,000 clinical providers and pharmacists, and our services make a profound impact in the lives and communities of the people we serve.</w:t>
      </w:r>
    </w:p>
    <w:p>
      <w:pPr>
        <w:spacing w:after="0" w:line="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For additional overview of our business, see “PART I - Item 1. Business” of our Form 10-K.</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First Quarter of 2024 Key Highlights</w:t>
      </w:r>
    </w:p>
    <w:p>
      <w:pPr>
        <w:spacing w:after="0" w:line="97" w:lineRule="exact"/>
        <w:rPr>
          <w:sz w:val="20"/>
          <w:szCs w:val="20"/>
          <w:color w:val="auto"/>
        </w:rPr>
      </w:pPr>
    </w:p>
    <w:p>
      <w:pPr>
        <w:ind w:left="1340" w:hanging="359"/>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Completion of our Initial Public Offering on January 30, 2024</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Extinguishment of our Second Lien Facility</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Paydown and modification of our First Lien Facility</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$63.3 million of equity awards granted to management in connection with our IPO</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Financial Performance Highlights: First Quarter of 2024 Compared to First Quarter of 2023</w:t>
      </w:r>
    </w:p>
    <w:p>
      <w:pPr>
        <w:spacing w:after="0" w:line="97" w:lineRule="exact"/>
        <w:rPr>
          <w:sz w:val="20"/>
          <w:szCs w:val="20"/>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Revenue grew by $548.3 million, or 27.0% to $2.6 billion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revenue grew by $510.0 million, or 34.8%, to $2.0 billion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revenue grew by $38.2 million, or 6.8%, to $599.6 million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Net loss increased by $24.1 million to $46.4 million</w:t>
      </w:r>
    </w:p>
    <w:p>
      <w:pPr>
        <w:spacing w:after="0" w:line="102"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EBITDA</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$15.2 million, or 13.2%, to $130.5 million</w:t>
      </w:r>
    </w:p>
    <w:p>
      <w:pPr>
        <w:spacing w:after="0" w:line="56"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Pharmacy Solutions Segment EBITDA grew by $5.9 million, or 7.1%, to $88.2 million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Provider Services Segment EBITDA grew by $16.6 million, or 25.4%, to $81.9 million</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Loss per share increased from $(0.18) to $(0.26)</w:t>
      </w:r>
    </w:p>
    <w:p>
      <w:pPr>
        <w:spacing w:after="0" w:line="102"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Adjusted EPS</w:t>
      </w:r>
      <w:r>
        <w:rPr>
          <w:rFonts w:ascii="Times New Roman" w:cs="Times New Roman" w:eastAsia="Times New Roman" w:hAnsi="Times New Roman"/>
          <w:sz w:val="19"/>
          <w:szCs w:val="19"/>
          <w:i w:val="1"/>
          <w:iCs w:val="1"/>
          <w:color w:val="auto"/>
          <w:vertAlign w:val="superscript"/>
        </w:rPr>
        <w:t>(1)</w:t>
      </w:r>
      <w:r>
        <w:rPr>
          <w:rFonts w:ascii="Times New Roman" w:cs="Times New Roman" w:eastAsia="Times New Roman" w:hAnsi="Times New Roman"/>
          <w:sz w:val="14"/>
          <w:szCs w:val="14"/>
          <w:i w:val="1"/>
          <w:iCs w:val="1"/>
          <w:color w:val="auto"/>
        </w:rPr>
        <w:t xml:space="preserve"> increased by $0.22 from $(0.10) to $0.12</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71" w:lineRule="exact"/>
        <w:rPr>
          <w:rFonts w:ascii="Times New Roman" w:cs="Times New Roman" w:eastAsia="Times New Roman" w:hAnsi="Times New Roman"/>
          <w:sz w:val="14"/>
          <w:szCs w:val="14"/>
          <w:color w:val="auto"/>
        </w:rPr>
      </w:pPr>
    </w:p>
    <w:p>
      <w:pPr>
        <w:ind w:left="640" w:right="819" w:hanging="9"/>
        <w:spacing w:after="0" w:line="226" w:lineRule="auto"/>
        <w:tabs>
          <w:tab w:leader="none" w:pos="788"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color w:val="auto"/>
        </w:rPr>
        <w:t>Our Service Offerings</w:t>
      </w:r>
    </w:p>
    <w:p>
      <w:pPr>
        <w:spacing w:after="0" w:line="99" w:lineRule="exact"/>
        <w:rPr>
          <w:sz w:val="20"/>
          <w:szCs w:val="20"/>
          <w:color w:val="auto"/>
        </w:rPr>
      </w:pPr>
    </w:p>
    <w:p>
      <w:pPr>
        <w:ind w:left="640" w:right="639" w:firstLine="351"/>
        <w:spacing w:after="0" w:line="261" w:lineRule="auto"/>
        <w:rPr>
          <w:sz w:val="20"/>
          <w:szCs w:val="20"/>
          <w:color w:val="auto"/>
        </w:rPr>
      </w:pPr>
      <w:r>
        <w:rPr>
          <w:rFonts w:ascii="Times New Roman" w:cs="Times New Roman" w:eastAsia="Times New Roman" w:hAnsi="Times New Roman"/>
          <w:sz w:val="14"/>
          <w:szCs w:val="14"/>
          <w:color w:val="auto"/>
        </w:rPr>
        <w:t>We are one of the largest independent providers of home and community-based health services in the United States, delivering both pharmacy and provider services. We believe our high-quality and complementary health services offerings address significant and important patient and stakeholder needs. We enhance patient outcomes through the delivery and coordination of high-quality services that high-need, high-cost patients require. Our services are principally delivered in patient-preferred and lower-cost settings and often over longer periods of time, given the chronic nature of the patient conditions that we address. We believe our breadth of service capabilities and proven outcomes position us as a provider of choice for patients, families, referral sources, customers, and payors. We deliver services through two reportable segments: Pharmacy Solutions and Provider Services. For additional details regarding our diversified service offerings within each reportable segment see “PART I - Item 1. Business” of our Form 10-K.</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summarizes the revenues generated by each of our reportable segments:</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2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5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millions)</w:t>
            </w: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Revenue</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 of Revenue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Pharmacy Solutions</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76.7 %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72.3 %</w:t>
            </w:r>
          </w:p>
        </w:tc>
        <w:tc>
          <w:tcPr>
            <w:tcW w:w="0" w:type="dxa"/>
            <w:vAlign w:val="bottom"/>
          </w:tcPr>
          <w:p>
            <w:pPr>
              <w:spacing w:after="0"/>
              <w:rPr>
                <w:sz w:val="1"/>
                <w:szCs w:val="1"/>
                <w:color w:val="auto"/>
              </w:rPr>
            </w:pPr>
          </w:p>
        </w:tc>
      </w:tr>
      <w:tr>
        <w:trPr>
          <w:trHeight w:val="190"/>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Provider Services</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23.3 %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0" w:type="dxa"/>
            <w:vAlign w:val="bottom"/>
          </w:tcPr>
          <w:p>
            <w:pPr>
              <w:spacing w:after="0"/>
              <w:rPr>
                <w:sz w:val="1"/>
                <w:szCs w:val="1"/>
                <w:color w:val="auto"/>
              </w:rPr>
            </w:pPr>
          </w:p>
        </w:tc>
      </w:tr>
      <w:tr>
        <w:trPr>
          <w:trHeight w:val="23"/>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Consolidated</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500" w:type="dxa"/>
            <w:vAlign w:val="bottom"/>
            <w:vMerge w:val="continue"/>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100.0 %</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-395605</wp:posOffset>
            </wp:positionV>
            <wp:extent cx="4919345" cy="1231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-142875</wp:posOffset>
            </wp:positionV>
            <wp:extent cx="4919345" cy="143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19345" cy="143510"/>
                    </a:xfrm>
                    <a:prstGeom prst="rect">
                      <a:avLst/>
                    </a:prstGeom>
                    <a:noFill/>
                  </pic:spPr>
                </pic:pic>
              </a:graphicData>
            </a:graphic>
          </wp:anchor>
        </w:drawing>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Payor Mix</w:t>
      </w:r>
    </w:p>
    <w:p>
      <w:pPr>
        <w:spacing w:after="0" w:line="99"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We are characterized by payor diversification across our platform. Our payors are principally federal, state, and local governmental agencies, commercial insurance, private, and other payors. Additionally, our Medicaid payors can be further broken down across each individual state with our top 10 Medicaid states representing 13% and 15% of total Company revenue for the three months ended March 31, 2024 and 2023, respectively. We provide our services across all 50 states, Puerto Rico and Canada, with our top 10 states of operations comprising 53% of total Company revenue for the three months ended March 31, 2024 and 2023. The federal, state, and local programs under which we operate are subject to legislative and budgetary changes that can influence reimbursement rates.</w:t>
      </w:r>
    </w:p>
    <w:p>
      <w:pPr>
        <w:spacing w:after="0" w:line="61" w:lineRule="exact"/>
        <w:rPr>
          <w:sz w:val="20"/>
          <w:szCs w:val="20"/>
          <w:color w:val="auto"/>
        </w:rPr>
      </w:pPr>
    </w:p>
    <w:p>
      <w:pPr>
        <w:ind w:left="640" w:right="83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tables summarize the percentage of revenue generated by each payor type for each of our service offerings and reportable segments: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1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06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2024</w:t>
            </w: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780" w:type="dxa"/>
            <w:vAlign w:val="bottom"/>
          </w:tcPr>
          <w:p>
            <w:pPr>
              <w:spacing w:after="0"/>
              <w:rPr>
                <w:sz w:val="8"/>
                <w:szCs w:val="8"/>
                <w:color w:val="auto"/>
              </w:rPr>
            </w:pPr>
          </w:p>
        </w:tc>
        <w:tc>
          <w:tcPr>
            <w:tcW w:w="8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160" w:type="dxa"/>
            <w:vAlign w:val="bottom"/>
            <w:vMerge w:val="restart"/>
          </w:tcPr>
          <w:p>
            <w:pPr>
              <w:spacing w:after="0"/>
              <w:rPr>
                <w:sz w:val="8"/>
                <w:szCs w:val="8"/>
                <w:color w:val="auto"/>
              </w:rPr>
            </w:pP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8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8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6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Infusion and Specialty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17.3 %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5.0 %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0.7 %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13.1 %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20.2 %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0.7 %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57.0 %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and Community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2.3 %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5.0 %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9.2 %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0.9 %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19.7 %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19.6 %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5.0 %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0.7 %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13.1 %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29.4 %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1.6 %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76.7 %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Health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2.7 %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4.1 %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0.3 %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0.8 %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1.3 %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9.6 %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Community and Rehab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10.3 %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2.0 %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13.7 %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1.8 %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13.0 %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4.1 %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0.3 %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0.8 %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3.3 %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23.3 %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21.4 %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20.3 %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9.1 %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1.0 %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13.9 %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29.4 %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4.9 %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17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jc w:val="right"/>
              <w:ind w:right="60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2023</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780" w:type="dxa"/>
            <w:vAlign w:val="bottom"/>
          </w:tcPr>
          <w:p>
            <w:pPr>
              <w:spacing w:after="0"/>
              <w:rPr>
                <w:sz w:val="8"/>
                <w:szCs w:val="8"/>
                <w:color w:val="auto"/>
              </w:rPr>
            </w:pPr>
          </w:p>
        </w:tc>
        <w:tc>
          <w:tcPr>
            <w:tcW w:w="880" w:type="dxa"/>
            <w:vAlign w:val="bottom"/>
            <w:gridSpan w:val="2"/>
          </w:tcPr>
          <w:p>
            <w:pPr>
              <w:jc w:val="center"/>
              <w:ind w:right="200"/>
              <w:spacing w:after="0" w:line="101" w:lineRule="exact"/>
              <w:rPr>
                <w:sz w:val="20"/>
                <w:szCs w:val="20"/>
                <w:color w:val="auto"/>
              </w:rPr>
            </w:pPr>
            <w:r>
              <w:rPr>
                <w:rFonts w:ascii="Times New Roman" w:cs="Times New Roman" w:eastAsia="Times New Roman" w:hAnsi="Times New Roman"/>
                <w:sz w:val="11"/>
                <w:szCs w:val="11"/>
                <w:b w:val="1"/>
                <w:bCs w:val="1"/>
                <w:color w:val="auto"/>
              </w:rPr>
              <w:t>Commercial</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Medicaid</w:t>
            </w:r>
          </w:p>
        </w:tc>
        <w:tc>
          <w:tcPr>
            <w:tcW w:w="160" w:type="dxa"/>
            <w:vAlign w:val="bottom"/>
            <w:vMerge w:val="restart"/>
          </w:tcPr>
          <w:p>
            <w:pPr>
              <w:spacing w:after="0"/>
              <w:rPr>
                <w:sz w:val="8"/>
                <w:szCs w:val="8"/>
                <w:color w:val="auto"/>
              </w:rPr>
            </w:pP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8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60" w:type="dxa"/>
            <w:vAlign w:val="bottom"/>
            <w:gridSpan w:val="2"/>
          </w:tcPr>
          <w:p>
            <w:pPr>
              <w:jc w:val="center"/>
              <w:ind w:right="180"/>
              <w:spacing w:after="0" w:line="101" w:lineRule="exact"/>
              <w:rPr>
                <w:sz w:val="20"/>
                <w:szCs w:val="20"/>
                <w:color w:val="auto"/>
              </w:rPr>
            </w:pPr>
            <w:r>
              <w:rPr>
                <w:rFonts w:ascii="Times New Roman" w:cs="Times New Roman" w:eastAsia="Times New Roman" w:hAnsi="Times New Roman"/>
                <w:sz w:val="11"/>
                <w:szCs w:val="11"/>
                <w:b w:val="1"/>
                <w:bCs w:val="1"/>
                <w:color w:val="auto"/>
              </w:rPr>
              <w:t>Medicare</w:t>
            </w:r>
          </w:p>
        </w:tc>
        <w:tc>
          <w:tcPr>
            <w:tcW w:w="780" w:type="dxa"/>
            <w:vAlign w:val="bottom"/>
            <w:gridSpan w:val="2"/>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Private &amp;</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insurance</w:t>
            </w:r>
          </w:p>
        </w:tc>
        <w:tc>
          <w:tcPr>
            <w:tcW w:w="16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A</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B</w:t>
            </w:r>
          </w:p>
        </w:tc>
        <w:tc>
          <w:tcPr>
            <w:tcW w:w="140" w:type="dxa"/>
            <w:vAlign w:val="bottom"/>
          </w:tcPr>
          <w:p>
            <w:pPr>
              <w:spacing w:after="0"/>
              <w:rPr>
                <w:sz w:val="12"/>
                <w:szCs w:val="12"/>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C</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Part D</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80" w:type="dxa"/>
            <w:vAlign w:val="bottom"/>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Infusion and Specialty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16.3 %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4.5 %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0.6 %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9.6 %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17.7 %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50.0 %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and Community Pharmacy</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2.6 %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6.9 %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10.5 %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22.3 %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17.6 %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7.1 %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6.9 %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0.6 %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9.6 %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28.2 %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2.3 %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72.3 %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Home Health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0.3 %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3.3 %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5.0 %</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0.3 %</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0.7 %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11.1 %</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20"/>
                <w:szCs w:val="20"/>
                <w:color w:val="auto"/>
              </w:rPr>
            </w:pPr>
            <w:r>
              <w:rPr>
                <w:rFonts w:ascii="Times New Roman" w:cs="Times New Roman" w:eastAsia="Times New Roman" w:hAnsi="Times New Roman"/>
                <w:sz w:val="11"/>
                <w:szCs w:val="11"/>
                <w:color w:val="auto"/>
              </w:rPr>
              <w:t>Community and Rehab Care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1.4 %</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12.5 %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16.6 %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1.7 %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15.8 %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5.0 %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0.3 %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0.7 %</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4.2 %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27.7 %</w:t>
            </w:r>
          </w:p>
        </w:tc>
        <w:tc>
          <w:tcPr>
            <w:tcW w:w="0" w:type="dxa"/>
            <w:vAlign w:val="bottom"/>
          </w:tcPr>
          <w:p>
            <w:pPr>
              <w:spacing w:after="0"/>
              <w:rPr>
                <w:sz w:val="1"/>
                <w:szCs w:val="1"/>
                <w:color w:val="auto"/>
              </w:rPr>
            </w:pPr>
          </w:p>
        </w:tc>
      </w:tr>
      <w:tr>
        <w:trPr>
          <w:trHeight w:val="20"/>
        </w:trPr>
        <w:tc>
          <w:tcPr>
            <w:tcW w:w="17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80" w:type="dxa"/>
            <w:vAlign w:val="bottom"/>
            <w:vMerge w:val="continue"/>
          </w:tcPr>
          <w:p>
            <w:pPr>
              <w:spacing w:after="0"/>
              <w:rPr>
                <w:sz w:val="11"/>
                <w:szCs w:val="11"/>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19.3 %</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22.9 %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11.9 %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0.9 %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10.3 %</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28.2 %</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6.5 %</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100.0 %</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-1714500</wp:posOffset>
            </wp:positionV>
            <wp:extent cx="4919345" cy="889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-1529715</wp:posOffset>
            </wp:positionV>
            <wp:extent cx="4919345" cy="889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-1351915</wp:posOffset>
            </wp:positionV>
            <wp:extent cx="4919345" cy="958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19345" cy="958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-1160780</wp:posOffset>
            </wp:positionV>
            <wp:extent cx="4919345" cy="1092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19345" cy="10922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-662305</wp:posOffset>
            </wp:positionV>
            <wp:extent cx="4919345" cy="889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-477520</wp:posOffset>
            </wp:positionV>
            <wp:extent cx="4919345" cy="889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19345" cy="8890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-299720</wp:posOffset>
            </wp:positionV>
            <wp:extent cx="4919345" cy="958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19345" cy="958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-108585</wp:posOffset>
            </wp:positionV>
            <wp:extent cx="4919345" cy="1092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19345" cy="109220"/>
                    </a:xfrm>
                    <a:prstGeom prst="rect">
                      <a:avLst/>
                    </a:prstGeom>
                    <a:noFill/>
                  </pic:spPr>
                </pic:pic>
              </a:graphicData>
            </a:graphic>
          </wp:anchor>
        </w:drawing>
      </w:r>
    </w:p>
    <w:p>
      <w:pPr>
        <w:spacing w:after="0" w:line="137" w:lineRule="exact"/>
        <w:rPr>
          <w:sz w:val="20"/>
          <w:szCs w:val="20"/>
          <w:color w:val="auto"/>
        </w:rPr>
      </w:pPr>
    </w:p>
    <w:p>
      <w:pPr>
        <w:ind w:left="640" w:right="699" w:firstLine="351"/>
        <w:spacing w:after="0" w:line="293" w:lineRule="auto"/>
        <w:rPr>
          <w:sz w:val="20"/>
          <w:szCs w:val="20"/>
          <w:color w:val="auto"/>
        </w:rPr>
      </w:pPr>
      <w:r>
        <w:rPr>
          <w:rFonts w:ascii="Times New Roman" w:cs="Times New Roman" w:eastAsia="Times New Roman" w:hAnsi="Times New Roman"/>
          <w:sz w:val="14"/>
          <w:szCs w:val="14"/>
          <w:color w:val="auto"/>
        </w:rPr>
        <w:t>See Note 2 of the unaudited condensed consolidated financial statements and related notes in this Quarterly Report on Form 10-Q for more information regarding revenue by payor type for each segment for the three months ended March 31, 2024 and 2023.</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color w:val="auto"/>
        </w:rPr>
        <w:t>Trends and Other Factors Affecting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Pharmacy Solutions Patient Populations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focus on providing health-dependent medications in a timely and well-supported manner to our patients receiving pharmacy solutions in their home and community-based settings. Our pharmacy services are primarily delivered directly to patients in their place of residence, home, or stay, and sometimes in a clinic setting. According to industry reports, pharmacy solutions delivered to and tailored for the home environment, such as home infusion services, oncology services, and daily medication management services in the home, will continue to grow faster than the overall and general pharmacy market. We have continued to expand our pharmacy capabilities to serve this need. Overall, our pharmacy has grown patient census and prescriptions by 11% and 9%, respectively, in the first fiscal quarter of 2024 compared to the first fiscal quarter of 2023. We are a leading independent pharmacy provider in our respective pharmacy patient markets, and we expect to continue to increase our share, including home infusion patients, specialty oncology patients, behavioral patients, in-home Seniors, and hospice patients.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Continued Growth of our Provider Services Patient Populations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focus on delivering high-touch and coordinated services to medically complex Senior and Specialty patients in the home and community-based settings where they live. As the baby boomer population ages, Seniors, who comprise a significant majority of our patients, will represent a higher percentage of the overall population. Given the proven value proposition of home-based health services, we believe patients will increasingly seek treatment and referral sources and payors will increasingly support treatment in homes more often than in higher cost, less convenient, higher acuity institutional settings.</w:t>
      </w:r>
    </w:p>
    <w:p>
      <w:pPr>
        <w:spacing w:after="0" w:line="58"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vast majority of patients we serve in our provider businesses are served in the home, and we have purposefully continued to expand our service offering and footprint to serve patients in this lower cost setting. Over the past five years we built upon supportive care services to patients, as we have meaningfully expanded our footprint of highly clinical and expert services to home health, rehabilitation, and hospice patients to address a large national healthcare need and more completely and better serve Senior and Specialty patients in the home as evidenced by continued census growth within the Provider Services segment. Our complementary services that address the multiple needs of these patient populations will increasingly provide integrated care opportunities to provide more complete and better coordinated services to patients across health settings and stages.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Stable Reimbursement Environment Across our Portfolio of Businesses</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revenue is dependent upon our contracts and relationships with payors for our “must-serve” patient populations. We partner with a large and diverse set of payor groups nationally and in each of our markets, to form provider networks and to lower the overall cost of care. We structure our payor contracts to help both providers and payors achieve their objectives in a mutually aligned manner. Maintaining, supporting, and both deepening and increasing the number of these contracts and relationships, particularly as we continue to grow market share and enter new markets, is important for our long-term success.</w:t>
      </w:r>
    </w:p>
    <w:p>
      <w:pPr>
        <w:spacing w:after="0" w:line="58"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have observed relatively stable reimbursement rates from government and commercial payors in our pharmacy and provider services over a number of years, particularly for services provided to high-need, medically complex populations. Due to the medical necessity of our services, which are lower cost than healthcare services provided in other settings and reduce ER, hospital and institutional facility utilization, we have a history of reimbursement stability.</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Culture of Quality and Compliance and Consistent Operations Execution</w:t>
      </w:r>
    </w:p>
    <w:p>
      <w:pPr>
        <w:spacing w:after="0" w:line="101" w:lineRule="exact"/>
        <w:rPr>
          <w:sz w:val="20"/>
          <w:szCs w:val="20"/>
          <w:color w:val="auto"/>
        </w:rPr>
      </w:pPr>
    </w:p>
    <w:p>
      <w:pPr>
        <w:ind w:left="640" w:right="659" w:firstLine="351"/>
        <w:spacing w:after="0" w:line="264" w:lineRule="auto"/>
        <w:rPr>
          <w:sz w:val="20"/>
          <w:szCs w:val="20"/>
          <w:color w:val="auto"/>
        </w:rPr>
      </w:pPr>
      <w:r>
        <w:rPr>
          <w:rFonts w:ascii="Times New Roman" w:cs="Times New Roman" w:eastAsia="Times New Roman" w:hAnsi="Times New Roman"/>
          <w:sz w:val="14"/>
          <w:szCs w:val="14"/>
          <w:color w:val="auto"/>
        </w:rPr>
        <w:t>Quality and compliance are central to our strategies and mission. We have demonstrated leading and excellent service and customer/patient/family satisfaction scores across the organization, as referenced in prior filings such as our Form 10-K. In addition to quality and compliance resources and programs in field operations, we invest over $200 million a year in people, training, auditing, signature programs, accreditations, advocacy, and technologies to support quality, compliance, and safety as part of our “Quality First” framework. We have demonstrated consistently high and often leading marks for service levels, satisfaction scores, and quality metrics in our industries.</w:t>
      </w:r>
    </w:p>
    <w:p>
      <w:pPr>
        <w:spacing w:after="0" w:line="56"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Operational excellence is also an ongoing focus at the Company, including how we collect and share key metrics, hold operational reviews, audit, conduct training, deploy expert support resources, execute on corrective and preventative actions, and implement continuous improvement initiatives across the organization. We have continued to make investments in automation, data, and technology systems to support enhanced workflows, further scale, and future growth across service lines.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Build De Novo Locations</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We have a proven ability to augment growth of existing operations by expanding our presence and opening new locations – in both of our reportable segments, Pharmacy Solutions and Provider Services – across geographies with consistent ramp-up in performance after site opening. We believe our platform can continue to build further scale nationally, adding density to additional and targeted key markets as a lever to facilitate maximum pharmacy and provider services overlap, integrated and value-based care,</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26" w:name="page27"/>
    <w:bookmarkEnd w:id="26"/>
    <w:p>
      <w:pPr>
        <w:ind w:left="640" w:right="699"/>
        <w:spacing w:after="0" w:line="293" w:lineRule="auto"/>
        <w:rPr>
          <w:sz w:val="20"/>
          <w:szCs w:val="20"/>
          <w:color w:val="auto"/>
        </w:rPr>
      </w:pPr>
      <w:r>
        <w:rPr>
          <w:rFonts w:ascii="Times New Roman" w:cs="Times New Roman" w:eastAsia="Times New Roman" w:hAnsi="Times New Roman"/>
          <w:sz w:val="14"/>
          <w:szCs w:val="14"/>
          <w:color w:val="auto"/>
        </w:rPr>
        <w:t>and growth. The Company’s geographic and operations scale, and platform of complementary segments and service lines, provides us with access to more de novo opportunities to consider and prioritize.</w:t>
      </w:r>
    </w:p>
    <w:p>
      <w:pPr>
        <w:spacing w:after="0" w:line="37" w:lineRule="exact"/>
        <w:rPr>
          <w:sz w:val="20"/>
          <w:szCs w:val="20"/>
          <w:color w:val="auto"/>
        </w:rPr>
      </w:pPr>
    </w:p>
    <w:p>
      <w:pPr>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In the first fiscal quarter of 2024, we opened 14 de novo offices (branches/agencies) and clinics in new locations across our pharmacy and provider services. We typically identify and open new locations within proximity of an existing location as we leverage existing market knowledge and presence to expand in target markets, regions, and states. Our internal support resources in real estate, purchasing, IT, credentialing, payor contracting, HR, and sales and marketing, along with our Project Management Office, help to support and manage de novo locations from start to opening. We expect to continue to selectively and strategically expand our footprint within the United States and extend our service offerings to our patients and for customers, referral sources, and payors, and we believe de novo investments facilitate more integrated care capability and are a meaningful organic growth driver for the Company.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Ability to Facilitate Integrated Care</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Our operating model consists of complementary pharmacy and provider services that high-need Senior and Specialty populations require, and it is designed to increasingly coordinate, manage, and serve patients across our various needs and settings over time, leading to improved patient, family, physician, and referral source satisfaction, improved payor experiences, and better outcomes. Our performance and potential to drive increased service volume for increased patient and health outcomes impact is driven partly by our appeal with our patients, families, customers, referral sources, and payors to provide multiple integrated care services – either in the same setting at the same time or across settings and stages of health – within our collection of pharmacy solutions and provider services and differentiated overall capabilities.</w:t>
      </w:r>
    </w:p>
    <w:p>
      <w:pPr>
        <w:spacing w:after="0" w:line="6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provide multiple pharmacy and provider services to approximately 20,000 patients today, and we believe that there are substantially more opportunities to deliver more integrated care, given the hundreds of thousands of patients we serve and a similar number of patients discharging from customers annually. Value-add, beneficial, and multiple integrated care opportunities exist for our customer base and all Senior and Specialty patient populations not only across pharmacy and provider services, but also within each segment. Within pharmacy services, CCRx is aimed at providing medication risk and therapy management continuously and longitudinally post discharge from hospitals and skilled nursing customers. Within the provider services, patients often transition from home health to hospice services and can receive therapy and supportive care services concurrent with each other and with home health and hospice.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Aligning to Value-Based Care Reimbursement Models with Innovative Solutions</w:t>
      </w:r>
    </w:p>
    <w:p>
      <w:pPr>
        <w:spacing w:after="0" w:line="10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scale and depth of our complimentary platform of diverse yet related customer and patient services – that complex patients require – positions us at the forefront with governmental and commercial payors who are increasingly seeking ways to expand value-based reimbursement models. Our high-quality services that are delivered in home and community-based and patient and family-preferred settings at lower comparable costs are well-positioned for the long-term, and we continue to add wraparound care management capabilities and offerings to our core services. In addition to our large Medicare and Medicaid beneficiary populations, we have a large number of non-governmental payor contracts across the organization today, which both diversifies our payor mix, and provides for additional value-based opportunities and partnerships. The Company’s focused build out of its (i) Home-Based Primary Care, transitional care programs, and in-home medication therapy management, and (ii) Clinical (Nursing) Hub, are key enablers to coordinate base pharmacy and provider services and drive improved quality and lower costs for value-based care constructs. In addition to numerous payor contracts that feature reimbursement incentives, in the past year the Company has entered into several accountable care organization (“ACO”) arrangements to participate in shared savings from its attributed primary care patients and other ACO partnerships and contract as a preferred provider.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Initial Public Offering</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On January 30, 2024, we completed our initial public offering (“IPO”) of 53,333,334 shares of common stock at a price of</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$13.00 per share and a concurrent offering of 8,000,000 6.75% tangible equity units (“TEUs”) with a stated amount of $50.00 per unit</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(collectively, the “IPO Offerings”). The net proceeds from the IPO Offerings amounted to $656.5 million and $389.0 million for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common stock and TEUs, respectively, after deducting underwriting discounts, commissions, and offering-related expenses. The</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shares of common stock and TEUs began trading on the Nasdaq Global Select Market on January 26, 2024 under the ticker symbols</w:t>
      </w:r>
    </w:p>
    <w:p>
      <w:pPr>
        <w:spacing w:after="0" w:line="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“BTSG” and “BTSGU,” respectively.</w:t>
      </w:r>
    </w:p>
    <w:p>
      <w:pPr>
        <w:spacing w:after="0" w:line="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used the proceeds received from the IPO Offerings (i) to repay all indebtedness outstanding under the Second Lien Facility,</w:t>
      </w:r>
    </w:p>
    <w:p>
      <w:pPr>
        <w:spacing w:after="0" w:line="25" w:lineRule="exact"/>
        <w:rPr>
          <w:sz w:val="20"/>
          <w:szCs w:val="20"/>
          <w:color w:val="auto"/>
        </w:rPr>
      </w:pPr>
    </w:p>
    <w:p>
      <w:pPr>
        <w:ind w:left="640" w:right="639" w:hanging="9"/>
        <w:spacing w:after="0" w:line="260" w:lineRule="auto"/>
        <w:tabs>
          <w:tab w:leader="none" w:pos="851"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repay all indebtedness outstanding under the Revolving Credit Facility, (iii) to repay $343.3 million outstanding aggregate amount under the First Lien Facility, and (iv) to pay certain expenses in the offering. We intend to use the remaining proceeds for general corporate purposes. Additionally, we will pay $22.7 million of termination fees in connection with the termination of our monitoring agreement with our controlling stockholders, Kohlberg Kravis Roberts &amp; Co. L.P. (“KKR”) and Walgreens Boots Alliance, Inc. (together with KKR, the “Managers”) (the “Monitoring Agreement”).</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New Equity Awards</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We granted approximately $63.3 million in non-cash share-based compensation with respect to equity awards to our management and certain other full-time employees in January 2024 at the time of the IPO Offerings. Additionally, we expect to grant approximately 7.7 million restricted stock units to certain full-time employees starting in the second quarter of fiscal year 2024 as previously disclosed in connection with the IPO.</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Factors Affecting Results of Operations and Comparability</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Costs and Settlements Accrual</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November 2023, the Company agreed to settle the Silver matter without admitting liability, as discussed under Item 3. “Legal Proceedings”. The settlement agreement is subject to the approval of the United States Department of Justice and the District Court. The estimated financial impact increased from $115.0 million as of December 31, 2023 to $120.0 million as of March 31, 2024. The $5.0 million change is an estimate of increased costs associated with settling the claim and is included in selling, general, and administrative expenses in the unaudited condensed consolidated statement of operations for the three months ended March 31, 2024. See Note 10 “Commitments and Contingencies” within the unaudited condensed consolidated financial statements and related notes, included elsewhere in this Quarterly Report on Form 10-Q.</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Update on the Impact of the COVID-19 Pandemic</w:t>
      </w:r>
    </w:p>
    <w:p>
      <w:pPr>
        <w:spacing w:after="0" w:line="101" w:lineRule="exact"/>
        <w:rPr>
          <w:sz w:val="20"/>
          <w:szCs w:val="20"/>
          <w:color w:val="auto"/>
        </w:rPr>
      </w:pPr>
    </w:p>
    <w:p>
      <w:pPr>
        <w:ind w:left="640" w:right="659" w:firstLine="516"/>
        <w:spacing w:after="0" w:line="262" w:lineRule="auto"/>
        <w:rPr>
          <w:sz w:val="20"/>
          <w:szCs w:val="20"/>
          <w:color w:val="auto"/>
        </w:rPr>
      </w:pPr>
      <w:r>
        <w:rPr>
          <w:rFonts w:ascii="Times New Roman" w:cs="Times New Roman" w:eastAsia="Times New Roman" w:hAnsi="Times New Roman"/>
          <w:sz w:val="14"/>
          <w:szCs w:val="14"/>
          <w:color w:val="auto"/>
        </w:rPr>
        <w:t>On May 11, 2023, the Department of Health and Human Services declared the COVID-19 pandemic is no longer a public health emergency. New variants could affect our operations for an extended period; however, at this time we cannot confidently forecast the duration or the ultimate financial impact on our operations, should such an impact occur. In the three months ended March 31, 2024, the Company received no funds from the Provider Relief Fund (“PRF”) and recognized no income related to the program. The Company received and recognized into income $18.8 million from the PRF for the three months ended March 31, 2023. The income recognized was offset directly by the expenses incurred within selling, general, and administrative expenses in our unaudited condensed consolidated statement of operations, which resulted in no net financial impact to the Company.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 Healthcare Cybersecurity Incident</w:t>
      </w:r>
    </w:p>
    <w:p>
      <w:pPr>
        <w:spacing w:after="0" w:line="101" w:lineRule="exact"/>
        <w:rPr>
          <w:sz w:val="20"/>
          <w:szCs w:val="20"/>
          <w:color w:val="auto"/>
        </w:rPr>
      </w:pPr>
    </w:p>
    <w:p>
      <w:pPr>
        <w:ind w:left="640" w:right="739" w:firstLine="516"/>
        <w:spacing w:after="0" w:line="262" w:lineRule="auto"/>
        <w:rPr>
          <w:sz w:val="20"/>
          <w:szCs w:val="20"/>
          <w:color w:val="auto"/>
        </w:rPr>
      </w:pPr>
      <w:r>
        <w:rPr>
          <w:rFonts w:ascii="Times New Roman" w:cs="Times New Roman" w:eastAsia="Times New Roman" w:hAnsi="Times New Roman"/>
          <w:sz w:val="14"/>
          <w:szCs w:val="14"/>
          <w:color w:val="auto"/>
        </w:rPr>
        <w:t>The Company uses Change Healthcare, a subsidiary of UnitedHealth Group, to submit certain patient claims, primarily within our Pharmacy Solutions reportable segment, to Medicare and other payors for reimbursement. On February 22, 2024, UnitedHealth Group announced that on February 21, 2024, Change Healthcare’s information technology systems were impacted by a cybersecurity incident. The Change Healthcare cybersecurity incident did not impact our day-to-day operations; however, we were delayed in submitting patient claims to certain payors. As of the date of this filing, we are substantially caught up with our claim submissions; however, the delays in submitting claims resulted in a reduction of our operating cash flow and an estimated increase to our accounts receivable of approximately $20.0 million for the three months ended March 31, 2024.</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83" w:lineRule="exact"/>
        <w:rPr>
          <w:sz w:val="20"/>
          <w:szCs w:val="20"/>
          <w:color w:val="auto"/>
        </w:rPr>
      </w:pPr>
    </w:p>
    <w:p>
      <w:pPr>
        <w:ind w:left="640" w:right="73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Revenues</w:t>
      </w:r>
      <w:r>
        <w:rPr>
          <w:rFonts w:ascii="Times New Roman" w:cs="Times New Roman" w:eastAsia="Times New Roman" w:hAnsi="Times New Roman"/>
          <w:sz w:val="14"/>
          <w:szCs w:val="14"/>
          <w:color w:val="auto"/>
        </w:rPr>
        <w:t>. The Company recognizes the amount of revenue to which it expects to be entitled for the transfer of promised goods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services to customers. For transactions involving the transfer of goods, revenues are primarily recognized when the customer obtains control of the products sold, which is generally upon shipment or delivery, depending on the delivery terms specified in the sales agreement. For transactions exclusively involving provision of services, revenues are recognized over time based on an appropriate measure of progress.</w:t>
      </w:r>
    </w:p>
    <w:p>
      <w:pPr>
        <w:spacing w:after="0" w:line="141" w:lineRule="exact"/>
        <w:rPr>
          <w:sz w:val="20"/>
          <w:szCs w:val="20"/>
          <w:color w:val="auto"/>
        </w:rPr>
      </w:pPr>
    </w:p>
    <w:p>
      <w:pPr>
        <w:ind w:left="640" w:right="67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Cost of Goods and Cost of Services</w:t>
      </w:r>
      <w:r>
        <w:rPr>
          <w:rFonts w:ascii="Times New Roman" w:cs="Times New Roman" w:eastAsia="Times New Roman" w:hAnsi="Times New Roman"/>
          <w:sz w:val="14"/>
          <w:szCs w:val="14"/>
          <w:color w:val="auto"/>
        </w:rPr>
        <w:t>. We classify expenses directly related to providing goods and services,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depreciation and amortization, as cost of goods and cost of services. Direct costs and expenses principally include cost of drugs, net of rebates, salaries and benefits for direct care and service professionals, contracted labor costs, insurance costs, transportation costs for clients requiring services, certain client expenses such as food, supplies and medicine, residential occupancy expenses, which primarily comprise rent and utilities, and other miscellaneous direct goods or service-related expenses.</w:t>
      </w:r>
    </w:p>
    <w:p>
      <w:pPr>
        <w:spacing w:after="0" w:line="141" w:lineRule="exact"/>
        <w:rPr>
          <w:sz w:val="20"/>
          <w:szCs w:val="20"/>
          <w:color w:val="auto"/>
        </w:rPr>
      </w:pPr>
    </w:p>
    <w:p>
      <w:pPr>
        <w:ind w:left="640" w:right="799" w:firstLine="351"/>
        <w:spacing w:after="0" w:line="266" w:lineRule="auto"/>
        <w:rPr>
          <w:sz w:val="20"/>
          <w:szCs w:val="20"/>
          <w:color w:val="auto"/>
        </w:rPr>
      </w:pPr>
      <w:r>
        <w:rPr>
          <w:rFonts w:ascii="Times New Roman" w:cs="Times New Roman" w:eastAsia="Times New Roman" w:hAnsi="Times New Roman"/>
          <w:sz w:val="14"/>
          <w:szCs w:val="14"/>
          <w:i w:val="1"/>
          <w:iCs w:val="1"/>
          <w:color w:val="auto"/>
        </w:rPr>
        <w:t>Selling, General, and Administrative Expenses</w:t>
      </w:r>
      <w:r>
        <w:rPr>
          <w:rFonts w:ascii="Times New Roman" w:cs="Times New Roman" w:eastAsia="Times New Roman" w:hAnsi="Times New Roman"/>
          <w:sz w:val="14"/>
          <w:szCs w:val="14"/>
          <w:color w:val="auto"/>
        </w:rPr>
        <w:t>. Selling, general, and administrative expenses consist of expenses incurred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support of our operations and administrative functions and include labor costs, such as salaries, bonuses, commissions, benefits, and travel-related expenses, distribution expenses, facilities rental costs, third-party revenue cycle management costs, and corporate support costs including finance, information technology, legal costs and settlements, human resources, procurement, and other administrative costs.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8" w:name="page29"/>
    <w:bookmarkEnd w:id="28"/>
    <w:p>
      <w:pPr>
        <w:ind w:left="640" w:right="759" w:firstLine="351"/>
        <w:spacing w:after="0" w:line="296" w:lineRule="auto"/>
        <w:rPr>
          <w:sz w:val="20"/>
          <w:szCs w:val="20"/>
          <w:color w:val="auto"/>
        </w:rPr>
      </w:pPr>
      <w:r>
        <w:rPr>
          <w:rFonts w:ascii="Times New Roman" w:cs="Times New Roman" w:eastAsia="Times New Roman" w:hAnsi="Times New Roman"/>
          <w:sz w:val="14"/>
          <w:szCs w:val="14"/>
          <w:i w:val="1"/>
          <w:iCs w:val="1"/>
          <w:color w:val="auto"/>
        </w:rPr>
        <w:t xml:space="preserve">Loss on Extinguishment of Debt. </w:t>
      </w:r>
      <w:r>
        <w:rPr>
          <w:rFonts w:ascii="Times New Roman" w:cs="Times New Roman" w:eastAsia="Times New Roman" w:hAnsi="Times New Roman"/>
          <w:sz w:val="14"/>
          <w:szCs w:val="14"/>
          <w:color w:val="auto"/>
        </w:rPr>
        <w:t>Loss on extinguishment of debt reflects the write-off of unamortized debt issuance costs upon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early repayment of our Second Lien Facility.</w:t>
      </w:r>
    </w:p>
    <w:p>
      <w:pPr>
        <w:spacing w:after="0" w:line="119" w:lineRule="exact"/>
        <w:rPr>
          <w:sz w:val="20"/>
          <w:szCs w:val="20"/>
          <w:color w:val="auto"/>
        </w:rPr>
      </w:pPr>
    </w:p>
    <w:p>
      <w:pPr>
        <w:ind w:left="640" w:right="879" w:firstLine="351"/>
        <w:spacing w:after="0" w:line="269" w:lineRule="auto"/>
        <w:rPr>
          <w:sz w:val="20"/>
          <w:szCs w:val="20"/>
          <w:color w:val="auto"/>
        </w:rPr>
      </w:pPr>
      <w:r>
        <w:rPr>
          <w:rFonts w:ascii="Times New Roman" w:cs="Times New Roman" w:eastAsia="Times New Roman" w:hAnsi="Times New Roman"/>
          <w:sz w:val="14"/>
          <w:szCs w:val="14"/>
          <w:i w:val="1"/>
          <w:iCs w:val="1"/>
          <w:color w:val="auto"/>
        </w:rPr>
        <w:t>Interest Expense, net</w:t>
      </w:r>
      <w:r>
        <w:rPr>
          <w:rFonts w:ascii="Times New Roman" w:cs="Times New Roman" w:eastAsia="Times New Roman" w:hAnsi="Times New Roman"/>
          <w:sz w:val="14"/>
          <w:szCs w:val="14"/>
          <w:color w:val="auto"/>
        </w:rPr>
        <w:t>. Interest expense, net includes the debt service costs associated with our various debt instruments,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our First Lien Facilities and Second Lien Facility, and the amortization of related deferred financing fees, which are amortized over the term of the respective credit agreement. Interest expense, net also includes the portion of the gain or loss on our interest rate swap agreements that is reclassified into earnings.</w:t>
      </w:r>
    </w:p>
    <w:p>
      <w:pPr>
        <w:spacing w:after="0" w:line="139" w:lineRule="exact"/>
        <w:rPr>
          <w:sz w:val="20"/>
          <w:szCs w:val="20"/>
          <w:color w:val="auto"/>
        </w:rPr>
      </w:pPr>
    </w:p>
    <w:p>
      <w:pPr>
        <w:jc w:val="both"/>
        <w:ind w:left="640" w:right="839" w:firstLine="351"/>
        <w:spacing w:after="0" w:line="276" w:lineRule="auto"/>
        <w:rPr>
          <w:sz w:val="20"/>
          <w:szCs w:val="20"/>
          <w:color w:val="auto"/>
        </w:rPr>
      </w:pPr>
      <w:r>
        <w:rPr>
          <w:rFonts w:ascii="Times New Roman" w:cs="Times New Roman" w:eastAsia="Times New Roman" w:hAnsi="Times New Roman"/>
          <w:sz w:val="14"/>
          <w:szCs w:val="14"/>
          <w:i w:val="1"/>
          <w:iCs w:val="1"/>
          <w:color w:val="auto"/>
        </w:rPr>
        <w:t>Income Tax Benefit</w:t>
      </w:r>
      <w:r>
        <w:rPr>
          <w:rFonts w:ascii="Times New Roman" w:cs="Times New Roman" w:eastAsia="Times New Roman" w:hAnsi="Times New Roman"/>
          <w:sz w:val="14"/>
          <w:szCs w:val="14"/>
          <w:color w:val="auto"/>
        </w:rPr>
        <w:t>. Our provision for income taxes is based on permanent book/tax differences and statutory tax rates in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various jurisdictions in which we operate. Significant estimates and judgments are required in determining the provision for income taxes.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Consolidated Results of Operations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2024 Compared to Three Months Ended March 31,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consolidated results of operations.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36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right"/>
              <w:ind w:right="2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20" w:type="dxa"/>
            <w:vAlign w:val="bottom"/>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Revenues:</w:t>
            </w:r>
          </w:p>
        </w:tc>
        <w:tc>
          <w:tcPr>
            <w:tcW w:w="18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1,977,035</w:t>
            </w:r>
          </w:p>
        </w:tc>
        <w:tc>
          <w:tcPr>
            <w:tcW w:w="100" w:type="dxa"/>
            <w:vAlign w:val="bottom"/>
          </w:tcPr>
          <w:p>
            <w:pPr>
              <w:spacing w:after="0"/>
              <w:rPr>
                <w:sz w:val="16"/>
                <w:szCs w:val="16"/>
                <w:color w:val="auto"/>
              </w:rPr>
            </w:pP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1,467,002</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510,033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190"/>
        </w:trPr>
        <w:tc>
          <w:tcPr>
            <w:tcW w:w="3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599,603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561,376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2,576,638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2,028,378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548,260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1,306,981</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500,119</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38.3 %</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386,684</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369,391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334,713</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34,678</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10.4 %</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361,324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283,158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78,166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27.6 %</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Operating income</w:t>
            </w: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51,555</w:t>
            </w: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(43,488</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2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97"/>
              </w:rPr>
              <w:t>)%</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12,726</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4"/>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78,177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(13,157 )</w:t>
            </w:r>
          </w:p>
        </w:tc>
        <w:tc>
          <w:tcPr>
            <w:tcW w:w="2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(16.8 )%</w:t>
            </w:r>
          </w:p>
        </w:tc>
        <w:tc>
          <w:tcPr>
            <w:tcW w:w="0" w:type="dxa"/>
            <w:vAlign w:val="bottom"/>
          </w:tcPr>
          <w:p>
            <w:pPr>
              <w:spacing w:after="0"/>
              <w:rPr>
                <w:sz w:val="1"/>
                <w:szCs w:val="1"/>
                <w:color w:val="auto"/>
              </w:rPr>
            </w:pPr>
          </w:p>
        </w:tc>
      </w:tr>
      <w:tr>
        <w:trPr>
          <w:trHeight w:val="23"/>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(69,679 )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(26,622 )</w:t>
            </w:r>
          </w:p>
        </w:tc>
        <w:tc>
          <w:tcPr>
            <w:tcW w:w="160" w:type="dxa"/>
            <w:vAlign w:val="bottom"/>
          </w:tcPr>
          <w:p>
            <w:pPr>
              <w:spacing w:after="0"/>
              <w:rPr>
                <w:sz w:val="16"/>
                <w:szCs w:val="16"/>
                <w:color w:val="auto"/>
              </w:rPr>
            </w:pP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(43,057 )</w:t>
            </w:r>
          </w:p>
        </w:tc>
        <w:tc>
          <w:tcPr>
            <w:tcW w:w="280" w:type="dxa"/>
            <w:vAlign w:val="bottom"/>
          </w:tcPr>
          <w:p>
            <w:pPr>
              <w:spacing w:after="0"/>
              <w:rPr>
                <w:sz w:val="16"/>
                <w:szCs w:val="16"/>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98"/>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(23,294 )</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(4,346 )</w:t>
            </w:r>
          </w:p>
        </w:tc>
        <w:tc>
          <w:tcPr>
            <w:tcW w:w="1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(18,948 )</w:t>
            </w:r>
          </w:p>
        </w:tc>
        <w:tc>
          <w:tcPr>
            <w:tcW w:w="2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6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(46,385 )</w:t>
            </w:r>
          </w:p>
        </w:tc>
        <w:tc>
          <w:tcPr>
            <w:tcW w:w="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(22,276 )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(24,109 )</w:t>
            </w:r>
          </w:p>
        </w:tc>
        <w:tc>
          <w:tcPr>
            <w:tcW w:w="280" w:type="dxa"/>
            <w:vAlign w:val="bottom"/>
          </w:tcPr>
          <w:p>
            <w:pPr>
              <w:spacing w:after="0"/>
              <w:rPr>
                <w:sz w:val="15"/>
                <w:szCs w:val="15"/>
                <w:color w:val="auto"/>
              </w:rPr>
            </w:pPr>
          </w:p>
        </w:tc>
        <w:tc>
          <w:tcPr>
            <w:tcW w:w="7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n.m.</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line="213" w:lineRule="exact"/>
              <w:rPr>
                <w:sz w:val="20"/>
                <w:szCs w:val="20"/>
                <w:color w:val="auto"/>
              </w:rPr>
            </w:pPr>
            <w:r>
              <w:rPr>
                <w:rFonts w:ascii="Times New Roman" w:cs="Times New Roman" w:eastAsia="Times New Roman" w:hAnsi="Times New Roman"/>
                <w:sz w:val="14"/>
                <w:szCs w:val="14"/>
                <w:color w:val="auto"/>
              </w:rPr>
              <w:t xml:space="preserve">Adjusted EBITDA </w:t>
            </w:r>
            <w:r>
              <w:rPr>
                <w:rFonts w:ascii="Times New Roman" w:cs="Times New Roman" w:eastAsia="Times New Roman" w:hAnsi="Times New Roman"/>
                <w:sz w:val="19"/>
                <w:szCs w:val="19"/>
                <w:color w:val="auto"/>
                <w:vertAlign w:val="superscript"/>
              </w:rPr>
              <w:t>(1)</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660" w:type="dxa"/>
            <w:vAlign w:val="bottom"/>
            <w:vMerge w:val="continue"/>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115,278</w:t>
            </w:r>
          </w:p>
        </w:tc>
        <w:tc>
          <w:tcPr>
            <w:tcW w:w="1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15,220</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-1406525</wp:posOffset>
            </wp:positionV>
            <wp:extent cx="4919345" cy="1231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-1153795</wp:posOffset>
            </wp:positionV>
            <wp:extent cx="4919345" cy="123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-1666240</wp:posOffset>
            </wp:positionV>
            <wp:extent cx="4919345" cy="1295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-908050</wp:posOffset>
            </wp:positionV>
            <wp:extent cx="4919345" cy="1295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-655320</wp:posOffset>
            </wp:positionV>
            <wp:extent cx="4919345" cy="1295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19345" cy="129540"/>
                    </a:xfrm>
                    <a:prstGeom prst="rect">
                      <a:avLst/>
                    </a:prstGeom>
                    <a:noFill/>
                  </pic:spPr>
                </pic:pic>
              </a:graphicData>
            </a:graphic>
          </wp:anchor>
        </w:drawing>
        <w:drawing>
          <wp:anchor simplePos="0" relativeHeight="251657728" behindDoc="1" locked="0" layoutInCell="0" allowOverlap="1">
            <wp:simplePos x="0" y="0"/>
            <wp:positionH relativeFrom="column">
              <wp:posOffset>3290570</wp:posOffset>
            </wp:positionH>
            <wp:positionV relativeFrom="paragraph">
              <wp:posOffset>-279400</wp:posOffset>
            </wp:positionV>
            <wp:extent cx="5461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-279400</wp:posOffset>
            </wp:positionV>
            <wp:extent cx="4762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-279400</wp:posOffset>
            </wp:positionV>
            <wp:extent cx="4762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-279400</wp:posOffset>
            </wp:positionV>
            <wp:extent cx="4762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-142875</wp:posOffset>
            </wp:positionV>
            <wp:extent cx="4919345" cy="143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19345" cy="143510"/>
                    </a:xfrm>
                    <a:prstGeom prst="rect">
                      <a:avLst/>
                    </a:prstGeom>
                    <a:noFill/>
                  </pic:spPr>
                </pic:pic>
              </a:graphicData>
            </a:graphic>
          </wp:anchor>
        </w:drawing>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i w:val="1"/>
          <w:iCs w:val="1"/>
          <w:color w:val="auto"/>
        </w:rPr>
        <w:t>* n.m.: not meaningful</w:t>
      </w:r>
    </w:p>
    <w:p>
      <w:pPr>
        <w:spacing w:after="0" w:line="83" w:lineRule="exact"/>
        <w:rPr>
          <w:sz w:val="20"/>
          <w:szCs w:val="20"/>
          <w:color w:val="auto"/>
        </w:rPr>
      </w:pPr>
    </w:p>
    <w:p>
      <w:pPr>
        <w:ind w:left="640" w:right="819" w:hanging="9"/>
        <w:spacing w:after="0" w:line="293" w:lineRule="auto"/>
        <w:tabs>
          <w:tab w:leader="none" w:pos="84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123" w:lineRule="exact"/>
        <w:rPr>
          <w:sz w:val="20"/>
          <w:szCs w:val="20"/>
          <w:color w:val="auto"/>
        </w:rPr>
      </w:pPr>
    </w:p>
    <w:p>
      <w:pPr>
        <w:ind w:left="640" w:right="859" w:firstLine="351"/>
        <w:spacing w:after="0" w:line="293" w:lineRule="auto"/>
        <w:rPr>
          <w:sz w:val="20"/>
          <w:szCs w:val="20"/>
          <w:color w:val="auto"/>
        </w:rPr>
      </w:pPr>
      <w:r>
        <w:rPr>
          <w:rFonts w:ascii="Times New Roman" w:cs="Times New Roman" w:eastAsia="Times New Roman" w:hAnsi="Times New Roman"/>
          <w:sz w:val="14"/>
          <w:szCs w:val="14"/>
          <w:color w:val="auto"/>
        </w:rPr>
        <w:t>The following discussion of our results of operations should be read in conjunction with the foregoing table summarizing our consolidated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19" w:firstLine="351"/>
        <w:spacing w:after="0" w:line="275" w:lineRule="auto"/>
        <w:rPr>
          <w:sz w:val="20"/>
          <w:szCs w:val="20"/>
          <w:color w:val="auto"/>
        </w:rPr>
      </w:pPr>
      <w:r>
        <w:rPr>
          <w:rFonts w:ascii="Times New Roman" w:cs="Times New Roman" w:eastAsia="Times New Roman" w:hAnsi="Times New Roman"/>
          <w:sz w:val="14"/>
          <w:szCs w:val="14"/>
          <w:color w:val="auto"/>
        </w:rPr>
        <w:t>Revenues were $2,576.6 million for the three months ended March 31, 2024, as compared with $2,028.4 million for the three months ended March 31, 2023, an increase of $548.3 million or 27.0%. The increase resulted from growth in our Pharmacy Solutions and Provider Services segments.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jc w:val="both"/>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Cost of goods was $1,807.1 million for the three months ended March 31, 2024, as compared with $1,307.0 million for the three months ended March 31, 2023, an increase of $500.1 million or 38.3%. The increase resulted from an increase in Pharmacy Solutions cost of goods. See additional discussion in “—Segment Results of Operations” below.</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jc w:val="both"/>
        <w:ind w:left="640" w:right="719" w:firstLine="351"/>
        <w:spacing w:after="0" w:line="275" w:lineRule="auto"/>
        <w:rPr>
          <w:sz w:val="20"/>
          <w:szCs w:val="20"/>
          <w:color w:val="auto"/>
        </w:rPr>
      </w:pPr>
      <w:r>
        <w:rPr>
          <w:rFonts w:ascii="Times New Roman" w:cs="Times New Roman" w:eastAsia="Times New Roman" w:hAnsi="Times New Roman"/>
          <w:sz w:val="14"/>
          <w:szCs w:val="14"/>
          <w:color w:val="auto"/>
        </w:rPr>
        <w:t>Cost of services was $400.1 million for the three months ended March 31, 2024, as compared with $386.7 million for the three months ended March 31, 2023, an increase of $13.5 million or 3.5%. The increase resulted from an increase in Provider Services cost of services. See additional discussion in “—Segment Results of Operations” below.</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Selling, general, and administrative expenses were $361.3 million for the three months ended March 31, 2024, as compared with $283.2 million for the three months ended March 31, 2023, an increase of $78.2 million or 27.6%. The increase primarily resulted from the following segment activity and factors:</w:t>
      </w:r>
    </w:p>
    <w:p>
      <w:pPr>
        <w:spacing w:after="0" w:line="49" w:lineRule="exact"/>
        <w:rPr>
          <w:sz w:val="20"/>
          <w:szCs w:val="20"/>
          <w:color w:val="auto"/>
        </w:rPr>
      </w:pPr>
    </w:p>
    <w:p>
      <w:pPr>
        <w:jc w:val="both"/>
        <w:ind w:left="1340" w:right="679" w:hanging="359"/>
        <w:spacing w:after="0" w:line="275"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$9.9 million, or 3.5% growth on consolidated 2023 selling, general, and administrative expenses, as a result of growth in our Pharmacy Solutions and Provider Services segments. See additional discussion in “—Segment Results of Operations” below;</w:t>
      </w:r>
    </w:p>
    <w:p>
      <w:pPr>
        <w:spacing w:after="0" w:line="49" w:lineRule="exact"/>
        <w:rPr>
          <w:rFonts w:ascii="Times New Roman" w:cs="Times New Roman" w:eastAsia="Times New Roman" w:hAnsi="Times New Roman"/>
          <w:sz w:val="14"/>
          <w:szCs w:val="14"/>
          <w:color w:val="auto"/>
        </w:rPr>
      </w:pPr>
    </w:p>
    <w:p>
      <w:pPr>
        <w:ind w:left="1340" w:right="699" w:hanging="359"/>
        <w:spacing w:after="0" w:line="265"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$42.1 million, or 14.9% growth on consolidated 2023 selling, general, and administrative expenses, as a result of our IPO Offerings and are not expected to recur. These expenses include $22.7 million of termination fees we will pay to the Managers in connection with the termination of our Monitoring Agreement; $15.0 million of previously unrecognized non-cash share-based compensation expense related to performance-vesting options, which vested upon the IPO; and $4.4 million of non-capitalizable offering costs;</w:t>
      </w:r>
    </w:p>
    <w:p>
      <w:pPr>
        <w:spacing w:after="0" w:line="58" w:lineRule="exact"/>
        <w:rPr>
          <w:rFonts w:ascii="Times New Roman" w:cs="Times New Roman" w:eastAsia="Times New Roman" w:hAnsi="Times New Roman"/>
          <w:sz w:val="14"/>
          <w:szCs w:val="14"/>
          <w:color w:val="auto"/>
        </w:rPr>
      </w:pPr>
    </w:p>
    <w:p>
      <w:pPr>
        <w:ind w:left="1340" w:right="679" w:hanging="359"/>
        <w:spacing w:after="0" w:line="293"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$8.1 million, or 2.9% growth on consolidated 2023 selling, general, and administrative expenses, due to non-cash share-based compensation related to the new equity awards granted to management in conjunction with the IPO;</w:t>
      </w:r>
    </w:p>
    <w:p>
      <w:pPr>
        <w:spacing w:after="0" w:line="37" w:lineRule="exact"/>
        <w:rPr>
          <w:rFonts w:ascii="Times New Roman" w:cs="Times New Roman" w:eastAsia="Times New Roman" w:hAnsi="Times New Roman"/>
          <w:sz w:val="14"/>
          <w:szCs w:val="14"/>
          <w:color w:val="auto"/>
        </w:rPr>
      </w:pPr>
    </w:p>
    <w:p>
      <w:pPr>
        <w:ind w:left="1340" w:right="799" w:hanging="359"/>
        <w:spacing w:after="0" w:line="293"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$9.5 million, or 3.4% growth on consolidated 2023 selling, general, and administrative expenses, due to a change in estimate of legal settlements and defense costs related to two historical PharMerica litigation matters; and</w:t>
      </w:r>
    </w:p>
    <w:p>
      <w:pPr>
        <w:spacing w:after="0" w:line="37" w:lineRule="exact"/>
        <w:rPr>
          <w:rFonts w:ascii="Times New Roman" w:cs="Times New Roman" w:eastAsia="Times New Roman" w:hAnsi="Times New Roman"/>
          <w:sz w:val="14"/>
          <w:szCs w:val="14"/>
          <w:color w:val="auto"/>
        </w:rPr>
      </w:pPr>
    </w:p>
    <w:p>
      <w:pPr>
        <w:ind w:left="1340" w:right="679" w:hanging="359"/>
        <w:spacing w:after="0" w:line="293" w:lineRule="auto"/>
        <w:tabs>
          <w:tab w:leader="none" w:pos="1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$8.6 million, or 3.0% growth on consolidated 2023 selling, general, and administrative expenses, as a result of an increase in other operational expenses year-over-year.</w:t>
      </w:r>
    </w:p>
    <w:p>
      <w:pPr>
        <w:spacing w:after="0" w:line="37" w:lineRule="exact"/>
        <w:rPr>
          <w:sz w:val="20"/>
          <w:szCs w:val="20"/>
          <w:color w:val="auto"/>
        </w:rPr>
      </w:pPr>
    </w:p>
    <w:p>
      <w:pPr>
        <w:ind w:left="640" w:right="779" w:firstLine="351"/>
        <w:spacing w:after="0" w:line="265" w:lineRule="auto"/>
        <w:rPr>
          <w:sz w:val="20"/>
          <w:szCs w:val="20"/>
          <w:color w:val="auto"/>
        </w:rPr>
      </w:pPr>
      <w:r>
        <w:rPr>
          <w:rFonts w:ascii="Times New Roman" w:cs="Times New Roman" w:eastAsia="Times New Roman" w:hAnsi="Times New Roman"/>
          <w:sz w:val="14"/>
          <w:szCs w:val="14"/>
          <w:color w:val="auto"/>
        </w:rPr>
        <w:t>Included within selling, general, and administrative expenses for the three months ended March 31, 2024 were $0.6 million of certain pre-opening startup costs associated with our corporate de novo program as compared with $1.2 million for the three months ended March 31, 2023. The costs are attributable to certain strategic initiatives, and include costs incurred prior to opening de novo locations in connection with our expansion into specific new geographies, and fluctuate based on the number, timing and geographic footprint of new locations.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Loss on Extinguishment of Debt</w:t>
      </w:r>
    </w:p>
    <w:p>
      <w:pPr>
        <w:spacing w:after="0" w:line="99" w:lineRule="exact"/>
        <w:rPr>
          <w:sz w:val="20"/>
          <w:szCs w:val="20"/>
          <w:color w:val="auto"/>
        </w:rPr>
      </w:pPr>
    </w:p>
    <w:p>
      <w:pPr>
        <w:ind w:left="640" w:right="659" w:firstLine="516"/>
        <w:spacing w:after="0" w:line="275" w:lineRule="auto"/>
        <w:rPr>
          <w:sz w:val="20"/>
          <w:szCs w:val="20"/>
          <w:color w:val="auto"/>
        </w:rPr>
      </w:pPr>
      <w:r>
        <w:rPr>
          <w:rFonts w:ascii="Times New Roman" w:cs="Times New Roman" w:eastAsia="Times New Roman" w:hAnsi="Times New Roman"/>
          <w:sz w:val="14"/>
          <w:szCs w:val="14"/>
          <w:color w:val="auto"/>
        </w:rPr>
        <w:t>During the three months ended March 31, 2024, we used proceeds from the IPO Offerings to repay the Second Lien on January 30, 2024 and as a result incurred a loss on extinguishment of debt of $12.7 million related to the write-off of unamortized debt issuance costs. There was no loss on extinguishment of debt recognized for the three months ended March 31, 2023.</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Expense, net</w:t>
      </w:r>
    </w:p>
    <w:p>
      <w:pPr>
        <w:spacing w:after="0" w:line="99" w:lineRule="exact"/>
        <w:rPr>
          <w:sz w:val="20"/>
          <w:szCs w:val="20"/>
          <w:color w:val="auto"/>
        </w:rPr>
      </w:pPr>
    </w:p>
    <w:p>
      <w:pPr>
        <w:ind w:left="640" w:right="639" w:firstLine="351"/>
        <w:spacing w:after="0" w:line="264" w:lineRule="auto"/>
        <w:rPr>
          <w:sz w:val="20"/>
          <w:szCs w:val="20"/>
          <w:color w:val="auto"/>
        </w:rPr>
      </w:pPr>
      <w:r>
        <w:rPr>
          <w:rFonts w:ascii="Times New Roman" w:cs="Times New Roman" w:eastAsia="Times New Roman" w:hAnsi="Times New Roman"/>
          <w:sz w:val="14"/>
          <w:szCs w:val="14"/>
          <w:color w:val="auto"/>
        </w:rPr>
        <w:t>Interest expense, net was $65.0 million for the three months ended March 31, 2024, as compared with $78.2 million for the three months ended March 31, 2023, a decrease of $13.2 million or 16.8%. The decrease primarily resulted from lower outstanding term debt as compared to the prior period and a $4.5 million increase in interest income related to cash flow hedges of interest rate risk from $5.1 million of interest income for the three months ended March 31, 2023 to $9.6 million for the three months ended March 31, 2024. The Company's outstanding term debt decreased in the first fiscal quarter of 2024 due to the paydowns on our term debt using proceeds from the IPO Offerings.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Income Tax Benefit</w:t>
      </w:r>
    </w:p>
    <w:p>
      <w:pPr>
        <w:spacing w:after="0" w:line="99"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Income tax benefit was $23.3 million for the three months ended March 31, 2024, as compared to $4.3 million for the three months ended March 31, 2023, an increase of $19.0 million. The increase in the income tax benefit is attributable to an increase in the pre-tax book loss for the three months ended March 31, 2024 as compared to three months ended March 31, 2023, and an increase in the effective tax rate for the three months ended March 31, 2024 of 33.4% compared to 16.3% for the three months ended March 31, 2023. The increase in the effective tax rate is primarily due to limitations on the deductibility of certain executive compensation that now apply to the Company after the IPO Offerings.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Net Loss</w:t>
      </w:r>
    </w:p>
    <w:p>
      <w:pPr>
        <w:spacing w:after="0" w:line="99" w:lineRule="exact"/>
        <w:rPr>
          <w:sz w:val="20"/>
          <w:szCs w:val="20"/>
          <w:color w:val="auto"/>
        </w:rPr>
      </w:pPr>
    </w:p>
    <w:p>
      <w:pPr>
        <w:ind w:left="640" w:right="899" w:firstLine="351"/>
        <w:spacing w:after="0" w:line="293" w:lineRule="auto"/>
        <w:rPr>
          <w:sz w:val="20"/>
          <w:szCs w:val="20"/>
          <w:color w:val="auto"/>
        </w:rPr>
      </w:pPr>
      <w:r>
        <w:rPr>
          <w:rFonts w:ascii="Times New Roman" w:cs="Times New Roman" w:eastAsia="Times New Roman" w:hAnsi="Times New Roman"/>
          <w:sz w:val="14"/>
          <w:szCs w:val="14"/>
          <w:color w:val="auto"/>
        </w:rPr>
        <w:t>Net loss was $46.4 million for the three months ended March 31, 2024, as compared with $22.3 million for the three months ended March 31, 2023, an increase of $24.1 million. Net loss for the first fiscal quarter of 2024 includes the aforementioned $42.1</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0" w:name="page31"/>
    <w:bookmarkEnd w:id="30"/>
    <w:p>
      <w:pPr>
        <w:jc w:val="both"/>
        <w:ind w:left="640" w:right="759"/>
        <w:spacing w:after="0" w:line="265" w:lineRule="auto"/>
        <w:rPr>
          <w:sz w:val="20"/>
          <w:szCs w:val="20"/>
          <w:color w:val="auto"/>
        </w:rPr>
      </w:pPr>
      <w:r>
        <w:rPr>
          <w:rFonts w:ascii="Times New Roman" w:cs="Times New Roman" w:eastAsia="Times New Roman" w:hAnsi="Times New Roman"/>
          <w:sz w:val="14"/>
          <w:szCs w:val="14"/>
          <w:color w:val="auto"/>
        </w:rPr>
        <w:t>million of expense related to non-recurring costs directly associated with the IPO Offerings. Additionally, the Company incurred a write-off of $12.7 million of unamortized debt issuance costs upon the extinguishment of the Second Lien and $8.1 million of non-cash share-based compensation expense related to new equity awards granted to management in connection with the IPO Offerings. The increase in expenses is offset by the aforementioned decrease in interest expense, net, increase in revenue, and change in income tax benefit.</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 xml:space="preserve">Adjusted EBITDA </w:t>
      </w:r>
      <w:r>
        <w:rPr>
          <w:rFonts w:ascii="Times New Roman" w:cs="Times New Roman" w:eastAsia="Times New Roman" w:hAnsi="Times New Roman"/>
          <w:sz w:val="19"/>
          <w:szCs w:val="19"/>
          <w:i w:val="1"/>
          <w:iCs w:val="1"/>
          <w:color w:val="auto"/>
          <w:vertAlign w:val="superscript"/>
        </w:rPr>
        <w:t>(1)</w:t>
      </w:r>
    </w:p>
    <w:p>
      <w:pPr>
        <w:spacing w:after="0" w:line="47" w:lineRule="exact"/>
        <w:rPr>
          <w:sz w:val="20"/>
          <w:szCs w:val="20"/>
          <w:color w:val="auto"/>
        </w:rPr>
      </w:pPr>
    </w:p>
    <w:p>
      <w:pPr>
        <w:ind w:left="640" w:right="919" w:firstLine="351"/>
        <w:spacing w:after="0" w:line="275" w:lineRule="auto"/>
        <w:rPr>
          <w:sz w:val="20"/>
          <w:szCs w:val="20"/>
          <w:color w:val="auto"/>
        </w:rPr>
      </w:pPr>
      <w:r>
        <w:rPr>
          <w:rFonts w:ascii="Times New Roman" w:cs="Times New Roman" w:eastAsia="Times New Roman" w:hAnsi="Times New Roman"/>
          <w:sz w:val="14"/>
          <w:szCs w:val="14"/>
          <w:color w:val="auto"/>
        </w:rPr>
        <w:t>Adjusted EBITDA was $130.5 million for the three months ended March 31, 2024, as compared with $115.3 million for the three months ended March 31, 2023, an increase of $15.2 million or 13.2%. The increase primarily resulted from the following segment activity and factors:</w:t>
      </w:r>
    </w:p>
    <w:p>
      <w:pPr>
        <w:spacing w:after="0" w:line="49" w:lineRule="exact"/>
        <w:rPr>
          <w:sz w:val="20"/>
          <w:szCs w:val="20"/>
          <w:color w:val="auto"/>
        </w:rPr>
      </w:pPr>
    </w:p>
    <w:p>
      <w:pPr>
        <w:ind w:left="1340" w:right="919" w:hanging="359"/>
        <w:spacing w:after="0" w:line="275" w:lineRule="auto"/>
        <w:tabs>
          <w:tab w:leader="none" w:pos="13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$22.4 million, or 19.4% growth on consolidated 2023 Adjusted EBITDA, as a result of growth in our Pharmacy Solutions and Provider Services segments. See additional discussion in “—Segment Results of Operations” below; offset by,</w:t>
      </w:r>
    </w:p>
    <w:p>
      <w:pPr>
        <w:spacing w:after="0" w:line="49" w:lineRule="exact"/>
        <w:rPr>
          <w:rFonts w:ascii="Times New Roman" w:cs="Times New Roman" w:eastAsia="Times New Roman" w:hAnsi="Times New Roman"/>
          <w:sz w:val="14"/>
          <w:szCs w:val="14"/>
          <w:color w:val="auto"/>
        </w:rPr>
      </w:pPr>
    </w:p>
    <w:p>
      <w:pPr>
        <w:ind w:left="1340" w:right="899" w:hanging="359"/>
        <w:spacing w:after="0" w:line="275" w:lineRule="auto"/>
        <w:tabs>
          <w:tab w:leader="none" w:pos="13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$7.2 million, or 6.2% decline on consolidated 2023 Adjusted EBITDA, as a result of increased corporate expenses incurred primarily due to investments in information technology and positions to support growth within the business.</w:t>
      </w:r>
    </w:p>
    <w:p>
      <w:pPr>
        <w:spacing w:after="0" w:line="59" w:lineRule="exact"/>
        <w:rPr>
          <w:rFonts w:ascii="Times New Roman" w:cs="Times New Roman" w:eastAsia="Times New Roman" w:hAnsi="Times New Roman"/>
          <w:sz w:val="14"/>
          <w:szCs w:val="14"/>
          <w:color w:val="auto"/>
        </w:rPr>
      </w:pPr>
    </w:p>
    <w:p>
      <w:pPr>
        <w:ind w:left="640" w:right="819" w:hanging="9"/>
        <w:spacing w:after="0" w:line="226" w:lineRule="auto"/>
        <w:tabs>
          <w:tab w:leader="none" w:pos="788"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Reconciliation of GAAP to non-GAAP results is provided in the section “Non-GAAP Financial Measures” in Part I, Item 2 “Management’s Discussion and Analysis of Financial Condition and Results of Operations” of this Quarterly Report on Form 10-Q.</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u w:val="single" w:color="auto"/>
          <w:color w:val="auto"/>
        </w:rPr>
        <w:t>Segment Results of Operations</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Pharmacy Solutions Segment</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2024 Compared to Three Months Ended March 31,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periods indicated, our segment results of operations.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1"/>
                <w:szCs w:val="11"/>
                <w:b w:val="1"/>
                <w:bCs w:val="1"/>
                <w:color w:val="auto"/>
              </w:rPr>
              <w:t>Pharmacy Solutions</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11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6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1,977,035</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1,467,002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510,033</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34.8 %</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Cost of goods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1,807,100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1,306,981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500,119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38.3 %</w:t>
            </w:r>
          </w:p>
        </w:tc>
        <w:tc>
          <w:tcPr>
            <w:tcW w:w="0" w:type="dxa"/>
            <w:vAlign w:val="bottom"/>
          </w:tcPr>
          <w:p>
            <w:pPr>
              <w:spacing w:after="0"/>
              <w:rPr>
                <w:sz w:val="1"/>
                <w:szCs w:val="1"/>
                <w:color w:val="auto"/>
              </w:rPr>
            </w:pPr>
          </w:p>
        </w:tc>
      </w:tr>
      <w:tr>
        <w:trPr>
          <w:trHeight w:val="2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169,935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6.2 %</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109,010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106,277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2.6 %</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60,925</w:t>
            </w:r>
          </w:p>
        </w:tc>
        <w:tc>
          <w:tcPr>
            <w:tcW w:w="1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53,744</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88,174</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7.1 %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Prescriptions dispensed</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9,854,495</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9,027,911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826,584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9.2 %</w:t>
            </w:r>
          </w:p>
        </w:tc>
        <w:tc>
          <w:tcPr>
            <w:tcW w:w="0" w:type="dxa"/>
            <w:vAlign w:val="bottom"/>
          </w:tcPr>
          <w:p>
            <w:pPr>
              <w:spacing w:after="0"/>
              <w:rPr>
                <w:sz w:val="1"/>
                <w:szCs w:val="1"/>
                <w:color w:val="auto"/>
              </w:rPr>
            </w:pPr>
          </w:p>
        </w:tc>
      </w:tr>
      <w:tr>
        <w:trPr>
          <w:trHeight w:val="190"/>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23.5 %</w:t>
            </w:r>
          </w:p>
        </w:tc>
        <w:tc>
          <w:tcPr>
            <w:tcW w:w="0" w:type="dxa"/>
            <w:vAlign w:val="bottom"/>
          </w:tcPr>
          <w:p>
            <w:pPr>
              <w:spacing w:after="0"/>
              <w:rPr>
                <w:sz w:val="1"/>
                <w:szCs w:val="1"/>
                <w:color w:val="auto"/>
              </w:rPr>
            </w:pPr>
          </w:p>
        </w:tc>
      </w:tr>
      <w:tr>
        <w:trPr>
          <w:trHeight w:val="194"/>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Gross profit per script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17.24</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(0.49 )</w:t>
            </w:r>
          </w:p>
        </w:tc>
        <w:tc>
          <w:tcPr>
            <w:tcW w:w="24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-1249045</wp:posOffset>
            </wp:positionV>
            <wp:extent cx="4919345" cy="1231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-996315</wp:posOffset>
            </wp:positionV>
            <wp:extent cx="4919345" cy="1231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-238125</wp:posOffset>
            </wp:positionV>
            <wp:extent cx="4919345" cy="1231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-762635</wp:posOffset>
            </wp:positionV>
            <wp:extent cx="4932045" cy="1619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32045" cy="161925"/>
                    </a:xfrm>
                    <a:prstGeom prst="rect">
                      <a:avLst/>
                    </a:prstGeom>
                    <a:noFill/>
                  </pic:spPr>
                </pic:pic>
              </a:graphicData>
            </a:graphic>
          </wp:anchor>
        </w:drawing>
      </w:r>
    </w:p>
    <w:p>
      <w:pPr>
        <w:spacing w:after="0" w:line="149" w:lineRule="exact"/>
        <w:rPr>
          <w:sz w:val="20"/>
          <w:szCs w:val="20"/>
          <w:color w:val="auto"/>
        </w:rPr>
      </w:pPr>
    </w:p>
    <w:p>
      <w:pPr>
        <w:ind w:left="640" w:right="899" w:firstLine="516"/>
        <w:spacing w:after="0" w:line="293" w:lineRule="auto"/>
        <w:rPr>
          <w:sz w:val="20"/>
          <w:szCs w:val="20"/>
          <w:color w:val="auto"/>
        </w:rPr>
      </w:pPr>
      <w:r>
        <w:rPr>
          <w:rFonts w:ascii="Times New Roman" w:cs="Times New Roman" w:eastAsia="Times New Roman" w:hAnsi="Times New Roman"/>
          <w:sz w:val="14"/>
          <w:szCs w:val="14"/>
          <w:color w:val="auto"/>
        </w:rPr>
        <w:t>The following discussion of our Pharmacy Solutions segment results of operations should be read in conjunction with the foregoing table summarizing our segment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19" w:firstLine="351"/>
        <w:spacing w:after="0" w:line="262" w:lineRule="auto"/>
        <w:rPr>
          <w:sz w:val="20"/>
          <w:szCs w:val="20"/>
          <w:color w:val="auto"/>
        </w:rPr>
      </w:pPr>
      <w:r>
        <w:rPr>
          <w:rFonts w:ascii="Times New Roman" w:cs="Times New Roman" w:eastAsia="Times New Roman" w:hAnsi="Times New Roman"/>
          <w:sz w:val="14"/>
          <w:szCs w:val="14"/>
          <w:color w:val="auto"/>
        </w:rPr>
        <w:t>Revenues were $1,977.0 million for the three months ended March 31, 2024, as compared with $1,467.0 million for the three months ended March 31, 2023, an increase of $510.0 million or 34.8%. The increase primarily resulted from volume growth partially offset by mix shifts across and within the Pharmacy Solutions segment resulting in decreased rates. Revenue attributable to Infusion and Specialty Pharmacy was $1,465.6 million for the three months ended March 31, 2024, as compared with $1,020.9 million for the three months ended March 31, 2023, an increase of $444.7 million or 43.6% attributable to an increase in prescriptions on certain specialty branded drugs. Revenue attributable to Home and Community Pharmacy was $511.4 million for the three months ended March 31, 2024, as compared with $446.1 million for the three months ended March 31, 2023, an increase of $65.3 million or 14.6%.</w:t>
      </w:r>
    </w:p>
    <w:p>
      <w:pPr>
        <w:spacing w:after="0" w:line="61" w:lineRule="exact"/>
        <w:rPr>
          <w:sz w:val="20"/>
          <w:szCs w:val="20"/>
          <w:color w:val="auto"/>
        </w:rPr>
      </w:pPr>
    </w:p>
    <w:p>
      <w:pPr>
        <w:ind w:left="640" w:right="1079" w:firstLine="351"/>
        <w:spacing w:after="0" w:line="293" w:lineRule="auto"/>
        <w:rPr>
          <w:sz w:val="20"/>
          <w:szCs w:val="20"/>
          <w:color w:val="auto"/>
        </w:rPr>
      </w:pPr>
      <w:r>
        <w:rPr>
          <w:rFonts w:ascii="Times New Roman" w:cs="Times New Roman" w:eastAsia="Times New Roman" w:hAnsi="Times New Roman"/>
          <w:sz w:val="14"/>
          <w:szCs w:val="14"/>
          <w:color w:val="auto"/>
        </w:rPr>
        <w:t>The increase in revenue per prescription dispensed is due to mix changes year-over-year and a greater relative increase in volume growth in certain specialty brand drugs, which carry a higher revenue per prescription dispensed.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i w:val="1"/>
          <w:iCs w:val="1"/>
          <w:color w:val="auto"/>
        </w:rPr>
        <w:t>Cost of Goods</w:t>
      </w:r>
    </w:p>
    <w:p>
      <w:pPr>
        <w:spacing w:after="0" w:line="99" w:lineRule="exact"/>
        <w:rPr>
          <w:sz w:val="20"/>
          <w:szCs w:val="20"/>
          <w:color w:val="auto"/>
        </w:rPr>
      </w:pPr>
    </w:p>
    <w:p>
      <w:pPr>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Cost of goods was $1,807.1 million for the three months ended March 31, 2024, as compared with $1,307.0 million for the three months ended March 31, 2023, an increase of $500.1 million or 38.3%. The increase primarily resulted from the aforementioned revenue growth in the period as well as an increase in cost per prescription dispensed as a result of mix shift.</w:t>
      </w:r>
    </w:p>
    <w:p>
      <w:pPr>
        <w:spacing w:after="0" w:line="4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Gross profit was $169.9 million for the three months ended March 31, 2024, as compared with $160.0 million for the three months ended March 31, 2023, an increase of $9.9 million or 6.2%. The increase primarily resulted from the aforementioned revenue growth in the period, primarily the result of outsized volume growth as well as mix in certain specialty branded drugs, which have lower margins.</w:t>
      </w:r>
    </w:p>
    <w:p>
      <w:pPr>
        <w:spacing w:after="0" w:line="56"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Gross profit margin for the three months ended March 31, 2024 was 8.6% compared to 10.9% for the three months ended March 31, 2023. The decrease in gross profit margin is due to mix shift in the Pharmacy Solutions segment with greater relative volume growth in Infusion and Specialty Pharmacy, along with product-level mix shifts, rate changes, and an increase in the fulfillment cost per script in Home and Community Pharmacy.</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$109.0 million for the three months ended March 31, 2024, as compared with $106.3 million for the three months ended March 31, 2023, an increase of $2.7 million or 2.6%. The increase primarily resulted from the aforementioned revenue growth in the period with selling, general, and administrative expenses growing less than the volume growth rate and demonstrating economies of scale.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Segment EBITDA was $88.2 million for the three months ended March 31, 2024, as compared with $82.3 million for the three months ended March 31, 2023, an increase of $5.9 million or 7.1%. The increase primarily resulted from the aforementioned revenue and gross profit growth in the period. See Note 14 “Segment Information” to our unaudited condensed consolidated financial statements and related notes included elsewhere in this Quarterly Report on Form 10-Q for further discussion.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Provider Services Segment</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 2024 Compared to Three Months Ended March 31, 2023</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sets forth, for the years indicated, our segment results of operations.</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0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1"/>
                <w:szCs w:val="11"/>
                <w:b w:val="1"/>
                <w:bCs w:val="1"/>
                <w:color w:val="auto"/>
              </w:rPr>
              <w:t>Provider Services</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gridSpan w:val="4"/>
          </w:tcPr>
          <w:p>
            <w:pPr>
              <w:jc w:val="right"/>
              <w:ind w:right="111"/>
              <w:spacing w:after="0" w:line="101" w:lineRule="exact"/>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 except Business Metrics)</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5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599,603</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561,376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38,227</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Cost of services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400,147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386,684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2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199,456</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174,692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24,764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134,409</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127,212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5.7 %</w:t>
            </w:r>
          </w:p>
        </w:tc>
        <w:tc>
          <w:tcPr>
            <w:tcW w:w="0" w:type="dxa"/>
            <w:vAlign w:val="bottom"/>
          </w:tcPr>
          <w:p>
            <w:pPr>
              <w:spacing w:after="0"/>
              <w:rPr>
                <w:sz w:val="1"/>
                <w:szCs w:val="1"/>
                <w:color w:val="auto"/>
              </w:rPr>
            </w:pPr>
          </w:p>
        </w:tc>
      </w:tr>
      <w:tr>
        <w:trPr>
          <w:trHeight w:val="186"/>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Segment operating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65,047</w:t>
            </w: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47,480</w:t>
            </w:r>
          </w:p>
        </w:tc>
        <w:tc>
          <w:tcPr>
            <w:tcW w:w="16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17,567</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Segment EBITDA</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81,912</w:t>
            </w:r>
          </w:p>
        </w:tc>
        <w:tc>
          <w:tcPr>
            <w:tcW w:w="4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Business Metrics:</w:t>
            </w: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Home Health Care average daily census</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42,928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90"/>
        </w:trPr>
        <w:tc>
          <w:tcPr>
            <w:tcW w:w="4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Community and Rehab Care persons served</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16,540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0.3 %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-1125855</wp:posOffset>
            </wp:positionV>
            <wp:extent cx="4919345" cy="1231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-873125</wp:posOffset>
            </wp:positionV>
            <wp:extent cx="4919345" cy="1231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-114935</wp:posOffset>
            </wp:positionV>
            <wp:extent cx="4919345" cy="1231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19345" cy="123190"/>
                    </a:xfrm>
                    <a:prstGeom prst="rect">
                      <a:avLst/>
                    </a:prstGeom>
                    <a:noFill/>
                  </pic:spPr>
                </pic:pic>
              </a:graphicData>
            </a:graphic>
          </wp:anchor>
        </w:drawing>
        <w:drawing>
          <wp:anchor simplePos="0" relativeHeight="251657728" behindDoc="1" locked="0" layoutInCell="0" allowOverlap="1">
            <wp:simplePos x="0" y="0"/>
            <wp:positionH relativeFrom="column">
              <wp:posOffset>400685</wp:posOffset>
            </wp:positionH>
            <wp:positionV relativeFrom="paragraph">
              <wp:posOffset>-640080</wp:posOffset>
            </wp:positionV>
            <wp:extent cx="4932045" cy="1619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32045" cy="161925"/>
                    </a:xfrm>
                    <a:prstGeom prst="rect">
                      <a:avLst/>
                    </a:prstGeom>
                    <a:noFill/>
                  </pic:spPr>
                </pic:pic>
              </a:graphicData>
            </a:graphic>
          </wp:anchor>
        </w:drawing>
      </w:r>
    </w:p>
    <w:p>
      <w:pPr>
        <w:spacing w:after="0" w:line="149" w:lineRule="exact"/>
        <w:rPr>
          <w:sz w:val="20"/>
          <w:szCs w:val="20"/>
          <w:color w:val="auto"/>
        </w:rPr>
      </w:pPr>
    </w:p>
    <w:p>
      <w:pPr>
        <w:ind w:left="640" w:right="1039" w:firstLine="516"/>
        <w:spacing w:after="0" w:line="293" w:lineRule="auto"/>
        <w:rPr>
          <w:sz w:val="20"/>
          <w:szCs w:val="20"/>
          <w:color w:val="auto"/>
        </w:rPr>
      </w:pPr>
      <w:r>
        <w:rPr>
          <w:rFonts w:ascii="Times New Roman" w:cs="Times New Roman" w:eastAsia="Times New Roman" w:hAnsi="Times New Roman"/>
          <w:sz w:val="14"/>
          <w:szCs w:val="14"/>
          <w:color w:val="auto"/>
        </w:rPr>
        <w:t>The following discussion of our Provider Services segment results of operations should be read in conjunction with the foregoing table summarizing our segment results of operations.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Revenues</w:t>
      </w:r>
    </w:p>
    <w:p>
      <w:pPr>
        <w:spacing w:after="0" w:line="99" w:lineRule="exact"/>
        <w:rPr>
          <w:sz w:val="20"/>
          <w:szCs w:val="20"/>
          <w:color w:val="auto"/>
        </w:rPr>
      </w:pPr>
    </w:p>
    <w:p>
      <w:pPr>
        <w:ind w:left="640" w:right="799" w:firstLine="351"/>
        <w:spacing w:after="0" w:line="264" w:lineRule="auto"/>
        <w:rPr>
          <w:sz w:val="20"/>
          <w:szCs w:val="20"/>
          <w:color w:val="auto"/>
        </w:rPr>
      </w:pPr>
      <w:r>
        <w:rPr>
          <w:rFonts w:ascii="Times New Roman" w:cs="Times New Roman" w:eastAsia="Times New Roman" w:hAnsi="Times New Roman"/>
          <w:sz w:val="14"/>
          <w:szCs w:val="14"/>
          <w:color w:val="auto"/>
        </w:rPr>
        <w:t>Revenues were $599.6 million for the three months ended March 31, 2024, as compared with $561.4 million for the three months ended March 31, 2023, an increase of $38.2 million or 6.8%. The increase primarily resulted from volume growth as well as rate increases received during the period. Revenue attributable to Home Health Care was $242.0 million for the three months ended March 31, 2024, as compared with $222.9 million for the three months ended March 31, 2023, an increase of $19.1 million or 8.6%. Revenue attributable to Community and Rehab Care was $357.6 million for the three months ended March 31, 2024, as compared with $338.5 million for the three months ended March 31, 2023, an increase of $19.1 million or 5.6%.</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i w:val="1"/>
          <w:iCs w:val="1"/>
          <w:color w:val="auto"/>
        </w:rPr>
        <w:t>Cost of Services</w:t>
      </w:r>
    </w:p>
    <w:p>
      <w:pPr>
        <w:spacing w:after="0" w:line="99" w:lineRule="exact"/>
        <w:rPr>
          <w:sz w:val="20"/>
          <w:szCs w:val="20"/>
          <w:color w:val="auto"/>
        </w:rPr>
      </w:pPr>
    </w:p>
    <w:p>
      <w:pPr>
        <w:ind w:left="640" w:right="659" w:firstLine="351"/>
        <w:spacing w:after="0" w:line="275" w:lineRule="auto"/>
        <w:rPr>
          <w:sz w:val="20"/>
          <w:szCs w:val="20"/>
          <w:color w:val="auto"/>
        </w:rPr>
      </w:pPr>
      <w:r>
        <w:rPr>
          <w:rFonts w:ascii="Times New Roman" w:cs="Times New Roman" w:eastAsia="Times New Roman" w:hAnsi="Times New Roman"/>
          <w:sz w:val="14"/>
          <w:szCs w:val="14"/>
          <w:color w:val="auto"/>
        </w:rPr>
        <w:t>Cost of services was $400.1 million for the three months ended March 31, 2024, as compared with $386.7 million for the three months ended March 31, 2023, an increase of $13.5 million or 3.5%. The increase primarily resulted from the aforementioned revenue growth and included operational improvements resulting in lower costs of services increases compared to revenue growth.</w:t>
      </w:r>
    </w:p>
    <w:p>
      <w:pPr>
        <w:spacing w:after="0" w:line="49" w:lineRule="exact"/>
        <w:rPr>
          <w:sz w:val="20"/>
          <w:szCs w:val="20"/>
          <w:color w:val="auto"/>
        </w:rPr>
      </w:pPr>
    </w:p>
    <w:p>
      <w:pPr>
        <w:ind w:left="640" w:right="979" w:firstLine="351"/>
        <w:spacing w:after="0" w:line="275" w:lineRule="auto"/>
        <w:rPr>
          <w:sz w:val="20"/>
          <w:szCs w:val="20"/>
          <w:color w:val="auto"/>
        </w:rPr>
      </w:pPr>
      <w:r>
        <w:rPr>
          <w:rFonts w:ascii="Times New Roman" w:cs="Times New Roman" w:eastAsia="Times New Roman" w:hAnsi="Times New Roman"/>
          <w:sz w:val="14"/>
          <w:szCs w:val="14"/>
          <w:color w:val="auto"/>
        </w:rPr>
        <w:t>Gross profit was $199.5 million for the three months ended March 31, 2024, as compared with $174.7 million for the three months ended March 31, 2023, an increase of $24.8 million or 14.2%. The increase primarily resulted from the aforementioned revenue growth and costs of services improvements in the period.</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Selling, General, and Administrative Expenses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Selling, general, and administrative expenses were $134.4 million for the three months ended March 31, 2024, as compared with $127.2 million for the three months ended March 31, 2023, an increase of $7.2 million or 5.7%. The increase primarily resulted from the aforementioned revenue growth in the period with selling, general, and administrative expenses growing less than the volume growth rate and demonstrating economies of scale.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Segment EBITDA</w:t>
      </w:r>
    </w:p>
    <w:p>
      <w:pPr>
        <w:spacing w:after="0" w:line="99" w:lineRule="exact"/>
        <w:rPr>
          <w:sz w:val="20"/>
          <w:szCs w:val="20"/>
          <w:color w:val="auto"/>
        </w:rPr>
      </w:pPr>
    </w:p>
    <w:p>
      <w:pPr>
        <w:ind w:left="640" w:right="759" w:firstLine="351"/>
        <w:spacing w:after="0" w:line="267" w:lineRule="auto"/>
        <w:rPr>
          <w:sz w:val="20"/>
          <w:szCs w:val="20"/>
          <w:color w:val="auto"/>
        </w:rPr>
      </w:pPr>
      <w:r>
        <w:rPr>
          <w:rFonts w:ascii="Times New Roman" w:cs="Times New Roman" w:eastAsia="Times New Roman" w:hAnsi="Times New Roman"/>
          <w:sz w:val="14"/>
          <w:szCs w:val="14"/>
          <w:color w:val="auto"/>
        </w:rPr>
        <w:t>Segment EBITDA was $81.9 million for the three months ended March 31, 2024, as compared with $65.3 million for the three months ended March 31, 2023, an increase of $16.6 million or 25.4%. The increase primarily resulted from the aforementioned revenue growth and operational improvements impacting cost of services. See Note 14 “Segment Information" to our unaudited condensed consolidated financial statements and related notes included elsewhere in this Quarterly Report on Form 10-Q for further discussion.</w:t>
      </w:r>
    </w:p>
    <w:p>
      <w:pPr>
        <w:spacing w:after="0" w:line="200" w:lineRule="exact"/>
        <w:rPr>
          <w:sz w:val="20"/>
          <w:szCs w:val="20"/>
          <w:color w:val="auto"/>
        </w:rPr>
      </w:pP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addition to our results of operations prepared in accordance with U.S. GAAP, which we have discussed above, we also evaluate our financial performance using EBITDA, Adjusted EBITDA, and Adjusted earnings per share (“EPS”). These non-GAAP financial measures are not intended to replace financial performance measures determined in accordance with U.S. GAAP, such as net (loss) income and diluted EPS. Rather, we present EBITDA, Adjusted EBITDA, and Adjusted EPS as supplemental measures of our performance.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EBITDA, Adjusted EBITDA, and Adjusted EPS</w:t>
      </w:r>
    </w:p>
    <w:p>
      <w:pPr>
        <w:spacing w:after="0" w:line="99" w:lineRule="exact"/>
        <w:rPr>
          <w:sz w:val="20"/>
          <w:szCs w:val="20"/>
          <w:color w:val="auto"/>
        </w:rPr>
      </w:pPr>
    </w:p>
    <w:p>
      <w:pPr>
        <w:ind w:left="640" w:right="659" w:firstLine="516"/>
        <w:spacing w:after="0" w:line="259" w:lineRule="auto"/>
        <w:rPr>
          <w:sz w:val="20"/>
          <w:szCs w:val="20"/>
          <w:color w:val="auto"/>
        </w:rPr>
      </w:pPr>
      <w:r>
        <w:rPr>
          <w:rFonts w:ascii="Times New Roman" w:cs="Times New Roman" w:eastAsia="Times New Roman" w:hAnsi="Times New Roman"/>
          <w:sz w:val="14"/>
          <w:szCs w:val="14"/>
          <w:color w:val="auto"/>
        </w:rPr>
        <w:t>The following are key financial metrics and, when used in conjunction with U.S. GAAP measures, we believe they provide useful information for evaluating our core business performance, enable comparison of financial results across periods, and allow for greater transparency with respect to key metrics used by management for financial and operational decision-making. We define EBITDA as net (loss) income before income tax (benefit) expense, interest expense, net, and depreciation and amortization. Adjusted EBITDA and Adjusted EPS exclude certain other items that are either non-recurring, infrequent, non-cash, unusual, or items deemed by management to not be indicative of the performance of our core operations, including non-cash, share-based compensation; acquisition, integration, and transaction-related costs; restructuring and divestiture-related and other costs; goodwill impairment; legal costs associated with certain historical matters for PharMerica and settlement costs; significant projects; management fees; and unreimbursed COVID-19 related costs. In determining which adjustments are made to arrive at Adjusted EBITDA and Adjusted EPS, management considers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The financial measure calculated under U.S. GAAP which is most directly comparable to Adjusted EBITDA is net (loss) income. The financial measure calculated under U.S. GAAP which is most directly comparable to Adjusted EPS is diluted EPS.</w:t>
      </w:r>
    </w:p>
    <w:p>
      <w:pPr>
        <w:spacing w:after="0" w:line="238" w:lineRule="exact"/>
        <w:rPr>
          <w:sz w:val="20"/>
          <w:szCs w:val="20"/>
          <w:color w:val="auto"/>
        </w:rPr>
      </w:pPr>
    </w:p>
    <w:p>
      <w:pPr>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We have historically incurred substantial acquisition, integration, and transaction-related costs. The underlying acquisition activities take place over a defined timeframe, have distinct project timelines, and are incremental to activities and costs that arise in the ordinary course of our business. Therefore, we have excluded these costs from our Adjusted EBITDA and Adjusted EPS because it provides management a normalized view of our core, ongoing operations after integrating our acquired companies.</w:t>
      </w:r>
    </w:p>
    <w:p>
      <w:pPr>
        <w:spacing w:after="0" w:line="5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legal costs and settlements adjustment represents defense costs associated with certain PharMerica litigation matters associated with three cases, two of which remain outstanding as of March 31, 2024, that commenced prior to KKR Stockholder’s and Walgreen Stockholder’s acquisition of PharMerica in December 2017, as well as settlement costs associated with the Silver matter, which settled in November 2023. We have excluded legal costs associated with these PharMerica litigation matters from our Adjusted EBITDA and Adjusted EPS due to the magnitude of these cases and the costs attributable to them, the timing of the commencement of the cases and the fact that no similar cases have been brought against the Company since the acquisition of PharMerica, and the fact that these cases are unlike our routine legal and regulatory proceedings that we see in the normal course of business. Further, we have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3" w:name="page34"/>
    <w:bookmarkEnd w:id="33"/>
    <w:p>
      <w:pPr>
        <w:jc w:val="both"/>
        <w:ind w:left="640" w:right="679"/>
        <w:spacing w:after="0" w:line="275" w:lineRule="auto"/>
        <w:rPr>
          <w:sz w:val="20"/>
          <w:szCs w:val="20"/>
          <w:color w:val="auto"/>
        </w:rPr>
      </w:pPr>
      <w:r>
        <w:rPr>
          <w:rFonts w:ascii="Times New Roman" w:cs="Times New Roman" w:eastAsia="Times New Roman" w:hAnsi="Times New Roman"/>
          <w:sz w:val="14"/>
          <w:szCs w:val="14"/>
          <w:color w:val="auto"/>
        </w:rPr>
        <w:t>excluded settlement costs associated with the Silver matter from our Adjusted EBITDA and Adjusted EPS due to the magnitude of the case and the costs attributable to it, as well as the fact that the Silver matter is unlike our routine legal and regulatory proceedings that we see in the normal course of business.</w:t>
      </w:r>
    </w:p>
    <w:p>
      <w:pPr>
        <w:spacing w:after="0" w:line="49"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The significant projects adjustment represents costs associated with certain transformational projects, which are not considered to be a part of our normal and recurring business operations and are not expected to recur in our future business plans. Moreover, the costs associated with significant projects, which are incurred on an infrequent and limited basis, are not reflective of our operating performance. Due to the aforementioned reasons, we have excluded the costs related to significant projects from our Adjusted EBITDA and Adjusted EPS, as such adjustment provides a more meaningful understanding to investors and others of our ongoing results.</w:t>
      </w:r>
    </w:p>
    <w:p>
      <w:pPr>
        <w:spacing w:after="0" w:line="230"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The management fees adjustment represents fees paid historically under the Monitoring Agreement related to either (i) activities that are expected to be performed by our existing personnel upon the termination of the Monitoring Agreement, and thus not expected to result in incremental costs subsequent to the IPO Offerings, or (ii) acquisitions, divestitures, and external financing activities, which costs would otherwise be excluded from our Adjusted EBITDA and Adjusted EPS. Therefore, we have excluded management fees from our Adjusted EBITDA and Adjusted EPS, as such fees are no longer applicable and representative of our ordinary operating performance as a result of the completion of the IPO Offerings.</w:t>
      </w:r>
    </w:p>
    <w:p>
      <w:pPr>
        <w:spacing w:after="0" w:line="56" w:lineRule="exact"/>
        <w:rPr>
          <w:sz w:val="20"/>
          <w:szCs w:val="20"/>
          <w:color w:val="auto"/>
        </w:rPr>
      </w:pPr>
    </w:p>
    <w:p>
      <w:pPr>
        <w:ind w:left="640" w:right="719" w:firstLine="516"/>
        <w:spacing w:after="0" w:line="268" w:lineRule="auto"/>
        <w:rPr>
          <w:sz w:val="20"/>
          <w:szCs w:val="20"/>
          <w:color w:val="auto"/>
        </w:rPr>
      </w:pPr>
      <w:r>
        <w:rPr>
          <w:rFonts w:ascii="Times New Roman" w:cs="Times New Roman" w:eastAsia="Times New Roman" w:hAnsi="Times New Roman"/>
          <w:sz w:val="14"/>
          <w:szCs w:val="14"/>
          <w:color w:val="auto"/>
        </w:rPr>
        <w:t>EBITDA, Adjusted EBITDA, and Adjusted EPS are not measures of financial performance under U.S. GAAP and should be considered in addition to, and not as a substitute for, net (loss) income, earnings per diluted share or other financial measures performed in accordance with U.S. GAAP. Our method of determining non-GAAP financial measures may differ from other companies’ financial measures and therefore may not be comparable to methods used by other companies.</w:t>
      </w:r>
    </w:p>
    <w:p>
      <w:pPr>
        <w:spacing w:after="0" w:line="56" w:lineRule="exact"/>
        <w:rPr>
          <w:sz w:val="20"/>
          <w:szCs w:val="20"/>
          <w:color w:val="auto"/>
        </w:rPr>
      </w:pPr>
    </w:p>
    <w:p>
      <w:pPr>
        <w:ind w:left="640" w:right="879" w:firstLine="351"/>
        <w:spacing w:after="0" w:line="268" w:lineRule="auto"/>
        <w:rPr>
          <w:sz w:val="20"/>
          <w:szCs w:val="20"/>
          <w:color w:val="auto"/>
        </w:rPr>
      </w:pPr>
      <w:r>
        <w:rPr>
          <w:rFonts w:ascii="Times New Roman" w:cs="Times New Roman" w:eastAsia="Times New Roman" w:hAnsi="Times New Roman"/>
          <w:sz w:val="14"/>
          <w:szCs w:val="14"/>
          <w:color w:val="auto"/>
        </w:rPr>
        <w:t>Given our determination of adjustments in arriving at our computations of EBITDA, Adjusted EBITDA and Adjusted EPS, these non-GAAP measures have limitations as analytical tools and should not be considered in isolation or as substitutes or alternatives to net income or loss, operating income or loss, earnings or loss per diluted share, cash flows from operating activities, total indebtedness, or any other financial measures calculated in accordance with U.S. GAAP.</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reconciles net loss to EBITDA and Adjusted EBITDA:</w:t>
      </w:r>
    </w:p>
    <w:p>
      <w:pPr>
        <w:spacing w:after="0" w:line="275"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40" w:type="dxa"/>
            <w:vAlign w:val="bottom"/>
          </w:tcPr>
          <w:p>
            <w:pPr>
              <w:spacing w:after="0"/>
              <w:rPr>
                <w:sz w:val="12"/>
                <w:szCs w:val="12"/>
                <w:color w:val="auto"/>
              </w:rPr>
            </w:pPr>
          </w:p>
        </w:tc>
        <w:tc>
          <w:tcPr>
            <w:tcW w:w="2280" w:type="dxa"/>
            <w:vAlign w:val="bottom"/>
            <w:gridSpan w:val="5"/>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r>
      <w:tr>
        <w:trPr>
          <w:trHeight w:val="131"/>
        </w:trPr>
        <w:tc>
          <w:tcPr>
            <w:tcW w:w="5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(46,385 )</w:t>
            </w: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(22,276 )</w:t>
            </w: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Income tax benefit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(23,294 )</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(4,346 )</w:t>
            </w: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expense, net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65,020</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78,177</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50,345</w:t>
            </w:r>
          </w:p>
        </w:tc>
        <w:tc>
          <w:tcPr>
            <w:tcW w:w="80" w:type="dxa"/>
            <w:vAlign w:val="bottom"/>
          </w:tcPr>
          <w:p>
            <w:pPr>
              <w:spacing w:after="0"/>
              <w:rPr>
                <w:sz w:val="16"/>
                <w:szCs w:val="16"/>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EBITDA</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44,263</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101,900</w:t>
            </w:r>
          </w:p>
        </w:tc>
        <w:tc>
          <w:tcPr>
            <w:tcW w:w="80" w:type="dxa"/>
            <w:vAlign w:val="bottom"/>
            <w:shd w:val="clear" w:color="auto" w:fill="CFF0FC"/>
          </w:tcPr>
          <w:p>
            <w:pPr>
              <w:spacing w:after="0"/>
              <w:rPr>
                <w:sz w:val="16"/>
                <w:szCs w:val="16"/>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24,848</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(2)</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(3)</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17,831</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4,225</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Legal costs and settlements (4)</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10,473</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2,038</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Significant projects (5)</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3,716</w:t>
            </w:r>
          </w:p>
        </w:tc>
        <w:tc>
          <w:tcPr>
            <w:tcW w:w="80" w:type="dxa"/>
            <w:vAlign w:val="bottom"/>
          </w:tcPr>
          <w:p>
            <w:pPr>
              <w:spacing w:after="0"/>
              <w:rPr>
                <w:sz w:val="16"/>
                <w:szCs w:val="16"/>
                <w:color w:val="auto"/>
              </w:rPr>
            </w:pPr>
          </w:p>
        </w:tc>
      </w:tr>
      <w:tr>
        <w:trPr>
          <w:trHeight w:val="19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Management fee (6)</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80" w:type="dxa"/>
            <w:vAlign w:val="bottom"/>
            <w:shd w:val="clear" w:color="auto" w:fill="CFF0FC"/>
          </w:tcPr>
          <w:p>
            <w:pPr>
              <w:spacing w:after="0"/>
              <w:rPr>
                <w:sz w:val="17"/>
                <w:szCs w:val="17"/>
                <w:color w:val="auto"/>
              </w:rPr>
            </w:pPr>
          </w:p>
        </w:tc>
      </w:tr>
      <w:tr>
        <w:trPr>
          <w:trHeight w:val="190"/>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Unreimbursed COVID-19 related costs</w:t>
            </w:r>
          </w:p>
        </w:tc>
        <w:tc>
          <w:tcPr>
            <w:tcW w:w="14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(130 )</w:t>
            </w:r>
          </w:p>
        </w:tc>
      </w:tr>
      <w:tr>
        <w:trPr>
          <w:trHeight w:val="184"/>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adjustments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86,235</w:t>
            </w:r>
          </w:p>
        </w:tc>
        <w:tc>
          <w:tcPr>
            <w:tcW w:w="2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130,498</w:t>
            </w:r>
          </w:p>
        </w:tc>
        <w:tc>
          <w:tcPr>
            <w:tcW w:w="2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115,278</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-149860</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980" w:right="739" w:hanging="349"/>
        <w:spacing w:after="0" w:line="268"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non-cash share-based compensation to certain members of our management. The three months ended March 31, 2024 includes $8.1 million of costs related to new equity awards granted to management upon the completion of our IPO under the 2024 Stock Plan and $15.0 million of previously unrecognized share-based compensation expense related to performance-vesting options under the 2017 Stock Plan, which vested upon completion of the IPO.</w:t>
      </w:r>
    </w:p>
    <w:p>
      <w:pPr>
        <w:spacing w:after="0" w:line="55" w:lineRule="exact"/>
        <w:rPr>
          <w:rFonts w:ascii="Times New Roman" w:cs="Times New Roman" w:eastAsia="Times New Roman" w:hAnsi="Times New Roman"/>
          <w:sz w:val="14"/>
          <w:szCs w:val="14"/>
          <w:color w:val="auto"/>
        </w:rPr>
      </w:pPr>
    </w:p>
    <w:p>
      <w:pPr>
        <w:ind w:left="980" w:right="679" w:hanging="349"/>
        <w:spacing w:after="0" w:line="262"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transaction costs incurred in connection with planned, completed, or terminated acquisitions, which include investment banking fees, legal diligence and related documentation costs, finance and accounting diligence and documentation, and integration costs incurred including any facility consolidation, integration travel, or severance associated with the integration of an acquisition. These costs also included $4.4 million and $0.2 million of costs related to the IPO Offerings which were not capitalizable for the three months ended March 31, 2024 and 2023, respectively; and $0.1 million and $1.0 million of system implementation costs associated with the integration of acquisitions for the three months ended March 31, 2024 and 2023, respectively.</w:t>
      </w:r>
    </w:p>
    <w:p>
      <w:pPr>
        <w:spacing w:after="0" w:line="60" w:lineRule="exact"/>
        <w:rPr>
          <w:rFonts w:ascii="Times New Roman" w:cs="Times New Roman" w:eastAsia="Times New Roman" w:hAnsi="Times New Roman"/>
          <w:sz w:val="14"/>
          <w:szCs w:val="14"/>
          <w:color w:val="auto"/>
        </w:rPr>
      </w:pPr>
    </w:p>
    <w:p>
      <w:pPr>
        <w:ind w:left="980" w:right="1019" w:hanging="349"/>
        <w:spacing w:after="0" w:line="293" w:lineRule="auto"/>
        <w:tabs>
          <w:tab w:leader="none" w:pos="9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restructuring-related activities, including closure, and related license impairment, and severance expenses associated with certain enterprise-wide or significant business line cost-savings measures. These costs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4" w:name="page35"/>
    <w:bookmarkEnd w:id="34"/>
    <w:p>
      <w:pPr>
        <w:ind w:left="980" w:right="679"/>
        <w:spacing w:after="0" w:line="275" w:lineRule="auto"/>
        <w:rPr>
          <w:sz w:val="20"/>
          <w:szCs w:val="20"/>
          <w:color w:val="auto"/>
        </w:rPr>
      </w:pPr>
      <w:r>
        <w:rPr>
          <w:rFonts w:ascii="Times New Roman" w:cs="Times New Roman" w:eastAsia="Times New Roman" w:hAnsi="Times New Roman"/>
          <w:sz w:val="14"/>
          <w:szCs w:val="14"/>
          <w:color w:val="auto"/>
        </w:rPr>
        <w:t>included $12.7 million of unamortized debt issuance costs associated with the extinguishment of our Second Lien Facility in the three months ended March 31, 2024, as well as $1.8 million and $2.2 million of intangible asset and other investment impairment for the three months ended March 31, 2024 and 2023, respectively.</w:t>
      </w:r>
    </w:p>
    <w:p>
      <w:pPr>
        <w:spacing w:after="0" w:line="49" w:lineRule="exact"/>
        <w:rPr>
          <w:sz w:val="20"/>
          <w:szCs w:val="20"/>
          <w:color w:val="auto"/>
        </w:rPr>
      </w:pPr>
    </w:p>
    <w:p>
      <w:pPr>
        <w:ind w:left="980" w:right="639" w:hanging="349"/>
        <w:spacing w:after="0" w:line="268"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settlement and defense costs associated with certain PharMerica litigation matters associated with three historical cases, which includes the Silver matter. For the three months ended March 31, 2024, these costs included $5.0 million associated with the settlement of the Silver matter due to a change in estimate. See Note 10 within the unaudited condensed consolidated financial statements and related notes in this Quarterly Report on Form 10-Q for additional information.</w:t>
      </w:r>
    </w:p>
    <w:p>
      <w:pPr>
        <w:spacing w:after="0" w:line="55" w:lineRule="exact"/>
        <w:rPr>
          <w:rFonts w:ascii="Times New Roman" w:cs="Times New Roman" w:eastAsia="Times New Roman" w:hAnsi="Times New Roman"/>
          <w:sz w:val="14"/>
          <w:szCs w:val="14"/>
          <w:color w:val="auto"/>
        </w:rPr>
      </w:pPr>
    </w:p>
    <w:p>
      <w:pPr>
        <w:ind w:left="980" w:right="659" w:hanging="349"/>
        <w:spacing w:after="0" w:line="262"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costs associated with certain transformational projects and for the periods presented. General ledger system migration and related business intelligence system implementation costs, which were capitalized as development costs and are subsequently amortized in accordance with Accounting Standards Codification 350-40, </w:t>
      </w:r>
      <w:r>
        <w:rPr>
          <w:rFonts w:ascii="Times New Roman" w:cs="Times New Roman" w:eastAsia="Times New Roman" w:hAnsi="Times New Roman"/>
          <w:sz w:val="14"/>
          <w:szCs w:val="14"/>
          <w:i w:val="1"/>
          <w:iCs w:val="1"/>
          <w:color w:val="auto"/>
        </w:rPr>
        <w:t>Internal Use Software</w:t>
      </w:r>
      <w:r>
        <w:rPr>
          <w:rFonts w:ascii="Times New Roman" w:cs="Times New Roman" w:eastAsia="Times New Roman" w:hAnsi="Times New Roman"/>
          <w:sz w:val="14"/>
          <w:szCs w:val="14"/>
          <w:color w:val="auto"/>
        </w:rPr>
        <w:t>, were $0.5 million for the three months ended March 31, 2024 and 2023 and are expected to be recognized through the second fiscal quarter of 2024. Pharmacy billing system implementation costs were $0.6 million and $0.4 million for the three months ended March 31, 2024 and 2023, respectively, and the project is expected to be completed in the first fiscal quarter of 2024. Ransomware attack response costs associated with the ransomware attack in the first half of 2023 were $2.0 million for the three months ended March 31, 2023.</w:t>
      </w:r>
    </w:p>
    <w:p>
      <w:pPr>
        <w:spacing w:after="0" w:line="233" w:lineRule="exact"/>
        <w:rPr>
          <w:rFonts w:ascii="Times New Roman" w:cs="Times New Roman" w:eastAsia="Times New Roman" w:hAnsi="Times New Roman"/>
          <w:sz w:val="14"/>
          <w:szCs w:val="14"/>
          <w:color w:val="auto"/>
        </w:rPr>
      </w:pPr>
    </w:p>
    <w:p>
      <w:pPr>
        <w:ind w:left="980" w:right="699" w:hanging="349"/>
        <w:spacing w:after="0" w:line="275" w:lineRule="auto"/>
        <w:tabs>
          <w:tab w:leader="none" w:pos="9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management fees payable to the Managers under the Monitoring Agreement through the date of the IPO, and $22.7 million of termination fees resulting from the Monitoring Agreement being terminated upon completion of the IPO Offerings. All management fees have ceased following the completion of the IPO.</w:t>
      </w:r>
    </w:p>
    <w:p>
      <w:pPr>
        <w:spacing w:after="0" w:line="13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following table reconciles diluted EPS to Adjusted EPS: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560" w:type="dxa"/>
            <w:vAlign w:val="bottom"/>
          </w:tcPr>
          <w:p>
            <w:pPr>
              <w:spacing w:after="0"/>
              <w:rPr>
                <w:sz w:val="11"/>
                <w:szCs w:val="11"/>
                <w:color w:val="auto"/>
              </w:rPr>
            </w:pPr>
          </w:p>
        </w:tc>
        <w:tc>
          <w:tcPr>
            <w:tcW w:w="1740" w:type="dxa"/>
            <w:vAlign w:val="bottom"/>
            <w:gridSpan w:val="6"/>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40" w:type="dxa"/>
            <w:vAlign w:val="bottom"/>
          </w:tcPr>
          <w:p>
            <w:pPr>
              <w:spacing w:after="0"/>
              <w:rPr>
                <w:sz w:val="11"/>
                <w:szCs w:val="11"/>
                <w:color w:val="auto"/>
              </w:rPr>
            </w:pP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For the Years Ended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8"/>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3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2021</w:t>
            </w:r>
          </w:p>
        </w:tc>
        <w:tc>
          <w:tcPr>
            <w:tcW w:w="80" w:type="dxa"/>
            <w:vAlign w:val="bottom"/>
          </w:tcPr>
          <w:p>
            <w:pPr>
              <w:spacing w:after="0"/>
              <w:rPr>
                <w:sz w:val="11"/>
                <w:szCs w:val="11"/>
                <w:color w:val="auto"/>
              </w:rPr>
            </w:pPr>
          </w:p>
        </w:tc>
      </w:tr>
      <w:tr>
        <w:trPr>
          <w:trHeight w:val="184"/>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Diluted EPS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(0.26 )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(1.31 )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(0.46 )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80" w:type="dxa"/>
            <w:vAlign w:val="bottom"/>
            <w:shd w:val="clear" w:color="auto" w:fill="CFF0FC"/>
          </w:tcPr>
          <w:p>
            <w:pPr>
              <w:spacing w:after="0"/>
              <w:rPr>
                <w:sz w:val="16"/>
                <w:szCs w:val="16"/>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Non-cash share-based compensation (1)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80" w:type="dxa"/>
            <w:vAlign w:val="bottom"/>
          </w:tcPr>
          <w:p>
            <w:pPr>
              <w:spacing w:after="0"/>
              <w:rPr>
                <w:sz w:val="16"/>
                <w:szCs w:val="16"/>
                <w:color w:val="auto"/>
              </w:rPr>
            </w:pPr>
          </w:p>
        </w:tc>
      </w:tr>
      <w:tr>
        <w:trPr>
          <w:trHeight w:val="19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Acquisition, integration, and transaction-related costs (1)</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shd w:val="clear" w:color="auto" w:fill="CFF0FC"/>
          </w:tcPr>
          <w:p>
            <w:pPr>
              <w:spacing w:after="0"/>
              <w:rPr>
                <w:sz w:val="17"/>
                <w:szCs w:val="17"/>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and divestiture-related and other costs (1)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6"/>
                <w:szCs w:val="16"/>
                <w:color w:val="auto"/>
              </w:rPr>
            </w:pPr>
          </w:p>
        </w:tc>
      </w:tr>
      <w:tr>
        <w:trPr>
          <w:trHeight w:val="19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Goodwill impairment (1)</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Legal costs and settlements (1)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80" w:type="dxa"/>
            <w:vAlign w:val="bottom"/>
          </w:tcPr>
          <w:p>
            <w:pPr>
              <w:spacing w:after="0"/>
              <w:rPr>
                <w:sz w:val="16"/>
                <w:szCs w:val="16"/>
                <w:color w:val="auto"/>
              </w:rPr>
            </w:pPr>
          </w:p>
        </w:tc>
      </w:tr>
      <w:tr>
        <w:trPr>
          <w:trHeight w:val="19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Significant projects (1)</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shd w:val="clear" w:color="auto" w:fill="CFF0FC"/>
          </w:tcPr>
          <w:p>
            <w:pPr>
              <w:spacing w:after="0"/>
              <w:rPr>
                <w:sz w:val="17"/>
                <w:szCs w:val="17"/>
                <w:color w:val="auto"/>
              </w:rPr>
            </w:pPr>
          </w:p>
        </w:tc>
      </w:tr>
      <w:tr>
        <w:trPr>
          <w:trHeight w:val="190"/>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 (1)</w:t>
            </w: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80" w:type="dxa"/>
            <w:vAlign w:val="bottom"/>
          </w:tcPr>
          <w:p>
            <w:pPr>
              <w:spacing w:after="0"/>
              <w:rPr>
                <w:sz w:val="16"/>
                <w:szCs w:val="16"/>
                <w:color w:val="auto"/>
              </w:rPr>
            </w:pPr>
          </w:p>
        </w:tc>
      </w:tr>
      <w:tr>
        <w:trPr>
          <w:trHeight w:val="19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Unreimbursed COVID-19 related costs (1)</w:t>
            </w:r>
          </w:p>
        </w:tc>
        <w:tc>
          <w:tcPr>
            <w:tcW w:w="1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FF0FC"/>
          </w:tcPr>
          <w:p>
            <w:pPr>
              <w:spacing w:after="0"/>
              <w:rPr>
                <w:sz w:val="17"/>
                <w:szCs w:val="17"/>
                <w:color w:val="auto"/>
              </w:rPr>
            </w:pPr>
          </w:p>
        </w:tc>
      </w:tr>
      <w:tr>
        <w:trPr>
          <w:trHeight w:val="193"/>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Income tax impact on adjustments (2)</w:t>
            </w:r>
          </w:p>
        </w:tc>
        <w:tc>
          <w:tcPr>
            <w:tcW w:w="14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(0.10 )</w:t>
            </w:r>
          </w:p>
        </w:tc>
        <w:tc>
          <w:tcPr>
            <w:tcW w:w="20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(0.03 )</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(0.16 )</w:t>
            </w:r>
          </w:p>
        </w:tc>
        <w:tc>
          <w:tcPr>
            <w:tcW w:w="1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(0.24 )</w:t>
            </w:r>
          </w:p>
        </w:tc>
        <w:tc>
          <w:tcPr>
            <w:tcW w:w="140" w:type="dxa"/>
            <w:vAlign w:val="bottom"/>
          </w:tcPr>
          <w:p>
            <w:pPr>
              <w:spacing w:after="0"/>
              <w:rPr>
                <w:sz w:val="16"/>
                <w:szCs w:val="16"/>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(0.12 )</w:t>
            </w:r>
          </w:p>
        </w:tc>
      </w:tr>
      <w:tr>
        <w:trPr>
          <w:trHeight w:val="20"/>
        </w:trPr>
        <w:tc>
          <w:tcPr>
            <w:tcW w:w="3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1"/>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Adjusted EPS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(0.10 )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shd w:val="clear" w:color="auto" w:fill="CFF0FC"/>
          </w:tcPr>
          <w:p>
            <w:pPr>
              <w:spacing w:after="0"/>
              <w:rPr>
                <w:sz w:val="19"/>
                <w:szCs w:val="19"/>
                <w:color w:val="auto"/>
              </w:rPr>
            </w:pPr>
          </w:p>
        </w:tc>
      </w:tr>
      <w:tr>
        <w:trPr>
          <w:trHeight w:val="338"/>
        </w:trPr>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used in</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175,531</w:t>
            </w:r>
          </w:p>
        </w:tc>
        <w:tc>
          <w:tcPr>
            <w:tcW w:w="1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117,866</w:t>
            </w: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117,868</w:t>
            </w: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117,840</w:t>
            </w: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121,790</w:t>
            </w:r>
          </w:p>
        </w:tc>
        <w:tc>
          <w:tcPr>
            <w:tcW w:w="80" w:type="dxa"/>
            <w:vAlign w:val="bottom"/>
            <w:tcBorders>
              <w:top w:val="single" w:sz="8" w:color="CFF0FC"/>
            </w:tcBorders>
          </w:tcPr>
          <w:p>
            <w:pPr>
              <w:spacing w:after="0"/>
              <w:rPr>
                <w:sz w:val="24"/>
                <w:szCs w:val="24"/>
                <w:color w:val="auto"/>
              </w:rPr>
            </w:pPr>
          </w:p>
        </w:tc>
      </w:tr>
      <w:tr>
        <w:trPr>
          <w:trHeight w:val="192"/>
        </w:trPr>
        <w:tc>
          <w:tcPr>
            <w:tcW w:w="3560" w:type="dxa"/>
            <w:vAlign w:val="bottom"/>
          </w:tcPr>
          <w:p>
            <w:pPr>
              <w:spacing w:after="0"/>
              <w:rPr>
                <w:sz w:val="20"/>
                <w:szCs w:val="20"/>
                <w:color w:val="auto"/>
              </w:rPr>
            </w:pPr>
            <w:r>
              <w:rPr>
                <w:rFonts w:ascii="Times New Roman" w:cs="Times New Roman" w:eastAsia="Times New Roman" w:hAnsi="Times New Roman"/>
                <w:sz w:val="14"/>
                <w:szCs w:val="14"/>
                <w:color w:val="auto"/>
              </w:rPr>
              <w:t>calculating diluted U.S. GAAP net loss per common share</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4"/>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 used in</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186,783</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117,866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124,922</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124,954</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121,790</w:t>
            </w:r>
          </w:p>
        </w:tc>
        <w:tc>
          <w:tcPr>
            <w:tcW w:w="80" w:type="dxa"/>
            <w:vAlign w:val="bottom"/>
            <w:shd w:val="clear" w:color="auto" w:fill="CFF0FC"/>
          </w:tcPr>
          <w:p>
            <w:pPr>
              <w:spacing w:after="0"/>
              <w:rPr>
                <w:sz w:val="15"/>
                <w:szCs w:val="15"/>
                <w:color w:val="auto"/>
              </w:rPr>
            </w:pPr>
          </w:p>
        </w:tc>
      </w:tr>
      <w:tr>
        <w:trPr>
          <w:trHeight w:val="172"/>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calculating diluted Non-GAAP net income (loss) per</w:t>
            </w: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share</w:t>
            </w:r>
          </w:p>
        </w:tc>
        <w:tc>
          <w:tcPr>
            <w:tcW w:w="1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-716915</wp:posOffset>
            </wp:positionV>
            <wp:extent cx="546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3112770</wp:posOffset>
            </wp:positionH>
            <wp:positionV relativeFrom="paragraph">
              <wp:posOffset>-702945</wp:posOffset>
            </wp:positionV>
            <wp:extent cx="546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-716915</wp:posOffset>
            </wp:positionV>
            <wp:extent cx="47625"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3672840</wp:posOffset>
            </wp:positionH>
            <wp:positionV relativeFrom="paragraph">
              <wp:posOffset>-702945</wp:posOffset>
            </wp:positionV>
            <wp:extent cx="4762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-716915</wp:posOffset>
            </wp:positionV>
            <wp:extent cx="4762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4206240</wp:posOffset>
            </wp:positionH>
            <wp:positionV relativeFrom="paragraph">
              <wp:posOffset>-702945</wp:posOffset>
            </wp:positionV>
            <wp:extent cx="4762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-716915</wp:posOffset>
            </wp:positionV>
            <wp:extent cx="476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-702945</wp:posOffset>
            </wp:positionV>
            <wp:extent cx="476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-716915</wp:posOffset>
            </wp:positionV>
            <wp:extent cx="47625"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-702945</wp:posOffset>
            </wp:positionV>
            <wp:extent cx="4762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51" w:lineRule="exact"/>
        <w:rPr>
          <w:sz w:val="20"/>
          <w:szCs w:val="20"/>
          <w:color w:val="auto"/>
        </w:rPr>
      </w:pPr>
    </w:p>
    <w:p>
      <w:pPr>
        <w:ind w:left="980" w:hanging="349"/>
        <w:spacing w:after="0"/>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adjustment reflects the per share impact of the adjustment reflected within the definition of Adjusted EBITDA.</w:t>
      </w:r>
    </w:p>
    <w:p>
      <w:pPr>
        <w:spacing w:after="0" w:line="97" w:lineRule="exact"/>
        <w:rPr>
          <w:rFonts w:ascii="Times New Roman" w:cs="Times New Roman" w:eastAsia="Times New Roman" w:hAnsi="Times New Roman"/>
          <w:sz w:val="14"/>
          <w:szCs w:val="14"/>
          <w:color w:val="auto"/>
        </w:rPr>
      </w:pPr>
    </w:p>
    <w:p>
      <w:pPr>
        <w:ind w:left="980" w:right="1079" w:hanging="349"/>
        <w:spacing w:after="0" w:line="293" w:lineRule="auto"/>
        <w:tabs>
          <w:tab w:leader="none" w:pos="9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income tax impact of non-GAAP adjustments is calculated using the estimated tax rate for the respective non-GAAP adjustment.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principal sources of cash have historically been from operating activities. Our principal source of liquidity in excess of cash from operating activities has historically been from proceeds from our debt facilities and issuances of common stock. Our principal uses of cash and liquidity have historically been for acquisitions, debt service requirements, and financing of working capital. We believe that our operating cash flows, available cash on hand, and availability under our Revolving Credit Facility and the LC Facility will be sufficient to meet our cash requirements for the next twelve months and beyond. Our future capital requirements will depend on many factors that are difficult to predict, including the size, timing, and structure of any future acquisitions, future capital investments, and future results of operations. We cannot assure you that cash provided by operating activities or cash and cash equivalents will be sufficient to meet our future needs. If we are unable to generate sufficient cash flows from operations in the future, we may have to obtain additional financing. If we obtain additional capital by issuing equity, the interests of our existing stockholders will be diluted. If we incur additional indebtedness, that indebtedness may contain significant financial and other covenants that may</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5" w:name="page36"/>
    <w:bookmarkEnd w:id="35"/>
    <w:p>
      <w:pPr>
        <w:ind w:left="640" w:right="719"/>
        <w:spacing w:after="0" w:line="293" w:lineRule="auto"/>
        <w:rPr>
          <w:sz w:val="20"/>
          <w:szCs w:val="20"/>
          <w:color w:val="auto"/>
        </w:rPr>
      </w:pPr>
      <w:r>
        <w:rPr>
          <w:rFonts w:ascii="Times New Roman" w:cs="Times New Roman" w:eastAsia="Times New Roman" w:hAnsi="Times New Roman"/>
          <w:sz w:val="14"/>
          <w:szCs w:val="14"/>
          <w:color w:val="auto"/>
        </w:rPr>
        <w:t>significantly restrict our operations. We cannot assure you that we could obtain refinancing or additional financing on favorable terms or at all.</w:t>
      </w:r>
    </w:p>
    <w:p>
      <w:pPr>
        <w:spacing w:after="0" w:line="37" w:lineRule="exact"/>
        <w:rPr>
          <w:sz w:val="20"/>
          <w:szCs w:val="20"/>
          <w:color w:val="auto"/>
        </w:rPr>
      </w:pPr>
    </w:p>
    <w:p>
      <w:pPr>
        <w:ind w:left="640" w:right="699" w:firstLine="351"/>
        <w:spacing w:after="0" w:line="264" w:lineRule="auto"/>
        <w:rPr>
          <w:sz w:val="20"/>
          <w:szCs w:val="20"/>
          <w:color w:val="auto"/>
        </w:rPr>
      </w:pPr>
      <w:r>
        <w:rPr>
          <w:rFonts w:ascii="Times New Roman" w:cs="Times New Roman" w:eastAsia="Times New Roman" w:hAnsi="Times New Roman"/>
          <w:sz w:val="14"/>
          <w:szCs w:val="14"/>
          <w:color w:val="auto"/>
        </w:rPr>
        <w:t>We evaluate our liquidity based upon the availability we have under our First Lien Facilities in addition to the net cash provided by (used in) operating, investing, and financing activities. Specifically, we review the activity under the Revolving Credit Facility and the LC Facility and consider period end balances outstanding under the Revolving Credit Facility and the LC Facility. Based upon the outstanding borrowings and letters of credit under the Revolving Credit Facility and the LC Facility, we calculate the availability for incremental borrowings under the Revolving Credit Facility and the LC Facility. Such amount, in addition to cash on our balance sheet, is what we consider to be our “Total Liquidity.”</w:t>
      </w:r>
    </w:p>
    <w:p>
      <w:pPr>
        <w:spacing w:after="0" w:line="5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following table provides a calculation of our Total Liquidity:</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4880" w:type="dxa"/>
            <w:vAlign w:val="bottom"/>
          </w:tcPr>
          <w:p>
            <w:pPr>
              <w:spacing w:after="0"/>
              <w:rPr>
                <w:sz w:val="11"/>
                <w:szCs w:val="11"/>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For the Three Months Ended</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For the Year Ended</w:t>
            </w:r>
          </w:p>
        </w:tc>
      </w:tr>
      <w:tr>
        <w:trPr>
          <w:trHeight w:val="148"/>
        </w:trPr>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1"/>
        </w:trPr>
        <w:tc>
          <w:tcPr>
            <w:tcW w:w="48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30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center"/>
              <w:ind w:right="211"/>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80" w:type="dxa"/>
            <w:vAlign w:val="bottom"/>
          </w:tcPr>
          <w:p>
            <w:pPr>
              <w:spacing w:after="0"/>
              <w:rPr>
                <w:sz w:val="11"/>
                <w:szCs w:val="11"/>
                <w:color w:val="auto"/>
              </w:rPr>
            </w:pPr>
          </w:p>
        </w:tc>
      </w:tr>
      <w:tr>
        <w:trPr>
          <w:trHeight w:val="18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Revolving Credit Facility Rollforward</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Beginning Revolving Credit Facility balance</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74,800</w:t>
            </w:r>
          </w:p>
        </w:tc>
        <w:tc>
          <w:tcPr>
            <w:tcW w:w="80" w:type="dxa"/>
            <w:vAlign w:val="bottom"/>
          </w:tcPr>
          <w:p>
            <w:pPr>
              <w:spacing w:after="0"/>
              <w:rPr>
                <w:sz w:val="16"/>
                <w:szCs w:val="16"/>
                <w:color w:val="auto"/>
              </w:rPr>
            </w:pPr>
          </w:p>
        </w:tc>
      </w:tr>
      <w:tr>
        <w:trPr>
          <w:trHeight w:val="19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Repayments of the Revolving Credit Facility, net</w:t>
            </w:r>
          </w:p>
        </w:tc>
        <w:tc>
          <w:tcPr>
            <w:tcW w:w="3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(50,700 )</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(24,100 )</w:t>
            </w:r>
          </w:p>
        </w:tc>
      </w:tr>
      <w:tr>
        <w:trPr>
          <w:trHeight w:val="184"/>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Ending Revolving Credit Facility balance</w:t>
            </w: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50,700</w:t>
            </w:r>
          </w:p>
        </w:tc>
        <w:tc>
          <w:tcPr>
            <w:tcW w:w="80" w:type="dxa"/>
            <w:vAlign w:val="bottom"/>
            <w:tcBorders>
              <w:top w:val="single" w:sz="8" w:color="CFF0FC"/>
            </w:tcBorders>
          </w:tcPr>
          <w:p>
            <w:pPr>
              <w:spacing w:after="0"/>
              <w:rPr>
                <w:sz w:val="16"/>
                <w:szCs w:val="16"/>
                <w:color w:val="auto"/>
              </w:rPr>
            </w:pPr>
          </w:p>
        </w:tc>
      </w:tr>
      <w:tr>
        <w:trPr>
          <w:trHeight w:val="188"/>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i w:val="1"/>
                <w:iCs w:val="1"/>
                <w:color w:val="auto"/>
              </w:rPr>
              <w:t>Calculation of Revolving Credit Facility and LC Facility availability</w:t>
            </w: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0"/>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Revolving Credit Facility and LC Facility limit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530,000</w:t>
            </w:r>
          </w:p>
        </w:tc>
        <w:tc>
          <w:tcPr>
            <w:tcW w:w="80" w:type="dxa"/>
            <w:vAlign w:val="bottom"/>
          </w:tcPr>
          <w:p>
            <w:pPr>
              <w:spacing w:after="0"/>
              <w:rPr>
                <w:sz w:val="16"/>
                <w:szCs w:val="16"/>
                <w:color w:val="auto"/>
              </w:rPr>
            </w:pPr>
          </w:p>
        </w:tc>
      </w:tr>
      <w:tr>
        <w:trPr>
          <w:trHeight w:val="198"/>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Revolving Credit Facility balance</w:t>
            </w:r>
          </w:p>
        </w:tc>
        <w:tc>
          <w:tcPr>
            <w:tcW w:w="3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(50,700 )</w:t>
            </w:r>
          </w:p>
        </w:tc>
      </w:tr>
      <w:tr>
        <w:trPr>
          <w:trHeight w:val="190"/>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Less: outstanding letters of credit subject to LC Sublimit</w:t>
            </w:r>
          </w:p>
        </w:tc>
        <w:tc>
          <w:tcPr>
            <w:tcW w:w="300" w:type="dxa"/>
            <w:vAlign w:val="bottom"/>
          </w:tcPr>
          <w:p>
            <w:pPr>
              <w:spacing w:after="0"/>
              <w:rPr>
                <w:sz w:val="16"/>
                <w:szCs w:val="16"/>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(7,795 )</w:t>
            </w: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(6,632 )</w:t>
            </w:r>
          </w:p>
        </w:tc>
      </w:tr>
      <w:tr>
        <w:trPr>
          <w:trHeight w:val="194"/>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outstanding letters of credit under the LC Facility</w:t>
            </w:r>
          </w:p>
        </w:tc>
        <w:tc>
          <w:tcPr>
            <w:tcW w:w="30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(54,279 )</w:t>
            </w:r>
          </w:p>
        </w:tc>
        <w:tc>
          <w:tcPr>
            <w:tcW w:w="14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(54,279 )</w:t>
            </w:r>
          </w:p>
        </w:tc>
      </w:tr>
      <w:tr>
        <w:trPr>
          <w:trHeight w:val="184"/>
        </w:trPr>
        <w:tc>
          <w:tcPr>
            <w:tcW w:w="48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End of period Revolving Credit Facility and LC Facility availability</w:t>
            </w:r>
          </w:p>
        </w:tc>
        <w:tc>
          <w:tcPr>
            <w:tcW w:w="3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467,926</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418,389</w:t>
            </w:r>
          </w:p>
        </w:tc>
        <w:tc>
          <w:tcPr>
            <w:tcW w:w="80" w:type="dxa"/>
            <w:vAlign w:val="bottom"/>
            <w:tcBorders>
              <w:top w:val="single" w:sz="8" w:color="CFF0FC"/>
            </w:tcBorders>
          </w:tcPr>
          <w:p>
            <w:pPr>
              <w:spacing w:after="0"/>
              <w:rPr>
                <w:sz w:val="16"/>
                <w:szCs w:val="16"/>
                <w:color w:val="auto"/>
              </w:rPr>
            </w:pPr>
          </w:p>
        </w:tc>
      </w:tr>
      <w:tr>
        <w:trPr>
          <w:trHeight w:val="194"/>
        </w:trPr>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 cash balance</w:t>
            </w:r>
          </w:p>
        </w:tc>
        <w:tc>
          <w:tcPr>
            <w:tcW w:w="30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58,037</w:t>
            </w:r>
          </w:p>
        </w:tc>
        <w:tc>
          <w:tcPr>
            <w:tcW w:w="2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880" w:type="dxa"/>
            <w:vAlign w:val="bottom"/>
          </w:tcPr>
          <w:p>
            <w:pPr>
              <w:spacing w:after="0"/>
              <w:rPr>
                <w:sz w:val="20"/>
                <w:szCs w:val="20"/>
                <w:color w:val="auto"/>
              </w:rPr>
            </w:pPr>
            <w:r>
              <w:rPr>
                <w:rFonts w:ascii="Times New Roman" w:cs="Times New Roman" w:eastAsia="Times New Roman" w:hAnsi="Times New Roman"/>
                <w:sz w:val="14"/>
                <w:szCs w:val="14"/>
                <w:color w:val="auto"/>
              </w:rPr>
              <w:t>Total Liquidity, end of period</w:t>
            </w:r>
          </w:p>
        </w:tc>
        <w:tc>
          <w:tcPr>
            <w:tcW w:w="3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525,963</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431,460</w:t>
            </w:r>
          </w:p>
        </w:tc>
        <w:tc>
          <w:tcPr>
            <w:tcW w:w="80" w:type="dxa"/>
            <w:vAlign w:val="bottom"/>
          </w:tcPr>
          <w:p>
            <w:pPr>
              <w:spacing w:after="0"/>
              <w:rPr>
                <w:sz w:val="16"/>
                <w:szCs w:val="16"/>
                <w:color w:val="auto"/>
              </w:rPr>
            </w:pP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-1153795</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-1153795</wp:posOffset>
            </wp:positionV>
            <wp:extent cx="476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-402590</wp:posOffset>
            </wp:positionV>
            <wp:extent cx="476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-402590</wp:posOffset>
            </wp:positionV>
            <wp:extent cx="47625"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4472305</wp:posOffset>
            </wp:positionH>
            <wp:positionV relativeFrom="paragraph">
              <wp:posOffset>-149860</wp:posOffset>
            </wp:positionV>
            <wp:extent cx="4762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-149860</wp:posOffset>
            </wp:positionV>
            <wp:extent cx="4762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Cash Flow Activity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Three Months Ended March 31, 2024 and 2023</w:t>
      </w:r>
    </w:p>
    <w:p>
      <w:pPr>
        <w:spacing w:after="0" w:line="99" w:lineRule="exact"/>
        <w:rPr>
          <w:sz w:val="20"/>
          <w:szCs w:val="20"/>
          <w:color w:val="auto"/>
        </w:rPr>
      </w:pPr>
    </w:p>
    <w:p>
      <w:pPr>
        <w:ind w:left="640" w:right="799" w:firstLine="351"/>
        <w:spacing w:after="0" w:line="293" w:lineRule="auto"/>
        <w:rPr>
          <w:sz w:val="20"/>
          <w:szCs w:val="20"/>
          <w:color w:val="auto"/>
        </w:rPr>
      </w:pPr>
      <w:r>
        <w:rPr>
          <w:rFonts w:ascii="Times New Roman" w:cs="Times New Roman" w:eastAsia="Times New Roman" w:hAnsi="Times New Roman"/>
          <w:sz w:val="14"/>
          <w:szCs w:val="14"/>
          <w:color w:val="auto"/>
        </w:rPr>
        <w:t>The following table sets forth a summary of our cash flows provided by (used in) operating, investing, and financing activities for the periods presented:</w:t>
      </w:r>
    </w:p>
    <w:p>
      <w:pPr>
        <w:spacing w:after="0" w:line="129"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4560" w:type="dxa"/>
            <w:vAlign w:val="bottom"/>
          </w:tcPr>
          <w:p>
            <w:pPr>
              <w:spacing w:after="0"/>
              <w:rPr>
                <w:sz w:val="12"/>
                <w:szCs w:val="12"/>
                <w:color w:val="auto"/>
              </w:rPr>
            </w:pP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1"/>
                <w:szCs w:val="11"/>
                <w:b w:val="1"/>
                <w:bCs w:val="1"/>
                <w:color w:val="auto"/>
              </w:rPr>
              <w:t>For the Three Months Ended March 31,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 in thousands)</w:t>
            </w:r>
          </w:p>
        </w:tc>
        <w:tc>
          <w:tcPr>
            <w:tcW w:w="2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Variance</w:t>
            </w:r>
          </w:p>
        </w:tc>
        <w:tc>
          <w:tcPr>
            <w:tcW w:w="80" w:type="dxa"/>
            <w:vAlign w:val="bottom"/>
          </w:tcPr>
          <w:p>
            <w:pPr>
              <w:spacing w:after="0"/>
              <w:rPr>
                <w:sz w:val="11"/>
                <w:szCs w:val="11"/>
                <w:color w:val="auto"/>
              </w:rPr>
            </w:pPr>
          </w:p>
        </w:tc>
      </w:tr>
      <w:tr>
        <w:trPr>
          <w:trHeight w:val="184"/>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(78,859 )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39,896</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(118,755 )</w:t>
            </w:r>
          </w:p>
        </w:tc>
      </w:tr>
      <w:tr>
        <w:trPr>
          <w:trHeight w:val="190"/>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(30,938 )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(17,463 )</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(13,475 )</w:t>
            </w:r>
          </w:p>
        </w:tc>
      </w:tr>
      <w:tr>
        <w:trPr>
          <w:trHeight w:val="198"/>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154,763</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(24,881 )</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179,644</w:t>
            </w:r>
          </w:p>
        </w:tc>
        <w:tc>
          <w:tcPr>
            <w:tcW w:w="80" w:type="dxa"/>
            <w:vAlign w:val="bottom"/>
            <w:shd w:val="clear" w:color="auto" w:fill="CFF0FC"/>
          </w:tcPr>
          <w:p>
            <w:pPr>
              <w:spacing w:after="0"/>
              <w:rPr>
                <w:sz w:val="17"/>
                <w:szCs w:val="17"/>
                <w:color w:val="auto"/>
              </w:rPr>
            </w:pPr>
          </w:p>
        </w:tc>
      </w:tr>
    </w:tbl>
    <w:p>
      <w:pPr>
        <w:spacing w:after="0" w:line="1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99" w:lineRule="exact"/>
        <w:rPr>
          <w:sz w:val="20"/>
          <w:szCs w:val="20"/>
          <w:color w:val="auto"/>
        </w:rPr>
      </w:pPr>
    </w:p>
    <w:p>
      <w:pPr>
        <w:ind w:left="640" w:right="919" w:firstLine="351"/>
        <w:spacing w:after="0" w:line="275" w:lineRule="auto"/>
        <w:rPr>
          <w:sz w:val="20"/>
          <w:szCs w:val="20"/>
          <w:color w:val="auto"/>
        </w:rPr>
      </w:pPr>
      <w:r>
        <w:rPr>
          <w:rFonts w:ascii="Times New Roman" w:cs="Times New Roman" w:eastAsia="Times New Roman" w:hAnsi="Times New Roman"/>
          <w:sz w:val="14"/>
          <w:szCs w:val="14"/>
          <w:color w:val="auto"/>
        </w:rPr>
        <w:t>Net cash used in operating activities was $78.9 million for the three months ended March 31, 2024 compared to net cash provided by operating activities of $39.9 million for the three months ended March 31, 2023. The change was primarily due to the following:</w:t>
      </w:r>
    </w:p>
    <w:p>
      <w:pPr>
        <w:spacing w:after="0" w:line="49" w:lineRule="exact"/>
        <w:rPr>
          <w:sz w:val="20"/>
          <w:szCs w:val="20"/>
          <w:color w:val="auto"/>
        </w:rPr>
      </w:pPr>
    </w:p>
    <w:p>
      <w:pPr>
        <w:ind w:left="1340" w:right="839" w:hanging="359"/>
        <w:spacing w:after="0" w:line="293"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$45.4 million in accounts receivable due to volume growth in the first fiscal quarter of 2024 compared to the first fiscal quarter of 2023;</w:t>
      </w:r>
    </w:p>
    <w:p>
      <w:pPr>
        <w:spacing w:after="0" w:line="3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cash outflows of $20.0 million due to timing of payments for inventory purchases driven by volume growth;</w:t>
      </w:r>
    </w:p>
    <w:p>
      <w:pPr>
        <w:spacing w:after="0" w:line="97" w:lineRule="exact"/>
        <w:rPr>
          <w:rFonts w:ascii="Times New Roman" w:cs="Times New Roman" w:eastAsia="Times New Roman" w:hAnsi="Times New Roman"/>
          <w:sz w:val="14"/>
          <w:szCs w:val="14"/>
          <w:color w:val="auto"/>
        </w:rPr>
      </w:pPr>
    </w:p>
    <w:p>
      <w:pPr>
        <w:ind w:left="1340" w:right="1119" w:hanging="359"/>
        <w:spacing w:after="0" w:line="293"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decrease of $20.0 million in cash inflows due to delayed cash collections of receivables as a result of the Change Healthcare cybersecurity event that occurred in the first fiscal quarter of 2024;</w:t>
      </w:r>
    </w:p>
    <w:p>
      <w:pPr>
        <w:spacing w:after="0" w:line="3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$18.8 million of PRF general distribution received in 2023, as compared to no PRF general distribution in 2024;</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of $13.5 million in cash outflows for direct and indirect remuneration fees paid;</w:t>
      </w:r>
    </w:p>
    <w:p>
      <w:pPr>
        <w:spacing w:after="0" w:line="97" w:lineRule="exact"/>
        <w:rPr>
          <w:rFonts w:ascii="Times New Roman" w:cs="Times New Roman" w:eastAsia="Times New Roman" w:hAnsi="Times New Roman"/>
          <w:sz w:val="14"/>
          <w:szCs w:val="14"/>
          <w:color w:val="auto"/>
        </w:rPr>
      </w:pPr>
    </w:p>
    <w:p>
      <w:pPr>
        <w:ind w:left="1340" w:hanging="359"/>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cash paid for income taxes of $7.5 million; offset by</w:t>
      </w:r>
    </w:p>
    <w:p>
      <w:pPr>
        <w:spacing w:after="0" w:line="97" w:lineRule="exact"/>
        <w:rPr>
          <w:rFonts w:ascii="Times New Roman" w:cs="Times New Roman" w:eastAsia="Times New Roman" w:hAnsi="Times New Roman"/>
          <w:sz w:val="14"/>
          <w:szCs w:val="14"/>
          <w:color w:val="auto"/>
        </w:rPr>
      </w:pPr>
    </w:p>
    <w:p>
      <w:pPr>
        <w:ind w:left="1340" w:right="779" w:hanging="359"/>
        <w:spacing w:after="0" w:line="293"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$12.7 million decrease in cash paid for interest, net primarily as a result paydowns, extinguishments and modifications of debt utilizing proceeds from the IPO Offerings.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99" w:lineRule="exact"/>
        <w:rPr>
          <w:sz w:val="20"/>
          <w:szCs w:val="20"/>
          <w:color w:val="auto"/>
        </w:rPr>
      </w:pPr>
    </w:p>
    <w:p>
      <w:pPr>
        <w:ind w:left="640" w:right="639" w:firstLine="351"/>
        <w:spacing w:after="0" w:line="268" w:lineRule="auto"/>
        <w:rPr>
          <w:sz w:val="20"/>
          <w:szCs w:val="20"/>
          <w:color w:val="auto"/>
        </w:rPr>
      </w:pPr>
      <w:r>
        <w:rPr>
          <w:rFonts w:ascii="Times New Roman" w:cs="Times New Roman" w:eastAsia="Times New Roman" w:hAnsi="Times New Roman"/>
          <w:sz w:val="14"/>
          <w:szCs w:val="14"/>
          <w:color w:val="auto"/>
        </w:rPr>
        <w:t>Net cash used in investing activities increased by $13.5 million, from $17.5 million in the three months ended March 31, 2023 to $30.9 million in the three months ended March 31, 2024. The increase was primarily due to a $4.0 million increase in purchases of property and equipment in the first fiscal quarter of 2024 compared to the first fiscal quarter of 2023 and $9.4 million paid for acquisitions acquired in the first fiscal quarter of 2024 compared to no acquisitions in the first fiscal quarter of 2023.</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99" w:lineRule="exact"/>
        <w:rPr>
          <w:sz w:val="20"/>
          <w:szCs w:val="20"/>
          <w:color w:val="auto"/>
        </w:rPr>
      </w:pPr>
    </w:p>
    <w:p>
      <w:pPr>
        <w:ind w:left="640" w:right="679" w:firstLine="351"/>
        <w:spacing w:after="0" w:line="272" w:lineRule="auto"/>
        <w:rPr>
          <w:sz w:val="20"/>
          <w:szCs w:val="20"/>
          <w:color w:val="auto"/>
        </w:rPr>
      </w:pPr>
      <w:r>
        <w:rPr>
          <w:rFonts w:ascii="Times New Roman" w:cs="Times New Roman" w:eastAsia="Times New Roman" w:hAnsi="Times New Roman"/>
          <w:sz w:val="14"/>
          <w:szCs w:val="14"/>
          <w:color w:val="auto"/>
        </w:rPr>
        <w:t>Net cash provided by financing activities was $154.8 million for the three months ended March 31, 2024, primarily attributable to net proceeds received from the IPO Offerings of $1,045.5 million, offset by extinguishment of and repayments on our long-term debt of $793.4 million, net repayments on our Revolving Credit Facility of $50.7 million, and payment of debt issuance costs of $43.0 million.</w:t>
      </w:r>
    </w:p>
    <w:p>
      <w:pPr>
        <w:spacing w:after="0" w:line="227" w:lineRule="exact"/>
        <w:rPr>
          <w:sz w:val="20"/>
          <w:szCs w:val="20"/>
          <w:color w:val="auto"/>
        </w:rPr>
      </w:pPr>
    </w:p>
    <w:p>
      <w:pPr>
        <w:ind w:left="640" w:right="759" w:firstLine="351"/>
        <w:spacing w:after="0" w:line="275" w:lineRule="auto"/>
        <w:rPr>
          <w:sz w:val="20"/>
          <w:szCs w:val="20"/>
          <w:color w:val="auto"/>
        </w:rPr>
      </w:pPr>
      <w:r>
        <w:rPr>
          <w:rFonts w:ascii="Times New Roman" w:cs="Times New Roman" w:eastAsia="Times New Roman" w:hAnsi="Times New Roman"/>
          <w:sz w:val="14"/>
          <w:szCs w:val="14"/>
          <w:color w:val="auto"/>
        </w:rPr>
        <w:t>Net cash used in financing activities was $24.9 million for the three months ended March 31, 2023, primarily attributable to repayments on our long-term debt of $7.8 million, net repayments on our Revolving Credit Facility of $14.3 million, and payment of finance lease obligations of $2.9 million.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Debt</w:t>
      </w:r>
    </w:p>
    <w:p>
      <w:pPr>
        <w:spacing w:after="0" w:line="99" w:lineRule="exact"/>
        <w:rPr>
          <w:sz w:val="20"/>
          <w:szCs w:val="20"/>
          <w:color w:val="auto"/>
        </w:rPr>
      </w:pPr>
    </w:p>
    <w:p>
      <w:pPr>
        <w:jc w:val="both"/>
        <w:ind w:left="640" w:right="899" w:firstLine="351"/>
        <w:spacing w:after="0" w:line="275" w:lineRule="auto"/>
        <w:rPr>
          <w:sz w:val="20"/>
          <w:szCs w:val="20"/>
          <w:color w:val="auto"/>
        </w:rPr>
      </w:pPr>
      <w:r>
        <w:rPr>
          <w:rFonts w:ascii="Times New Roman" w:cs="Times New Roman" w:eastAsia="Times New Roman" w:hAnsi="Times New Roman"/>
          <w:sz w:val="14"/>
          <w:szCs w:val="14"/>
          <w:color w:val="auto"/>
        </w:rPr>
        <w:t>We typically incur debt to finance mergers and acquisitions, and we borrow under our Revolving Credit Facility for working capital purposes, as well as to finance acquisitions, as needed. Below is a summary of our long-term indebtedness as of March 31, 2024 and December 31, 2023.</w:t>
      </w:r>
    </w:p>
    <w:p>
      <w:pPr>
        <w:spacing w:after="0" w:line="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We were in compliance with all applicable financial covenants as of March 31, 2024 and December 31, 2023.</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First Lien Credit Agreement</w:t>
      </w:r>
    </w:p>
    <w:p>
      <w:pPr>
        <w:spacing w:after="0" w:line="99" w:lineRule="exact"/>
        <w:rPr>
          <w:sz w:val="20"/>
          <w:szCs w:val="20"/>
          <w:color w:val="auto"/>
        </w:rPr>
      </w:pPr>
    </w:p>
    <w:p>
      <w:pPr>
        <w:ind w:left="640" w:right="639" w:firstLine="351"/>
        <w:spacing w:after="0" w:line="262" w:lineRule="auto"/>
        <w:rPr>
          <w:sz w:val="20"/>
          <w:szCs w:val="20"/>
          <w:color w:val="auto"/>
        </w:rPr>
      </w:pPr>
      <w:r>
        <w:rPr>
          <w:rFonts w:ascii="Times New Roman" w:cs="Times New Roman" w:eastAsia="Times New Roman" w:hAnsi="Times New Roman"/>
          <w:sz w:val="14"/>
          <w:szCs w:val="14"/>
          <w:color w:val="auto"/>
        </w:rPr>
        <w:t>On March 5, 2019, the Company entered into the First Lien Credit Agreement, among Phoenix Intermediate Holdings Inc., as Holdings, Phoenix Guarantor Inc., as the Borrower, the several lenders from time to time parties thereto and Morgan Stanley Senior Funding, Inc., as the Administrative Agent and Collateral Agent (the “First Lien Credit Agreement”). The First Lien Credit Agreement originally consisted of a principal amount of $1,650.0 million. In 2019, an additional delayed draw of $150.0 million was made on the First Lien Credit Agreement (“Tranche B-1”). The First Lien Credit Agreement was further amended in 2020 (“Tranche B-2”) and 2021 (“Tranche B-3”) to establish additional borrowings of $550.0 million and $675.0 million, respectively, resulting in a total gross borrowings of $3,025.0 million.</w:t>
      </w:r>
    </w:p>
    <w:p>
      <w:pPr>
        <w:spacing w:after="0" w:line="61" w:lineRule="exact"/>
        <w:rPr>
          <w:sz w:val="20"/>
          <w:szCs w:val="20"/>
          <w:color w:val="auto"/>
        </w:rPr>
      </w:pPr>
    </w:p>
    <w:p>
      <w:pPr>
        <w:ind w:left="640" w:right="839" w:firstLine="351"/>
        <w:spacing w:after="0" w:line="293" w:lineRule="auto"/>
        <w:rPr>
          <w:sz w:val="20"/>
          <w:szCs w:val="20"/>
          <w:color w:val="auto"/>
        </w:rPr>
      </w:pPr>
      <w:r>
        <w:rPr>
          <w:rFonts w:ascii="Times New Roman" w:cs="Times New Roman" w:eastAsia="Times New Roman" w:hAnsi="Times New Roman"/>
          <w:sz w:val="14"/>
          <w:szCs w:val="14"/>
          <w:color w:val="auto"/>
        </w:rPr>
        <w:t>On June 30, 2023, the Company amended the terms of the First Lien Credit Agreement to reflect a change in reference rate to the Secured Overnight Financing Rate (“SOFR”).</w:t>
      </w:r>
    </w:p>
    <w:p>
      <w:pPr>
        <w:spacing w:after="0" w:line="37" w:lineRule="exact"/>
        <w:rPr>
          <w:sz w:val="20"/>
          <w:szCs w:val="20"/>
          <w:color w:val="auto"/>
        </w:rPr>
      </w:pPr>
    </w:p>
    <w:p>
      <w:pPr>
        <w:ind w:left="640" w:right="759" w:firstLine="516"/>
        <w:spacing w:after="0" w:line="265" w:lineRule="auto"/>
        <w:rPr>
          <w:sz w:val="20"/>
          <w:szCs w:val="20"/>
          <w:color w:val="auto"/>
        </w:rPr>
      </w:pPr>
      <w:r>
        <w:rPr>
          <w:rFonts w:ascii="Times New Roman" w:cs="Times New Roman" w:eastAsia="Times New Roman" w:hAnsi="Times New Roman"/>
          <w:sz w:val="14"/>
          <w:szCs w:val="14"/>
          <w:color w:val="auto"/>
        </w:rPr>
        <w:t>On February 21, 2024, we used a portion of the net proceeds received from the IPO Offerings to repay $343.3 million of the borrowings under the First Lien, and established a new Tranche B-4 Term Loan to refinance the remaining $2,566.0 million of borrowings under the First Lien Credit Agreement at a rate equal to SOFR plus 3.25% and a maturity date of February 21, 2031. For additional information about our First Lien Credit Agreement, see Note 5 of the unaudited condensed consolidated financial statements and related notes in this Quarterly Report on Form 10-Q.</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Revolving Credit Facility</w:t>
      </w:r>
    </w:p>
    <w:p>
      <w:pPr>
        <w:spacing w:after="0" w:line="99"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total borrowing capacity under the Revolving Credit Facility (the “Revolver”) was $475.0 million as of March 31, 2024 and December 31, 2023. As of March 31, 2024, the Company had no borrowings outstanding under the Revolver and $7.8 million of letters of credit reducing the available borrowing capacity to approximately $467.2 million. As of December 31, 2023, the Company had $50.7 million of borrowings outstanding under the Revolver and $6.6 million of letters of credit, reducing the available borrowing capacity to $417.7 million.</w:t>
      </w:r>
    </w:p>
    <w:p>
      <w:pPr>
        <w:spacing w:after="0" w:line="58" w:lineRule="exact"/>
        <w:rPr>
          <w:sz w:val="20"/>
          <w:szCs w:val="20"/>
          <w:color w:val="auto"/>
        </w:rPr>
      </w:pPr>
    </w:p>
    <w:p>
      <w:pPr>
        <w:ind w:left="640" w:right="819" w:firstLine="351"/>
        <w:spacing w:after="0" w:line="275" w:lineRule="auto"/>
        <w:rPr>
          <w:sz w:val="20"/>
          <w:szCs w:val="20"/>
          <w:color w:val="auto"/>
        </w:rPr>
      </w:pPr>
      <w:r>
        <w:rPr>
          <w:rFonts w:ascii="Times New Roman" w:cs="Times New Roman" w:eastAsia="Times New Roman" w:hAnsi="Times New Roman"/>
          <w:sz w:val="14"/>
          <w:szCs w:val="14"/>
          <w:color w:val="auto"/>
        </w:rPr>
        <w:t>The First Lien Credit Agreement, as amended, provides for an additional $55.0 million of letter of credit commitments, or the LC Facility, which are not subject to the LC Sublimit. As of March 31, 2024 and December 31, 2023, there were $54.3 million of letters of credit outstanding under the LC Facility, respectively, resulting in an available borrowing capacity of $0.7 million.</w:t>
      </w:r>
    </w:p>
    <w:p>
      <w:pPr>
        <w:spacing w:after="0" w:line="49" w:lineRule="exact"/>
        <w:rPr>
          <w:sz w:val="20"/>
          <w:szCs w:val="20"/>
          <w:color w:val="auto"/>
        </w:rPr>
      </w:pPr>
    </w:p>
    <w:p>
      <w:pPr>
        <w:ind w:left="640" w:right="1019" w:firstLine="552"/>
        <w:spacing w:after="0" w:line="293" w:lineRule="auto"/>
        <w:rPr>
          <w:sz w:val="20"/>
          <w:szCs w:val="20"/>
          <w:color w:val="auto"/>
        </w:rPr>
      </w:pPr>
      <w:r>
        <w:rPr>
          <w:rFonts w:ascii="Times New Roman" w:cs="Times New Roman" w:eastAsia="Times New Roman" w:hAnsi="Times New Roman"/>
          <w:sz w:val="14"/>
          <w:szCs w:val="14"/>
          <w:color w:val="auto"/>
        </w:rPr>
        <w:t>For additional information about our Revolving Credit Facility and LC Facility, see Note 5 of the unaudited condensed consolidated financial statements and related notes in this Quarterly Report on Form 10-Q.</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Second Lien Credit Agreement</w:t>
      </w:r>
    </w:p>
    <w:p>
      <w:pPr>
        <w:spacing w:after="0" w:line="99" w:lineRule="exact"/>
        <w:rPr>
          <w:sz w:val="20"/>
          <w:szCs w:val="20"/>
          <w:color w:val="auto"/>
        </w:rPr>
      </w:pPr>
    </w:p>
    <w:p>
      <w:pPr>
        <w:ind w:left="640" w:right="679" w:firstLine="351"/>
        <w:spacing w:after="0" w:line="293" w:lineRule="auto"/>
        <w:rPr>
          <w:sz w:val="20"/>
          <w:szCs w:val="20"/>
          <w:color w:val="auto"/>
        </w:rPr>
      </w:pPr>
      <w:r>
        <w:rPr>
          <w:rFonts w:ascii="Times New Roman" w:cs="Times New Roman" w:eastAsia="Times New Roman" w:hAnsi="Times New Roman"/>
          <w:sz w:val="14"/>
          <w:szCs w:val="14"/>
          <w:color w:val="auto"/>
        </w:rPr>
        <w:t>On March 5, 2019, the Company entered into a $450.0 million Second Lien Facility. Borrowings under the Second Lien Facility were subordinated to the First Lien Credit Agreement. On January 30, 2024, we used a portion of the net proceeds received from the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37" w:name="page38"/>
    <w:bookmarkEnd w:id="37"/>
    <w:p>
      <w:pPr>
        <w:ind w:left="640" w:right="679"/>
        <w:spacing w:after="0" w:line="275" w:lineRule="auto"/>
        <w:rPr>
          <w:sz w:val="20"/>
          <w:szCs w:val="20"/>
          <w:color w:val="auto"/>
        </w:rPr>
      </w:pPr>
      <w:r>
        <w:rPr>
          <w:rFonts w:ascii="Times New Roman" w:cs="Times New Roman" w:eastAsia="Times New Roman" w:hAnsi="Times New Roman"/>
          <w:sz w:val="14"/>
          <w:szCs w:val="14"/>
          <w:color w:val="auto"/>
        </w:rPr>
        <w:t>IPO Offerings to repay all outstanding borrowings under the Second Lien Facility. No further obligation exists related to the Second Lien Facility. This transaction was accounted for as a debt extinguishment and the Company incurred a loss on extinguishment of debt of $12.7 million related to the write-off of unamortized debt issuance costs.</w:t>
      </w:r>
    </w:p>
    <w:p>
      <w:pPr>
        <w:spacing w:after="0" w:line="4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 First Lien Credit Agreement and the Second Lien Credit Agreement described above contain customary negative covenants, including, but not limited to, restrictions on the Company and its restricted subsidiaries’ ability to merge and consolidate with other companies, incur indebtedness, grant liens or security interests on assets, make acquisitions, loans, advances, or investments, pay dividends, sell or otherwise transfer assets, prepay or modify terms of certain junior indebtedness, enter into transactions with affiliates, or change their lines of business or fiscal year. In addition, under the Revolving Credit Facility, the Company will not permit the consolidated first lien secured debt to consolidated EBITDA (as defined in the First Lien Credit Agreement) ratio to be greater than 6.90 to 1.00, which shall be tested as of the end of the most recent quarter at any time when the aggregate revolving credit loans exceed 35% of the total revolving credit commitments.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Interest Rate Swap Agreements</w:t>
      </w:r>
    </w:p>
    <w:p>
      <w:pPr>
        <w:spacing w:after="0" w:line="99"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To manage fluctuations in cash flows resulting from changes in the variable rates, the Company entered into three receive-variable, pay-fixed interest rate swap agreements, with a combined notional value of $2.0 billion, all effective September 30, 2022 with a maturity date of September 30, 2025. The refinancing of existing term debt on February 21, 2024, did not result in a change to the terms of the interest rate swap agreements. For the three months ended March 31, 2024 and the year ended December 31, 2023, interest expense, net includes interest income related to cash flow hedges of interest rate risk of $9.6 million and $31.4 million, respectively.</w:t>
      </w:r>
    </w:p>
    <w:p>
      <w:pPr>
        <w:spacing w:after="0" w:line="3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Tangible Equity Units</w:t>
      </w:r>
    </w:p>
    <w:p>
      <w:pPr>
        <w:spacing w:after="0" w:line="99" w:lineRule="exact"/>
        <w:rPr>
          <w:sz w:val="20"/>
          <w:szCs w:val="20"/>
          <w:color w:val="auto"/>
        </w:rPr>
      </w:pPr>
    </w:p>
    <w:p>
      <w:pPr>
        <w:ind w:left="640" w:right="679" w:firstLine="516"/>
        <w:spacing w:after="0" w:line="261" w:lineRule="auto"/>
        <w:rPr>
          <w:sz w:val="20"/>
          <w:szCs w:val="20"/>
          <w:color w:val="auto"/>
        </w:rPr>
      </w:pPr>
      <w:r>
        <w:rPr>
          <w:rFonts w:ascii="Times New Roman" w:cs="Times New Roman" w:eastAsia="Times New Roman" w:hAnsi="Times New Roman"/>
          <w:sz w:val="14"/>
          <w:szCs w:val="14"/>
          <w:color w:val="auto"/>
        </w:rPr>
        <w:t>Concurrently with the IPO, we issued 8,000,000 TEUs, which have a stated amount of $50.00 per unit. Each TEU is comprised of a prepaid stock purchase contract (“Purchase Contract”) and a senior amortizing note (“Amortizing Note”) due February 1, 2027, each issued by the Company. The Company will pay equal quarterly cash installments of $0.8438 per Amortizing Note on February 1, May 1, August 1 and November 1, commencing on May 1, 2024, except for the May 1, 2024 installment payment, which will be $0.8531 per Amortizing Note. In the aggregate, the annual quarterly cash installments will be equivalent of 6.75% per year. Each installment payment constitutes a payment of interest and a partial repayment of principal. Each TEU may be separated by a holder into its constituent Purchase Contract and Amortizing Note. Refer to Note 6 within our unaudited condensed consolidated financial statements and related notes in this Quarterly Report on Form 10-Q for further discussion.</w:t>
      </w:r>
    </w:p>
    <w:p>
      <w:pPr>
        <w:spacing w:after="0" w:line="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The table below summarizes the total outstanding debt of the Company:</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2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Rate</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4"/>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rPr>
              <w:t>Long term obligation and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3"/>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Interest Expense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note payable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320" w:type="dxa"/>
            <w:vAlign w:val="bottom"/>
          </w:tcPr>
          <w:p>
            <w:pPr>
              <w:spacing w:after="0"/>
              <w:rPr>
                <w:sz w:val="8"/>
                <w:szCs w:val="8"/>
                <w:color w:val="auto"/>
              </w:rPr>
            </w:pPr>
          </w:p>
        </w:tc>
        <w:tc>
          <w:tcPr>
            <w:tcW w:w="820" w:type="dxa"/>
            <w:vAlign w:val="bottom"/>
            <w:gridSpan w:val="2"/>
          </w:tcPr>
          <w:p>
            <w:pPr>
              <w:jc w:val="right"/>
              <w:ind w:right="203"/>
              <w:spacing w:after="0" w:line="101"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860" w:type="dxa"/>
            <w:vAlign w:val="bottom"/>
            <w:gridSpan w:val="2"/>
          </w:tcPr>
          <w:p>
            <w:pPr>
              <w:jc w:val="right"/>
              <w:ind w:right="60"/>
              <w:spacing w:after="0" w:line="101"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40" w:type="dxa"/>
            <w:vAlign w:val="bottom"/>
          </w:tcPr>
          <w:p>
            <w:pPr>
              <w:spacing w:after="0"/>
              <w:rPr>
                <w:sz w:val="8"/>
                <w:szCs w:val="8"/>
                <w:color w:val="auto"/>
              </w:rPr>
            </w:pPr>
          </w:p>
        </w:tc>
        <w:tc>
          <w:tcPr>
            <w:tcW w:w="620" w:type="dxa"/>
            <w:vAlign w:val="bottom"/>
            <w:gridSpan w:val="2"/>
          </w:tcPr>
          <w:p>
            <w:pPr>
              <w:jc w:val="right"/>
              <w:ind w:right="20"/>
              <w:spacing w:after="0" w:line="101" w:lineRule="exact"/>
              <w:rPr>
                <w:sz w:val="20"/>
                <w:szCs w:val="20"/>
                <w:color w:val="auto"/>
              </w:rPr>
            </w:pPr>
            <w:r>
              <w:rPr>
                <w:rFonts w:ascii="Times New Roman" w:cs="Times New Roman" w:eastAsia="Times New Roman" w:hAnsi="Times New Roman"/>
                <w:sz w:val="11"/>
                <w:szCs w:val="11"/>
                <w:b w:val="1"/>
                <w:bCs w:val="1"/>
                <w:color w:val="auto"/>
              </w:rPr>
              <w:t>March 31,</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right"/>
              <w:ind w:right="59"/>
              <w:spacing w:after="0" w:line="101" w:lineRule="exact"/>
              <w:rPr>
                <w:sz w:val="20"/>
                <w:szCs w:val="20"/>
                <w:color w:val="auto"/>
              </w:rPr>
            </w:pPr>
            <w:r>
              <w:rPr>
                <w:rFonts w:ascii="Times New Roman" w:cs="Times New Roman" w:eastAsia="Times New Roman" w:hAnsi="Times New Roman"/>
                <w:sz w:val="11"/>
                <w:szCs w:val="11"/>
                <w:b w:val="1"/>
                <w:bCs w:val="1"/>
                <w:color w:val="auto"/>
              </w:rPr>
              <w:t>December</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3"/>
          </w:tcPr>
          <w:p>
            <w:pPr>
              <w:jc w:val="right"/>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20" w:type="dxa"/>
            <w:vAlign w:val="bottom"/>
            <w:gridSpan w:val="2"/>
          </w:tcPr>
          <w:p>
            <w:pPr>
              <w:ind w:left="20"/>
              <w:spacing w:after="0" w:line="101" w:lineRule="exact"/>
              <w:rPr>
                <w:sz w:val="20"/>
                <w:szCs w:val="20"/>
                <w:color w:val="auto"/>
              </w:rPr>
            </w:pPr>
            <w:r>
              <w:rPr>
                <w:rFonts w:ascii="Times New Roman" w:cs="Times New Roman" w:eastAsia="Times New Roman" w:hAnsi="Times New Roman"/>
                <w:sz w:val="11"/>
                <w:szCs w:val="11"/>
                <w:b w:val="1"/>
                <w:bCs w:val="1"/>
                <w:color w:val="auto"/>
              </w:rPr>
              <w:t>Fiscal Year</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 in thousands)</w:t>
            </w: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32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2"/>
                <w:szCs w:val="12"/>
                <w:color w:val="auto"/>
              </w:rPr>
              <w:t>First Lien - payable to lenders at SOFR</w:t>
            </w:r>
          </w:p>
        </w:tc>
        <w:tc>
          <w:tcPr>
            <w:tcW w:w="820" w:type="dxa"/>
            <w:vAlign w:val="bottom"/>
            <w:gridSpan w:val="2"/>
            <w:shd w:val="clear" w:color="auto" w:fill="CFF0FC"/>
          </w:tcPr>
          <w:p>
            <w:pPr>
              <w:jc w:val="right"/>
              <w:ind w:right="143"/>
              <w:spacing w:after="0" w:line="11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FF0FC"/>
          </w:tcPr>
          <w:p>
            <w:pPr>
              <w:spacing w:after="0"/>
              <w:rPr>
                <w:sz w:val="10"/>
                <w:szCs w:val="10"/>
                <w:color w:val="auto"/>
              </w:rPr>
            </w:pPr>
          </w:p>
        </w:tc>
        <w:tc>
          <w:tcPr>
            <w:tcW w:w="860" w:type="dxa"/>
            <w:vAlign w:val="bottom"/>
            <w:gridSpan w:val="3"/>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8.72 % $</w:t>
            </w:r>
          </w:p>
        </w:tc>
        <w:tc>
          <w:tcPr>
            <w:tcW w:w="54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1,719,360</w:t>
            </w:r>
          </w:p>
        </w:tc>
        <w:tc>
          <w:tcPr>
            <w:tcW w:w="280" w:type="dxa"/>
            <w:vAlign w:val="bottom"/>
            <w:gridSpan w:val="3"/>
            <w:shd w:val="clear" w:color="auto" w:fill="CFF0FC"/>
          </w:tcPr>
          <w:p>
            <w:pPr>
              <w:jc w:val="right"/>
              <w:ind w:right="3"/>
              <w:spacing w:after="0" w:line="116"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21,545</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2"/>
                <w:szCs w:val="12"/>
                <w:color w:val="auto"/>
              </w:rPr>
              <w:t>146,167</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plus applicable margin</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First Lien Incremental Term Loans</w:t>
            </w:r>
          </w:p>
        </w:tc>
        <w:tc>
          <w:tcPr>
            <w:tcW w:w="820" w:type="dxa"/>
            <w:vAlign w:val="bottom"/>
            <w:gridSpan w:val="2"/>
          </w:tcPr>
          <w:p>
            <w:pPr>
              <w:jc w:val="right"/>
              <w:ind w:right="143"/>
              <w:spacing w:after="0" w:line="12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8.97 %</w:t>
            </w:r>
          </w:p>
        </w:tc>
        <w:tc>
          <w:tcPr>
            <w:tcW w:w="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1,189,975</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15,389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104,190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32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Tranches B-2 and B-3 - payable to</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20" w:type="dxa"/>
            <w:vAlign w:val="bottom"/>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First Lien Incremental Term Loan</w:t>
            </w:r>
          </w:p>
        </w:tc>
        <w:tc>
          <w:tcPr>
            <w:tcW w:w="820" w:type="dxa"/>
            <w:vAlign w:val="bottom"/>
            <w:gridSpan w:val="2"/>
            <w:shd w:val="clear" w:color="auto" w:fill="CFF0FC"/>
          </w:tcPr>
          <w:p>
            <w:pPr>
              <w:jc w:val="right"/>
              <w:ind w:right="3"/>
              <w:spacing w:after="0" w:line="125" w:lineRule="exact"/>
              <w:rPr>
                <w:sz w:val="20"/>
                <w:szCs w:val="20"/>
                <w:color w:val="auto"/>
              </w:rPr>
            </w:pPr>
            <w:r>
              <w:rPr>
                <w:rFonts w:ascii="Times New Roman" w:cs="Times New Roman" w:eastAsia="Times New Roman" w:hAnsi="Times New Roman"/>
                <w:sz w:val="12"/>
                <w:szCs w:val="12"/>
                <w:color w:val="auto"/>
              </w:rPr>
              <w:t>8.58 %</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60"/>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2,566,000</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23,835</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80"/>
              <w:spacing w:after="0" w:line="12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Tranche B-4 - payable to lenders at</w:t>
            </w: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Second Lien - payable to lenders at</w:t>
            </w:r>
          </w:p>
        </w:tc>
        <w:tc>
          <w:tcPr>
            <w:tcW w:w="820" w:type="dxa"/>
            <w:vAlign w:val="bottom"/>
            <w:gridSpan w:val="2"/>
          </w:tcPr>
          <w:p>
            <w:pPr>
              <w:jc w:val="right"/>
              <w:ind w:right="143"/>
              <w:spacing w:after="0" w:line="12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78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13.97 %</w:t>
            </w:r>
          </w:p>
        </w:tc>
        <w:tc>
          <w:tcPr>
            <w:tcW w:w="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450,000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5,239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62,012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SOFR plus applicable margin</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Revolving Credit Loans - payable to</w:t>
            </w:r>
          </w:p>
        </w:tc>
        <w:tc>
          <w:tcPr>
            <w:tcW w:w="820" w:type="dxa"/>
            <w:vAlign w:val="bottom"/>
            <w:gridSpan w:val="2"/>
            <w:shd w:val="clear" w:color="auto" w:fill="CFF0FC"/>
          </w:tcPr>
          <w:p>
            <w:pPr>
              <w:jc w:val="right"/>
              <w:ind w:right="3"/>
              <w:spacing w:after="0" w:line="125" w:lineRule="exact"/>
              <w:rPr>
                <w:sz w:val="20"/>
                <w:szCs w:val="20"/>
                <w:color w:val="auto"/>
              </w:rPr>
            </w:pPr>
            <w:r>
              <w:rPr>
                <w:rFonts w:ascii="Times New Roman" w:cs="Times New Roman" w:eastAsia="Times New Roman" w:hAnsi="Times New Roman"/>
                <w:sz w:val="12"/>
                <w:szCs w:val="12"/>
                <w:color w:val="auto"/>
              </w:rPr>
              <w:t>8.55 %</w:t>
            </w:r>
          </w:p>
        </w:tc>
        <w:tc>
          <w:tcPr>
            <w:tcW w:w="22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9.59 %</w:t>
            </w: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50,000</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387</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3,988</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lenders at SOFR plus applicable</w:t>
            </w: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margin</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tcPr>
          <w:p>
            <w:pPr>
              <w:spacing w:after="0" w:line="125" w:lineRule="exact"/>
              <w:rPr>
                <w:sz w:val="20"/>
                <w:szCs w:val="20"/>
                <w:color w:val="auto"/>
              </w:rPr>
            </w:pPr>
            <w:r>
              <w:rPr>
                <w:rFonts w:ascii="Times New Roman" w:cs="Times New Roman" w:eastAsia="Times New Roman" w:hAnsi="Times New Roman"/>
                <w:sz w:val="12"/>
                <w:szCs w:val="12"/>
                <w:color w:val="auto"/>
              </w:rPr>
              <w:t>Swingline/Base Rate - payable to lenders</w:t>
            </w:r>
          </w:p>
        </w:tc>
        <w:tc>
          <w:tcPr>
            <w:tcW w:w="820" w:type="dxa"/>
            <w:vAlign w:val="bottom"/>
            <w:gridSpan w:val="2"/>
          </w:tcPr>
          <w:p>
            <w:pPr>
              <w:jc w:val="right"/>
              <w:ind w:right="3"/>
              <w:spacing w:after="0" w:line="125" w:lineRule="exact"/>
              <w:rPr>
                <w:sz w:val="20"/>
                <w:szCs w:val="20"/>
                <w:color w:val="auto"/>
              </w:rPr>
            </w:pPr>
            <w:r>
              <w:rPr>
                <w:rFonts w:ascii="Times New Roman" w:cs="Times New Roman" w:eastAsia="Times New Roman" w:hAnsi="Times New Roman"/>
                <w:sz w:val="12"/>
                <w:szCs w:val="12"/>
                <w:color w:val="auto"/>
              </w:rPr>
              <w:t>10.75 %</w:t>
            </w:r>
          </w:p>
        </w:tc>
        <w:tc>
          <w:tcPr>
            <w:tcW w:w="220" w:type="dxa"/>
            <w:vAlign w:val="bottom"/>
          </w:tcPr>
          <w:p>
            <w:pPr>
              <w:spacing w:after="0"/>
              <w:rPr>
                <w:sz w:val="10"/>
                <w:szCs w:val="10"/>
                <w:color w:val="auto"/>
              </w:rPr>
            </w:pPr>
          </w:p>
        </w:tc>
        <w:tc>
          <w:tcPr>
            <w:tcW w:w="780" w:type="dxa"/>
            <w:vAlign w:val="bottom"/>
            <w:gridSpan w:val="2"/>
          </w:tcPr>
          <w:p>
            <w:pPr>
              <w:jc w:val="right"/>
              <w:ind w:right="40"/>
              <w:spacing w:after="0" w:line="125" w:lineRule="exact"/>
              <w:rPr>
                <w:sz w:val="20"/>
                <w:szCs w:val="20"/>
                <w:color w:val="auto"/>
              </w:rPr>
            </w:pPr>
            <w:r>
              <w:rPr>
                <w:rFonts w:ascii="Times New Roman" w:cs="Times New Roman" w:eastAsia="Times New Roman" w:hAnsi="Times New Roman"/>
                <w:sz w:val="12"/>
                <w:szCs w:val="12"/>
                <w:color w:val="auto"/>
              </w:rPr>
              <w:t>11.75 %</w:t>
            </w:r>
          </w:p>
        </w:tc>
        <w:tc>
          <w:tcPr>
            <w:tcW w:w="8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700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1,875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Times New Roman" w:cs="Times New Roman" w:eastAsia="Times New Roman" w:hAnsi="Times New Roman"/>
                <w:sz w:val="12"/>
                <w:szCs w:val="12"/>
                <w:color w:val="auto"/>
              </w:rPr>
              <w:t>12,243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3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at ABR plus applicable margin</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Amortizing Notes</w:t>
            </w: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69,294</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1,192</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Notes payable and other</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32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2"/>
                <w:szCs w:val="12"/>
                <w:color w:val="auto"/>
              </w:rPr>
              <w:t>Amortization of deferred financing costs</w:t>
            </w:r>
          </w:p>
        </w:tc>
        <w:tc>
          <w:tcPr>
            <w:tcW w:w="6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5"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60" w:type="dxa"/>
            <w:vAlign w:val="bottom"/>
            <w:gridSpan w:val="2"/>
            <w:shd w:val="clear" w:color="auto" w:fill="CFF0FC"/>
          </w:tcPr>
          <w:p>
            <w:pPr>
              <w:jc w:val="right"/>
              <w:ind w:right="100"/>
              <w:spacing w:after="0" w:line="125" w:lineRule="exact"/>
              <w:rPr>
                <w:sz w:val="20"/>
                <w:szCs w:val="20"/>
                <w:color w:val="auto"/>
              </w:rPr>
            </w:pPr>
            <w:r>
              <w:rPr>
                <w:rFonts w:ascii="Times New Roman" w:cs="Times New Roman" w:eastAsia="Times New Roman" w:hAnsi="Times New Roman"/>
                <w:sz w:val="12"/>
                <w:szCs w:val="12"/>
                <w:color w:val="auto"/>
              </w:rPr>
              <w:t>(4,442 )</w:t>
            </w:r>
          </w:p>
        </w:tc>
        <w:tc>
          <w:tcPr>
            <w:tcW w:w="140" w:type="dxa"/>
            <w:vAlign w:val="bottom"/>
            <w:shd w:val="clear" w:color="auto" w:fill="CFF0FC"/>
          </w:tcPr>
          <w:p>
            <w:pPr>
              <w:spacing w:after="0"/>
              <w:rPr>
                <w:sz w:val="10"/>
                <w:szCs w:val="10"/>
                <w:color w:val="auto"/>
              </w:rPr>
            </w:pPr>
          </w:p>
        </w:tc>
        <w:tc>
          <w:tcPr>
            <w:tcW w:w="560" w:type="dxa"/>
            <w:vAlign w:val="bottom"/>
            <w:gridSpan w:val="2"/>
            <w:shd w:val="clear" w:color="auto" w:fill="CFF0FC"/>
          </w:tcPr>
          <w:p>
            <w:pPr>
              <w:jc w:val="right"/>
              <w:ind w:right="20"/>
              <w:spacing w:after="0" w:line="125" w:lineRule="exact"/>
              <w:rPr>
                <w:sz w:val="20"/>
                <w:szCs w:val="20"/>
                <w:color w:val="auto"/>
              </w:rPr>
            </w:pPr>
            <w:r>
              <w:rPr>
                <w:rFonts w:ascii="Times New Roman" w:cs="Times New Roman" w:eastAsia="Times New Roman" w:hAnsi="Times New Roman"/>
                <w:sz w:val="12"/>
                <w:szCs w:val="12"/>
                <w:color w:val="auto"/>
              </w:rPr>
              <w:t>(4,009 )</w:t>
            </w:r>
          </w:p>
        </w:tc>
        <w:tc>
          <w:tcPr>
            <w:tcW w:w="0" w:type="dxa"/>
            <w:vAlign w:val="bottom"/>
          </w:tcPr>
          <w:p>
            <w:pPr>
              <w:spacing w:after="0"/>
              <w:rPr>
                <w:sz w:val="1"/>
                <w:szCs w:val="1"/>
                <w:color w:val="auto"/>
              </w:rPr>
            </w:pPr>
          </w:p>
        </w:tc>
      </w:tr>
      <w:tr>
        <w:trPr>
          <w:trHeight w:val="129"/>
        </w:trPr>
        <w:tc>
          <w:tcPr>
            <w:tcW w:w="232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2"/>
                <w:szCs w:val="12"/>
                <w:color w:val="auto"/>
              </w:rPr>
              <w:t>and other, net of interest income from</w:t>
            </w:r>
          </w:p>
        </w:tc>
        <w:tc>
          <w:tcPr>
            <w:tcW w:w="6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3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2"/>
                <w:szCs w:val="12"/>
                <w:color w:val="auto"/>
              </w:rPr>
              <w:t>cash flow hedges</w:t>
            </w:r>
          </w:p>
        </w:tc>
        <w:tc>
          <w:tcPr>
            <w:tcW w:w="6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6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Total debt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2,639,632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3,414,391</w:t>
            </w:r>
          </w:p>
        </w:tc>
        <w:tc>
          <w:tcPr>
            <w:tcW w:w="280" w:type="dxa"/>
            <w:vAlign w:val="bottom"/>
            <w:gridSpan w:val="3"/>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65,020</w:t>
            </w:r>
          </w:p>
        </w:tc>
        <w:tc>
          <w:tcPr>
            <w:tcW w:w="1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324,593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debt issuance costs, net</w:t>
            </w:r>
          </w:p>
        </w:tc>
        <w:tc>
          <w:tcPr>
            <w:tcW w:w="6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75,823</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50,177</w:t>
            </w: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Total debt, net of debt issuance costs</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2,563,809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3,364,214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2"/>
                <w:szCs w:val="12"/>
                <w:color w:val="auto"/>
              </w:rPr>
              <w:t>Less: Current portion of long-term debt</w:t>
            </w:r>
          </w:p>
        </w:tc>
        <w:tc>
          <w:tcPr>
            <w:tcW w:w="6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CFF0FC"/>
            </w:tcBorders>
            <w:shd w:val="clear" w:color="auto" w:fill="CFF0FC"/>
          </w:tcPr>
          <w:p>
            <w:pPr>
              <w:spacing w:after="0"/>
              <w:rPr>
                <w:sz w:val="13"/>
                <w:szCs w:val="13"/>
                <w:color w:val="auto"/>
              </w:rPr>
            </w:pPr>
          </w:p>
        </w:tc>
        <w:tc>
          <w:tcPr>
            <w:tcW w:w="6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48,670</w:t>
            </w:r>
          </w:p>
        </w:tc>
        <w:tc>
          <w:tcPr>
            <w:tcW w:w="14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32,273</w:t>
            </w: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320" w:type="dxa"/>
            <w:vAlign w:val="bottom"/>
          </w:tcPr>
          <w:p>
            <w:pPr>
              <w:spacing w:after="0"/>
              <w:rPr>
                <w:sz w:val="20"/>
                <w:szCs w:val="20"/>
                <w:color w:val="auto"/>
              </w:rPr>
            </w:pPr>
            <w:r>
              <w:rPr>
                <w:rFonts w:ascii="Times New Roman" w:cs="Times New Roman" w:eastAsia="Times New Roman" w:hAnsi="Times New Roman"/>
                <w:sz w:val="12"/>
                <w:szCs w:val="12"/>
                <w:color w:val="auto"/>
              </w:rPr>
              <w:t>Total long-term debt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2,515,139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3,331,941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3427095</wp:posOffset>
            </wp:positionH>
            <wp:positionV relativeFrom="paragraph">
              <wp:posOffset>-518795</wp:posOffset>
            </wp:positionV>
            <wp:extent cx="4762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-518795</wp:posOffset>
            </wp:positionV>
            <wp:extent cx="4762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-518795</wp:posOffset>
            </wp:positionV>
            <wp:extent cx="4762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5271770</wp:posOffset>
            </wp:positionH>
            <wp:positionV relativeFrom="paragraph">
              <wp:posOffset>-518795</wp:posOffset>
            </wp:positionV>
            <wp:extent cx="4762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-320675</wp:posOffset>
            </wp:positionV>
            <wp:extent cx="47625"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-320675</wp:posOffset>
            </wp:positionV>
            <wp:extent cx="4762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3427095</wp:posOffset>
            </wp:positionH>
            <wp:positionV relativeFrom="paragraph">
              <wp:posOffset>-122555</wp:posOffset>
            </wp:positionV>
            <wp:extent cx="4762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3959860</wp:posOffset>
            </wp:positionH>
            <wp:positionV relativeFrom="paragraph">
              <wp:posOffset>-122555</wp:posOffset>
            </wp:positionV>
            <wp:extent cx="4762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99" w:right="1440" w:bottom="1440" w:gutter="0" w:footer="0" w:header="0"/>
        </w:sectPr>
      </w:pPr>
    </w:p>
    <w:bookmarkStart w:id="38" w:name="page39"/>
    <w:bookmarkEnd w:id="38"/>
    <w:p>
      <w:pPr>
        <w:ind w:left="640" w:right="899" w:firstLine="516"/>
        <w:spacing w:after="0" w:line="293" w:lineRule="auto"/>
        <w:rPr>
          <w:sz w:val="20"/>
          <w:szCs w:val="20"/>
          <w:color w:val="auto"/>
        </w:rPr>
      </w:pPr>
      <w:r>
        <w:rPr>
          <w:rFonts w:ascii="Times New Roman" w:cs="Times New Roman" w:eastAsia="Times New Roman" w:hAnsi="Times New Roman"/>
          <w:sz w:val="14"/>
          <w:szCs w:val="14"/>
          <w:color w:val="auto"/>
        </w:rPr>
        <w:t>Our Company leverage, as calculated under our First Lien Credit Agreement and the Second Lien Credit Agreement, was 4.33x and 5.86x at March 31, 2024 and December 31, 2023, respectively.</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Use of Estimates</w:t>
      </w:r>
    </w:p>
    <w:p>
      <w:pPr>
        <w:spacing w:after="0" w:line="99" w:lineRule="exact"/>
        <w:rPr>
          <w:sz w:val="20"/>
          <w:szCs w:val="20"/>
          <w:color w:val="auto"/>
        </w:rPr>
      </w:pPr>
    </w:p>
    <w:p>
      <w:pPr>
        <w:ind w:left="640" w:right="739" w:firstLine="351"/>
        <w:spacing w:after="0" w:line="265" w:lineRule="auto"/>
        <w:rPr>
          <w:sz w:val="20"/>
          <w:szCs w:val="20"/>
          <w:color w:val="auto"/>
        </w:rPr>
      </w:pPr>
      <w:r>
        <w:rPr>
          <w:rFonts w:ascii="Times New Roman" w:cs="Times New Roman" w:eastAsia="Times New Roman" w:hAnsi="Times New Roman"/>
          <w:sz w:val="14"/>
          <w:szCs w:val="14"/>
          <w:color w:val="auto"/>
        </w:rPr>
        <w:t>In preparing our unaudited condensed consolidated financial statements in conformity with U.S. GAAP, we must use estimates and assumptions that affect the reported amounts of assets and liabilities and related disclosures and the reported amounts of revenue and expenses. In general, our estimates are based on historical experience and various other assumptions we believe are reasonable under the circumstances. We evaluate our estimates on an ongoing basis and make changes to the estimates and related disclosures as experience develops or new information becomes known. Actual results could differ from those estimates.</w:t>
      </w:r>
    </w:p>
    <w:p>
      <w:pPr>
        <w:spacing w:after="0" w:line="58"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We consider our critical accounting policies and estimates to be those that involve significant judgments and uncertainties and may potentially result in materially different results under different assumptions and conditions. There have been no material changes to our critical accounting policies and estimates from those disclosed in Part II, Item 7 of our Annual Report on Form 10-K for the year ended December 31, 2023, which are hereby incorporated by reference.</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640" w:right="679" w:firstLine="351"/>
        <w:spacing w:after="0" w:line="293" w:lineRule="auto"/>
        <w:rPr>
          <w:sz w:val="20"/>
          <w:szCs w:val="20"/>
          <w:color w:val="auto"/>
        </w:rPr>
      </w:pPr>
      <w:r>
        <w:rPr>
          <w:rFonts w:ascii="Times New Roman" w:cs="Times New Roman" w:eastAsia="Times New Roman" w:hAnsi="Times New Roman"/>
          <w:sz w:val="14"/>
          <w:szCs w:val="14"/>
          <w:color w:val="auto"/>
        </w:rPr>
        <w:t>Refer to Note 1 “Significant Accounting Policies” within our unaudited condensed consolidated financial statements and related notes included in this Quarterly Report on Form 10-Q for further discussion.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Impact of Inflation</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Wages and other expenses increase during periods of inflation and when labor shortages occur in the marketplace. The impact of inflation on the Company is primarily in the area of labor costs. The healthcare industry is labor intensive. There can be no guarantee we will not experience increases in the cost of labor, particularly given the shortage of qualified caregivers in our markets, and the demand for homecare services is expected to grow.</w:t>
      </w:r>
    </w:p>
    <w:p>
      <w:pPr>
        <w:spacing w:after="0" w:line="56"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In addition, increases in healthcare costs are typically higher than inflation and impact our costs under our employee benefit plans. Managing these costs remains a significant challenge and priority for us. While we believe the effects of inflation, if any, and labor shortages on our results of operations and financial condition have not been significant, there can be no guarantee we will not experience the effect of inflation in the future.</w:t>
      </w:r>
    </w:p>
    <w:p>
      <w:pPr>
        <w:spacing w:after="0" w:line="56"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In addition, suppliers pass along rising costs to us in the form of higher prices, which impacts us primarily in the area of pharmaceutical drug costs in our Pharmacy Solutions segment. Changes in costs of drugs can be accompanied by a change in rate that we pass along to our customers. Additionally, our supply chain efforts have enabled us to effectively manage and mitigate any inflationary impacts in our supply chain over recent years. However, we cannot predict our ability to cover future cost increases.</w:t>
      </w:r>
    </w:p>
    <w:p>
      <w:pPr>
        <w:spacing w:after="0" w:line="56" w:lineRule="exact"/>
        <w:rPr>
          <w:sz w:val="20"/>
          <w:szCs w:val="20"/>
          <w:color w:val="auto"/>
        </w:rPr>
      </w:pPr>
    </w:p>
    <w:p>
      <w:pPr>
        <w:ind w:left="640" w:right="1119" w:firstLine="351"/>
        <w:spacing w:after="0" w:line="293" w:lineRule="auto"/>
        <w:rPr>
          <w:sz w:val="20"/>
          <w:szCs w:val="20"/>
          <w:color w:val="auto"/>
        </w:rPr>
      </w:pPr>
      <w:r>
        <w:rPr>
          <w:rFonts w:ascii="Times New Roman" w:cs="Times New Roman" w:eastAsia="Times New Roman" w:hAnsi="Times New Roman"/>
          <w:sz w:val="14"/>
          <w:szCs w:val="14"/>
          <w:color w:val="auto"/>
        </w:rPr>
        <w:t>We have little or no ability to pass on certain of these increased costs associated with providing services to Medicare and Medicaid patients due to federal and state laws that establish fixed reimbursement rates.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Our Company is exposed to interest rate risk related to changes in interest rates for borrowings under our First Lien Facilities. Although we hedge a portion of our interest rate risk through interest rate swaps, any borrowings under our First Lien Facility in excess of the notional amount of the swaps will be subject to variable interest rates. By using a derivative instrument to hedge exposures to changes in interest rates, we expose ourselves to credit risk due to the possible failure of the counterparty to perform under the terms of the derivative contract.</w:t>
      </w:r>
    </w:p>
    <w:p>
      <w:pPr>
        <w:spacing w:after="0" w:line="58"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As of March 31, 2024, our debt outstanding was $2.6 billion and we had three interest rate swaps with a combined notional value of $2.0 billion that were designated as cash flow hedges of interest rate risk. A hypothetical 1% increase in interest rates would increase our net loss and decrease our cash flows by $6.4 million on an annual basis based upon our borrowing level at March 31, 2024. The market risks associated with our debt obligations as of March 31, 2024 have not changed from those reported in “Part II. Item 7A. Quantitative and Qualitative Disclosure About Market Risk” in our Annual Report on Form 10-K for the year ended December 31, 2023. See Note 5 within the unaudited condensed consolidated financial statements and related notes, in the Quarterly Report on Form 10-Q for additional information on our debt obligations and derivative instruments.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6" w:right="1440"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Disclosure Controls and Procedures</w:t>
      </w:r>
    </w:p>
    <w:p>
      <w:pPr>
        <w:spacing w:after="0" w:line="99" w:lineRule="exact"/>
        <w:rPr>
          <w:sz w:val="20"/>
          <w:szCs w:val="20"/>
          <w:color w:val="auto"/>
        </w:rPr>
      </w:pPr>
    </w:p>
    <w:p>
      <w:pPr>
        <w:ind w:left="640" w:right="639" w:firstLine="351"/>
        <w:spacing w:after="0" w:line="265"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Chief Executive Officer and Chief Financial Officer, the Company has evaluated the effectiveness of the design and operation of its disclosure controls and procedures (as defined in Rules 13a-15(e) and 15d-15(e) under the Securities Exchange Act of 1934, as amended (the “Exchange Act”)). Based upon this evaluation, the Chief Executive Officer and Chief Financial Officer have concluded that, as of the end of the period covered by this report, the Company’s disclosure controls and procedures were effective.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99" w:lineRule="exact"/>
        <w:rPr>
          <w:sz w:val="20"/>
          <w:szCs w:val="20"/>
          <w:color w:val="auto"/>
        </w:rPr>
      </w:pPr>
    </w:p>
    <w:p>
      <w:pPr>
        <w:ind w:left="640" w:right="759" w:firstLine="351"/>
        <w:spacing w:after="0" w:line="275" w:lineRule="auto"/>
        <w:rPr>
          <w:sz w:val="20"/>
          <w:szCs w:val="20"/>
          <w:color w:val="auto"/>
        </w:rPr>
      </w:pPr>
      <w:r>
        <w:rPr>
          <w:rFonts w:ascii="Times New Roman" w:cs="Times New Roman" w:eastAsia="Times New Roman" w:hAnsi="Times New Roman"/>
          <w:sz w:val="14"/>
          <w:szCs w:val="14"/>
          <w:color w:val="auto"/>
        </w:rPr>
        <w:t>There were no changes to our internal control over financial reporting (as defined in Rule 13a-15(f) under the Exchange Act) that occurred during the quarter ended March 31, 2024 that have materially affected, or are reasonably likely to materially affect, our internal control over financial reporting.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1070" w:right="1440"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679" w:firstLine="351"/>
        <w:spacing w:after="0" w:line="264" w:lineRule="auto"/>
        <w:rPr>
          <w:sz w:val="20"/>
          <w:szCs w:val="20"/>
          <w:color w:val="auto"/>
        </w:rPr>
      </w:pPr>
      <w:r>
        <w:rPr>
          <w:rFonts w:ascii="Times New Roman" w:cs="Times New Roman" w:eastAsia="Times New Roman" w:hAnsi="Times New Roman"/>
          <w:sz w:val="14"/>
          <w:szCs w:val="14"/>
          <w:color w:val="auto"/>
        </w:rPr>
        <w:t>From time to time, we are involved in various legal and/or administrative proceedings and subject to claims that arise in the ordinary course of business. We do not believe the ultimate liability, if any, for outstanding proceedings or claims, individually or in the aggregate, in excess of amounts already provided in our consolidated financial statements, will have a material adverse effect on our business, financial condition, or results of operations. It is reasonably possible that an adverse determination might have an impact on a particular period. Regardless of the outcome, litigation has the potential to have an adverse impact on us because of defense and settlement costs, diversion of management resources, and other factors.</w:t>
      </w:r>
    </w:p>
    <w:p>
      <w:pPr>
        <w:spacing w:after="0" w:line="56" w:lineRule="exact"/>
        <w:rPr>
          <w:sz w:val="20"/>
          <w:szCs w:val="20"/>
          <w:color w:val="auto"/>
        </w:rPr>
      </w:pPr>
    </w:p>
    <w:p>
      <w:pPr>
        <w:ind w:left="640" w:right="699" w:firstLine="351"/>
        <w:spacing w:after="0" w:line="293" w:lineRule="auto"/>
        <w:rPr>
          <w:sz w:val="20"/>
          <w:szCs w:val="20"/>
          <w:color w:val="auto"/>
        </w:rPr>
      </w:pPr>
      <w:r>
        <w:rPr>
          <w:rFonts w:ascii="Times New Roman" w:cs="Times New Roman" w:eastAsia="Times New Roman" w:hAnsi="Times New Roman"/>
          <w:sz w:val="14"/>
          <w:szCs w:val="14"/>
          <w:color w:val="auto"/>
        </w:rPr>
        <w:t>For a summary of our material legal proceedings, refer to Note 10 of the unaudited condensed consolidated financial statements and related notes in this Quarterly Report on Form 10-Q.</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9"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There have been no material changes to the risk factors affecting our business, financial condition, or results of operations from those set forth under the heading “Summary Risk Factors” or in Part I, Item 1A. “Risk Factors” in our Annual Report on Form 10-K for the year ended December 31, 2023. Additional risks and uncertainties not currently known to us or that we currently deem to be immaterial may also materially adversely affect our business, financial condition, or results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386080</wp:posOffset>
            </wp:positionV>
            <wp:extent cx="4944745" cy="393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91"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0" w:type="dxa"/>
            <w:vAlign w:val="bottom"/>
          </w:tcPr>
          <w:p>
            <w:pPr>
              <w:spacing w:after="0"/>
              <w:rPr>
                <w:sz w:val="1"/>
                <w:szCs w:val="1"/>
                <w:color w:val="auto"/>
              </w:rPr>
            </w:pPr>
          </w:p>
        </w:tc>
      </w:tr>
      <w:tr>
        <w:trPr>
          <w:trHeight w:val="101"/>
        </w:trPr>
        <w:tc>
          <w:tcPr>
            <w:tcW w:w="540" w:type="dxa"/>
            <w:vAlign w:val="bottom"/>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40" w:type="dxa"/>
            <w:vAlign w:val="bottom"/>
            <w:gridSpan w:val="26"/>
            <w:vMerge w:val="restart"/>
          </w:tcPr>
          <w:p>
            <w:pPr>
              <w:ind w:left="8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120" w:type="dxa"/>
            <w:vAlign w:val="bottom"/>
            <w:vMerge w:val="restart"/>
          </w:tcPr>
          <w:p>
            <w:pPr>
              <w:spacing w:after="0"/>
              <w:rPr>
                <w:sz w:val="8"/>
                <w:szCs w:val="8"/>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80" w:type="dxa"/>
            <w:vAlign w:val="bottom"/>
          </w:tcPr>
          <w:p>
            <w:pPr>
              <w:spacing w:after="0"/>
              <w:rPr>
                <w:sz w:val="8"/>
                <w:szCs w:val="8"/>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80" w:type="dxa"/>
            <w:vAlign w:val="bottom"/>
          </w:tcPr>
          <w:p>
            <w:pPr>
              <w:spacing w:after="0"/>
              <w:rPr>
                <w:sz w:val="8"/>
                <w:szCs w:val="8"/>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0" w:type="dxa"/>
            <w:vAlign w:val="bottom"/>
          </w:tcPr>
          <w:p>
            <w:pPr>
              <w:spacing w:after="0"/>
              <w:rPr>
                <w:sz w:val="8"/>
                <w:szCs w:val="8"/>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48"/>
        </w:trPr>
        <w:tc>
          <w:tcPr>
            <w:tcW w:w="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gridSpan w:val="26"/>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0" w:type="dxa"/>
            <w:vAlign w:val="bottom"/>
            <w:tcBorders>
              <w:bottom w:val="single" w:sz="8" w:color="0000FF"/>
            </w:tcBorders>
            <w:gridSpan w:val="25"/>
          </w:tcPr>
          <w:p>
            <w:pPr>
              <w:spacing w:after="0"/>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Second Amended and Restated Certificate of Incorporation of BrightSpring</w:t>
              </w:r>
            </w:hyperlink>
          </w:p>
        </w:tc>
        <w:tc>
          <w:tcPr>
            <w:tcW w:w="380" w:type="dxa"/>
            <w:vAlign w:val="bottom"/>
            <w:gridSpan w:val="8"/>
          </w:tcPr>
          <w:p>
            <w:pPr>
              <w:spacing w:after="0"/>
              <w:rPr>
                <w:sz w:val="22"/>
                <w:szCs w:val="2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243">
              <w:r>
                <w:rPr>
                  <w:rFonts w:ascii="Times New Roman" w:cs="Times New Roman" w:eastAsia="Times New Roman" w:hAnsi="Times New Roman"/>
                  <w:sz w:val="14"/>
                  <w:szCs w:val="14"/>
                  <w:color w:val="0000FF"/>
                </w:rPr>
                <w:t>Health Services, Inc.</w:t>
              </w:r>
            </w:hyperlink>
          </w:p>
        </w:tc>
        <w:tc>
          <w:tcPr>
            <w:tcW w:w="20" w:type="dxa"/>
            <w:vAlign w:val="bottom"/>
            <w:tcBorders>
              <w:bottom w:val="single" w:sz="8" w:color="0000EE"/>
            </w:tcBorders>
          </w:tcPr>
          <w:p>
            <w:pPr>
              <w:spacing w:after="0"/>
              <w:rPr>
                <w:sz w:val="13"/>
                <w:szCs w:val="13"/>
                <w:color w:val="auto"/>
              </w:rPr>
            </w:pPr>
          </w:p>
        </w:tc>
        <w:tc>
          <w:tcPr>
            <w:tcW w:w="3560" w:type="dxa"/>
            <w:vAlign w:val="bottom"/>
            <w:gridSpan w:val="27"/>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3"/>
          </w:tcPr>
          <w:p>
            <w:pPr>
              <w:spacing w:after="0"/>
              <w:rPr>
                <w:rFonts w:ascii="Times New Roman" w:cs="Times New Roman" w:eastAsia="Times New Roman" w:hAnsi="Times New Roman"/>
                <w:sz w:val="14"/>
                <w:szCs w:val="14"/>
                <w:color w:val="0000FF"/>
              </w:rPr>
            </w:pPr>
            <w:hyperlink r:id="rId244">
              <w:r>
                <w:rPr>
                  <w:rFonts w:ascii="Times New Roman" w:cs="Times New Roman" w:eastAsia="Times New Roman" w:hAnsi="Times New Roman"/>
                  <w:sz w:val="14"/>
                  <w:szCs w:val="14"/>
                  <w:color w:val="0000FF"/>
                </w:rPr>
                <w:t>Amended and Restated Bylaws of BrightSpring Health Services, Inc.</w:t>
              </w:r>
            </w:hyperlink>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3.2</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Purchase Contract Agreement, dated as of January 30, 2024, between</w:t>
              </w:r>
            </w:hyperlink>
          </w:p>
        </w:tc>
        <w:tc>
          <w:tcPr>
            <w:tcW w:w="760" w:type="dxa"/>
            <w:vAlign w:val="bottom"/>
            <w:gridSpan w:val="19"/>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bottom w:val="single" w:sz="8" w:color="0000FF"/>
            </w:tcBorders>
            <w:gridSpan w:val="24"/>
          </w:tcPr>
          <w:p>
            <w:pPr>
              <w:spacing w:after="0" w:line="152"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BrightSpring Health Services, Inc. and U.S. Bank Trust Company, National</w:t>
              </w:r>
            </w:hyperlink>
          </w:p>
        </w:tc>
        <w:tc>
          <w:tcPr>
            <w:tcW w:w="400" w:type="dxa"/>
            <w:vAlign w:val="bottom"/>
            <w:gridSpan w:val="9"/>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gridSpan w:val="30"/>
          </w:tcPr>
          <w:p>
            <w:pPr>
              <w:spacing w:after="0" w:line="152"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Association, as purchase contract agent, as attorney-in-fact for the Holders from</w:t>
              </w:r>
            </w:hyperlink>
          </w:p>
        </w:tc>
        <w:tc>
          <w:tcPr>
            <w:tcW w:w="16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bottom w:val="single" w:sz="8" w:color="0000FF"/>
            </w:tcBorders>
            <w:gridSpan w:val="27"/>
          </w:tcPr>
          <w:p>
            <w:pPr>
              <w:spacing w:after="0" w:line="152" w:lineRule="exact"/>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time to time as provided therein and as trustee under the indenture referred to</w:t>
              </w:r>
            </w:hyperlink>
          </w:p>
        </w:tc>
        <w:tc>
          <w:tcPr>
            <w:tcW w:w="320" w:type="dxa"/>
            <w:vAlign w:val="bottom"/>
            <w:gridSpan w:val="6"/>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bottom w:val="single" w:sz="8" w:color="0000FF"/>
            </w:tcBorders>
            <w:gridSpan w:val="3"/>
          </w:tcPr>
          <w:p>
            <w:pPr>
              <w:spacing w:after="0" w:line="152" w:lineRule="exact"/>
              <w:rPr>
                <w:rFonts w:ascii="Times New Roman" w:cs="Times New Roman" w:eastAsia="Times New Roman" w:hAnsi="Times New Roman"/>
                <w:sz w:val="14"/>
                <w:szCs w:val="14"/>
                <w:color w:val="0000FF"/>
                <w:w w:val="98"/>
              </w:rPr>
            </w:pPr>
            <w:hyperlink r:id="rId245">
              <w:r>
                <w:rPr>
                  <w:rFonts w:ascii="Times New Roman" w:cs="Times New Roman" w:eastAsia="Times New Roman" w:hAnsi="Times New Roman"/>
                  <w:sz w:val="14"/>
                  <w:szCs w:val="14"/>
                  <w:color w:val="0000FF"/>
                  <w:w w:val="98"/>
                </w:rPr>
                <w:t>therein.</w:t>
              </w:r>
            </w:hyperlink>
          </w:p>
        </w:tc>
        <w:tc>
          <w:tcPr>
            <w:tcW w:w="20" w:type="dxa"/>
            <w:vAlign w:val="bottom"/>
            <w:tcBorders>
              <w:bottom w:val="single" w:sz="8" w:color="0000EE"/>
            </w:tcBorders>
          </w:tcPr>
          <w:p>
            <w:pPr>
              <w:spacing w:after="0"/>
              <w:rPr>
                <w:sz w:val="13"/>
                <w:szCs w:val="13"/>
                <w:color w:val="auto"/>
              </w:rPr>
            </w:pPr>
          </w:p>
        </w:tc>
        <w:tc>
          <w:tcPr>
            <w:tcW w:w="4320" w:type="dxa"/>
            <w:vAlign w:val="bottom"/>
            <w:gridSpan w:val="29"/>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bottom w:val="single" w:sz="8" w:color="0000FF"/>
            </w:tcBorders>
            <w:gridSpan w:val="7"/>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Form of Unit (included in Exhibit 4.1).</w:t>
              </w:r>
            </w:hyperlink>
          </w:p>
        </w:tc>
        <w:tc>
          <w:tcPr>
            <w:tcW w:w="20" w:type="dxa"/>
            <w:vAlign w:val="bottom"/>
            <w:tcBorders>
              <w:bottom w:val="single" w:sz="8" w:color="0000EE"/>
            </w:tcBorders>
          </w:tcPr>
          <w:p>
            <w:pPr>
              <w:spacing w:after="0"/>
              <w:rPr>
                <w:sz w:val="15"/>
                <w:szCs w:val="15"/>
                <w:color w:val="auto"/>
              </w:rPr>
            </w:pPr>
          </w:p>
        </w:tc>
        <w:tc>
          <w:tcPr>
            <w:tcW w:w="2520" w:type="dxa"/>
            <w:vAlign w:val="bottom"/>
            <w:gridSpan w:val="25"/>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4.2</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gridSpan w:val="33"/>
          </w:tcPr>
          <w:p>
            <w:pPr>
              <w:spacing w:after="0"/>
              <w:rPr>
                <w:rFonts w:ascii="Times New Roman" w:cs="Times New Roman" w:eastAsia="Times New Roman" w:hAnsi="Times New Roman"/>
                <w:sz w:val="14"/>
                <w:szCs w:val="14"/>
                <w:color w:val="0000FF"/>
              </w:rPr>
            </w:pPr>
            <w:hyperlink r:id="rId245">
              <w:r>
                <w:rPr>
                  <w:rFonts w:ascii="Times New Roman" w:cs="Times New Roman" w:eastAsia="Times New Roman" w:hAnsi="Times New Roman"/>
                  <w:sz w:val="14"/>
                  <w:szCs w:val="14"/>
                  <w:color w:val="0000FF"/>
                </w:rPr>
                <w:t>Form of Purchase Contract (included in Exhibit 4.1).</w:t>
              </w:r>
            </w:hyperlink>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4.3</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20" w:type="dxa"/>
            <w:vAlign w:val="bottom"/>
            <w:tcBorders>
              <w:bottom w:val="single" w:sz="8" w:color="0000FF"/>
            </w:tcBorders>
            <w:gridSpan w:val="30"/>
          </w:tcPr>
          <w:p>
            <w:pPr>
              <w:spacing w:after="0"/>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Indenture, dated as of January 30, 2024, between BrightSpring Health Services,</w:t>
              </w:r>
            </w:hyperlink>
          </w:p>
        </w:tc>
        <w:tc>
          <w:tcPr>
            <w:tcW w:w="160" w:type="dxa"/>
            <w:vAlign w:val="bottom"/>
            <w:gridSpan w:val="3"/>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4.4</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3"/>
          </w:tcPr>
          <w:p>
            <w:pPr>
              <w:spacing w:after="0" w:line="152" w:lineRule="exact"/>
              <w:rPr>
                <w:rFonts w:ascii="Times New Roman" w:cs="Times New Roman" w:eastAsia="Times New Roman" w:hAnsi="Times New Roman"/>
                <w:sz w:val="14"/>
                <w:szCs w:val="14"/>
                <w:color w:val="0000FF"/>
              </w:rPr>
            </w:pPr>
            <w:hyperlink r:id="rId246">
              <w:r>
                <w:rPr>
                  <w:rFonts w:ascii="Times New Roman" w:cs="Times New Roman" w:eastAsia="Times New Roman" w:hAnsi="Times New Roman"/>
                  <w:sz w:val="14"/>
                  <w:szCs w:val="14"/>
                  <w:color w:val="0000FF"/>
                </w:rPr>
                <w:t>Inc. and U.S. Bank Trust Company, National Association, as trustee.</w:t>
              </w:r>
            </w:hyperlink>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40" w:type="dxa"/>
            <w:vAlign w:val="bottom"/>
            <w:tcBorders>
              <w:bottom w:val="single" w:sz="8" w:color="0000FF"/>
            </w:tcBorders>
            <w:gridSpan w:val="13"/>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First Supplemental Indenture, dated as of January 30, 2024, between</w:t>
              </w:r>
            </w:hyperlink>
          </w:p>
        </w:tc>
        <w:tc>
          <w:tcPr>
            <w:tcW w:w="840" w:type="dxa"/>
            <w:vAlign w:val="bottom"/>
            <w:gridSpan w:val="20"/>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4.5</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bottom w:val="single" w:sz="8" w:color="0000FF"/>
            </w:tcBorders>
            <w:gridSpan w:val="24"/>
          </w:tcPr>
          <w:p>
            <w:pPr>
              <w:spacing w:after="0" w:line="152"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BrightSpring Health Services, Inc. and U.S. Bank Trust Company, National</w:t>
              </w:r>
            </w:hyperlink>
          </w:p>
        </w:tc>
        <w:tc>
          <w:tcPr>
            <w:tcW w:w="400" w:type="dxa"/>
            <w:vAlign w:val="bottom"/>
            <w:gridSpan w:val="9"/>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80" w:type="dxa"/>
            <w:vAlign w:val="bottom"/>
            <w:gridSpan w:val="33"/>
          </w:tcPr>
          <w:p>
            <w:pPr>
              <w:spacing w:after="0" w:line="152" w:lineRule="exact"/>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Association, as trustee, paying agent and security registrar.</w:t>
              </w:r>
            </w:hyperlink>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4"/>
                <w:szCs w:val="14"/>
                <w:color w:val="0000FF"/>
              </w:rPr>
            </w:pPr>
            <w:hyperlink r:id="rId247">
              <w:r>
                <w:rPr>
                  <w:rFonts w:ascii="Times New Roman" w:cs="Times New Roman" w:eastAsia="Times New Roman" w:hAnsi="Times New Roman"/>
                  <w:sz w:val="14"/>
                  <w:szCs w:val="14"/>
                  <w:color w:val="0000FF"/>
                </w:rPr>
                <w:t>Form of Amortizing Note (included in Exhibit 4.5).</w:t>
              </w:r>
            </w:hyperlink>
          </w:p>
        </w:tc>
        <w:tc>
          <w:tcPr>
            <w:tcW w:w="320" w:type="dxa"/>
            <w:vAlign w:val="bottom"/>
            <w:tcBorders>
              <w:top w:val="single" w:sz="8" w:color="0000FF"/>
            </w:tcBorders>
          </w:tcPr>
          <w:p>
            <w:pPr>
              <w:spacing w:after="0"/>
              <w:rPr>
                <w:sz w:val="15"/>
                <w:szCs w:val="15"/>
                <w:color w:val="auto"/>
              </w:rPr>
            </w:pPr>
          </w:p>
        </w:tc>
        <w:tc>
          <w:tcPr>
            <w:tcW w:w="1420" w:type="dxa"/>
            <w:vAlign w:val="bottom"/>
            <w:gridSpan w:val="21"/>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001-41938</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4.6</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1/30/2024</w:t>
            </w:r>
          </w:p>
        </w:tc>
        <w:tc>
          <w:tcPr>
            <w:tcW w:w="0" w:type="dxa"/>
            <w:vAlign w:val="bottom"/>
          </w:tcPr>
          <w:p>
            <w:pPr>
              <w:spacing w:after="0"/>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FF"/>
            </w:tcBorders>
            <w:gridSpan w:val="18"/>
          </w:tcPr>
          <w:p>
            <w:pPr>
              <w:spacing w:after="0"/>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Registration Rights Agreement, dated December 7, 2017, by and among</w:t>
              </w:r>
            </w:hyperlink>
          </w:p>
        </w:tc>
        <w:tc>
          <w:tcPr>
            <w:tcW w:w="600" w:type="dxa"/>
            <w:vAlign w:val="bottom"/>
            <w:gridSpan w:val="15"/>
          </w:tcPr>
          <w:p>
            <w:pPr>
              <w:spacing w:after="0"/>
              <w:rPr>
                <w:sz w:val="15"/>
                <w:szCs w:val="15"/>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S-1/A</w:t>
            </w:r>
          </w:p>
        </w:tc>
        <w:tc>
          <w:tcPr>
            <w:tcW w:w="7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333-</w:t>
            </w:r>
          </w:p>
        </w:tc>
        <w:tc>
          <w:tcPr>
            <w:tcW w:w="4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4.1</w:t>
            </w:r>
          </w:p>
        </w:tc>
        <w:tc>
          <w:tcPr>
            <w:tcW w:w="72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1/10/2024</w:t>
            </w: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bottom w:val="single" w:sz="8" w:color="0000FF"/>
            </w:tcBorders>
            <w:gridSpan w:val="27"/>
          </w:tcPr>
          <w:p>
            <w:pPr>
              <w:spacing w:after="0" w:line="152" w:lineRule="exact"/>
              <w:rPr>
                <w:rFonts w:ascii="Times New Roman" w:cs="Times New Roman" w:eastAsia="Times New Roman" w:hAnsi="Times New Roman"/>
                <w:sz w:val="14"/>
                <w:szCs w:val="14"/>
                <w:color w:val="0000FF"/>
              </w:rPr>
            </w:pPr>
            <w:hyperlink r:id="rId248">
              <w:r>
                <w:rPr>
                  <w:rFonts w:ascii="Times New Roman" w:cs="Times New Roman" w:eastAsia="Times New Roman" w:hAnsi="Times New Roman"/>
                  <w:sz w:val="14"/>
                  <w:szCs w:val="14"/>
                  <w:color w:val="0000FF"/>
                </w:rPr>
                <w:t>Phoenix Parent Holdings Inc., KKR Phoenix Aggregator L.P., and Walgreens</w:t>
              </w:r>
            </w:hyperlink>
          </w:p>
        </w:tc>
        <w:tc>
          <w:tcPr>
            <w:tcW w:w="320" w:type="dxa"/>
            <w:vAlign w:val="bottom"/>
            <w:gridSpan w:val="6"/>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center"/>
              <w:ind w:left="8"/>
              <w:spacing w:after="0" w:line="152" w:lineRule="exact"/>
              <w:rPr>
                <w:sz w:val="20"/>
                <w:szCs w:val="20"/>
                <w:color w:val="auto"/>
              </w:rPr>
            </w:pPr>
            <w:r>
              <w:rPr>
                <w:rFonts w:ascii="Times New Roman" w:cs="Times New Roman" w:eastAsia="Times New Roman" w:hAnsi="Times New Roman"/>
                <w:sz w:val="14"/>
                <w:szCs w:val="14"/>
                <w:color w:val="auto"/>
              </w:rPr>
              <w:t>276348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w w:val="90"/>
              </w:rPr>
            </w:pPr>
            <w:hyperlink r:id="rId248">
              <w:r>
                <w:rPr>
                  <w:rFonts w:ascii="Times New Roman" w:cs="Times New Roman" w:eastAsia="Times New Roman" w:hAnsi="Times New Roman"/>
                  <w:sz w:val="14"/>
                  <w:szCs w:val="14"/>
                  <w:color w:val="0000FF"/>
                  <w:w w:val="90"/>
                </w:rPr>
                <w:t>Co.</w:t>
              </w:r>
            </w:hyperlink>
          </w:p>
        </w:tc>
        <w:tc>
          <w:tcPr>
            <w:tcW w:w="20" w:type="dxa"/>
            <w:vAlign w:val="bottom"/>
            <w:tcBorders>
              <w:bottom w:val="single" w:sz="8" w:color="0000EE"/>
            </w:tcBorders>
          </w:tcPr>
          <w:p>
            <w:pPr>
              <w:spacing w:after="0"/>
              <w:rPr>
                <w:sz w:val="13"/>
                <w:szCs w:val="13"/>
                <w:color w:val="auto"/>
              </w:rPr>
            </w:pPr>
          </w:p>
        </w:tc>
        <w:tc>
          <w:tcPr>
            <w:tcW w:w="4560" w:type="dxa"/>
            <w:vAlign w:val="bottom"/>
            <w:gridSpan w:val="31"/>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Joinder Agreement and Amendment No. 7, dated as of February 21, 2024,</w:t>
            </w:r>
          </w:p>
        </w:tc>
        <w:tc>
          <w:tcPr>
            <w:tcW w:w="500" w:type="dxa"/>
            <w:vAlign w:val="bottom"/>
            <w:gridSpan w:val="12"/>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bottom w:val="single" w:sz="8" w:color="0000FF"/>
            </w:tcBorders>
            <w:gridSpan w:val="30"/>
          </w:tcPr>
          <w:p>
            <w:pPr>
              <w:spacing w:after="0" w:line="152" w:lineRule="exact"/>
              <w:rPr>
                <w:sz w:val="20"/>
                <w:szCs w:val="20"/>
                <w:color w:val="auto"/>
              </w:rPr>
            </w:pPr>
            <w:r>
              <w:rPr>
                <w:rFonts w:ascii="Times New Roman" w:cs="Times New Roman" w:eastAsia="Times New Roman" w:hAnsi="Times New Roman"/>
                <w:sz w:val="14"/>
                <w:szCs w:val="14"/>
                <w:color w:val="0000FF"/>
              </w:rPr>
              <w:t>among Phoenix Intermediate Holdings Inc., Phoenix Guarantor Inc., the several</w:t>
            </w:r>
          </w:p>
        </w:tc>
        <w:tc>
          <w:tcPr>
            <w:tcW w:w="16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bottom w:val="single" w:sz="8" w:color="0000FF"/>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FF"/>
              </w:rPr>
              <w:t>lenders from time to time parties thereto and Morgan Stanley Senior Funding,</w:t>
            </w:r>
          </w:p>
        </w:tc>
        <w:tc>
          <w:tcPr>
            <w:tcW w:w="280" w:type="dxa"/>
            <w:vAlign w:val="bottom"/>
            <w:gridSpan w:val="5"/>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bottom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Inc. as administrative agent and collateral agent to the First Lien Credit</w:t>
            </w:r>
          </w:p>
        </w:tc>
        <w:tc>
          <w:tcPr>
            <w:tcW w:w="640" w:type="dxa"/>
            <w:vAlign w:val="bottom"/>
            <w:gridSpan w:val="17"/>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bottom w:val="single" w:sz="8" w:color="0000FF"/>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FF"/>
              </w:rPr>
              <w:t>Agreement dated as of March 5, 2019, among Phoenix Intermediate Holdings</w:t>
            </w:r>
          </w:p>
        </w:tc>
        <w:tc>
          <w:tcPr>
            <w:tcW w:w="280" w:type="dxa"/>
            <w:vAlign w:val="bottom"/>
            <w:gridSpan w:val="5"/>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60" w:type="dxa"/>
            <w:vAlign w:val="bottom"/>
            <w:tcBorders>
              <w:bottom w:val="single" w:sz="8" w:color="0000FF"/>
            </w:tcBorders>
            <w:gridSpan w:val="23"/>
          </w:tcPr>
          <w:p>
            <w:pPr>
              <w:spacing w:after="0" w:line="152" w:lineRule="exact"/>
              <w:rPr>
                <w:sz w:val="20"/>
                <w:szCs w:val="20"/>
                <w:color w:val="auto"/>
              </w:rPr>
            </w:pPr>
            <w:r>
              <w:rPr>
                <w:rFonts w:ascii="Times New Roman" w:cs="Times New Roman" w:eastAsia="Times New Roman" w:hAnsi="Times New Roman"/>
                <w:sz w:val="14"/>
                <w:szCs w:val="14"/>
                <w:color w:val="0000FF"/>
              </w:rPr>
              <w:t>Inc., Phoenix Guarantor Inc., the lenders party thereto, and Morgan Stanley</w:t>
            </w:r>
          </w:p>
        </w:tc>
        <w:tc>
          <w:tcPr>
            <w:tcW w:w="420" w:type="dxa"/>
            <w:vAlign w:val="bottom"/>
            <w:gridSpan w:val="10"/>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bottom w:val="single" w:sz="8" w:color="0000FF"/>
            </w:tcBorders>
            <w:gridSpan w:val="26"/>
          </w:tcPr>
          <w:p>
            <w:pPr>
              <w:spacing w:after="0" w:line="152" w:lineRule="exact"/>
              <w:rPr>
                <w:sz w:val="20"/>
                <w:szCs w:val="20"/>
                <w:color w:val="auto"/>
              </w:rPr>
            </w:pPr>
            <w:r>
              <w:rPr>
                <w:rFonts w:ascii="Times New Roman" w:cs="Times New Roman" w:eastAsia="Times New Roman" w:hAnsi="Times New Roman"/>
                <w:sz w:val="14"/>
                <w:szCs w:val="14"/>
                <w:color w:val="0000FF"/>
              </w:rPr>
              <w:t>Senior Funding, Inc. (with amended First Lien Credit Agreement attached as</w:t>
            </w:r>
          </w:p>
        </w:tc>
        <w:tc>
          <w:tcPr>
            <w:tcW w:w="340" w:type="dxa"/>
            <w:vAlign w:val="bottom"/>
            <w:gridSpan w:val="7"/>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bottom w:val="single" w:sz="8" w:color="0000FF"/>
            </w:tcBorders>
            <w:gridSpan w:val="22"/>
          </w:tcPr>
          <w:p>
            <w:pPr>
              <w:spacing w:after="0" w:line="152" w:lineRule="exact"/>
              <w:rPr>
                <w:sz w:val="20"/>
                <w:szCs w:val="20"/>
                <w:color w:val="auto"/>
              </w:rPr>
            </w:pPr>
            <w:r>
              <w:rPr>
                <w:rFonts w:ascii="Times New Roman" w:cs="Times New Roman" w:eastAsia="Times New Roman" w:hAnsi="Times New Roman"/>
                <w:sz w:val="14"/>
                <w:szCs w:val="14"/>
                <w:color w:val="0000FF"/>
              </w:rPr>
              <w:t>Exhibit A) (refiled herewith to correct the 2020 L/C Facility Maturity Date</w:t>
            </w:r>
          </w:p>
        </w:tc>
        <w:tc>
          <w:tcPr>
            <w:tcW w:w="460" w:type="dxa"/>
            <w:vAlign w:val="bottom"/>
            <w:gridSpan w:val="11"/>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bottom w:val="single" w:sz="8" w:color="0000FF"/>
            </w:tcBorders>
            <w:gridSpan w:val="20"/>
          </w:tcPr>
          <w:p>
            <w:pPr>
              <w:spacing w:after="0" w:line="152" w:lineRule="exact"/>
              <w:rPr>
                <w:sz w:val="20"/>
                <w:szCs w:val="20"/>
                <w:color w:val="auto"/>
              </w:rPr>
            </w:pPr>
            <w:r>
              <w:rPr>
                <w:rFonts w:ascii="Times New Roman" w:cs="Times New Roman" w:eastAsia="Times New Roman" w:hAnsi="Times New Roman"/>
                <w:sz w:val="14"/>
                <w:szCs w:val="14"/>
                <w:color w:val="0000FF"/>
              </w:rPr>
              <w:t>definition error in the version filed as Exhibit 10.1 to BrightSpring Health</w:t>
            </w:r>
          </w:p>
        </w:tc>
        <w:tc>
          <w:tcPr>
            <w:tcW w:w="520" w:type="dxa"/>
            <w:vAlign w:val="bottom"/>
            <w:gridSpan w:val="13"/>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bottom w:val="single" w:sz="8" w:color="0000FF"/>
            </w:tcBorders>
            <w:gridSpan w:val="15"/>
          </w:tcPr>
          <w:p>
            <w:pPr>
              <w:spacing w:after="0" w:line="152" w:lineRule="exact"/>
              <w:rPr>
                <w:sz w:val="20"/>
                <w:szCs w:val="20"/>
                <w:color w:val="auto"/>
              </w:rPr>
            </w:pPr>
            <w:r>
              <w:rPr>
                <w:rFonts w:ascii="Times New Roman" w:cs="Times New Roman" w:eastAsia="Times New Roman" w:hAnsi="Times New Roman"/>
                <w:sz w:val="14"/>
                <w:szCs w:val="14"/>
                <w:color w:val="0000FF"/>
              </w:rPr>
              <w:t>Services, Inc. Current Report on Form 8-K filed on February 21, 2024).</w:t>
            </w:r>
          </w:p>
        </w:tc>
        <w:tc>
          <w:tcPr>
            <w:tcW w:w="20" w:type="dxa"/>
            <w:vAlign w:val="bottom"/>
            <w:tcBorders>
              <w:bottom w:val="single" w:sz="8" w:color="0000EE"/>
            </w:tcBorders>
          </w:tcPr>
          <w:p>
            <w:pPr>
              <w:spacing w:after="0"/>
              <w:rPr>
                <w:sz w:val="13"/>
                <w:szCs w:val="13"/>
                <w:color w:val="auto"/>
              </w:rPr>
            </w:pPr>
          </w:p>
        </w:tc>
        <w:tc>
          <w:tcPr>
            <w:tcW w:w="640" w:type="dxa"/>
            <w:vAlign w:val="bottom"/>
            <w:gridSpan w:val="17"/>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380" w:type="dxa"/>
            <w:vAlign w:val="bottom"/>
            <w:gridSpan w:val="8"/>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00" w:type="dxa"/>
            <w:vAlign w:val="bottom"/>
            <w:tcBorders>
              <w:bottom w:val="single" w:sz="8" w:color="0000FF"/>
            </w:tcBorders>
            <w:gridSpan w:val="28"/>
          </w:tcPr>
          <w:p>
            <w:pPr>
              <w:spacing w:after="0" w:line="152" w:lineRule="exact"/>
              <w:rPr>
                <w:sz w:val="20"/>
                <w:szCs w:val="20"/>
                <w:color w:val="auto"/>
              </w:rPr>
            </w:pPr>
            <w:r>
              <w:rPr>
                <w:rFonts w:ascii="Times New Roman" w:cs="Times New Roman" w:eastAsia="Times New Roman" w:hAnsi="Times New Roman"/>
                <w:sz w:val="14"/>
                <w:szCs w:val="14"/>
                <w:color w:val="0000FF"/>
              </w:rPr>
              <w:t>15d-14(a) under the Securities Exchange Act of 1934, as Adopted Pursuant to</w:t>
            </w:r>
          </w:p>
        </w:tc>
        <w:tc>
          <w:tcPr>
            <w:tcW w:w="280" w:type="dxa"/>
            <w:vAlign w:val="bottom"/>
            <w:gridSpan w:val="5"/>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20" w:type="dxa"/>
            <w:vAlign w:val="bottom"/>
            <w:tcBorders>
              <w:bottom w:val="single" w:sz="8" w:color="0000EE"/>
            </w:tcBorders>
          </w:tcPr>
          <w:p>
            <w:pPr>
              <w:spacing w:after="0"/>
              <w:rPr>
                <w:sz w:val="13"/>
                <w:szCs w:val="13"/>
                <w:color w:val="auto"/>
              </w:rPr>
            </w:pPr>
          </w:p>
        </w:tc>
        <w:tc>
          <w:tcPr>
            <w:tcW w:w="2000" w:type="dxa"/>
            <w:vAlign w:val="bottom"/>
            <w:gridSpan w:val="23"/>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33"/>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40" w:type="dxa"/>
            <w:vAlign w:val="bottom"/>
            <w:tcBorders>
              <w:top w:val="single" w:sz="8" w:color="0000FF"/>
              <w:bottom w:val="single" w:sz="8" w:color="0000FF"/>
            </w:tcBorders>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14(a) under the Securities Exchange Act of 1934, as Adopted Pursuant to</w:t>
            </w:r>
          </w:p>
        </w:tc>
        <w:tc>
          <w:tcPr>
            <w:tcW w:w="380" w:type="dxa"/>
            <w:vAlign w:val="bottom"/>
            <w:tcBorders>
              <w:top w:val="single" w:sz="8" w:color="0000FF"/>
            </w:tcBorders>
            <w:gridSpan w:val="11"/>
          </w:tcPr>
          <w:p>
            <w:pPr>
              <w:spacing w:after="0"/>
              <w:rPr>
                <w:sz w:val="13"/>
                <w:szCs w:val="13"/>
                <w:color w:val="auto"/>
              </w:rPr>
            </w:pPr>
          </w:p>
        </w:tc>
        <w:tc>
          <w:tcPr>
            <w:tcW w:w="160" w:type="dxa"/>
            <w:vAlign w:val="bottom"/>
            <w:gridSpan w:val="3"/>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20" w:type="dxa"/>
            <w:vAlign w:val="bottom"/>
            <w:tcBorders>
              <w:bottom w:val="single" w:sz="8" w:color="0000EE"/>
            </w:tcBorders>
          </w:tcPr>
          <w:p>
            <w:pPr>
              <w:spacing w:after="0"/>
              <w:rPr>
                <w:sz w:val="13"/>
                <w:szCs w:val="13"/>
                <w:color w:val="auto"/>
              </w:rPr>
            </w:pPr>
          </w:p>
        </w:tc>
        <w:tc>
          <w:tcPr>
            <w:tcW w:w="2000" w:type="dxa"/>
            <w:vAlign w:val="bottom"/>
            <w:gridSpan w:val="23"/>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w:t>
            </w:r>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bottom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20" w:type="dxa"/>
            <w:vAlign w:val="bottom"/>
            <w:tcBorders>
              <w:bottom w:val="single" w:sz="8" w:color="0000EE"/>
            </w:tcBorders>
          </w:tcPr>
          <w:p>
            <w:pPr>
              <w:spacing w:after="0"/>
              <w:rPr>
                <w:sz w:val="13"/>
                <w:szCs w:val="13"/>
                <w:color w:val="auto"/>
              </w:rPr>
            </w:pPr>
          </w:p>
        </w:tc>
        <w:tc>
          <w:tcPr>
            <w:tcW w:w="620" w:type="dxa"/>
            <w:vAlign w:val="bottom"/>
            <w:gridSpan w:val="16"/>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180" w:type="dxa"/>
            <w:vAlign w:val="bottom"/>
            <w:gridSpan w:val="4"/>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bottom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20" w:type="dxa"/>
            <w:vAlign w:val="bottom"/>
            <w:tcBorders>
              <w:bottom w:val="single" w:sz="8" w:color="0000EE"/>
            </w:tcBorders>
          </w:tcPr>
          <w:p>
            <w:pPr>
              <w:spacing w:after="0"/>
              <w:rPr>
                <w:sz w:val="13"/>
                <w:szCs w:val="13"/>
                <w:color w:val="auto"/>
              </w:rPr>
            </w:pPr>
          </w:p>
        </w:tc>
        <w:tc>
          <w:tcPr>
            <w:tcW w:w="620" w:type="dxa"/>
            <w:vAlign w:val="bottom"/>
            <w:gridSpan w:val="16"/>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33"/>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80" w:type="dxa"/>
            <w:vAlign w:val="bottom"/>
            <w:gridSpan w:val="33"/>
          </w:tcPr>
          <w:p>
            <w:pPr>
              <w:spacing w:after="0"/>
              <w:rPr>
                <w:sz w:val="20"/>
                <w:szCs w:val="20"/>
                <w:color w:val="auto"/>
              </w:rPr>
            </w:pPr>
            <w:r>
              <w:rPr>
                <w:rFonts w:ascii="Times New Roman" w:cs="Times New Roman" w:eastAsia="Times New Roman" w:hAnsi="Times New Roman"/>
                <w:sz w:val="14"/>
                <w:szCs w:val="14"/>
                <w:color w:val="auto"/>
              </w:rPr>
              <w:t>Interactive Data File because XBRL tags are embedded within the Inline XBRL</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780" w:type="dxa"/>
            <w:vAlign w:val="bottom"/>
            <w:gridSpan w:val="33"/>
          </w:tcPr>
          <w:p>
            <w:pPr>
              <w:spacing w:after="0"/>
              <w:rPr>
                <w:sz w:val="20"/>
                <w:szCs w:val="20"/>
                <w:color w:val="auto"/>
              </w:rPr>
            </w:pPr>
            <w:r>
              <w:rPr>
                <w:rFonts w:ascii="Times New Roman" w:cs="Times New Roman" w:eastAsia="Times New Roman" w:hAnsi="Times New Roman"/>
                <w:sz w:val="14"/>
                <w:szCs w:val="14"/>
                <w:color w:val="auto"/>
              </w:rPr>
              <w:t>document.</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101.SC</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33"/>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 Linkbase</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280" w:hanging="639"/>
        <w:spacing w:after="0"/>
        <w:tabs>
          <w:tab w:leader="none" w:pos="1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Documents</w:t>
      </w:r>
    </w:p>
    <w:p>
      <w:pPr>
        <w:spacing w:after="0" w:line="137" w:lineRule="exact"/>
        <w:rPr>
          <w:sz w:val="20"/>
          <w:szCs w:val="20"/>
          <w:color w:val="auto"/>
        </w:rPr>
      </w:pPr>
    </w:p>
    <w:p>
      <w:pPr>
        <w:ind w:left="4440" w:right="3139" w:hanging="3799"/>
        <w:spacing w:after="0" w:line="822" w:lineRule="auto"/>
        <w:tabs>
          <w:tab w:leader="none" w:pos="128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123190</wp:posOffset>
            </wp:positionV>
            <wp:extent cx="4944745" cy="39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79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3"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BrightSpring Health Services, Inc.</w:t>
            </w:r>
          </w:p>
        </w:tc>
      </w:tr>
      <w:tr>
        <w:trPr>
          <w:trHeight w:val="377"/>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Date: May 2, 2024</w:t>
            </w:r>
          </w:p>
        </w:tc>
        <w:tc>
          <w:tcPr>
            <w:tcW w:w="17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60"/>
        </w:trPr>
        <w:tc>
          <w:tcPr>
            <w:tcW w:w="2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Jon Rousseau</w:t>
            </w:r>
          </w:p>
        </w:tc>
      </w:tr>
      <w:tr>
        <w:trPr>
          <w:trHeight w:val="186"/>
        </w:trPr>
        <w:tc>
          <w:tcPr>
            <w:tcW w:w="2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79"/>
        </w:trPr>
        <w:tc>
          <w:tcPr>
            <w:tcW w:w="2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(Principal Executive Officer)</w:t>
            </w:r>
          </w:p>
        </w:tc>
      </w:tr>
      <w:tr>
        <w:trPr>
          <w:trHeight w:val="3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Date: May 2, 2024</w:t>
            </w:r>
          </w:p>
        </w:tc>
        <w:tc>
          <w:tcPr>
            <w:tcW w:w="17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Jim Mattingly</w:t>
            </w:r>
          </w:p>
        </w:tc>
      </w:tr>
      <w:tr>
        <w:trPr>
          <w:trHeight w:val="160"/>
        </w:trPr>
        <w:tc>
          <w:tcPr>
            <w:tcW w:w="2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Jim Mattingly</w:t>
            </w:r>
          </w:p>
        </w:tc>
      </w:tr>
      <w:tr>
        <w:trPr>
          <w:trHeight w:val="186"/>
        </w:trPr>
        <w:tc>
          <w:tcPr>
            <w:tcW w:w="2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79"/>
        </w:trPr>
        <w:tc>
          <w:tcPr>
            <w:tcW w:w="2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(Principal Financial Officer)</w:t>
            </w:r>
          </w:p>
        </w:tc>
      </w:tr>
      <w:tr>
        <w:trPr>
          <w:trHeight w:val="381"/>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Date: May 2, 2024</w:t>
            </w:r>
          </w:p>
        </w:tc>
        <w:tc>
          <w:tcPr>
            <w:tcW w:w="174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By:</w:t>
            </w: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w:t>
            </w:r>
            <w:r>
              <w:rPr>
                <w:rFonts w:ascii="Times New Roman" w:cs="Times New Roman" w:eastAsia="Times New Roman" w:hAnsi="Times New Roman"/>
                <w:sz w:val="14"/>
                <w:szCs w:val="14"/>
                <w:color w:val="auto"/>
              </w:rPr>
              <w:t>/Jennifer Phipps</w:t>
            </w:r>
          </w:p>
        </w:tc>
      </w:tr>
      <w:tr>
        <w:trPr>
          <w:trHeight w:val="160"/>
        </w:trPr>
        <w:tc>
          <w:tcPr>
            <w:tcW w:w="24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5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Jennifer Phipps</w:t>
            </w:r>
          </w:p>
        </w:tc>
      </w:tr>
      <w:tr>
        <w:trPr>
          <w:trHeight w:val="186"/>
        </w:trPr>
        <w:tc>
          <w:tcPr>
            <w:tcW w:w="24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Accounting Officer</w:t>
            </w:r>
          </w:p>
        </w:tc>
      </w:tr>
      <w:tr>
        <w:trPr>
          <w:trHeight w:val="179"/>
        </w:trPr>
        <w:tc>
          <w:tcPr>
            <w:tcW w:w="24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(Principal Accounting Officer)</w:t>
            </w:r>
          </w:p>
        </w:tc>
      </w:tr>
      <w:tr>
        <w:trPr>
          <w:trHeight w:val="531"/>
        </w:trPr>
        <w:tc>
          <w:tcPr>
            <w:tcW w:w="2440" w:type="dxa"/>
            <w:vAlign w:val="bottom"/>
          </w:tcPr>
          <w:p>
            <w:pPr>
              <w:spacing w:after="0"/>
              <w:rPr>
                <w:sz w:val="24"/>
                <w:szCs w:val="24"/>
                <w:color w:val="auto"/>
              </w:rPr>
            </w:pPr>
          </w:p>
        </w:tc>
        <w:tc>
          <w:tcPr>
            <w:tcW w:w="1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41</w:t>
            </w:r>
          </w:p>
        </w:tc>
        <w:tc>
          <w:tcPr>
            <w:tcW w:w="3560" w:type="dxa"/>
            <w:vAlign w:val="bottom"/>
          </w:tcPr>
          <w:p>
            <w:pPr>
              <w:spacing w:after="0"/>
              <w:rPr>
                <w:sz w:val="24"/>
                <w:szCs w:val="24"/>
                <w:color w:val="auto"/>
              </w:rPr>
            </w:pPr>
          </w:p>
        </w:tc>
      </w:tr>
      <w:tr>
        <w:trPr>
          <w:trHeight w:val="605"/>
        </w:trPr>
        <w:tc>
          <w:tcPr>
            <w:tcW w:w="24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811" w:right="1440" w:bottom="1440" w:gutter="0" w:footer="0" w:header="0"/>
        </w:sectPr>
      </w:pPr>
    </w:p>
    <w:bookmarkStart w:id="43" w:name="page44"/>
    <w:bookmarkEnd w:id="43"/>
    <w:p>
      <w:pPr>
        <w:jc w:val="right"/>
        <w:ind w:right="1159"/>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196"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auto"/>
        </w:rPr>
        <w:t>Execution Version</w:t>
      </w:r>
    </w:p>
    <w:p>
      <w:pPr>
        <w:spacing w:after="0" w:line="203" w:lineRule="exact"/>
        <w:rPr>
          <w:sz w:val="20"/>
          <w:szCs w:val="20"/>
          <w:color w:val="auto"/>
        </w:rPr>
      </w:pPr>
    </w:p>
    <w:p>
      <w:pPr>
        <w:ind w:left="1140" w:right="1179" w:firstLine="1033"/>
        <w:spacing w:after="0" w:line="259" w:lineRule="auto"/>
        <w:rPr>
          <w:sz w:val="20"/>
          <w:szCs w:val="20"/>
          <w:color w:val="auto"/>
        </w:rPr>
      </w:pPr>
      <w:r>
        <w:rPr>
          <w:rFonts w:ascii="Times New Roman" w:cs="Times New Roman" w:eastAsia="Times New Roman" w:hAnsi="Times New Roman"/>
          <w:sz w:val="15"/>
          <w:szCs w:val="15"/>
          <w:b w:val="1"/>
          <w:bCs w:val="1"/>
          <w:color w:val="auto"/>
        </w:rPr>
        <w:t>JOINDER AGREEMENT AND AMENDMENT NO. 7</w:t>
      </w:r>
      <w:r>
        <w:rPr>
          <w:rFonts w:ascii="Times New Roman" w:cs="Times New Roman" w:eastAsia="Times New Roman" w:hAnsi="Times New Roman"/>
          <w:sz w:val="15"/>
          <w:szCs w:val="15"/>
          <w:color w:val="auto"/>
        </w:rPr>
        <w:t>, dated as of February 21, 2024</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to First Lien Credit Agreement, dated as of March 5, 2019 (as amended by the Technical Amendment, dated as of May 13, 2019, as supplemented by the Joinder Agreement, dated as of September 30, 2019, as amended by Amendment No. 1, dated as of January 30, 2020, as amended by Joinder Agreement and Amendment No. 2, dated as of June 30, 2020, as amended by Joinder Agreement and Amendment No. 3, dated as of October 7, 2020, as amended by Amendment No. 4, dated as of April 8, 2021, as amended by Joinder Agreement and Amendment No. 5, dated as of April 16, 2021, as amended by Joinder Agreement and Amendment No. 6, dated as of June 30, 2023, and as otherwise amended, restated, supplemented or otherwise modified from time to time prior to the date hereof, the “</w:t>
      </w:r>
      <w:r>
        <w:rPr>
          <w:rFonts w:ascii="Times New Roman" w:cs="Times New Roman" w:eastAsia="Times New Roman" w:hAnsi="Times New Roman"/>
          <w:sz w:val="15"/>
          <w:szCs w:val="15"/>
          <w:u w:val="single" w:color="auto"/>
          <w:color w:val="auto"/>
        </w:rPr>
        <w:t>Credit Agreement</w:t>
      </w:r>
      <w:r>
        <w:rPr>
          <w:rFonts w:ascii="Times New Roman" w:cs="Times New Roman" w:eastAsia="Times New Roman" w:hAnsi="Times New Roman"/>
          <w:sz w:val="15"/>
          <w:szCs w:val="15"/>
          <w:color w:val="auto"/>
        </w:rPr>
        <w:t>”; and the Credit Agreement, as amended by this Amendment, the “</w:t>
      </w:r>
      <w:r>
        <w:rPr>
          <w:rFonts w:ascii="Times New Roman" w:cs="Times New Roman" w:eastAsia="Times New Roman" w:hAnsi="Times New Roman"/>
          <w:sz w:val="15"/>
          <w:szCs w:val="15"/>
          <w:u w:val="single" w:color="auto"/>
          <w:color w:val="auto"/>
        </w:rPr>
        <w:t>Amended Credit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among Phoenix Intermediate Holdings Inc., a Delaware corporation (“</w:t>
      </w:r>
      <w:r>
        <w:rPr>
          <w:rFonts w:ascii="Times New Roman" w:cs="Times New Roman" w:eastAsia="Times New Roman" w:hAnsi="Times New Roman"/>
          <w:sz w:val="15"/>
          <w:szCs w:val="15"/>
          <w:u w:val="single" w:color="auto"/>
          <w:color w:val="auto"/>
        </w:rPr>
        <w:t>Holdings</w:t>
      </w:r>
      <w:r>
        <w:rPr>
          <w:rFonts w:ascii="Times New Roman" w:cs="Times New Roman" w:eastAsia="Times New Roman" w:hAnsi="Times New Roman"/>
          <w:sz w:val="15"/>
          <w:szCs w:val="15"/>
          <w:color w:val="auto"/>
        </w:rPr>
        <w:t>”), Phoenix Guarantor Inc.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the several lenders from time to time parties thereto, the Letter of Credit Issuers from time to time parties thereto and Morgan Stanley Senior Funding, Inc., as the Administrative Agent and the Collateral Agent (capitalized terms used but not defined herein having the meaning provided in the Credit Agreement or the Amended Credit Agreement, as applicable).</w:t>
      </w:r>
    </w:p>
    <w:p>
      <w:pPr>
        <w:spacing w:after="0" w:line="136" w:lineRule="exact"/>
        <w:rPr>
          <w:sz w:val="20"/>
          <w:szCs w:val="20"/>
          <w:color w:val="auto"/>
        </w:rPr>
      </w:pPr>
    </w:p>
    <w:p>
      <w:pPr>
        <w:jc w:val="both"/>
        <w:ind w:left="1140" w:right="1159" w:firstLine="1033"/>
        <w:spacing w:after="0" w:line="270" w:lineRule="auto"/>
        <w:rPr>
          <w:sz w:val="20"/>
          <w:szCs w:val="20"/>
          <w:color w:val="auto"/>
        </w:rPr>
      </w:pPr>
      <w:r>
        <w:rPr>
          <w:rFonts w:ascii="Times New Roman" w:cs="Times New Roman" w:eastAsia="Times New Roman" w:hAnsi="Times New Roman"/>
          <w:sz w:val="15"/>
          <w:szCs w:val="15"/>
          <w:color w:val="auto"/>
        </w:rPr>
        <w:t xml:space="preserve">WHEREAS, the Borrower has notified the Administrative Agent that it is requesting, pursuant to </w:t>
      </w:r>
      <w:r>
        <w:rPr>
          <w:rFonts w:ascii="Times New Roman" w:cs="Times New Roman" w:eastAsia="Times New Roman" w:hAnsi="Times New Roman"/>
          <w:sz w:val="15"/>
          <w:szCs w:val="15"/>
          <w:u w:val="single" w:color="auto"/>
          <w:color w:val="auto"/>
        </w:rPr>
        <w:t>Section 2.14</w:t>
      </w:r>
      <w:r>
        <w:rPr>
          <w:rFonts w:ascii="Times New Roman" w:cs="Times New Roman" w:eastAsia="Times New Roman" w:hAnsi="Times New Roman"/>
          <w:sz w:val="15"/>
          <w:szCs w:val="15"/>
          <w:color w:val="auto"/>
        </w:rPr>
        <w:t xml:space="preserve"> of the Credit Agreement, the establishment of New Term Loan Commitments in in an aggregate principal amount equal to $2,566,000,000 (the “</w:t>
      </w:r>
      <w:r>
        <w:rPr>
          <w:rFonts w:ascii="Times New Roman" w:cs="Times New Roman" w:eastAsia="Times New Roman" w:hAnsi="Times New Roman"/>
          <w:sz w:val="15"/>
          <w:szCs w:val="15"/>
          <w:u w:val="single" w:color="auto"/>
          <w:color w:val="auto"/>
        </w:rPr>
        <w:t>Tranche B-4 Term Loan Commitments</w:t>
      </w:r>
      <w:r>
        <w:rPr>
          <w:rFonts w:ascii="Times New Roman" w:cs="Times New Roman" w:eastAsia="Times New Roman" w:hAnsi="Times New Roman"/>
          <w:sz w:val="15"/>
          <w:szCs w:val="15"/>
          <w:color w:val="auto"/>
        </w:rPr>
        <w:t>”) that are incurred under clause (ii) of the definition of “Maximum Incremental Facilities Amount”;</w:t>
      </w:r>
    </w:p>
    <w:p>
      <w:pPr>
        <w:spacing w:after="0" w:line="128" w:lineRule="exact"/>
        <w:rPr>
          <w:sz w:val="20"/>
          <w:szCs w:val="20"/>
          <w:color w:val="auto"/>
        </w:rPr>
      </w:pPr>
    </w:p>
    <w:p>
      <w:pPr>
        <w:jc w:val="both"/>
        <w:ind w:left="1140" w:right="1159" w:firstLine="1033"/>
        <w:spacing w:after="0" w:line="253" w:lineRule="auto"/>
        <w:rPr>
          <w:sz w:val="20"/>
          <w:szCs w:val="20"/>
          <w:color w:val="auto"/>
        </w:rPr>
      </w:pPr>
      <w:r>
        <w:rPr>
          <w:rFonts w:ascii="Times New Roman" w:cs="Times New Roman" w:eastAsia="Times New Roman" w:hAnsi="Times New Roman"/>
          <w:sz w:val="16"/>
          <w:szCs w:val="16"/>
          <w:color w:val="auto"/>
        </w:rPr>
        <w:t xml:space="preserve">WHEREAS, pursuant to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of the Credit Agreement, the Borrower wishes to make certain other amendments to the Credit Agreement as are necessary to effect the establishment and provision of the Tranche B-4 Term Loan Commitments, as described herein;</w:t>
      </w:r>
    </w:p>
    <w:p>
      <w:pPr>
        <w:spacing w:after="0" w:line="139" w:lineRule="exact"/>
        <w:rPr>
          <w:sz w:val="20"/>
          <w:szCs w:val="20"/>
          <w:color w:val="auto"/>
        </w:rPr>
      </w:pPr>
    </w:p>
    <w:p>
      <w:pPr>
        <w:ind w:left="1140" w:right="1199" w:firstLine="1033"/>
        <w:spacing w:after="0" w:line="243" w:lineRule="auto"/>
        <w:rPr>
          <w:sz w:val="20"/>
          <w:szCs w:val="20"/>
          <w:color w:val="auto"/>
        </w:rPr>
      </w:pPr>
      <w:r>
        <w:rPr>
          <w:rFonts w:ascii="Times New Roman" w:cs="Times New Roman" w:eastAsia="Times New Roman" w:hAnsi="Times New Roman"/>
          <w:sz w:val="16"/>
          <w:szCs w:val="16"/>
          <w:color w:val="auto"/>
        </w:rPr>
        <w:t>WHEREAS, the Borrower desires to create a new tranche of term loans consisting of Tranche B-4 Term Loans pursuant to amendments authorized by Section 2.14 of the Credit Agreement, the proceeds of which will be used (i) to refinance all of the Tranche B-1 Term Loans and Tranche B-3 Term Loans outstanding immediately before giving effect to this Amendment (collectively, the “</w:t>
      </w:r>
      <w:r>
        <w:rPr>
          <w:rFonts w:ascii="Times New Roman" w:cs="Times New Roman" w:eastAsia="Times New Roman" w:hAnsi="Times New Roman"/>
          <w:sz w:val="16"/>
          <w:szCs w:val="16"/>
          <w:u w:val="single" w:color="auto"/>
          <w:color w:val="auto"/>
        </w:rPr>
        <w:t>Existing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Term Loans</w:t>
      </w:r>
      <w:r>
        <w:rPr>
          <w:rFonts w:ascii="Times New Roman" w:cs="Times New Roman" w:eastAsia="Times New Roman" w:hAnsi="Times New Roman"/>
          <w:sz w:val="16"/>
          <w:szCs w:val="16"/>
          <w:color w:val="auto"/>
        </w:rPr>
        <w:t>”) all as more fully set forth in the Amended Credit Agreement, (ii) to pay accrued but unpaid interest on the Existing Term Loans and fees, costs and expenses incurred in connection herewith and (iii) for general corporate purposes;</w:t>
      </w:r>
    </w:p>
    <w:p>
      <w:pPr>
        <w:spacing w:after="0" w:line="149" w:lineRule="exact"/>
        <w:rPr>
          <w:sz w:val="20"/>
          <w:szCs w:val="20"/>
          <w:color w:val="auto"/>
        </w:rPr>
      </w:pPr>
    </w:p>
    <w:p>
      <w:pPr>
        <w:ind w:left="1140" w:right="1179" w:firstLine="1033"/>
        <w:spacing w:after="0" w:line="259" w:lineRule="auto"/>
        <w:rPr>
          <w:sz w:val="20"/>
          <w:szCs w:val="20"/>
          <w:color w:val="auto"/>
        </w:rPr>
      </w:pPr>
      <w:r>
        <w:rPr>
          <w:rFonts w:ascii="Times New Roman" w:cs="Times New Roman" w:eastAsia="Times New Roman" w:hAnsi="Times New Roman"/>
          <w:sz w:val="15"/>
          <w:szCs w:val="15"/>
          <w:color w:val="auto"/>
        </w:rPr>
        <w:t>WHEREAS, upon the effectiveness of this Amendment, each Lender holding Tranche B-1 Term Loans (an “</w:t>
      </w:r>
      <w:r>
        <w:rPr>
          <w:rFonts w:ascii="Times New Roman" w:cs="Times New Roman" w:eastAsia="Times New Roman" w:hAnsi="Times New Roman"/>
          <w:sz w:val="15"/>
          <w:szCs w:val="15"/>
          <w:u w:val="single" w:color="auto"/>
          <w:color w:val="auto"/>
        </w:rPr>
        <w:t>Existing Tranche B-1 Term Loan Lender</w:t>
      </w:r>
      <w:r>
        <w:rPr>
          <w:rFonts w:ascii="Times New Roman" w:cs="Times New Roman" w:eastAsia="Times New Roman" w:hAnsi="Times New Roman"/>
          <w:sz w:val="15"/>
          <w:szCs w:val="15"/>
          <w:color w:val="auto"/>
        </w:rPr>
        <w:t xml:space="preserve">”) that shall have executed and delivered a consent to this Amendment substantially in the form of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hereto (with any changes thereto that are acceptable to the Administrative Agent) (each, a “</w:t>
      </w:r>
      <w:r>
        <w:rPr>
          <w:rFonts w:ascii="Times New Roman" w:cs="Times New Roman" w:eastAsia="Times New Roman" w:hAnsi="Times New Roman"/>
          <w:sz w:val="15"/>
          <w:szCs w:val="15"/>
          <w:u w:val="single" w:color="auto"/>
          <w:color w:val="auto"/>
        </w:rPr>
        <w:t>Consent to Amendment No. 7</w:t>
      </w:r>
      <w:r>
        <w:rPr>
          <w:rFonts w:ascii="Times New Roman" w:cs="Times New Roman" w:eastAsia="Times New Roman" w:hAnsi="Times New Roman"/>
          <w:sz w:val="15"/>
          <w:szCs w:val="15"/>
          <w:color w:val="auto"/>
        </w:rPr>
        <w:t>”) under the “Cashless Settlement Option” for its Tranche B-1 Term Loans (each, a “</w:t>
      </w:r>
      <w:r>
        <w:rPr>
          <w:rFonts w:ascii="Times New Roman" w:cs="Times New Roman" w:eastAsia="Times New Roman" w:hAnsi="Times New Roman"/>
          <w:sz w:val="15"/>
          <w:szCs w:val="15"/>
          <w:u w:val="single" w:color="auto"/>
          <w:color w:val="auto"/>
        </w:rPr>
        <w:t>Cashless Option Tranche B-1 Lender</w:t>
      </w:r>
      <w:r>
        <w:rPr>
          <w:rFonts w:ascii="Times New Roman" w:cs="Times New Roman" w:eastAsia="Times New Roman" w:hAnsi="Times New Roman"/>
          <w:sz w:val="15"/>
          <w:szCs w:val="15"/>
          <w:color w:val="auto"/>
        </w:rPr>
        <w:t>”) shall be deemed to have exchanged all of its Tranche B-1 Term Loans (or such lesser amount as determined by the Amendment No. 7 Arrangers (as defined below)), which Tranche B-1 Term Loans shall thereafter no longer be deemed to be outstanding, for Tranche B-4 Term Loans in the same aggregate principal amount as such Existing Tranche B-1 Term Loan Lender’s exchanged Tranche B-1 Term Loans, and such Existing Tranche B-1 Term Loan Lender shall thereafter be a Tranche B-4 Term Loan Lender;</w:t>
      </w:r>
    </w:p>
    <w:p>
      <w:pPr>
        <w:spacing w:after="0" w:line="140" w:lineRule="exact"/>
        <w:rPr>
          <w:sz w:val="20"/>
          <w:szCs w:val="20"/>
          <w:color w:val="auto"/>
        </w:rPr>
      </w:pPr>
    </w:p>
    <w:p>
      <w:pPr>
        <w:ind w:left="1140" w:right="1219" w:firstLine="1033"/>
        <w:spacing w:after="0" w:line="301" w:lineRule="auto"/>
        <w:rPr>
          <w:sz w:val="20"/>
          <w:szCs w:val="20"/>
          <w:color w:val="auto"/>
        </w:rPr>
      </w:pPr>
      <w:r>
        <w:rPr>
          <w:rFonts w:ascii="Times New Roman" w:cs="Times New Roman" w:eastAsia="Times New Roman" w:hAnsi="Times New Roman"/>
          <w:sz w:val="15"/>
          <w:szCs w:val="15"/>
          <w:color w:val="auto"/>
        </w:rPr>
        <w:t>WHEREAS, upon the effectiveness of this Amendment, each Lender holding Tranche B-3 Term Loans (an “</w:t>
      </w:r>
      <w:r>
        <w:rPr>
          <w:rFonts w:ascii="Times New Roman" w:cs="Times New Roman" w:eastAsia="Times New Roman" w:hAnsi="Times New Roman"/>
          <w:sz w:val="15"/>
          <w:szCs w:val="15"/>
          <w:u w:val="single" w:color="auto"/>
          <w:color w:val="auto"/>
        </w:rPr>
        <w:t>Existing Tranche B-3 Term Loan Lender</w:t>
      </w:r>
      <w:r>
        <w:rPr>
          <w:rFonts w:ascii="Times New Roman" w:cs="Times New Roman" w:eastAsia="Times New Roman" w:hAnsi="Times New Roman"/>
          <w:sz w:val="15"/>
          <w:szCs w:val="15"/>
          <w:color w:val="auto"/>
        </w:rPr>
        <w:t>” and, together with each Existing Tranche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776605</wp:posOffset>
            </wp:positionV>
            <wp:extent cx="4288790" cy="393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48" w:right="1440" w:bottom="1440" w:gutter="0" w:footer="0" w:header="0"/>
        </w:sectPr>
      </w:pPr>
    </w:p>
    <w:bookmarkStart w:id="44" w:name="page45"/>
    <w:bookmarkEnd w:id="44"/>
    <w:p>
      <w:pPr>
        <w:ind w:left="1140" w:right="1159"/>
        <w:spacing w:after="0" w:line="242" w:lineRule="auto"/>
        <w:rPr>
          <w:sz w:val="20"/>
          <w:szCs w:val="20"/>
          <w:color w:val="auto"/>
        </w:rPr>
      </w:pPr>
      <w:r>
        <w:rPr>
          <w:rFonts w:ascii="Times New Roman" w:cs="Times New Roman" w:eastAsia="Times New Roman" w:hAnsi="Times New Roman"/>
          <w:sz w:val="16"/>
          <w:szCs w:val="16"/>
          <w:color w:val="auto"/>
        </w:rPr>
        <w:t>B-1 Term Loan Lender, an “</w:t>
      </w:r>
      <w:r>
        <w:rPr>
          <w:rFonts w:ascii="Times New Roman" w:cs="Times New Roman" w:eastAsia="Times New Roman" w:hAnsi="Times New Roman"/>
          <w:sz w:val="16"/>
          <w:szCs w:val="16"/>
          <w:u w:val="single" w:color="auto"/>
          <w:color w:val="auto"/>
        </w:rPr>
        <w:t>Existing Term Loan Lender</w:t>
      </w:r>
      <w:r>
        <w:rPr>
          <w:rFonts w:ascii="Times New Roman" w:cs="Times New Roman" w:eastAsia="Times New Roman" w:hAnsi="Times New Roman"/>
          <w:sz w:val="16"/>
          <w:szCs w:val="16"/>
          <w:color w:val="auto"/>
        </w:rPr>
        <w:t>”) that shall have executed and delivered a Consent to Amendment No. 7 under the “Cashless Settlement Option” for its Tranche B-3 Term Loans (each, a “</w:t>
      </w:r>
      <w:r>
        <w:rPr>
          <w:rFonts w:ascii="Times New Roman" w:cs="Times New Roman" w:eastAsia="Times New Roman" w:hAnsi="Times New Roman"/>
          <w:sz w:val="16"/>
          <w:szCs w:val="16"/>
          <w:u w:val="single" w:color="auto"/>
          <w:color w:val="auto"/>
        </w:rPr>
        <w:t>Cashless Option Tranche B-3 Lender</w:t>
      </w:r>
      <w:r>
        <w:rPr>
          <w:rFonts w:ascii="Times New Roman" w:cs="Times New Roman" w:eastAsia="Times New Roman" w:hAnsi="Times New Roman"/>
          <w:sz w:val="16"/>
          <w:szCs w:val="16"/>
          <w:color w:val="auto"/>
        </w:rPr>
        <w:t>” and, together with each Cashless Option Tranche B-1 Lender, a “</w:t>
      </w:r>
      <w:r>
        <w:rPr>
          <w:rFonts w:ascii="Times New Roman" w:cs="Times New Roman" w:eastAsia="Times New Roman" w:hAnsi="Times New Roman"/>
          <w:sz w:val="16"/>
          <w:szCs w:val="16"/>
          <w:u w:val="single" w:color="auto"/>
          <w:color w:val="auto"/>
        </w:rPr>
        <w:t>Cashless Option Tranche B-1/B-3 Lender</w:t>
      </w:r>
      <w:r>
        <w:rPr>
          <w:rFonts w:ascii="Times New Roman" w:cs="Times New Roman" w:eastAsia="Times New Roman" w:hAnsi="Times New Roman"/>
          <w:sz w:val="16"/>
          <w:szCs w:val="16"/>
          <w:color w:val="auto"/>
        </w:rPr>
        <w:t>”) shall be deemed to have exchanged all of its Tranche B-3 Term Loans (or such lesser amount as determined by the Amendment No. 7 Arrangers), which Tranche B-3 Term Loans shall thereafter no longer be deemed to be outstanding, for Tranche B-4 Term Loans in the same aggregate principal amount as such Existing Tranche B-3 Term Loan Lender’s exchanged Tranche B-3 Term Loans, and such Existing Tranche B-3 Term Loan Lender shall thereafter be a Tranche B-4 Term Loan Lender;</w:t>
      </w:r>
    </w:p>
    <w:p>
      <w:pPr>
        <w:spacing w:after="0" w:line="149" w:lineRule="exact"/>
        <w:rPr>
          <w:sz w:val="20"/>
          <w:szCs w:val="20"/>
          <w:color w:val="auto"/>
        </w:rPr>
      </w:pPr>
    </w:p>
    <w:p>
      <w:pPr>
        <w:ind w:left="1140" w:right="1159" w:firstLine="1033"/>
        <w:spacing w:after="0"/>
        <w:rPr>
          <w:sz w:val="20"/>
          <w:szCs w:val="20"/>
          <w:color w:val="auto"/>
        </w:rPr>
      </w:pPr>
      <w:r>
        <w:rPr>
          <w:rFonts w:ascii="Times New Roman" w:cs="Times New Roman" w:eastAsia="Times New Roman" w:hAnsi="Times New Roman"/>
          <w:sz w:val="16"/>
          <w:szCs w:val="16"/>
          <w:color w:val="auto"/>
        </w:rPr>
        <w:t>WHEREAS, upon the effectiveness of this Amendment, each Additional Tranche B-4 Term Loan Lender will make Additional Tranche B-4 Term Loans to the Borrower in Dollars in the amount set forth next to its name on Schedule I hereto (the “</w:t>
      </w:r>
      <w:r>
        <w:rPr>
          <w:rFonts w:ascii="Times New Roman" w:cs="Times New Roman" w:eastAsia="Times New Roman" w:hAnsi="Times New Roman"/>
          <w:sz w:val="16"/>
          <w:szCs w:val="16"/>
          <w:u w:val="single" w:color="auto"/>
          <w:color w:val="auto"/>
        </w:rPr>
        <w:t>Allocation Schedule</w:t>
      </w:r>
      <w:r>
        <w:rPr>
          <w:rFonts w:ascii="Times New Roman" w:cs="Times New Roman" w:eastAsia="Times New Roman" w:hAnsi="Times New Roman"/>
          <w:sz w:val="16"/>
          <w:szCs w:val="16"/>
          <w:color w:val="auto"/>
        </w:rPr>
        <w:t>”), the proceeds of which will be used by the Borrower (i) to repay in full the outstanding principal amount of Existing Term Loans that are not exchanged for Tranche B-4 Term Loans pursuant to the “Cashless Settlement Option” described above, which such non-exchanged Existing Term Loans shall include, for the avoidance of doubt, all Tranche B-1 Term Loans of Existing Tranche B-1 Term Loan Lenders that execute and deliver a Consent to Amendment No. 7 under the “Post-Closing Settlement Option” with respect to their Tranche B-1 Term Loans (each, a “</w:t>
      </w:r>
      <w:r>
        <w:rPr>
          <w:rFonts w:ascii="Times New Roman" w:cs="Times New Roman" w:eastAsia="Times New Roman" w:hAnsi="Times New Roman"/>
          <w:sz w:val="16"/>
          <w:szCs w:val="16"/>
          <w:u w:val="single" w:color="auto"/>
          <w:color w:val="auto"/>
        </w:rPr>
        <w:t>Post-Closing Option Tranche B-1 Lender</w:t>
      </w:r>
      <w:r>
        <w:rPr>
          <w:rFonts w:ascii="Times New Roman" w:cs="Times New Roman" w:eastAsia="Times New Roman" w:hAnsi="Times New Roman"/>
          <w:sz w:val="16"/>
          <w:szCs w:val="16"/>
          <w:color w:val="auto"/>
        </w:rPr>
        <w:t>”) and all Tranche B-3 Term Loans of Existing Tranche B-3 Term Loan Lenders that execute and deliver a Consent to Amendment No. 7 under the “Post-Closing Settlement Option” with respect to their Tranche B-3 Term Loans (each, a “</w:t>
      </w:r>
      <w:r>
        <w:rPr>
          <w:rFonts w:ascii="Times New Roman" w:cs="Times New Roman" w:eastAsia="Times New Roman" w:hAnsi="Times New Roman"/>
          <w:sz w:val="16"/>
          <w:szCs w:val="16"/>
          <w:u w:val="single" w:color="auto"/>
          <w:color w:val="auto"/>
        </w:rPr>
        <w:t>Post-Closing Option Tranche B-3 Lender</w:t>
      </w:r>
      <w:r>
        <w:rPr>
          <w:rFonts w:ascii="Times New Roman" w:cs="Times New Roman" w:eastAsia="Times New Roman" w:hAnsi="Times New Roman"/>
          <w:sz w:val="16"/>
          <w:szCs w:val="16"/>
          <w:color w:val="auto"/>
        </w:rPr>
        <w:t>” and, together with each Post-Closing Option Tranche B-1 Lender, a “</w:t>
      </w:r>
      <w:r>
        <w:rPr>
          <w:rFonts w:ascii="Times New Roman" w:cs="Times New Roman" w:eastAsia="Times New Roman" w:hAnsi="Times New Roman"/>
          <w:sz w:val="16"/>
          <w:szCs w:val="16"/>
          <w:u w:val="single" w:color="auto"/>
          <w:color w:val="auto"/>
        </w:rPr>
        <w:t>Post-Closing Option Tranche B-1/B-3 Lender</w:t>
      </w:r>
      <w:r>
        <w:rPr>
          <w:rFonts w:ascii="Times New Roman" w:cs="Times New Roman" w:eastAsia="Times New Roman" w:hAnsi="Times New Roman"/>
          <w:sz w:val="16"/>
          <w:szCs w:val="16"/>
          <w:color w:val="auto"/>
        </w:rPr>
        <w:t>”); and the Borrower shall pay to each Existing Term Loan Lender all accrued and unpaid interest on the Existing Term Loans to, but not including, the date of effectiveness of this Amendment, (ii) to pay fees, costs and expenses incurred in connection herewith and (iii) for general corporate purposes;</w:t>
      </w:r>
    </w:p>
    <w:p>
      <w:pPr>
        <w:spacing w:after="0" w:line="155" w:lineRule="exact"/>
        <w:rPr>
          <w:sz w:val="20"/>
          <w:szCs w:val="20"/>
          <w:color w:val="auto"/>
        </w:rPr>
      </w:pPr>
    </w:p>
    <w:p>
      <w:pPr>
        <w:jc w:val="both"/>
        <w:ind w:left="1140" w:right="1159" w:firstLine="1033"/>
        <w:spacing w:after="0" w:line="243" w:lineRule="auto"/>
        <w:rPr>
          <w:sz w:val="20"/>
          <w:szCs w:val="20"/>
          <w:color w:val="auto"/>
        </w:rPr>
      </w:pPr>
      <w:r>
        <w:rPr>
          <w:rFonts w:ascii="Times New Roman" w:cs="Times New Roman" w:eastAsia="Times New Roman" w:hAnsi="Times New Roman"/>
          <w:sz w:val="16"/>
          <w:szCs w:val="16"/>
          <w:color w:val="auto"/>
        </w:rPr>
        <w:t xml:space="preserve">WHEREAS, pursuant to </w:t>
      </w:r>
      <w:r>
        <w:rPr>
          <w:rFonts w:ascii="Times New Roman" w:cs="Times New Roman" w:eastAsia="Times New Roman" w:hAnsi="Times New Roman"/>
          <w:sz w:val="16"/>
          <w:szCs w:val="16"/>
          <w:u w:val="single" w:color="auto"/>
          <w:color w:val="auto"/>
        </w:rPr>
        <w:t>Section 13.1</w:t>
      </w:r>
      <w:r>
        <w:rPr>
          <w:rFonts w:ascii="Times New Roman" w:cs="Times New Roman" w:eastAsia="Times New Roman" w:hAnsi="Times New Roman"/>
          <w:sz w:val="16"/>
          <w:szCs w:val="16"/>
          <w:color w:val="auto"/>
        </w:rPr>
        <w:t xml:space="preserve"> of the Credit Agreement, the Borrower wishes to make certain other amendments to the Credit Agreement, as described herein (which amendments shall be deemed to become effective immediately after the making (or deemed making) of the Tranche B-4 Term Loans and the repayment of all Existing Term Loans), and the Lenders party hereto (including each Lender that has delivered a Consent to Amendment No. 7), constituting all Lenders immediately after the making (or deemed making) of the Tranche B-4 Term Loans and the repayment of all Existing Term Loans, are willing to agree to such amendments on the terms and conditions set forth herein; and</w:t>
      </w:r>
    </w:p>
    <w:p>
      <w:pPr>
        <w:spacing w:after="0" w:line="149" w:lineRule="exact"/>
        <w:rPr>
          <w:sz w:val="20"/>
          <w:szCs w:val="20"/>
          <w:color w:val="auto"/>
        </w:rPr>
      </w:pPr>
    </w:p>
    <w:p>
      <w:pPr>
        <w:ind w:left="1140" w:right="1179" w:firstLine="1033"/>
        <w:spacing w:after="0" w:line="244" w:lineRule="auto"/>
        <w:rPr>
          <w:sz w:val="20"/>
          <w:szCs w:val="20"/>
          <w:color w:val="auto"/>
        </w:rPr>
      </w:pPr>
      <w:r>
        <w:rPr>
          <w:rFonts w:ascii="Times New Roman" w:cs="Times New Roman" w:eastAsia="Times New Roman" w:hAnsi="Times New Roman"/>
          <w:sz w:val="16"/>
          <w:szCs w:val="16"/>
          <w:color w:val="auto"/>
        </w:rPr>
        <w:t>WHEREAS, Morgan Stanley Senior Funding, Inc., KKR Capital Markets LLC, Goldman Sachs Bank USA, UBS Securities LLC, Wells Fargo Securities, LLC, BofA Securities, Inc., Crédit Agricole Corporate and Investment Bank, Deutsche Bank Securities Inc., Mizuho Bank, Ltd., BMO Capital Markets Corp., HSBC Securities (USA) Inc., and Jefferies Finance LLC are joint lead arrangers and joint bookrunners for this Amendment and the Tranche B-4 Term Loans (collectively, in such capacities, the “</w:t>
      </w:r>
      <w:r>
        <w:rPr>
          <w:rFonts w:ascii="Times New Roman" w:cs="Times New Roman" w:eastAsia="Times New Roman" w:hAnsi="Times New Roman"/>
          <w:sz w:val="16"/>
          <w:szCs w:val="16"/>
          <w:u w:val="single" w:color="auto"/>
          <w:color w:val="auto"/>
        </w:rPr>
        <w:t>Amendment No. 7 Arrangers</w:t>
      </w:r>
      <w:r>
        <w:rPr>
          <w:rFonts w:ascii="Times New Roman" w:cs="Times New Roman" w:eastAsia="Times New Roman" w:hAnsi="Times New Roman"/>
          <w:sz w:val="16"/>
          <w:szCs w:val="16"/>
          <w:color w:val="auto"/>
        </w:rPr>
        <w:t>”).</w:t>
      </w:r>
    </w:p>
    <w:p>
      <w:pPr>
        <w:spacing w:after="0" w:line="147" w:lineRule="exact"/>
        <w:rPr>
          <w:sz w:val="20"/>
          <w:szCs w:val="20"/>
          <w:color w:val="auto"/>
        </w:rPr>
      </w:pPr>
    </w:p>
    <w:p>
      <w:pPr>
        <w:ind w:left="1140" w:right="1379" w:firstLine="1033"/>
        <w:spacing w:after="0" w:line="253" w:lineRule="auto"/>
        <w:rPr>
          <w:sz w:val="20"/>
          <w:szCs w:val="20"/>
          <w:color w:val="auto"/>
        </w:rPr>
      </w:pPr>
      <w:r>
        <w:rPr>
          <w:rFonts w:ascii="Times New Roman" w:cs="Times New Roman" w:eastAsia="Times New Roman" w:hAnsi="Times New Roman"/>
          <w:sz w:val="16"/>
          <w:szCs w:val="16"/>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b w:val="1"/>
          <w:bCs w:val="1"/>
          <w:u w:val="single" w:color="auto"/>
          <w:color w:val="auto"/>
        </w:rPr>
        <w:t>The Tranche B-4 Term Loan Commitments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ind w:left="1140" w:right="1179" w:firstLine="1040"/>
        <w:spacing w:after="0" w:line="278" w:lineRule="auto"/>
        <w:tabs>
          <w:tab w:leader="none" w:pos="2545"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Additional Tranche B-4 Term Loan Lender party hereto (i) confirms that it has received a copy of the Amended Credit Agreement, this Amendment and the other Credit Documents, together with such other documents and information as it has deemed appropriate to make its own credit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5" w:name="page46"/>
    <w:bookmarkEnd w:id="45"/>
    <w:p>
      <w:pPr>
        <w:ind w:left="1140" w:right="1199"/>
        <w:spacing w:after="0"/>
        <w:rPr>
          <w:sz w:val="20"/>
          <w:szCs w:val="20"/>
          <w:color w:val="auto"/>
        </w:rPr>
      </w:pPr>
      <w:r>
        <w:rPr>
          <w:rFonts w:ascii="Times New Roman" w:cs="Times New Roman" w:eastAsia="Times New Roman" w:hAnsi="Times New Roman"/>
          <w:sz w:val="16"/>
          <w:szCs w:val="16"/>
          <w:color w:val="auto"/>
        </w:rPr>
        <w:t>analysis and decision to enter into this Amendment; (ii) agrees that it will, independently and without reliance upon the Administrative Agent, any other Agent or any other Additional Tranche B-4 Term Loan Lender or any other Lender and based on such documents and information as it shall deem appropriate at the time, continue to make its own credit decisions in taking or not taking action under the Amended Credit Agreement and the other Credit Documents; (iii) appoints and authorizes each of the Administrative Agent and the Collateral Agent to take such action as agent on its behalf and to exercise such powers and discretion under the Amended Credit Agreement and the other Credit Documents as are delegated to the Administrative Agent or the Collateral Agent, as applicable, by the terms thereof, together with such powers and discretion as are reasonably incidental thereto; (iv) agrees that it will perform in accordance with their terms all of the obligations which by the terms of the Amended Credit Agreement are required to be performed by it as a Lender; and (v) requests the Administrative Agent to execute this Amendment in accordance with Section 2.14(a) of the Credit Agreement. Upon the Amendment No. 7 Effective Date, the undersigned Additional Tranche B-4 Term Loan Lender shall become a Lender under the Amended Credit Agreement and shall have the respective Additional Tranche B-4 Term Loan Commitment set forth next to its name on the Allocation Schedule. In addition, if an Existing Term Loan Lender has exercised its “Cashless Settlement Option” or the “Post-Closing Settlement Option” pursuant to their Consent to Amendment No. 7, the amount of such Existing Term Loan Lender’s participation in the Tranche B-4 Term Loans may be less than 100% of the principal amount of such Existing Term Loan Lender’s Existing Term Loans for which such option was selected, based on the Amendment No. 7 Arrangers’ allocation of the Tranche B-4 Term Loans.</w:t>
      </w:r>
    </w:p>
    <w:p>
      <w:pPr>
        <w:spacing w:after="0" w:line="151" w:lineRule="exact"/>
        <w:rPr>
          <w:sz w:val="20"/>
          <w:szCs w:val="20"/>
          <w:color w:val="auto"/>
        </w:rPr>
      </w:pPr>
    </w:p>
    <w:p>
      <w:pPr>
        <w:ind w:left="1140" w:right="1219" w:firstLine="1040"/>
        <w:spacing w:after="0" w:line="253" w:lineRule="auto"/>
        <w:tabs>
          <w:tab w:leader="none" w:pos="2584"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the Administrative Agent and each Tranche B-4 Term Loan Lender hereby agree that the Credit Agreement will be amended to provide for the Tranche B-4 Term Loan Commitments as set forth in this Amendment upon the Amendment No. 7 Effective Date.</w:t>
      </w:r>
    </w:p>
    <w:p>
      <w:pPr>
        <w:spacing w:after="0" w:line="139" w:lineRule="exact"/>
        <w:rPr>
          <w:rFonts w:ascii="Times New Roman" w:cs="Times New Roman" w:eastAsia="Times New Roman" w:hAnsi="Times New Roman"/>
          <w:sz w:val="16"/>
          <w:szCs w:val="16"/>
          <w:color w:val="auto"/>
        </w:rPr>
      </w:pPr>
    </w:p>
    <w:p>
      <w:pPr>
        <w:ind w:left="1140" w:right="1499" w:firstLine="1040"/>
        <w:spacing w:after="0" w:line="268" w:lineRule="auto"/>
        <w:tabs>
          <w:tab w:leader="none" w:pos="2545"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Tranche B-4 Term Loan Lender hereby agrees to provide its Tranche B-4 Term Loan Commitment on the following terms and conditions:</w:t>
      </w:r>
    </w:p>
    <w:p>
      <w:pPr>
        <w:spacing w:after="0" w:line="127" w:lineRule="exact"/>
        <w:rPr>
          <w:rFonts w:ascii="Times New Roman" w:cs="Times New Roman" w:eastAsia="Times New Roman" w:hAnsi="Times New Roman"/>
          <w:sz w:val="16"/>
          <w:szCs w:val="16"/>
          <w:color w:val="auto"/>
        </w:rPr>
      </w:pPr>
    </w:p>
    <w:p>
      <w:pPr>
        <w:ind w:left="1660" w:right="1319" w:firstLine="1036"/>
        <w:spacing w:after="0" w:line="241" w:lineRule="auto"/>
        <w:tabs>
          <w:tab w:leader="none" w:pos="289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Terms Generally</w:t>
      </w:r>
      <w:r>
        <w:rPr>
          <w:rFonts w:ascii="Times New Roman" w:cs="Times New Roman" w:eastAsia="Times New Roman" w:hAnsi="Times New Roman"/>
          <w:sz w:val="16"/>
          <w:szCs w:val="16"/>
          <w:color w:val="auto"/>
        </w:rPr>
        <w:t>. The Tranche B-4 Term Loan Commitments shall be established under Section 2.14(a) of the Credit Agreement as a new Class of Term Loan Commitments. All Tranche B-4 Term Loan Commitments shall (i) constitute Obligations and have all of the benefits thereof; (ii) have terms, rights, remedies, privileges and protections set forth in the Amended Credit Agreement and each of the other Credit Documents; and (iii) be secured by the Liens granted (I) to the Collateral Agent for the benefit of the Secured Parties under the Security Documents and/or (II) to the Secured Parties in their capacity as such (or to any of them). For the avoidance of doubt, the Tranche B-4 Term Loan Commitments shall rank equal in right of payment and of security with all other Commitments and Loans under the Amended Credit Agreement.</w:t>
      </w:r>
    </w:p>
    <w:p>
      <w:pPr>
        <w:spacing w:after="0" w:line="153" w:lineRule="exact"/>
        <w:rPr>
          <w:rFonts w:ascii="Times New Roman" w:cs="Times New Roman" w:eastAsia="Times New Roman" w:hAnsi="Times New Roman"/>
          <w:sz w:val="16"/>
          <w:szCs w:val="16"/>
          <w:color w:val="auto"/>
        </w:rPr>
      </w:pPr>
    </w:p>
    <w:p>
      <w:pPr>
        <w:ind w:left="1660" w:right="1159" w:firstLine="1036"/>
        <w:spacing w:after="0" w:line="242" w:lineRule="auto"/>
        <w:tabs>
          <w:tab w:leader="none" w:pos="289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Tranche B-4 Term Loan Lenders</w:t>
      </w:r>
      <w:r>
        <w:rPr>
          <w:rFonts w:ascii="Times New Roman" w:cs="Times New Roman" w:eastAsia="Times New Roman" w:hAnsi="Times New Roman"/>
          <w:sz w:val="16"/>
          <w:szCs w:val="16"/>
          <w:color w:val="auto"/>
        </w:rPr>
        <w:t>. Each Tranche B-4 Term Loan Lender acknowledges and agrees that upon its execution of this Amendment (or, in the case of a Cashless Option Tranche B-1/B-3 Lender, a Consent to Amendment No. 7) and providing of the respective Tranche B-4 Term Loan Commitments, that such Tranche B-4 Term Loan Lender shall become a “New Term Loan Lender”, a “Term Loan Lender”, a “Tranche B-4 Term Loan Lender”, and a “Lender” under, and for all purposes of, the Amended Credit Agreement and the other Credit Documents, and shall be subject to and bound by the terms thereof, and shall perform all the obligations of and shall have all rights of a New Term Loan Lender, a Term Loan Lender, a Tranche B-4 Term Loan Lender and a Lender thereunder.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6" w:name="page47"/>
    <w:bookmarkEnd w:id="46"/>
    <w:p>
      <w:pPr>
        <w:ind w:left="1660" w:right="1579" w:firstLine="1033"/>
        <w:spacing w:after="0" w:line="253" w:lineRule="auto"/>
        <w:rPr>
          <w:sz w:val="20"/>
          <w:szCs w:val="20"/>
          <w:color w:val="auto"/>
        </w:rPr>
      </w:pPr>
      <w:r>
        <w:rPr>
          <w:rFonts w:ascii="Times New Roman" w:cs="Times New Roman" w:eastAsia="Times New Roman" w:hAnsi="Times New Roman"/>
          <w:sz w:val="16"/>
          <w:szCs w:val="16"/>
          <w:color w:val="auto"/>
        </w:rPr>
        <w:t>(iii)</w:t>
      </w:r>
      <w:r>
        <w:rPr>
          <w:rFonts w:ascii="Times New Roman" w:cs="Times New Roman" w:eastAsia="Times New Roman" w:hAnsi="Times New Roman"/>
          <w:sz w:val="16"/>
          <w:szCs w:val="16"/>
          <w:u w:val="single" w:color="auto"/>
          <w:color w:val="auto"/>
        </w:rPr>
        <w:t>Credit Agreement Governs</w:t>
      </w:r>
      <w:r>
        <w:rPr>
          <w:rFonts w:ascii="Times New Roman" w:cs="Times New Roman" w:eastAsia="Times New Roman" w:hAnsi="Times New Roman"/>
          <w:sz w:val="16"/>
          <w:szCs w:val="16"/>
          <w:color w:val="auto"/>
        </w:rPr>
        <w:t>. Except as set forth in this Amendment, the Tranche B-4 Term Loan Commitments shall otherwise be subject to the provisions of the Amended Credit Agreement and the other Credit Documents.</w:t>
      </w:r>
    </w:p>
    <w:p>
      <w:pPr>
        <w:spacing w:after="0" w:line="1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b w:val="1"/>
          <w:bCs w:val="1"/>
          <w:u w:val="single" w:color="auto"/>
          <w:color w:val="auto"/>
        </w:rPr>
        <w:t>Amendments; Other Agreements</w:t>
      </w:r>
      <w:r>
        <w:rPr>
          <w:rFonts w:ascii="Times New Roman" w:cs="Times New Roman" w:eastAsia="Times New Roman" w:hAnsi="Times New Roman"/>
          <w:sz w:val="16"/>
          <w:szCs w:val="16"/>
          <w:color w:val="auto"/>
        </w:rPr>
        <w:t>. Subject to the occurrence of (and concurrently with) the</w:t>
      </w:r>
    </w:p>
    <w:p>
      <w:pPr>
        <w:spacing w:after="0" w:line="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Amendment No. 7 Effective Date:</w:t>
      </w:r>
    </w:p>
    <w:p>
      <w:pPr>
        <w:spacing w:after="0" w:line="153" w:lineRule="exact"/>
        <w:rPr>
          <w:sz w:val="20"/>
          <w:szCs w:val="20"/>
          <w:color w:val="auto"/>
        </w:rPr>
      </w:pPr>
    </w:p>
    <w:p>
      <w:pPr>
        <w:ind w:left="1140" w:right="1199" w:firstLine="1040"/>
        <w:spacing w:after="0" w:line="245" w:lineRule="auto"/>
        <w:tabs>
          <w:tab w:leader="none" w:pos="254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Each of the parties hereto agrees that, effective on the Amendment No. 7 Effective Date, the Credit Agreement shall be amended to delete the stricken text (indicated textually in the same manner as the following example: </w:t>
      </w:r>
      <w:r>
        <w:rPr>
          <w:rFonts w:ascii="Times New Roman" w:cs="Times New Roman" w:eastAsia="Times New Roman" w:hAnsi="Times New Roman"/>
          <w:sz w:val="16"/>
          <w:szCs w:val="16"/>
          <w:color w:val="FF0000"/>
          <w:strike w:val="1"/>
        </w:rPr>
        <w:t>stricken text</w:t>
      </w:r>
      <w:r>
        <w:rPr>
          <w:rFonts w:ascii="Times New Roman" w:cs="Times New Roman" w:eastAsia="Times New Roman" w:hAnsi="Times New Roman"/>
          <w:sz w:val="16"/>
          <w:szCs w:val="16"/>
          <w:color w:val="auto"/>
        </w:rPr>
        <w:t xml:space="preserve">) and to add the double-underlined text (indicated textually in the same manner as the following example: </w:t>
      </w:r>
      <w:r>
        <w:rPr>
          <w:rFonts w:ascii="Times New Roman" w:cs="Times New Roman" w:eastAsia="Times New Roman" w:hAnsi="Times New Roman"/>
          <w:sz w:val="16"/>
          <w:szCs w:val="16"/>
          <w:u w:val="single" w:color="auto"/>
          <w:color w:val="0000FF"/>
        </w:rPr>
        <w:t>double-underlined text</w:t>
      </w:r>
      <w:r>
        <w:rPr>
          <w:rFonts w:ascii="Times New Roman" w:cs="Times New Roman" w:eastAsia="Times New Roman" w:hAnsi="Times New Roman"/>
          <w:sz w:val="16"/>
          <w:szCs w:val="16"/>
          <w:color w:val="auto"/>
        </w:rPr>
        <w:t xml:space="preserve">) as set forth in the marked copy of the Credit Agreement attached as </w:t>
      </w:r>
      <w:r>
        <w:rPr>
          <w:rFonts w:ascii="Times New Roman" w:cs="Times New Roman" w:eastAsia="Times New Roman" w:hAnsi="Times New Roman"/>
          <w:sz w:val="16"/>
          <w:szCs w:val="16"/>
          <w:u w:val="single" w:color="auto"/>
          <w:color w:val="auto"/>
        </w:rPr>
        <w:t>Exhibit A</w:t>
      </w:r>
      <w:r>
        <w:rPr>
          <w:rFonts w:ascii="Times New Roman" w:cs="Times New Roman" w:eastAsia="Times New Roman" w:hAnsi="Times New Roman"/>
          <w:sz w:val="16"/>
          <w:szCs w:val="16"/>
          <w:color w:val="auto"/>
        </w:rPr>
        <w:t xml:space="preserve"> hereto.</w:t>
      </w:r>
    </w:p>
    <w:p>
      <w:pPr>
        <w:spacing w:after="0" w:line="147" w:lineRule="exact"/>
        <w:rPr>
          <w:rFonts w:ascii="Times New Roman" w:cs="Times New Roman" w:eastAsia="Times New Roman" w:hAnsi="Times New Roman"/>
          <w:sz w:val="16"/>
          <w:szCs w:val="16"/>
          <w:color w:val="auto"/>
        </w:rPr>
      </w:pPr>
    </w:p>
    <w:p>
      <w:pPr>
        <w:ind w:left="1140" w:right="1279" w:firstLine="1040"/>
        <w:spacing w:after="0" w:line="253" w:lineRule="auto"/>
        <w:tabs>
          <w:tab w:leader="none" w:pos="254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Lenders party hereto (or party to a Consent to Amendment No. 7) waive the payment of any breakage loss or expense under Section 2.11 of the Credit Agreement in connection with the repayment of their Existing Term Loans on the Amendment No. 7 Effective Date.</w:t>
      </w:r>
    </w:p>
    <w:p>
      <w:pPr>
        <w:spacing w:after="0" w:line="139" w:lineRule="exact"/>
        <w:rPr>
          <w:rFonts w:ascii="Times New Roman" w:cs="Times New Roman" w:eastAsia="Times New Roman" w:hAnsi="Times New Roman"/>
          <w:sz w:val="16"/>
          <w:szCs w:val="16"/>
          <w:color w:val="auto"/>
        </w:rPr>
      </w:pPr>
    </w:p>
    <w:p>
      <w:pPr>
        <w:ind w:left="1140" w:right="1219" w:firstLine="1040"/>
        <w:spacing w:after="0" w:line="259" w:lineRule="auto"/>
        <w:tabs>
          <w:tab w:leader="none" w:pos="2545"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parties hereto (including each Lender that has delivered a Consent to Amendment No. 7) agree that the transactions hereunder shall be deemed to have occurred as follows: (i) first, the Borrower shall incur (or be deemed to have incurred) the Tranche B-4 Term Loan Commitments and the Tranche B-4 Term Loans thereunder and use the proceeds thereof and cash on hand to refinance all of the Existing Term Loans and (ii) second, Holdings, the Borrower, the Administrative Agent and the Lenders party hereto and the Consents to Amendment No. 7, which collectively constitute all Lenders after giving effect to the transactions described in clause (i) above, consent to the amendments and modifications to the Credit Agreement as set forth herein and in the Amended Credit Agreement and the other matters set forth herein that require the consent of such Lenders, and further ratify all of the amendments and transactions set forth herein and in the Amended Credit Agreement.</w:t>
      </w:r>
    </w:p>
    <w:p>
      <w:pPr>
        <w:spacing w:after="0" w:line="138" w:lineRule="exact"/>
        <w:rPr>
          <w:sz w:val="20"/>
          <w:szCs w:val="20"/>
          <w:color w:val="auto"/>
        </w:rPr>
      </w:pPr>
    </w:p>
    <w:p>
      <w:pPr>
        <w:ind w:left="1140" w:right="1619"/>
        <w:spacing w:after="0" w:line="270" w:lineRule="auto"/>
        <w:rPr>
          <w:sz w:val="20"/>
          <w:szCs w:val="20"/>
          <w:color w:val="auto"/>
        </w:rPr>
      </w:pPr>
      <w:r>
        <w:rPr>
          <w:rFonts w:ascii="Times New Roman" w:cs="Times New Roman" w:eastAsia="Times New Roman" w:hAnsi="Times New Roman"/>
          <w:sz w:val="16"/>
          <w:szCs w:val="16"/>
          <w:u w:val="single" w:color="auto"/>
          <w:color w:val="auto"/>
        </w:rPr>
        <w:t>Section 3.</w:t>
      </w:r>
      <w:r>
        <w:rPr>
          <w:rFonts w:ascii="Times New Roman" w:cs="Times New Roman" w:eastAsia="Times New Roman" w:hAnsi="Times New Roman"/>
          <w:sz w:val="16"/>
          <w:szCs w:val="16"/>
          <w:b w:val="1"/>
          <w:bCs w:val="1"/>
          <w:u w:val="single" w:color="auto"/>
          <w:color w:val="auto"/>
        </w:rPr>
        <w:t>Representations and Warranties</w:t>
      </w:r>
      <w:r>
        <w:rPr>
          <w:rFonts w:ascii="Times New Roman" w:cs="Times New Roman" w:eastAsia="Times New Roman" w:hAnsi="Times New Roman"/>
          <w:sz w:val="16"/>
          <w:szCs w:val="16"/>
          <w:color w:val="auto"/>
        </w:rPr>
        <w:t>. Each Credit Party party hereto hereby represents and warrants to the Agents and the Lenders as of the Amendment No. 7 Effective Date that:</w:t>
      </w:r>
    </w:p>
    <w:p>
      <w:pPr>
        <w:spacing w:after="0" w:line="126" w:lineRule="exact"/>
        <w:rPr>
          <w:sz w:val="20"/>
          <w:szCs w:val="20"/>
          <w:color w:val="auto"/>
        </w:rPr>
      </w:pPr>
    </w:p>
    <w:p>
      <w:pPr>
        <w:ind w:left="1140" w:right="1179" w:firstLine="1040"/>
        <w:spacing w:after="0" w:line="253" w:lineRule="auto"/>
        <w:tabs>
          <w:tab w:leader="none" w:pos="254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such Credit Party has taken all necessary organizational action to authorize the execution and delivery of this Amendment and the performance of the obligations by each such Credit Party under this Amendment and under the Amended Credit Agreement.</w:t>
      </w:r>
    </w:p>
    <w:p>
      <w:pPr>
        <w:spacing w:after="0" w:line="139" w:lineRule="exact"/>
        <w:rPr>
          <w:rFonts w:ascii="Times New Roman" w:cs="Times New Roman" w:eastAsia="Times New Roman" w:hAnsi="Times New Roman"/>
          <w:sz w:val="16"/>
          <w:szCs w:val="16"/>
          <w:color w:val="auto"/>
        </w:rPr>
      </w:pPr>
    </w:p>
    <w:p>
      <w:pPr>
        <w:ind w:left="1140" w:right="1279" w:firstLine="1040"/>
        <w:spacing w:after="0" w:line="270" w:lineRule="auto"/>
        <w:tabs>
          <w:tab w:leader="none" w:pos="254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such Credit Party has duly executed and delivered this Amendment and this Amendment constitutes the legal, valid and binding obligation of such Credit Party enforceable in accordance with its terms, except as the enforceability thereof may be limited by bankruptcy, insolvency or similar laws affecting creditors’ rights generally and subject to general principles of equity.</w:t>
      </w:r>
    </w:p>
    <w:p>
      <w:pPr>
        <w:spacing w:after="0" w:line="127" w:lineRule="exact"/>
        <w:rPr>
          <w:rFonts w:ascii="Times New Roman" w:cs="Times New Roman" w:eastAsia="Times New Roman" w:hAnsi="Times New Roman"/>
          <w:sz w:val="15"/>
          <w:szCs w:val="15"/>
          <w:color w:val="auto"/>
        </w:rPr>
      </w:pPr>
    </w:p>
    <w:p>
      <w:pPr>
        <w:ind w:left="1140" w:right="1219" w:firstLine="1040"/>
        <w:spacing w:after="0" w:line="259" w:lineRule="auto"/>
        <w:tabs>
          <w:tab w:leader="none" w:pos="254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delivery and performance by each such Credit Party of this Amendment and the performance of the obligations by such Credit Party under the Amended Credit Agreement will not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any Credit Party or any of the Restricted Subsidiaries (other than Liens created under the Credit Documents) pursuant to, the terms of any material indenture, loan agreement, lease agreement, mortgage, deed of trust, agreement or other material instrument to which such Credit Party or any of the Restricted Subsidiaries is a party or by which it or any of its property or assets is bound other than any such breach, default or Lien that could not reasonably be expected to result in a Material Adverse Effect or (c) violate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7" w:name="page48"/>
    <w:bookmarkEnd w:id="47"/>
    <w:p>
      <w:pPr>
        <w:ind w:left="1140" w:right="1179"/>
        <w:spacing w:after="0" w:line="268" w:lineRule="auto"/>
        <w:rPr>
          <w:sz w:val="20"/>
          <w:szCs w:val="20"/>
          <w:color w:val="auto"/>
        </w:rPr>
      </w:pPr>
      <w:r>
        <w:rPr>
          <w:rFonts w:ascii="Times New Roman" w:cs="Times New Roman" w:eastAsia="Times New Roman" w:hAnsi="Times New Roman"/>
          <w:sz w:val="16"/>
          <w:szCs w:val="16"/>
          <w:color w:val="auto"/>
        </w:rPr>
        <w:t>any provision of the certificate of incorporation, by-laws or other organizational documents of such Credit Party or any of the Restricted Subsidiaries.</w:t>
      </w:r>
    </w:p>
    <w:p>
      <w:pPr>
        <w:spacing w:after="0" w:line="127" w:lineRule="exact"/>
        <w:rPr>
          <w:sz w:val="20"/>
          <w:szCs w:val="20"/>
          <w:color w:val="auto"/>
        </w:rPr>
      </w:pPr>
    </w:p>
    <w:p>
      <w:pPr>
        <w:ind w:left="1140" w:right="1179" w:firstLine="1040"/>
        <w:spacing w:after="0" w:line="241" w:lineRule="auto"/>
        <w:tabs>
          <w:tab w:leader="none" w:pos="2545"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and after giving effect to this Amendment and the establishment and funding of the Tranche B-4 Term Loans, the representations and warranties made by any Credit Party contained in the Credit Agreement and in the other Credit Documents are true and correct in all material respects (or if qualified by “materiality,” “material adverse effect” or similar language, in all respects (after giving effect to such qualification)) with the same effect as though such representations and warranties had been made on and as of the Amendment No. 7 Effective Date, except where such representations and warranties expressly relate to an earlier date, in which case such representations and warranties were true and correct in all material respects (or if qualified by “materiality,” “material adverse effect” or similar language, in all respects (after giving effect to such qualification)) as of such earlier date.</w:t>
      </w:r>
    </w:p>
    <w:p>
      <w:pPr>
        <w:spacing w:after="0" w:line="153" w:lineRule="exact"/>
        <w:rPr>
          <w:rFonts w:ascii="Times New Roman" w:cs="Times New Roman" w:eastAsia="Times New Roman" w:hAnsi="Times New Roman"/>
          <w:sz w:val="16"/>
          <w:szCs w:val="16"/>
          <w:color w:val="auto"/>
        </w:rPr>
      </w:pPr>
    </w:p>
    <w:p>
      <w:pPr>
        <w:ind w:left="1140" w:right="1239" w:firstLine="1040"/>
        <w:spacing w:after="0" w:line="301" w:lineRule="auto"/>
        <w:tabs>
          <w:tab w:leader="none" w:pos="2545"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of and after giving effect to this Amendment and the establishment and funding of the Tranche B-4 Term Loans, no Default or Event of Default has occurred and is continuing.</w:t>
      </w:r>
    </w:p>
    <w:p>
      <w:pPr>
        <w:spacing w:after="0" w:line="103" w:lineRule="exact"/>
        <w:rPr>
          <w:sz w:val="20"/>
          <w:szCs w:val="20"/>
          <w:color w:val="auto"/>
        </w:rPr>
      </w:pPr>
    </w:p>
    <w:p>
      <w:pPr>
        <w:ind w:left="1140" w:right="1279"/>
        <w:spacing w:after="0" w:line="270" w:lineRule="auto"/>
        <w:rPr>
          <w:sz w:val="20"/>
          <w:szCs w:val="20"/>
          <w:color w:val="auto"/>
        </w:rPr>
      </w:pP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b w:val="1"/>
          <w:bCs w:val="1"/>
          <w:u w:val="single" w:color="auto"/>
          <w:color w:val="auto"/>
        </w:rPr>
        <w:t>Conditions to Effectiveness of Amendment</w:t>
      </w:r>
      <w:r>
        <w:rPr>
          <w:rFonts w:ascii="Times New Roman" w:cs="Times New Roman" w:eastAsia="Times New Roman" w:hAnsi="Times New Roman"/>
          <w:sz w:val="16"/>
          <w:szCs w:val="16"/>
          <w:color w:val="auto"/>
        </w:rPr>
        <w:t>. This Amendment shall become effective on the first Business Day on which each of the following conditions is satisfied:</w:t>
      </w:r>
    </w:p>
    <w:p>
      <w:pPr>
        <w:spacing w:after="0" w:line="126" w:lineRule="exact"/>
        <w:rPr>
          <w:sz w:val="20"/>
          <w:szCs w:val="20"/>
          <w:color w:val="auto"/>
        </w:rPr>
      </w:pPr>
    </w:p>
    <w:p>
      <w:pPr>
        <w:ind w:left="1140" w:right="1219" w:firstLine="1040"/>
        <w:spacing w:after="0" w:line="241" w:lineRule="auto"/>
        <w:tabs>
          <w:tab w:leader="none" w:pos="254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(i) (I) from each Cashless Option Tranche B-1/B-3 Lender, (II) from Additional Tranche B-4 Term Loan Lenders having Additional Tranche B-4 Term Loan Commitments equal in principal amount to the sum of (x) the principal amount of Existing Term Loans held by Non-Consenting Existing Tranche B-1/B-3 Term Loan Lenders plus (y) the principal amount of Existing Term Loans for which the “Post-Closing Settlement Option” was selected and (III) from each Revolving Credit Lender and 2020 Additional Revolving Credit Lender, which Lenders described in this clause (i) shall collectively constitute all Lenders after giving effect to this Amendment, (ii) from the Administrative Agent, and (iii) from the Borrower and Holdings, either (x) a counterpart of this Amendment (or, in the case of such Cashless Option Tranche B-1/B-3 Lenders, a Consent to Amendment No. 7) signed on behalf of such party or (y) written evidence satisfactory to the Administrative Agent (which may include telecopy or other electronic transmission of a signed signature page of this Amendment) that such party has signed a counterpart of this Amendment;</w:t>
      </w:r>
    </w:p>
    <w:p>
      <w:pPr>
        <w:spacing w:after="0" w:line="150" w:lineRule="exact"/>
        <w:rPr>
          <w:rFonts w:ascii="Times New Roman" w:cs="Times New Roman" w:eastAsia="Times New Roman" w:hAnsi="Times New Roman"/>
          <w:sz w:val="16"/>
          <w:szCs w:val="16"/>
          <w:color w:val="auto"/>
        </w:rPr>
      </w:pPr>
    </w:p>
    <w:p>
      <w:pPr>
        <w:ind w:left="1140" w:right="1179" w:firstLine="1040"/>
        <w:spacing w:after="0" w:line="242" w:lineRule="auto"/>
        <w:tabs>
          <w:tab w:leader="none" w:pos="254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Borrower shall have paid (or caused to have been paid) to (i) all Existing Term Loan Lenders on the Amendment No. 7 Effective Date, simultaneously with the making (or deemed making) of Tranche B-4 Term Loans under the Amended Credit Agreement, all accrued and unpaid interest on the Existing Term Loans to, but not including, the Amendment No. 7 Effective Date and (ii) all Non-Consenting Existing Tranche B-1/B-3 Term Loan Lenders and all Post-Closing Option Tranche B-1/B-3 Lenders on the Amendment No. 7 Effective Date, simultaneously with the making (or deemed making) of Tranche B-4 Term Loans under the Amended Credit Agreement, all outstanding principal of their Existing Term Loans as of the Amendment No. 7 Effective Date;</w:t>
      </w:r>
    </w:p>
    <w:p>
      <w:pPr>
        <w:spacing w:after="0" w:line="151" w:lineRule="exact"/>
        <w:rPr>
          <w:rFonts w:ascii="Times New Roman" w:cs="Times New Roman" w:eastAsia="Times New Roman" w:hAnsi="Times New Roman"/>
          <w:sz w:val="16"/>
          <w:szCs w:val="16"/>
          <w:color w:val="auto"/>
        </w:rPr>
      </w:pPr>
    </w:p>
    <w:p>
      <w:pPr>
        <w:ind w:left="1140" w:right="1299" w:firstLine="1040"/>
        <w:spacing w:after="0" w:line="253" w:lineRule="auto"/>
        <w:tabs>
          <w:tab w:leader="none" w:pos="254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the executed legal opinion of Simpson Thacher &amp; Bartlett LLP, special counsel to the Credit Parties. The Borrower, Holdings and the Administrative Agent hereby instruct such counsel to deliver such legal opinion;</w:t>
      </w:r>
    </w:p>
    <w:p>
      <w:pPr>
        <w:spacing w:after="0" w:line="139" w:lineRule="exact"/>
        <w:rPr>
          <w:rFonts w:ascii="Times New Roman" w:cs="Times New Roman" w:eastAsia="Times New Roman" w:hAnsi="Times New Roman"/>
          <w:sz w:val="16"/>
          <w:szCs w:val="16"/>
          <w:color w:val="auto"/>
        </w:rPr>
      </w:pPr>
    </w:p>
    <w:p>
      <w:pPr>
        <w:ind w:left="1140" w:right="1239" w:firstLine="1040"/>
        <w:spacing w:after="0" w:line="270" w:lineRule="auto"/>
        <w:tabs>
          <w:tab w:leader="none" w:pos="2545"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shall have paid (i) the Amendment No. 7 Arrangers and the Tranche B-4 Term Loan Lenders the fees in the amounts previously agreed in writing to be received on the Amendment No. 7 Effective Date and (ii) the Administrative Agent all reasonable costs and expenses (including, without limitation the reasonable fees, charges and disbursements of Latham &amp; Watkins LLP,</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8" w:name="page49"/>
    <w:bookmarkEnd w:id="48"/>
    <w:p>
      <w:pPr>
        <w:ind w:left="1140" w:right="1279"/>
        <w:spacing w:after="0" w:line="268" w:lineRule="auto"/>
        <w:rPr>
          <w:sz w:val="20"/>
          <w:szCs w:val="20"/>
          <w:color w:val="auto"/>
        </w:rPr>
      </w:pPr>
      <w:r>
        <w:rPr>
          <w:rFonts w:ascii="Times New Roman" w:cs="Times New Roman" w:eastAsia="Times New Roman" w:hAnsi="Times New Roman"/>
          <w:sz w:val="16"/>
          <w:szCs w:val="16"/>
          <w:color w:val="auto"/>
        </w:rPr>
        <w:t>counsel for the Administrative Agent and the Amendment No. 7 Arrangers) of the Administrative Agent for which invoices have been presented prior to the Amendment No. 7 Effective Date;</w:t>
      </w:r>
    </w:p>
    <w:p>
      <w:pPr>
        <w:spacing w:after="0" w:line="127" w:lineRule="exact"/>
        <w:rPr>
          <w:sz w:val="20"/>
          <w:szCs w:val="20"/>
          <w:color w:val="auto"/>
        </w:rPr>
      </w:pPr>
    </w:p>
    <w:p>
      <w:pPr>
        <w:ind w:left="2560" w:hanging="380"/>
        <w:spacing w:after="0"/>
        <w:tabs>
          <w:tab w:leader="none" w:pos="25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representations and warranties set forth in Section 3 above shall be true and</w:t>
      </w:r>
    </w:p>
    <w:p>
      <w:pPr>
        <w:spacing w:after="0" w:line="1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correct;</w:t>
      </w:r>
    </w:p>
    <w:p>
      <w:pPr>
        <w:spacing w:after="0" w:line="153" w:lineRule="exact"/>
        <w:rPr>
          <w:sz w:val="20"/>
          <w:szCs w:val="20"/>
          <w:color w:val="auto"/>
        </w:rPr>
      </w:pPr>
    </w:p>
    <w:p>
      <w:pPr>
        <w:ind w:left="1140" w:right="1199" w:firstLine="1040"/>
        <w:spacing w:after="0"/>
        <w:tabs>
          <w:tab w:leader="none" w:pos="25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(or its counsel) shall have received (A) a certificate of each of (x) Holdings and the Borrower, dated as of the Amendment No. 7 Effective Date, substantially in the form of </w:t>
      </w:r>
      <w:r>
        <w:rPr>
          <w:rFonts w:ascii="Times New Roman" w:cs="Times New Roman" w:eastAsia="Times New Roman" w:hAnsi="Times New Roman"/>
          <w:sz w:val="16"/>
          <w:szCs w:val="16"/>
          <w:u w:val="single" w:color="auto"/>
          <w:color w:val="auto"/>
        </w:rPr>
        <w:t>Exhibit E</w:t>
      </w:r>
      <w:r>
        <w:rPr>
          <w:rFonts w:ascii="Times New Roman" w:cs="Times New Roman" w:eastAsia="Times New Roman" w:hAnsi="Times New Roman"/>
          <w:sz w:val="16"/>
          <w:szCs w:val="16"/>
          <w:color w:val="auto"/>
        </w:rPr>
        <w:t xml:space="preserve"> to the Credit Agreement, with appropriate insertions, executed by any Authorized Officer and the Secretary or any Assistant Secretary of Holdings and the Borrower, as applicable, and attaching the documents referred to in the following clause (B) and (B) (w) a copy of the resolutions of the board of directors or other managers of Holdings and the Borrower authorizing (I) the execution, delivery, and performance of this Amendment (and any agreements relating thereto) to which it is a party and the performance of the obligations under the Amended Credit Agreement and (II) in the case of the Borrower, the extensions of credit contemplated hereunder, (x) the Certificate of Incorporation and By-Laws or other comparable organizational documents, as applicable, of Holdings and the Borrower, (y) signature and incumbency certificates of the Authorized Officers of Holdings and the Borrower executing this Amendment and the other Credit Documents to which it is a party, and (z) a good standing certificate from the relevant Governmental Authority of the jurisdiction of organization of the Borrower and Holdings, dated the Amendment No. 7 Effective Date or a recent date prior thereto;</w:t>
      </w:r>
    </w:p>
    <w:p>
      <w:pPr>
        <w:spacing w:after="0" w:line="157" w:lineRule="exact"/>
        <w:rPr>
          <w:rFonts w:ascii="Times New Roman" w:cs="Times New Roman" w:eastAsia="Times New Roman" w:hAnsi="Times New Roman"/>
          <w:sz w:val="16"/>
          <w:szCs w:val="16"/>
          <w:color w:val="auto"/>
        </w:rPr>
      </w:pPr>
    </w:p>
    <w:p>
      <w:pPr>
        <w:ind w:left="1140" w:right="1279" w:firstLine="1040"/>
        <w:spacing w:after="0" w:line="268" w:lineRule="auto"/>
        <w:tabs>
          <w:tab w:leader="none" w:pos="25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a Notice of Borrowing in respect of the Tranche B-4 Term Loans in accordance with Section 2.3 of the Amended Credit Agreement;</w:t>
      </w:r>
    </w:p>
    <w:p>
      <w:pPr>
        <w:spacing w:after="0" w:line="127" w:lineRule="exact"/>
        <w:rPr>
          <w:rFonts w:ascii="Times New Roman" w:cs="Times New Roman" w:eastAsia="Times New Roman" w:hAnsi="Times New Roman"/>
          <w:sz w:val="16"/>
          <w:szCs w:val="16"/>
          <w:color w:val="auto"/>
        </w:rPr>
      </w:pPr>
    </w:p>
    <w:p>
      <w:pPr>
        <w:ind w:left="1140" w:right="1319" w:firstLine="1040"/>
        <w:spacing w:after="0" w:line="245" w:lineRule="auto"/>
        <w:tabs>
          <w:tab w:leader="none" w:pos="25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Administrative Agent shall have received a certificate of the Borrower certifying that after giving effect to the incurrence of the Tranche B-4 Term Loan Commitments, the Borrower has not incurred Indebtedness pursuant to </w:t>
      </w:r>
      <w:r>
        <w:rPr>
          <w:rFonts w:ascii="Times New Roman" w:cs="Times New Roman" w:eastAsia="Times New Roman" w:hAnsi="Times New Roman"/>
          <w:sz w:val="16"/>
          <w:szCs w:val="16"/>
          <w:u w:val="single" w:color="auto"/>
          <w:color w:val="auto"/>
        </w:rPr>
        <w:t>Section 2.14</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10.1(x)</w:t>
      </w:r>
      <w:r>
        <w:rPr>
          <w:rFonts w:ascii="Times New Roman" w:cs="Times New Roman" w:eastAsia="Times New Roman" w:hAnsi="Times New Roman"/>
          <w:sz w:val="16"/>
          <w:szCs w:val="16"/>
          <w:color w:val="auto"/>
        </w:rPr>
        <w:t xml:space="preserve"> of the Credit Agreement in excess of the Maximum Incremental Facilities Amount, calculated in accordance with the terms of the Credit Agreement;</w:t>
      </w:r>
    </w:p>
    <w:p>
      <w:pPr>
        <w:spacing w:after="0" w:line="147" w:lineRule="exact"/>
        <w:rPr>
          <w:rFonts w:ascii="Times New Roman" w:cs="Times New Roman" w:eastAsia="Times New Roman" w:hAnsi="Times New Roman"/>
          <w:sz w:val="16"/>
          <w:szCs w:val="16"/>
          <w:color w:val="auto"/>
        </w:rPr>
      </w:pPr>
    </w:p>
    <w:p>
      <w:pPr>
        <w:ind w:left="1140" w:right="1239" w:firstLine="1040"/>
        <w:spacing w:after="0" w:line="245" w:lineRule="auto"/>
        <w:tabs>
          <w:tab w:leader="none" w:pos="25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Administrative Agent shall have received a certificate from the Chief Executive Officer, President, the Chief Financial Officer, the Treasurer, the Vice President-Finance, a Director, a Manager or any other senior financial officer of the Borrower to the effect that after giving effect to the transactions contemplated by this Amendment, the Borrower on a consolidated basis with its Restricted Subsidiaries is Solvent;</w:t>
      </w:r>
    </w:p>
    <w:p>
      <w:pPr>
        <w:spacing w:after="0" w:line="147" w:lineRule="exact"/>
        <w:rPr>
          <w:rFonts w:ascii="Times New Roman" w:cs="Times New Roman" w:eastAsia="Times New Roman" w:hAnsi="Times New Roman"/>
          <w:sz w:val="16"/>
          <w:szCs w:val="16"/>
          <w:color w:val="auto"/>
        </w:rPr>
      </w:pPr>
    </w:p>
    <w:p>
      <w:pPr>
        <w:ind w:left="1140" w:right="1179" w:firstLine="1040"/>
        <w:spacing w:after="0" w:line="244" w:lineRule="auto"/>
        <w:tabs>
          <w:tab w:leader="none" w:pos="25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Tranche B-4 Term Loan Lenders shall have received prior to the Amendment No. 7 Effective Date such documentation and other information about the Borrower and the Guarantors as shall have been reasonably requested in writing by such Lender at least 10 days prior to the Amendment No. 7 Effective Date and as required by U.S. regulatory authorities under applicable “know your customer” and anti-money laundering rules and regulations, including, without limitation, the Patriot Act; and</w:t>
      </w:r>
    </w:p>
    <w:p>
      <w:pPr>
        <w:spacing w:after="0" w:line="147" w:lineRule="exact"/>
        <w:rPr>
          <w:rFonts w:ascii="Times New Roman" w:cs="Times New Roman" w:eastAsia="Times New Roman" w:hAnsi="Times New Roman"/>
          <w:sz w:val="16"/>
          <w:szCs w:val="16"/>
          <w:color w:val="auto"/>
        </w:rPr>
      </w:pPr>
    </w:p>
    <w:p>
      <w:pPr>
        <w:ind w:left="1140" w:right="1279" w:firstLine="1040"/>
        <w:spacing w:after="0" w:line="245" w:lineRule="auto"/>
        <w:tabs>
          <w:tab w:leader="none" w:pos="25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Borrower qualifies as a “legal entity customer” under the Beneficial Ownership Regulation and any Tranche B-4 Term Loan Lender has provided its electronic delivery requirements, such Lender requesting a Beneficial Ownership Certification in writing to the Borrower at least 10 days prior to the Amendment No. 7 Effective Date shall have received prior to the Amendment No. 7 Effective Date, a Beneficial Ownership Certification in relation to the Borrower.</w:t>
      </w:r>
    </w:p>
    <w:p>
      <w:pPr>
        <w:spacing w:after="0" w:line="146" w:lineRule="exact"/>
        <w:rPr>
          <w:sz w:val="20"/>
          <w:szCs w:val="20"/>
          <w:color w:val="auto"/>
        </w:rPr>
      </w:pPr>
    </w:p>
    <w:p>
      <w:pPr>
        <w:ind w:left="1140" w:right="1359"/>
        <w:spacing w:after="0" w:line="304" w:lineRule="auto"/>
        <w:rPr>
          <w:sz w:val="20"/>
          <w:szCs w:val="20"/>
          <w:color w:val="auto"/>
        </w:rPr>
      </w:pPr>
      <w:r>
        <w:rPr>
          <w:rFonts w:ascii="Times New Roman" w:cs="Times New Roman" w:eastAsia="Times New Roman" w:hAnsi="Times New Roman"/>
          <w:sz w:val="15"/>
          <w:szCs w:val="15"/>
          <w:u w:val="single" w:color="auto"/>
          <w:color w:val="auto"/>
        </w:rPr>
        <w:t>Section 5.</w:t>
      </w:r>
      <w:r>
        <w:rPr>
          <w:rFonts w:ascii="Times New Roman" w:cs="Times New Roman" w:eastAsia="Times New Roman" w:hAnsi="Times New Roman"/>
          <w:sz w:val="15"/>
          <w:szCs w:val="15"/>
          <w:b w:val="1"/>
          <w:bCs w:val="1"/>
          <w:u w:val="single" w:color="auto"/>
          <w:color w:val="auto"/>
        </w:rPr>
        <w:t>Tax Forms</w:t>
      </w:r>
      <w:r>
        <w:rPr>
          <w:rFonts w:ascii="Times New Roman" w:cs="Times New Roman" w:eastAsia="Times New Roman" w:hAnsi="Times New Roman"/>
          <w:sz w:val="15"/>
          <w:szCs w:val="15"/>
          <w:color w:val="auto"/>
        </w:rPr>
        <w:t>. To the extent not previously delivered, delivered herewith to the Administrative Agent are such forms, certificates or other evidence with respect to United States federal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9" w:name="page50"/>
    <w:bookmarkEnd w:id="49"/>
    <w:p>
      <w:pPr>
        <w:ind w:left="1140" w:right="1299" w:firstLine="351"/>
        <w:spacing w:after="0" w:line="268" w:lineRule="auto"/>
        <w:rPr>
          <w:sz w:val="20"/>
          <w:szCs w:val="20"/>
          <w:color w:val="auto"/>
        </w:rPr>
      </w:pPr>
      <w:r>
        <w:rPr>
          <w:rFonts w:ascii="Times New Roman" w:cs="Times New Roman" w:eastAsia="Times New Roman" w:hAnsi="Times New Roman"/>
          <w:sz w:val="16"/>
          <w:szCs w:val="16"/>
          <w:color w:val="auto"/>
        </w:rPr>
        <w:t>income tax withholding matters as the Tranche B-4 Term Loan Lenders may be required to deliver to the Administrative Agent pursuant to Section 5.4(e) of the Credit Agreement.</w:t>
      </w:r>
    </w:p>
    <w:p>
      <w:pPr>
        <w:spacing w:after="0" w:line="125" w:lineRule="exact"/>
        <w:rPr>
          <w:sz w:val="20"/>
          <w:szCs w:val="20"/>
          <w:color w:val="auto"/>
        </w:rPr>
      </w:pPr>
    </w:p>
    <w:p>
      <w:pPr>
        <w:ind w:left="1140" w:right="1279"/>
        <w:spacing w:after="0" w:line="254" w:lineRule="auto"/>
        <w:rPr>
          <w:sz w:val="20"/>
          <w:szCs w:val="20"/>
          <w:color w:val="auto"/>
        </w:rPr>
      </w:pPr>
      <w:r>
        <w:rPr>
          <w:rFonts w:ascii="Times New Roman" w:cs="Times New Roman" w:eastAsia="Times New Roman" w:hAnsi="Times New Roman"/>
          <w:sz w:val="16"/>
          <w:szCs w:val="16"/>
          <w:u w:val="single" w:color="auto"/>
          <w:color w:val="auto"/>
        </w:rPr>
        <w:t>Section 6.</w:t>
      </w:r>
      <w:r>
        <w:rPr>
          <w:rFonts w:ascii="Times New Roman" w:cs="Times New Roman" w:eastAsia="Times New Roman" w:hAnsi="Times New Roman"/>
          <w:sz w:val="16"/>
          <w:szCs w:val="16"/>
          <w:b w:val="1"/>
          <w:bCs w:val="1"/>
          <w:u w:val="single" w:color="auto"/>
          <w:color w:val="auto"/>
        </w:rPr>
        <w:t>Recordation of the Tranche B-4 Term Loan Commitments</w:t>
      </w:r>
      <w:r>
        <w:rPr>
          <w:rFonts w:ascii="Times New Roman" w:cs="Times New Roman" w:eastAsia="Times New Roman" w:hAnsi="Times New Roman"/>
          <w:sz w:val="16"/>
          <w:szCs w:val="16"/>
          <w:color w:val="auto"/>
        </w:rPr>
        <w:t>. Upon execution and delivery hereof, the Administrative Agent will record each Tranche B-4 Term Loan Commitment provided by the relevant Tranche B-4 Term Loan Lender in the Register.</w:t>
      </w:r>
    </w:p>
    <w:p>
      <w:pPr>
        <w:spacing w:after="0" w:line="137" w:lineRule="exact"/>
        <w:rPr>
          <w:sz w:val="20"/>
          <w:szCs w:val="20"/>
          <w:color w:val="auto"/>
        </w:rPr>
      </w:pPr>
    </w:p>
    <w:p>
      <w:pPr>
        <w:ind w:left="1140" w:right="1259"/>
        <w:spacing w:after="0" w:line="270" w:lineRule="auto"/>
        <w:rPr>
          <w:sz w:val="20"/>
          <w:szCs w:val="20"/>
          <w:color w:val="auto"/>
        </w:rPr>
      </w:pPr>
      <w:r>
        <w:rPr>
          <w:rFonts w:ascii="Times New Roman" w:cs="Times New Roman" w:eastAsia="Times New Roman" w:hAnsi="Times New Roman"/>
          <w:sz w:val="16"/>
          <w:szCs w:val="16"/>
          <w:u w:val="single" w:color="auto"/>
          <w:color w:val="auto"/>
        </w:rPr>
        <w:t>Section 7.</w:t>
      </w:r>
      <w:r>
        <w:rPr>
          <w:rFonts w:ascii="Times New Roman" w:cs="Times New Roman" w:eastAsia="Times New Roman" w:hAnsi="Times New Roman"/>
          <w:sz w:val="16"/>
          <w:szCs w:val="16"/>
          <w:b w:val="1"/>
          <w:bCs w:val="1"/>
          <w:u w:val="single" w:color="auto"/>
          <w:color w:val="auto"/>
        </w:rPr>
        <w:t>Amendment, Modification and Waiver</w:t>
      </w:r>
      <w:r>
        <w:rPr>
          <w:rFonts w:ascii="Times New Roman" w:cs="Times New Roman" w:eastAsia="Times New Roman" w:hAnsi="Times New Roman"/>
          <w:sz w:val="16"/>
          <w:szCs w:val="16"/>
          <w:color w:val="auto"/>
        </w:rPr>
        <w:t>. This Amendment may not be amended, modified or waived except in accordance with Section 13.1 of the Amended Credit Agreement.</w:t>
      </w:r>
    </w:p>
    <w:p>
      <w:pPr>
        <w:spacing w:after="0" w:line="124" w:lineRule="exact"/>
        <w:rPr>
          <w:sz w:val="20"/>
          <w:szCs w:val="20"/>
          <w:color w:val="auto"/>
        </w:rPr>
      </w:pPr>
    </w:p>
    <w:p>
      <w:pPr>
        <w:ind w:left="1140" w:right="1179"/>
        <w:spacing w:after="0" w:line="249" w:lineRule="auto"/>
        <w:rPr>
          <w:sz w:val="20"/>
          <w:szCs w:val="20"/>
          <w:color w:val="auto"/>
        </w:rPr>
      </w:pP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b w:val="1"/>
          <w:bCs w:val="1"/>
          <w:u w:val="single" w:color="auto"/>
          <w:color w:val="auto"/>
        </w:rPr>
        <w:t>Entire Agreement</w:t>
      </w:r>
      <w:r>
        <w:rPr>
          <w:rFonts w:ascii="Times New Roman" w:cs="Times New Roman" w:eastAsia="Times New Roman" w:hAnsi="Times New Roman"/>
          <w:sz w:val="16"/>
          <w:szCs w:val="16"/>
          <w:color w:val="auto"/>
        </w:rPr>
        <w:t>. This Amendment, the Amended Credit Agreement and the other Credit Documents constitute the entire agreement among the parties with respect to the subject matter hereof and thereof and supersede all other prior agreements and understandings, both written and verbal, among the parties or any of them with respect to the subject matter hereof.</w:t>
      </w:r>
    </w:p>
    <w:p>
      <w:pPr>
        <w:spacing w:after="0" w:line="151" w:lineRule="exact"/>
        <w:rPr>
          <w:sz w:val="20"/>
          <w:szCs w:val="20"/>
          <w:color w:val="auto"/>
        </w:rPr>
      </w:pPr>
    </w:p>
    <w:p>
      <w:pPr>
        <w:ind w:left="1140" w:right="1179"/>
        <w:spacing w:after="0" w:line="267" w:lineRule="auto"/>
        <w:rPr>
          <w:sz w:val="20"/>
          <w:szCs w:val="20"/>
          <w:color w:val="auto"/>
        </w:rPr>
      </w:pPr>
      <w:r>
        <w:rPr>
          <w:rFonts w:ascii="Times New Roman" w:cs="Times New Roman" w:eastAsia="Times New Roman" w:hAnsi="Times New Roman"/>
          <w:sz w:val="15"/>
          <w:szCs w:val="15"/>
          <w:color w:val="auto"/>
        </w:rPr>
        <w:t xml:space="preserve">Section 9. </w:t>
      </w:r>
      <w:r>
        <w:rPr>
          <w:rFonts w:ascii="Times New Roman" w:cs="Times New Roman" w:eastAsia="Times New Roman" w:hAnsi="Times New Roman"/>
          <w:sz w:val="15"/>
          <w:szCs w:val="15"/>
          <w:b w:val="1"/>
          <w:bCs w:val="1"/>
          <w:u w:val="single" w:color="auto"/>
          <w:color w:val="auto"/>
        </w:rPr>
        <w:t>GOVERNING LAW; SUBMISSION TO JURISDICTION; WAIVER OF JURY TRIAL</w:t>
      </w:r>
      <w:r>
        <w:rPr>
          <w:rFonts w:ascii="Times New Roman" w:cs="Times New Roman" w:eastAsia="Times New Roman" w:hAnsi="Times New Roman"/>
          <w:sz w:val="15"/>
          <w:szCs w:val="15"/>
          <w:color w:val="auto"/>
        </w:rPr>
        <w:t xml:space="preserve">. THIS AMENDMENT AND THE RIGHTS AND OBLIGATIONS OF THE PARTIES HEREUNDER SHALL BE GOVERNED BY, AND SHALL BE INTERPRETED, CONSTRUED AND ENFORCED IN ACCORDANCE WITH, THE LAWS OF THE STATE OF NEW YORK. Sections 13.13 and 13.15 of the Amended Credit Agreement are hereby incorporated into this Amendment </w:t>
      </w:r>
      <w:r>
        <w:rPr>
          <w:rFonts w:ascii="Times New Roman" w:cs="Times New Roman" w:eastAsia="Times New Roman" w:hAnsi="Times New Roman"/>
          <w:sz w:val="15"/>
          <w:szCs w:val="15"/>
          <w:i w:val="1"/>
          <w:iCs w:val="1"/>
          <w:color w:val="auto"/>
        </w:rPr>
        <w:t>mutatis mutandis</w:t>
      </w:r>
      <w:r>
        <w:rPr>
          <w:rFonts w:ascii="Times New Roman" w:cs="Times New Roman" w:eastAsia="Times New Roman" w:hAnsi="Times New Roman"/>
          <w:sz w:val="15"/>
          <w:szCs w:val="15"/>
          <w:color w:val="auto"/>
        </w:rPr>
        <w:t>.</w:t>
      </w:r>
    </w:p>
    <w:p>
      <w:pPr>
        <w:spacing w:after="0" w:line="127" w:lineRule="exact"/>
        <w:rPr>
          <w:sz w:val="20"/>
          <w:szCs w:val="20"/>
          <w:color w:val="auto"/>
        </w:rPr>
      </w:pPr>
    </w:p>
    <w:p>
      <w:pPr>
        <w:ind w:left="1140" w:right="1259"/>
        <w:spacing w:after="0" w:line="245" w:lineRule="auto"/>
        <w:rPr>
          <w:sz w:val="20"/>
          <w:szCs w:val="20"/>
          <w:color w:val="auto"/>
        </w:rPr>
      </w:pPr>
      <w:r>
        <w:rPr>
          <w:rFonts w:ascii="Times New Roman" w:cs="Times New Roman" w:eastAsia="Times New Roman" w:hAnsi="Times New Roman"/>
          <w:sz w:val="16"/>
          <w:szCs w:val="16"/>
          <w:u w:val="single" w:color="auto"/>
          <w:color w:val="auto"/>
        </w:rPr>
        <w:t>Section 10.</w:t>
      </w:r>
      <w:r>
        <w:rPr>
          <w:rFonts w:ascii="Times New Roman" w:cs="Times New Roman" w:eastAsia="Times New Roman" w:hAnsi="Times New Roman"/>
          <w:sz w:val="16"/>
          <w:szCs w:val="16"/>
          <w:b w:val="1"/>
          <w:bCs w:val="1"/>
          <w:u w:val="single" w:color="auto"/>
          <w:color w:val="auto"/>
        </w:rPr>
        <w:t>Severability</w:t>
      </w:r>
      <w:r>
        <w:rPr>
          <w:rFonts w:ascii="Times New Roman" w:cs="Times New Roman" w:eastAsia="Times New Roman" w:hAnsi="Times New Roman"/>
          <w:sz w:val="16"/>
          <w:szCs w:val="16"/>
          <w:color w:val="auto"/>
        </w:rPr>
        <w:t>. Any term or provision of this Amendment which is invalid or unenforceable in any jurisdiction shall, as to that jurisdiction, be ineffective to the extent of such invalidity or unenforceability without rendering invalid or unenforceable the remaining terms and provisions of this Amendment or affecting the validity or enforceability of any of the terms or provisions of this Amendment in any other jurisdiction. If any provision of this Amendment is so broad as to be unenforceable, the provision shall be interpreted to be only so broad as would be enforceable.</w:t>
      </w:r>
    </w:p>
    <w:p>
      <w:pPr>
        <w:spacing w:after="0" w:line="143" w:lineRule="exact"/>
        <w:rPr>
          <w:sz w:val="20"/>
          <w:szCs w:val="20"/>
          <w:color w:val="auto"/>
        </w:rPr>
      </w:pPr>
    </w:p>
    <w:p>
      <w:pPr>
        <w:ind w:left="1140" w:right="1179"/>
        <w:spacing w:after="0" w:line="241" w:lineRule="auto"/>
        <w:rPr>
          <w:sz w:val="20"/>
          <w:szCs w:val="20"/>
          <w:color w:val="auto"/>
        </w:rPr>
      </w:pPr>
      <w:r>
        <w:rPr>
          <w:rFonts w:ascii="Times New Roman" w:cs="Times New Roman" w:eastAsia="Times New Roman" w:hAnsi="Times New Roman"/>
          <w:sz w:val="16"/>
          <w:szCs w:val="16"/>
          <w:u w:val="single" w:color="auto"/>
          <w:color w:val="auto"/>
        </w:rPr>
        <w:t>Section 11.</w:t>
      </w:r>
      <w:r>
        <w:rPr>
          <w:rFonts w:ascii="Times New Roman" w:cs="Times New Roman" w:eastAsia="Times New Roman" w:hAnsi="Times New Roman"/>
          <w:sz w:val="16"/>
          <w:szCs w:val="16"/>
          <w:b w:val="1"/>
          <w:bCs w:val="1"/>
          <w:u w:val="single" w:color="auto"/>
          <w:color w:val="auto"/>
        </w:rPr>
        <w:t>Counterparts</w:t>
      </w:r>
      <w:r>
        <w:rPr>
          <w:rFonts w:ascii="Times New Roman" w:cs="Times New Roman" w:eastAsia="Times New Roman" w:hAnsi="Times New Roman"/>
          <w:sz w:val="16"/>
          <w:szCs w:val="16"/>
          <w:color w:val="auto"/>
        </w:rPr>
        <w:t>. This Amendment may be executed in any number of counterparts and by different parties hereto on separate counterparts, each of which when so executed and delivered shall be deemed to be an original, but all of which when taken together shall constitute a single instrument. Delivery of an executed counterpart of a signature page of this Amendment by facsimile or other electronic transmission shall be effective as delivery of an original executed counterpart hereof. The words “execution,” “signed,” “signature,” “delivery,” and words of like import in or relating to this Amendment or any document to be signed in connection with this Amendment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the Federal Electronic Signatures in Global and National Commerce Act, the New York State Electronic Signatures and Records Act, or any other similar state laws based on the Uniform Electronic Transactions Act, and the parties hereto consent to conduct the transactions contemplated hereunder by electronic means.</w:t>
      </w:r>
    </w:p>
    <w:p>
      <w:pPr>
        <w:spacing w:after="0" w:line="146" w:lineRule="exact"/>
        <w:rPr>
          <w:sz w:val="20"/>
          <w:szCs w:val="20"/>
          <w:color w:val="auto"/>
        </w:rPr>
      </w:pPr>
    </w:p>
    <w:p>
      <w:pPr>
        <w:ind w:left="1140" w:right="1299"/>
        <w:spacing w:after="0" w:line="270" w:lineRule="auto"/>
        <w:rPr>
          <w:sz w:val="20"/>
          <w:szCs w:val="20"/>
          <w:color w:val="auto"/>
        </w:rPr>
      </w:pPr>
      <w:r>
        <w:rPr>
          <w:rFonts w:ascii="Times New Roman" w:cs="Times New Roman" w:eastAsia="Times New Roman" w:hAnsi="Times New Roman"/>
          <w:sz w:val="16"/>
          <w:szCs w:val="16"/>
          <w:u w:val="single" w:color="auto"/>
          <w:color w:val="auto"/>
        </w:rPr>
        <w:t>Section 12.</w:t>
      </w:r>
      <w:r>
        <w:rPr>
          <w:rFonts w:ascii="Times New Roman" w:cs="Times New Roman" w:eastAsia="Times New Roman" w:hAnsi="Times New Roman"/>
          <w:sz w:val="16"/>
          <w:szCs w:val="16"/>
          <w:b w:val="1"/>
          <w:bCs w:val="1"/>
          <w:u w:val="single" w:color="auto"/>
          <w:color w:val="auto"/>
        </w:rPr>
        <w:t>Headings</w:t>
      </w:r>
      <w:r>
        <w:rPr>
          <w:rFonts w:ascii="Times New Roman" w:cs="Times New Roman" w:eastAsia="Times New Roman" w:hAnsi="Times New Roman"/>
          <w:sz w:val="16"/>
          <w:szCs w:val="16"/>
          <w:color w:val="auto"/>
        </w:rPr>
        <w:t>. The headings of this Amendment are for purposes of reference only and shall not limit or otherwise affect the meaning hereof.</w:t>
      </w:r>
    </w:p>
    <w:p>
      <w:pPr>
        <w:spacing w:after="0" w:line="124" w:lineRule="exact"/>
        <w:rPr>
          <w:sz w:val="20"/>
          <w:szCs w:val="20"/>
          <w:color w:val="auto"/>
        </w:rPr>
      </w:pPr>
    </w:p>
    <w:p>
      <w:pPr>
        <w:ind w:left="1140" w:right="1319"/>
        <w:spacing w:after="0" w:line="271" w:lineRule="auto"/>
        <w:rPr>
          <w:sz w:val="20"/>
          <w:szCs w:val="20"/>
          <w:color w:val="auto"/>
        </w:rPr>
      </w:pPr>
      <w:r>
        <w:rPr>
          <w:rFonts w:ascii="Times New Roman" w:cs="Times New Roman" w:eastAsia="Times New Roman" w:hAnsi="Times New Roman"/>
          <w:sz w:val="15"/>
          <w:szCs w:val="15"/>
          <w:u w:val="single" w:color="auto"/>
          <w:color w:val="auto"/>
        </w:rPr>
        <w:t>Section 13.</w:t>
      </w:r>
      <w:r>
        <w:rPr>
          <w:rFonts w:ascii="Times New Roman" w:cs="Times New Roman" w:eastAsia="Times New Roman" w:hAnsi="Times New Roman"/>
          <w:sz w:val="15"/>
          <w:szCs w:val="15"/>
          <w:b w:val="1"/>
          <w:bCs w:val="1"/>
          <w:u w:val="single" w:color="auto"/>
          <w:color w:val="auto"/>
        </w:rPr>
        <w:t>Effect of Amendment</w:t>
      </w:r>
      <w:r>
        <w:rPr>
          <w:rFonts w:ascii="Times New Roman" w:cs="Times New Roman" w:eastAsia="Times New Roman" w:hAnsi="Times New Roman"/>
          <w:sz w:val="15"/>
          <w:szCs w:val="15"/>
          <w:color w:val="auto"/>
        </w:rPr>
        <w:t>. This Amendment shall not constitute a novation of the Credit Agreement or any of the Credit Documents. Except as expressly set forth herein, this Amendment shall not by implication or otherwise limit, impair, constitute a waiver of or otherwise affect the rights and remedies of the Lenders or the Agents under the Credit Agreement or any other Credit Document, and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0" w:name="page51"/>
    <w:bookmarkEnd w:id="50"/>
    <w:p>
      <w:pPr>
        <w:ind w:left="1140" w:right="1179" w:firstLine="351"/>
        <w:spacing w:after="0"/>
        <w:rPr>
          <w:sz w:val="20"/>
          <w:szCs w:val="20"/>
          <w:color w:val="auto"/>
        </w:rPr>
      </w:pPr>
      <w:r>
        <w:rPr>
          <w:rFonts w:ascii="Times New Roman" w:cs="Times New Roman" w:eastAsia="Times New Roman" w:hAnsi="Times New Roman"/>
          <w:sz w:val="16"/>
          <w:szCs w:val="16"/>
          <w:color w:val="auto"/>
        </w:rPr>
        <w:t>shall not alter, modify, amend or in any way affect any of the terms, conditions, obligations, covenants or agreements contained in the Credit Agreement or any other provision of the Credit Agreement or any other Credit Document, all of which are ratified and affirmed by Holdings and the Borrower on behalf of all Credit Parties in all respects and shall continue in full force and effect. By executing and delivering a copy hereof, each of Holdings and the Borrower hereby consents to Amendment No. 7 and the transactions contemplated thereby and hereby confirms, on behalf of each Credit Party, the respective guarantees, pledges and grants of security interests, as applicable, under and subject to the terms of each of the Credit Documents to which each Credit Party is party, and agrees on behalf of each Credit Party that, after giving effect to this Amendment, such guarantees, pledges and grants of security interests, and the terms of each of the Security Documents to which each Credit Party is a party, shall continue to be in full force and effect, including to guarantee and secure the Obligations (including, without limitation, the Tranche B-4 Term Loans). For the avoidance of doubt, on and after the Amendment No. 7 Effective Date, this Amendment shall for all purposes constitute a Credit Document and a Joinder Agreement.</w:t>
      </w:r>
    </w:p>
    <w:p>
      <w:pPr>
        <w:spacing w:after="0" w:line="155" w:lineRule="exact"/>
        <w:rPr>
          <w:sz w:val="20"/>
          <w:szCs w:val="20"/>
          <w:color w:val="auto"/>
        </w:rPr>
      </w:pPr>
    </w:p>
    <w:p>
      <w:pPr>
        <w:ind w:left="1140" w:right="1299"/>
        <w:spacing w:after="0" w:line="246" w:lineRule="auto"/>
        <w:rPr>
          <w:sz w:val="20"/>
          <w:szCs w:val="20"/>
          <w:color w:val="auto"/>
        </w:rPr>
      </w:pPr>
      <w:r>
        <w:rPr>
          <w:rFonts w:ascii="Times New Roman" w:cs="Times New Roman" w:eastAsia="Times New Roman" w:hAnsi="Times New Roman"/>
          <w:sz w:val="16"/>
          <w:szCs w:val="16"/>
          <w:u w:val="single" w:color="auto"/>
          <w:color w:val="auto"/>
        </w:rPr>
        <w:t>Section 14.</w:t>
      </w:r>
      <w:r>
        <w:rPr>
          <w:rFonts w:ascii="Times New Roman" w:cs="Times New Roman" w:eastAsia="Times New Roman" w:hAnsi="Times New Roman"/>
          <w:sz w:val="16"/>
          <w:szCs w:val="16"/>
          <w:b w:val="1"/>
          <w:bCs w:val="1"/>
          <w:u w:val="single" w:color="auto"/>
          <w:color w:val="auto"/>
        </w:rPr>
        <w:t>Agents</w:t>
      </w:r>
      <w:r>
        <w:rPr>
          <w:rFonts w:ascii="Times New Roman" w:cs="Times New Roman" w:eastAsia="Times New Roman" w:hAnsi="Times New Roman"/>
          <w:sz w:val="16"/>
          <w:szCs w:val="16"/>
          <w:color w:val="auto"/>
        </w:rPr>
        <w:t>. Each Lender that signs this Amendment or delivers a Consent to Amendment No. 7 authorizes and directs each of the Administrative Agent and the Collateral Agent to execute, deliver and perform any obligations to be performed by such Agent under this Amendment and confirms that its obligations to such Agent under Section 12.7 of the Amended Credit Agreement extend to the actions taken by such Agent in connection with this Amendment.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Pages Follow</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579755</wp:posOffset>
            </wp:positionV>
            <wp:extent cx="4288790" cy="393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1" w:name="page52"/>
    <w:bookmarkEnd w:id="51"/>
    <w:p>
      <w:pPr>
        <w:ind w:left="1140" w:right="1439" w:firstLine="1033"/>
        <w:spacing w:after="0" w:line="268" w:lineRule="auto"/>
        <w:rPr>
          <w:sz w:val="20"/>
          <w:szCs w:val="20"/>
          <w:color w:val="auto"/>
        </w:rPr>
      </w:pPr>
      <w:r>
        <w:rPr>
          <w:rFonts w:ascii="Times New Roman" w:cs="Times New Roman" w:eastAsia="Times New Roman" w:hAnsi="Times New Roman"/>
          <w:sz w:val="16"/>
          <w:szCs w:val="16"/>
          <w:color w:val="auto"/>
        </w:rPr>
        <w:t>IN WITNESS WHEREOF, the parties hereto have caused this Amendment to be duly executed as of the date first above written.</w:t>
      </w:r>
    </w:p>
    <w:p>
      <w:pPr>
        <w:spacing w:after="0" w:line="29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PHOENIX GUARANTOR INC., as the Borrower</w:t>
      </w:r>
    </w:p>
    <w:p>
      <w:pPr>
        <w:spacing w:after="0" w:line="34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James F. Mattingly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120142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120142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Jim Mattingly</w:t>
      </w:r>
    </w:p>
    <w:p>
      <w:pPr>
        <w:ind w:left="456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PHOENIX INTERMEDIATE HOLDINGS INC., as</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Holdings</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James F. Mattingly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120142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120142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Jim Mattingly</w:t>
      </w:r>
    </w:p>
    <w:p>
      <w:pPr>
        <w:ind w:left="4560"/>
        <w:spacing w:after="0"/>
        <w:rPr>
          <w:sz w:val="20"/>
          <w:szCs w:val="20"/>
          <w:color w:val="auto"/>
        </w:rPr>
      </w:pPr>
      <w:r>
        <w:rPr>
          <w:rFonts w:ascii="Times New Roman" w:cs="Times New Roman" w:eastAsia="Times New Roman" w:hAnsi="Times New Roman"/>
          <w:sz w:val="16"/>
          <w:szCs w:val="16"/>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509270</wp:posOffset>
            </wp:positionV>
            <wp:extent cx="4288790"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2" w:name="page53"/>
    <w:bookmarkEnd w:id="52"/>
    <w:p>
      <w:pPr>
        <w:ind w:left="4240"/>
        <w:spacing w:after="0"/>
        <w:rPr>
          <w:sz w:val="20"/>
          <w:szCs w:val="20"/>
          <w:color w:val="auto"/>
        </w:rPr>
      </w:pPr>
      <w:r>
        <w:rPr>
          <w:rFonts w:ascii="Times New Roman" w:cs="Times New Roman" w:eastAsia="Times New Roman" w:hAnsi="Times New Roman"/>
          <w:sz w:val="15"/>
          <w:szCs w:val="15"/>
          <w:color w:val="auto"/>
        </w:rPr>
        <w:t>MORGAN STANLEY SENIOR FUNDING, INC., as</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Administrative Agent and Collateral Agent</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Mark Scioscia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Mark Scioscia</w:t>
      </w:r>
    </w:p>
    <w:p>
      <w:pPr>
        <w:ind w:left="456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509270</wp:posOffset>
            </wp:positionV>
            <wp:extent cx="4288790" cy="393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3" w:name="page54"/>
    <w:bookmarkEnd w:id="53"/>
    <w:p>
      <w:pPr>
        <w:ind w:left="4240"/>
        <w:spacing w:after="0"/>
        <w:rPr>
          <w:sz w:val="20"/>
          <w:szCs w:val="20"/>
          <w:color w:val="auto"/>
        </w:rPr>
      </w:pPr>
      <w:r>
        <w:rPr>
          <w:rFonts w:ascii="Times New Roman" w:cs="Times New Roman" w:eastAsia="Times New Roman" w:hAnsi="Times New Roman"/>
          <w:sz w:val="15"/>
          <w:szCs w:val="15"/>
          <w:color w:val="auto"/>
        </w:rPr>
        <w:t>MORGAN STANLEY SENIOR FUNDING, INC., as</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Additional Tranche B-4 Term Loan Lender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Mark Scioscia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Mark Scioscia</w:t>
      </w:r>
    </w:p>
    <w:p>
      <w:pPr>
        <w:ind w:left="456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509270</wp:posOffset>
            </wp:positionV>
            <wp:extent cx="4288790" cy="393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4" w:name="page55"/>
    <w:bookmarkEnd w:id="54"/>
    <w:p>
      <w:pPr>
        <w:ind w:left="4240"/>
        <w:spacing w:after="0"/>
        <w:rPr>
          <w:sz w:val="20"/>
          <w:szCs w:val="20"/>
          <w:color w:val="auto"/>
        </w:rPr>
      </w:pPr>
      <w:r>
        <w:rPr>
          <w:rFonts w:ascii="Times New Roman" w:cs="Times New Roman" w:eastAsia="Times New Roman" w:hAnsi="Times New Roman"/>
          <w:sz w:val="15"/>
          <w:szCs w:val="15"/>
          <w:color w:val="auto"/>
        </w:rPr>
        <w:t>GOLDMAN SACHS BANK USA, as a Revolving</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Credit Lender 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1001395"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100139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Thomas Manning</w:t>
      </w:r>
    </w:p>
    <w:p>
      <w:pPr>
        <w:ind w:left="456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5" w:name="page56"/>
    <w:bookmarkEnd w:id="55"/>
    <w:p>
      <w:pPr>
        <w:ind w:left="4240"/>
        <w:spacing w:after="0"/>
        <w:rPr>
          <w:sz w:val="20"/>
          <w:szCs w:val="20"/>
          <w:color w:val="auto"/>
        </w:rPr>
      </w:pPr>
      <w:r>
        <w:rPr>
          <w:rFonts w:ascii="Times New Roman" w:cs="Times New Roman" w:eastAsia="Times New Roman" w:hAnsi="Times New Roman"/>
          <w:sz w:val="16"/>
          <w:szCs w:val="16"/>
          <w:color w:val="auto"/>
        </w:rPr>
        <w:t>CREDIT SUISSE AG, NEW YORK BRANCH, as a</w:t>
      </w:r>
    </w:p>
    <w:p>
      <w:pPr>
        <w:spacing w:after="0" w:line="17" w:lineRule="exact"/>
        <w:rPr>
          <w:sz w:val="20"/>
          <w:szCs w:val="20"/>
          <w:color w:val="auto"/>
        </w:rPr>
      </w:pPr>
    </w:p>
    <w:p>
      <w:pPr>
        <w:jc w:val="right"/>
        <w:ind w:right="1379"/>
        <w:spacing w:after="0"/>
        <w:rPr>
          <w:sz w:val="20"/>
          <w:szCs w:val="20"/>
          <w:color w:val="auto"/>
        </w:rPr>
      </w:pPr>
      <w:r>
        <w:rPr>
          <w:rFonts w:ascii="Times New Roman" w:cs="Times New Roman" w:eastAsia="Times New Roman" w:hAnsi="Times New Roman"/>
          <w:sz w:val="16"/>
          <w:szCs w:val="16"/>
          <w:color w:val="auto"/>
        </w:rPr>
        <w:t>Revolving Credit Lender 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Vipul Dhadda</w:t>
      </w:r>
    </w:p>
    <w:p>
      <w:pPr>
        <w:ind w:left="456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Andrew Senicki</w:t>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Name: Andrew Senicki</w:t>
      </w:r>
    </w:p>
    <w:p>
      <w:pPr>
        <w:ind w:left="456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6" w:name="page57"/>
    <w:bookmarkEnd w:id="56"/>
    <w:p>
      <w:pPr>
        <w:ind w:left="4240"/>
        <w:spacing w:after="0"/>
        <w:rPr>
          <w:sz w:val="20"/>
          <w:szCs w:val="20"/>
          <w:color w:val="auto"/>
        </w:rPr>
      </w:pPr>
      <w:r>
        <w:rPr>
          <w:rFonts w:ascii="Times New Roman" w:cs="Times New Roman" w:eastAsia="Times New Roman" w:hAnsi="Times New Roman"/>
          <w:sz w:val="15"/>
          <w:szCs w:val="15"/>
          <w:color w:val="auto"/>
        </w:rPr>
        <w:t>MORGAN STANLEY SENIOR FUNDING, INC., as a</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Revolving Credit Lender, a Letter of Credit Issuer and</w:t>
      </w:r>
    </w:p>
    <w:p>
      <w:pPr>
        <w:ind w:left="4240"/>
        <w:spacing w:after="0"/>
        <w:rPr>
          <w:sz w:val="20"/>
          <w:szCs w:val="20"/>
          <w:color w:val="auto"/>
        </w:rPr>
      </w:pPr>
      <w:r>
        <w:rPr>
          <w:rFonts w:ascii="Times New Roman" w:cs="Times New Roman" w:eastAsia="Times New Roman" w:hAnsi="Times New Roman"/>
          <w:sz w:val="16"/>
          <w:szCs w:val="16"/>
          <w:color w:val="auto"/>
        </w:rPr>
        <w:t>Swingline Lender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Rikin Pandya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Rikin Pandya</w:t>
      </w:r>
    </w:p>
    <w:p>
      <w:pPr>
        <w:ind w:left="456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7" w:name="page58"/>
    <w:bookmarkEnd w:id="57"/>
    <w:p>
      <w:pPr>
        <w:ind w:left="4240"/>
        <w:spacing w:after="0"/>
        <w:rPr>
          <w:sz w:val="20"/>
          <w:szCs w:val="20"/>
          <w:color w:val="auto"/>
        </w:rPr>
      </w:pPr>
      <w:r>
        <w:rPr>
          <w:rFonts w:ascii="Times New Roman" w:cs="Times New Roman" w:eastAsia="Times New Roman" w:hAnsi="Times New Roman"/>
          <w:sz w:val="15"/>
          <w:szCs w:val="15"/>
          <w:color w:val="auto"/>
        </w:rPr>
        <w:t>WELLS FARGO BANK, NATIONAL ASSOCIATION,</w:t>
      </w:r>
    </w:p>
    <w:p>
      <w:pPr>
        <w:spacing w:after="0" w:line="2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as a Revolving Credit Lender and a Letter of Credit</w:t>
      </w:r>
    </w:p>
    <w:p>
      <w:pPr>
        <w:ind w:left="4240"/>
        <w:spacing w:after="0"/>
        <w:rPr>
          <w:sz w:val="20"/>
          <w:szCs w:val="20"/>
          <w:color w:val="auto"/>
        </w:rPr>
      </w:pPr>
      <w:r>
        <w:rPr>
          <w:rFonts w:ascii="Times New Roman" w:cs="Times New Roman" w:eastAsia="Times New Roman" w:hAnsi="Times New Roman"/>
          <w:sz w:val="16"/>
          <w:szCs w:val="16"/>
          <w:color w:val="auto"/>
        </w:rPr>
        <w:t>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Adam Kampwerth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1001395"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100139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Adam Kampwerth</w:t>
      </w:r>
    </w:p>
    <w:p>
      <w:pPr>
        <w:ind w:left="456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8" w:name="page59"/>
    <w:bookmarkEnd w:id="58"/>
    <w:p>
      <w:pPr>
        <w:ind w:left="4240"/>
        <w:spacing w:after="0"/>
        <w:rPr>
          <w:sz w:val="20"/>
          <w:szCs w:val="20"/>
          <w:color w:val="auto"/>
        </w:rPr>
      </w:pPr>
      <w:r>
        <w:rPr>
          <w:rFonts w:ascii="Times New Roman" w:cs="Times New Roman" w:eastAsia="Times New Roman" w:hAnsi="Times New Roman"/>
          <w:sz w:val="15"/>
          <w:szCs w:val="15"/>
          <w:color w:val="auto"/>
        </w:rPr>
        <w:t>BANK OF AMERICA, N.A., as a Revolving Credit</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Lender 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Matthew Curtin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Matthew Curtin</w:t>
      </w:r>
    </w:p>
    <w:p>
      <w:pPr>
        <w:ind w:left="456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59" w:name="page60"/>
    <w:bookmarkEnd w:id="59"/>
    <w:p>
      <w:pPr>
        <w:ind w:left="4240"/>
        <w:spacing w:after="0"/>
        <w:rPr>
          <w:sz w:val="20"/>
          <w:szCs w:val="20"/>
          <w:color w:val="auto"/>
        </w:rPr>
      </w:pPr>
      <w:r>
        <w:rPr>
          <w:rFonts w:ascii="Times New Roman" w:cs="Times New Roman" w:eastAsia="Times New Roman" w:hAnsi="Times New Roman"/>
          <w:sz w:val="15"/>
          <w:szCs w:val="15"/>
          <w:color w:val="auto"/>
        </w:rPr>
        <w:t>DEUTSCHE BANK AG NEW YORK BRANCH, as a</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Revolving Credit Lender 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Philip Tancorra</w:t>
      </w:r>
    </w:p>
    <w:p>
      <w:pPr>
        <w:ind w:left="4560"/>
        <w:spacing w:after="0"/>
        <w:rPr>
          <w:sz w:val="20"/>
          <w:szCs w:val="20"/>
          <w:color w:val="auto"/>
        </w:rPr>
      </w:pPr>
      <w:r>
        <w:rPr>
          <w:rFonts w:ascii="Times New Roman" w:cs="Times New Roman" w:eastAsia="Times New Roman" w:hAnsi="Times New Roman"/>
          <w:sz w:val="16"/>
          <w:szCs w:val="16"/>
          <w:color w:val="auto"/>
        </w:rPr>
        <w:t>Title: Director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Lauren Danbury</w:t>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Name: Lauren Danbury</w:t>
      </w:r>
    </w:p>
    <w:p>
      <w:pPr>
        <w:ind w:left="4560"/>
        <w:spacing w:after="0"/>
        <w:rPr>
          <w:sz w:val="20"/>
          <w:szCs w:val="20"/>
          <w:color w:val="auto"/>
        </w:rPr>
      </w:pPr>
      <w:r>
        <w:rPr>
          <w:rFonts w:ascii="Times New Roman" w:cs="Times New Roman" w:eastAsia="Times New Roman" w:hAnsi="Times New Roman"/>
          <w:sz w:val="16"/>
          <w:szCs w:val="16"/>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0" w:name="page61"/>
    <w:bookmarkEnd w:id="60"/>
    <w:p>
      <w:pPr>
        <w:ind w:left="4240"/>
        <w:spacing w:after="0"/>
        <w:rPr>
          <w:sz w:val="20"/>
          <w:szCs w:val="20"/>
          <w:color w:val="auto"/>
        </w:rPr>
      </w:pPr>
      <w:r>
        <w:rPr>
          <w:rFonts w:ascii="Times New Roman" w:cs="Times New Roman" w:eastAsia="Times New Roman" w:hAnsi="Times New Roman"/>
          <w:sz w:val="15"/>
          <w:szCs w:val="15"/>
          <w:color w:val="auto"/>
        </w:rPr>
        <w:t>MIZUHO BANK, LTD., as a Revolving Credit Lender</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John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John Davies</w:t>
      </w:r>
    </w:p>
    <w:p>
      <w:pPr>
        <w:ind w:left="4560"/>
        <w:spacing w:after="0"/>
        <w:rPr>
          <w:sz w:val="20"/>
          <w:szCs w:val="20"/>
          <w:color w:val="auto"/>
        </w:rPr>
      </w:pPr>
      <w:r>
        <w:rPr>
          <w:rFonts w:ascii="Times New Roman" w:cs="Times New Roman" w:eastAsia="Times New Roman" w:hAnsi="Times New Roman"/>
          <w:sz w:val="16"/>
          <w:szCs w:val="16"/>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1" w:name="page62"/>
    <w:bookmarkEnd w:id="61"/>
    <w:p>
      <w:pPr>
        <w:ind w:left="4240"/>
        <w:spacing w:after="0"/>
        <w:rPr>
          <w:sz w:val="20"/>
          <w:szCs w:val="20"/>
          <w:color w:val="auto"/>
        </w:rPr>
      </w:pPr>
      <w:r>
        <w:rPr>
          <w:rFonts w:ascii="Times New Roman" w:cs="Times New Roman" w:eastAsia="Times New Roman" w:hAnsi="Times New Roman"/>
          <w:sz w:val="15"/>
          <w:szCs w:val="15"/>
          <w:color w:val="auto"/>
        </w:rPr>
        <w:t>JEFFERIES FINANCE LLC, as a Revolving Credit</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Lender 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6"/>
          <w:szCs w:val="16"/>
          <w:u w:val="single" w:color="auto"/>
          <w:color w:val="auto"/>
        </w:rPr>
        <w:t>/s/ J.R. Young</w:t>
      </w:r>
    </w:p>
    <w:p>
      <w:pPr>
        <w:spacing w:after="0" w:line="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Name: J.R. Young</w:t>
      </w:r>
    </w:p>
    <w:p>
      <w:pPr>
        <w:ind w:left="456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2" w:name="page63"/>
    <w:bookmarkEnd w:id="62"/>
    <w:p>
      <w:pPr>
        <w:ind w:left="4240"/>
        <w:spacing w:after="0"/>
        <w:rPr>
          <w:sz w:val="20"/>
          <w:szCs w:val="20"/>
          <w:color w:val="auto"/>
        </w:rPr>
      </w:pPr>
      <w:r>
        <w:rPr>
          <w:rFonts w:ascii="Times New Roman" w:cs="Times New Roman" w:eastAsia="Times New Roman" w:hAnsi="Times New Roman"/>
          <w:sz w:val="15"/>
          <w:szCs w:val="15"/>
          <w:color w:val="auto"/>
        </w:rPr>
        <w:t>HSBC BANK USA, N.A., as a Revolving Credit Lender</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Meredith Philips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100139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100139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Meredith Philips</w:t>
      </w:r>
    </w:p>
    <w:p>
      <w:pPr>
        <w:ind w:left="4560"/>
        <w:spacing w:after="0"/>
        <w:rPr>
          <w:sz w:val="20"/>
          <w:szCs w:val="20"/>
          <w:color w:val="auto"/>
        </w:rPr>
      </w:pPr>
      <w:r>
        <w:rPr>
          <w:rFonts w:ascii="Times New Roman" w:cs="Times New Roman" w:eastAsia="Times New Roman" w:hAnsi="Times New Roman"/>
          <w:sz w:val="16"/>
          <w:szCs w:val="16"/>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3" w:name="page64"/>
    <w:bookmarkEnd w:id="63"/>
    <w:p>
      <w:pPr>
        <w:ind w:left="4240"/>
        <w:spacing w:after="0"/>
        <w:rPr>
          <w:sz w:val="20"/>
          <w:szCs w:val="20"/>
          <w:color w:val="auto"/>
        </w:rPr>
      </w:pPr>
      <w:r>
        <w:rPr>
          <w:rFonts w:ascii="Times New Roman" w:cs="Times New Roman" w:eastAsia="Times New Roman" w:hAnsi="Times New Roman"/>
          <w:sz w:val="15"/>
          <w:szCs w:val="15"/>
          <w:color w:val="auto"/>
        </w:rPr>
        <w:t>BANK OF MONTREAL, as a Revolving Credit Lender</w:t>
      </w:r>
    </w:p>
    <w:p>
      <w:pPr>
        <w:spacing w:after="0" w:line="2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and a Letter of 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Eric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1001395"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1001395"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Eric Oppenheimer</w:t>
      </w:r>
    </w:p>
    <w:p>
      <w:pPr>
        <w:ind w:left="456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4" w:name="page65"/>
    <w:bookmarkEnd w:id="64"/>
    <w:p>
      <w:pPr>
        <w:ind w:left="4240"/>
        <w:spacing w:after="0"/>
        <w:rPr>
          <w:sz w:val="20"/>
          <w:szCs w:val="20"/>
          <w:color w:val="auto"/>
        </w:rPr>
      </w:pPr>
      <w:r>
        <w:rPr>
          <w:rFonts w:ascii="Times New Roman" w:cs="Times New Roman" w:eastAsia="Times New Roman" w:hAnsi="Times New Roman"/>
          <w:sz w:val="16"/>
          <w:szCs w:val="16"/>
          <w:color w:val="auto"/>
        </w:rPr>
        <w:t>CRÉDIT AGRICOLE CORPORATE AND</w:t>
      </w:r>
    </w:p>
    <w:p>
      <w:pPr>
        <w:spacing w:after="0" w:line="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INVESTMENT BANK, as a Revolving Credit Lender, a</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5"/>
          <w:szCs w:val="15"/>
          <w:color w:val="auto"/>
        </w:rPr>
        <w:t>2020 Additional Revolving Credit Lender and a Letter of</w:t>
      </w:r>
    </w:p>
    <w:p>
      <w:pPr>
        <w:spacing w:after="0" w:line="1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Credit Issuer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Bruno Pezy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80137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80137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Bruno Pezy</w:t>
      </w:r>
    </w:p>
    <w:p>
      <w:pPr>
        <w:ind w:left="4560"/>
        <w:spacing w:after="0"/>
        <w:rPr>
          <w:sz w:val="20"/>
          <w:szCs w:val="20"/>
          <w:color w:val="auto"/>
        </w:rPr>
      </w:pPr>
      <w:r>
        <w:rPr>
          <w:rFonts w:ascii="Times New Roman" w:cs="Times New Roman" w:eastAsia="Times New Roman" w:hAnsi="Times New Roman"/>
          <w:sz w:val="16"/>
          <w:szCs w:val="16"/>
          <w:color w:val="auto"/>
        </w:rPr>
        <w:t>Title: Managing Director</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By: /s/ Amin Issa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-8890</wp:posOffset>
            </wp:positionV>
            <wp:extent cx="60071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600710" cy="6985"/>
                    </a:xfrm>
                    <a:prstGeom prst="rect">
                      <a:avLst/>
                    </a:prstGeom>
                    <a:noFill/>
                  </pic:spPr>
                </pic:pic>
              </a:graphicData>
            </a:graphic>
          </wp:anchor>
        </w:drawing>
      </w:r>
    </w:p>
    <w:p>
      <w:pPr>
        <w:ind w:left="4560"/>
        <w:spacing w:after="0"/>
        <w:rPr>
          <w:sz w:val="20"/>
          <w:szCs w:val="20"/>
          <w:color w:val="auto"/>
        </w:rPr>
      </w:pPr>
      <w:r>
        <w:rPr>
          <w:rFonts w:ascii="Times New Roman" w:cs="Times New Roman" w:eastAsia="Times New Roman" w:hAnsi="Times New Roman"/>
          <w:sz w:val="16"/>
          <w:szCs w:val="16"/>
          <w:color w:val="auto"/>
        </w:rPr>
        <w:t>Name: Amin Issa</w:t>
      </w:r>
    </w:p>
    <w:p>
      <w:pPr>
        <w:ind w:left="4560"/>
        <w:spacing w:after="0"/>
        <w:rPr>
          <w:sz w:val="20"/>
          <w:szCs w:val="20"/>
          <w:color w:val="auto"/>
        </w:rPr>
      </w:pPr>
      <w:r>
        <w:rPr>
          <w:rFonts w:ascii="Times New Roman" w:cs="Times New Roman" w:eastAsia="Times New Roman" w:hAnsi="Times New Roman"/>
          <w:sz w:val="16"/>
          <w:szCs w:val="16"/>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Joinder Agreement and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Schedule I</w:t>
      </w:r>
    </w:p>
    <w:p>
      <w:pPr>
        <w:spacing w:after="0" w:line="200" w:lineRule="exact"/>
        <w:rPr>
          <w:sz w:val="20"/>
          <w:szCs w:val="20"/>
          <w:color w:val="auto"/>
        </w:rPr>
      </w:pPr>
    </w:p>
    <w:p>
      <w:pPr>
        <w:spacing w:after="0" w:line="333" w:lineRule="exact"/>
        <w:rPr>
          <w:sz w:val="20"/>
          <w:szCs w:val="20"/>
          <w:color w:val="auto"/>
        </w:rPr>
      </w:pPr>
    </w:p>
    <w:tbl>
      <w:tblPr>
        <w:tblLayout w:type="fixed"/>
        <w:tblInd w:w="2030" w:type="dxa"/>
        <w:tblCellMar>
          <w:top w:w="0" w:type="dxa"/>
          <w:left w:w="0" w:type="dxa"/>
          <w:bottom w:w="0" w:type="dxa"/>
          <w:right w:w="0" w:type="dxa"/>
        </w:tblCellMar>
      </w:tblPr>
      <w:tr>
        <w:trPr>
          <w:trHeight w:val="263"/>
        </w:trPr>
        <w:tc>
          <w:tcPr>
            <w:tcW w:w="100" w:type="dxa"/>
            <w:vAlign w:val="bottom"/>
            <w:tcBorders>
              <w:top w:val="single" w:sz="8" w:color="auto"/>
              <w:left w:val="single" w:sz="8" w:color="auto"/>
            </w:tcBorders>
          </w:tcPr>
          <w:p>
            <w:pPr>
              <w:spacing w:after="0"/>
              <w:rPr>
                <w:sz w:val="22"/>
                <w:szCs w:val="22"/>
                <w:color w:val="auto"/>
              </w:rPr>
            </w:pPr>
          </w:p>
        </w:tc>
        <w:tc>
          <w:tcPr>
            <w:tcW w:w="3020" w:type="dxa"/>
            <w:vAlign w:val="bottom"/>
            <w:tcBorders>
              <w:top w:val="single" w:sz="8" w:color="auto"/>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Additional Tranche B-4 Term Loan Lender</w:t>
            </w:r>
          </w:p>
        </w:tc>
        <w:tc>
          <w:tcPr>
            <w:tcW w:w="6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Additional Tranche B-4</w:t>
            </w:r>
          </w:p>
        </w:tc>
        <w:tc>
          <w:tcPr>
            <w:tcW w:w="0" w:type="dxa"/>
            <w:vAlign w:val="bottom"/>
          </w:tcPr>
          <w:p>
            <w:pPr>
              <w:spacing w:after="0"/>
              <w:rPr>
                <w:sz w:val="1"/>
                <w:szCs w:val="1"/>
                <w:color w:val="auto"/>
              </w:rPr>
            </w:pPr>
          </w:p>
        </w:tc>
      </w:tr>
      <w:tr>
        <w:trPr>
          <w:trHeight w:val="20"/>
        </w:trPr>
        <w:tc>
          <w:tcPr>
            <w:tcW w:w="100" w:type="dxa"/>
            <w:vAlign w:val="bottom"/>
            <w:tcBorders>
              <w:left w:val="single" w:sz="8" w:color="auto"/>
            </w:tcBorders>
          </w:tcPr>
          <w:p>
            <w:pPr>
              <w:spacing w:after="0" w:line="20" w:lineRule="exact"/>
              <w:rPr>
                <w:sz w:val="1"/>
                <w:szCs w:val="1"/>
                <w:color w:val="auto"/>
              </w:rPr>
            </w:pPr>
          </w:p>
        </w:tc>
        <w:tc>
          <w:tcPr>
            <w:tcW w:w="3020" w:type="dxa"/>
            <w:vAlign w:val="bottom"/>
            <w:tcBorders>
              <w:right w:val="single" w:sz="8" w:color="auto"/>
            </w:tcBorders>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00" w:type="dxa"/>
            <w:vAlign w:val="bottom"/>
            <w:tcBorders>
              <w:left w:val="single" w:sz="8" w:color="auto"/>
            </w:tcBorders>
          </w:tcPr>
          <w:p>
            <w:pPr>
              <w:spacing w:after="0"/>
              <w:rPr>
                <w:sz w:val="5"/>
                <w:szCs w:val="5"/>
                <w:color w:val="auto"/>
              </w:rPr>
            </w:pPr>
          </w:p>
        </w:tc>
        <w:tc>
          <w:tcPr>
            <w:tcW w:w="30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gridSpan w:val="4"/>
            <w:vMerge w:val="restart"/>
          </w:tcPr>
          <w:p>
            <w:pPr>
              <w:jc w:val="center"/>
              <w:ind w:right="80"/>
              <w:spacing w:after="0" w:line="163" w:lineRule="exact"/>
              <w:rPr>
                <w:sz w:val="20"/>
                <w:szCs w:val="20"/>
                <w:color w:val="auto"/>
              </w:rPr>
            </w:pPr>
            <w:r>
              <w:rPr>
                <w:rFonts w:ascii="Times New Roman" w:cs="Times New Roman" w:eastAsia="Times New Roman" w:hAnsi="Times New Roman"/>
                <w:sz w:val="16"/>
                <w:szCs w:val="16"/>
                <w:b w:val="1"/>
                <w:bCs w:val="1"/>
                <w:color w:val="auto"/>
                <w:w w:val="98"/>
              </w:rPr>
              <w:t>Term Loan Commitment</w:t>
            </w:r>
          </w:p>
        </w:tc>
        <w:tc>
          <w:tcPr>
            <w:tcW w:w="0" w:type="dxa"/>
            <w:vAlign w:val="bottom"/>
          </w:tcPr>
          <w:p>
            <w:pPr>
              <w:spacing w:after="0"/>
              <w:rPr>
                <w:sz w:val="1"/>
                <w:szCs w:val="1"/>
                <w:color w:val="auto"/>
              </w:rPr>
            </w:pPr>
          </w:p>
        </w:tc>
      </w:tr>
      <w:tr>
        <w:trPr>
          <w:trHeight w:val="77"/>
        </w:trPr>
        <w:tc>
          <w:tcPr>
            <w:tcW w:w="100" w:type="dxa"/>
            <w:vAlign w:val="bottom"/>
            <w:tcBorders>
              <w:left w:val="single" w:sz="8" w:color="auto"/>
            </w:tcBorders>
          </w:tcPr>
          <w:p>
            <w:pPr>
              <w:spacing w:after="0"/>
              <w:rPr>
                <w:sz w:val="6"/>
                <w:szCs w:val="6"/>
                <w:color w:val="auto"/>
              </w:rPr>
            </w:pPr>
          </w:p>
        </w:tc>
        <w:tc>
          <w:tcPr>
            <w:tcW w:w="2900" w:type="dxa"/>
            <w:vAlign w:val="bottom"/>
            <w:tcBorders>
              <w:top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0" w:type="dxa"/>
            <w:vAlign w:val="bottom"/>
            <w:tcBorders>
              <w:left w:val="single" w:sz="8" w:color="auto"/>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12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1620" w:type="dxa"/>
            <w:vAlign w:val="bottom"/>
            <w:tcBorders>
              <w:top w:val="single" w:sz="8" w:color="auto"/>
              <w:bottom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30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color w:val="auto"/>
                <w:w w:val="98"/>
              </w:rPr>
              <w:t>MORGAN STANLEY SENIOR FUNDING,</w:t>
            </w:r>
          </w:p>
        </w:tc>
        <w:tc>
          <w:tcPr>
            <w:tcW w:w="1720" w:type="dxa"/>
            <w:vAlign w:val="bottom"/>
            <w:gridSpan w:val="3"/>
            <w:vMerge w:val="restart"/>
          </w:tcPr>
          <w:p>
            <w:pPr>
              <w:jc w:val="center"/>
              <w:ind w:left="21"/>
              <w:spacing w:after="0"/>
              <w:rPr>
                <w:sz w:val="20"/>
                <w:szCs w:val="20"/>
                <w:color w:val="auto"/>
              </w:rPr>
            </w:pPr>
            <w:r>
              <w:rPr>
                <w:rFonts w:ascii="Times New Roman" w:cs="Times New Roman" w:eastAsia="Times New Roman" w:hAnsi="Times New Roman"/>
                <w:sz w:val="16"/>
                <w:szCs w:val="16"/>
                <w:color w:val="auto"/>
                <w:w w:val="98"/>
              </w:rPr>
              <w:t>$1,590,156,586.62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3020" w:type="dxa"/>
            <w:vAlign w:val="bottom"/>
            <w:tcBorders>
              <w:right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rPr>
              <w:t>INC.</w:t>
            </w:r>
          </w:p>
        </w:tc>
        <w:tc>
          <w:tcPr>
            <w:tcW w:w="172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302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-675640</wp:posOffset>
            </wp:positionV>
            <wp:extent cx="3149600" cy="88836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3149600" cy="888365"/>
                    </a:xfrm>
                    <a:prstGeom prst="rect">
                      <a:avLst/>
                    </a:prstGeom>
                    <a:noFill/>
                  </pic:spPr>
                </pic:pic>
              </a:graphicData>
            </a:graphic>
          </wp:anchor>
        </w:drawing>
      </w:r>
    </w:p>
    <w:p>
      <w:pPr>
        <w:spacing w:after="0" w:line="24" w:lineRule="exact"/>
        <w:rPr>
          <w:sz w:val="20"/>
          <w:szCs w:val="20"/>
          <w:color w:val="auto"/>
        </w:rPr>
      </w:pPr>
    </w:p>
    <w:tbl>
      <w:tblPr>
        <w:tblLayout w:type="fixed"/>
        <w:tblInd w:w="3300" w:type="dxa"/>
        <w:tblCellMar>
          <w:top w:w="0" w:type="dxa"/>
          <w:left w:w="0" w:type="dxa"/>
          <w:bottom w:w="0" w:type="dxa"/>
          <w:right w:w="0" w:type="dxa"/>
        </w:tblCellMar>
      </w:tblPr>
      <w:tr>
        <w:trPr>
          <w:trHeight w:val="209"/>
        </w:trPr>
        <w:tc>
          <w:tcPr>
            <w:tcW w:w="1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$1,590,156,586.62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[Schedule I to Amendment No.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6" w:name="page67"/>
    <w:bookmarkEnd w:id="66"/>
    <w:p>
      <w:pPr>
        <w:jc w:val="right"/>
        <w:ind w:right="1159"/>
        <w:spacing w:after="0"/>
        <w:rPr>
          <w:sz w:val="20"/>
          <w:szCs w:val="20"/>
          <w:color w:val="auto"/>
        </w:rPr>
      </w:pPr>
      <w:r>
        <w:rPr>
          <w:rFonts w:ascii="Times New Roman" w:cs="Times New Roman" w:eastAsia="Times New Roman" w:hAnsi="Times New Roman"/>
          <w:sz w:val="16"/>
          <w:szCs w:val="16"/>
          <w:b w:val="1"/>
          <w:bCs w:val="1"/>
          <w:u w:val="single" w:color="auto"/>
          <w:color w:val="auto"/>
        </w:rPr>
        <w:t>Annex A</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CONSENT TO AMENDMENT NO. 7</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1166495</wp:posOffset>
            </wp:positionV>
            <wp:extent cx="4288790" cy="393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2" w:right="1440"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TO AMENDMENT NO. 7</w:t>
      </w:r>
    </w:p>
    <w:p>
      <w:pPr>
        <w:spacing w:after="0" w:line="27" w:lineRule="exact"/>
        <w:rPr>
          <w:sz w:val="20"/>
          <w:szCs w:val="20"/>
          <w:color w:val="auto"/>
        </w:rPr>
      </w:pPr>
    </w:p>
    <w:p>
      <w:pPr>
        <w:ind w:left="1140" w:right="1179"/>
        <w:spacing w:after="0" w:line="259" w:lineRule="auto"/>
        <w:rPr>
          <w:sz w:val="20"/>
          <w:szCs w:val="20"/>
          <w:color w:val="auto"/>
        </w:rPr>
      </w:pPr>
      <w:r>
        <w:rPr>
          <w:rFonts w:ascii="Times New Roman" w:cs="Times New Roman" w:eastAsia="Times New Roman" w:hAnsi="Times New Roman"/>
          <w:sz w:val="14"/>
          <w:szCs w:val="14"/>
          <w:color w:val="auto"/>
        </w:rPr>
        <w:t>CONSENT (this “</w:t>
      </w:r>
      <w:r>
        <w:rPr>
          <w:rFonts w:ascii="Times New Roman" w:cs="Times New Roman" w:eastAsia="Times New Roman" w:hAnsi="Times New Roman"/>
          <w:sz w:val="14"/>
          <w:szCs w:val="14"/>
          <w:u w:val="single" w:color="auto"/>
          <w:color w:val="auto"/>
        </w:rPr>
        <w:t>Consent</w:t>
      </w:r>
      <w:r>
        <w:rPr>
          <w:rFonts w:ascii="Times New Roman" w:cs="Times New Roman" w:eastAsia="Times New Roman" w:hAnsi="Times New Roman"/>
          <w:sz w:val="14"/>
          <w:szCs w:val="14"/>
          <w:color w:val="auto"/>
        </w:rPr>
        <w:t>”) to Joinder Agreement and Amendment No. 7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to First Lien Credit Agreement, dated as of March 5, 2019 (as amended, restated, supplemented or otherwise modified from time to time prior to the effectiveness of the Amendment, the “</w:t>
      </w:r>
      <w:r>
        <w:rPr>
          <w:rFonts w:ascii="Times New Roman" w:cs="Times New Roman" w:eastAsia="Times New Roman" w:hAnsi="Times New Roman"/>
          <w:sz w:val="14"/>
          <w:szCs w:val="14"/>
          <w:u w:val="single" w:color="auto"/>
          <w:color w:val="auto"/>
        </w:rPr>
        <w:t>Credit Agreement</w:t>
      </w:r>
      <w:r>
        <w:rPr>
          <w:rFonts w:ascii="Times New Roman" w:cs="Times New Roman" w:eastAsia="Times New Roman" w:hAnsi="Times New Roman"/>
          <w:sz w:val="14"/>
          <w:szCs w:val="14"/>
          <w:color w:val="auto"/>
        </w:rPr>
        <w:t>”; the Credit Agreement as amended by the Amendment, the “</w:t>
      </w:r>
      <w:r>
        <w:rPr>
          <w:rFonts w:ascii="Times New Roman" w:cs="Times New Roman" w:eastAsia="Times New Roman" w:hAnsi="Times New Roman"/>
          <w:sz w:val="14"/>
          <w:szCs w:val="14"/>
          <w:u w:val="single" w:color="auto"/>
          <w:color w:val="auto"/>
        </w:rPr>
        <w:t>Amended Credit Agreement</w:t>
      </w:r>
      <w:r>
        <w:rPr>
          <w:rFonts w:ascii="Times New Roman" w:cs="Times New Roman" w:eastAsia="Times New Roman" w:hAnsi="Times New Roman"/>
          <w:sz w:val="14"/>
          <w:szCs w:val="14"/>
          <w:color w:val="auto"/>
        </w:rPr>
        <w:t>”), among Phoenix Intermediate Holdings Inc., a Delaware corporation (“</w:t>
      </w:r>
      <w:r>
        <w:rPr>
          <w:rFonts w:ascii="Times New Roman" w:cs="Times New Roman" w:eastAsia="Times New Roman" w:hAnsi="Times New Roman"/>
          <w:sz w:val="14"/>
          <w:szCs w:val="14"/>
          <w:u w:val="single" w:color="auto"/>
          <w:color w:val="auto"/>
        </w:rPr>
        <w:t>Holdings</w:t>
      </w:r>
      <w:r>
        <w:rPr>
          <w:rFonts w:ascii="Times New Roman" w:cs="Times New Roman" w:eastAsia="Times New Roman" w:hAnsi="Times New Roman"/>
          <w:sz w:val="14"/>
          <w:szCs w:val="14"/>
          <w:color w:val="auto"/>
        </w:rPr>
        <w:t>”), Phoenix Guarantor Inc. (the “</w:t>
      </w:r>
      <w:r>
        <w:rPr>
          <w:rFonts w:ascii="Times New Roman" w:cs="Times New Roman" w:eastAsia="Times New Roman" w:hAnsi="Times New Roman"/>
          <w:sz w:val="14"/>
          <w:szCs w:val="14"/>
          <w:u w:val="single" w:color="auto"/>
          <w:color w:val="auto"/>
        </w:rPr>
        <w:t>Borrower</w:t>
      </w:r>
      <w:r>
        <w:rPr>
          <w:rFonts w:ascii="Times New Roman" w:cs="Times New Roman" w:eastAsia="Times New Roman" w:hAnsi="Times New Roman"/>
          <w:sz w:val="14"/>
          <w:szCs w:val="14"/>
          <w:color w:val="auto"/>
        </w:rPr>
        <w:t>”), the several lenders from time to time parties thereto, the Letter of Credit Issuers from time to time parties thereto and Morgan Stanley Senior Funding, Inc., as the Administrative Agent and the Collateral Agent (capitalized terms used but not defined herein having the meaning provided in the Amendment or, if not defined therein, in the Credit Agreement).</w:t>
      </w:r>
    </w:p>
    <w:p>
      <w:pPr>
        <w:spacing w:after="0" w:line="1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u w:val="single" w:color="auto"/>
          <w:color w:val="auto"/>
        </w:rPr>
        <w:t>Existing Lenders of Tranche B-1 Term Loans</w:t>
      </w:r>
    </w:p>
    <w:p>
      <w:pPr>
        <w:spacing w:after="0" w:line="99" w:lineRule="exact"/>
        <w:rPr>
          <w:sz w:val="20"/>
          <w:szCs w:val="20"/>
          <w:color w:val="auto"/>
        </w:rPr>
      </w:pPr>
    </w:p>
    <w:p>
      <w:pPr>
        <w:ind w:left="1140" w:right="1279"/>
        <w:spacing w:after="0" w:line="293" w:lineRule="auto"/>
        <w:rPr>
          <w:sz w:val="20"/>
          <w:szCs w:val="20"/>
          <w:color w:val="auto"/>
        </w:rPr>
      </w:pPr>
      <w:r>
        <w:rPr>
          <w:rFonts w:ascii="Times New Roman" w:cs="Times New Roman" w:eastAsia="Times New Roman" w:hAnsi="Times New Roman"/>
          <w:sz w:val="14"/>
          <w:szCs w:val="14"/>
          <w:color w:val="auto"/>
        </w:rPr>
        <w:t>The undersigned Lender hereby irrevocably and unconditionally approves the Amendment and consents as follows (check ONE option):</w:t>
      </w:r>
    </w:p>
    <w:p>
      <w:pPr>
        <w:spacing w:after="0" w:line="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Cashless Settlement Option</w:t>
      </w:r>
    </w:p>
    <w:p>
      <w:pPr>
        <w:spacing w:after="0" w:line="99" w:lineRule="exact"/>
        <w:rPr>
          <w:sz w:val="20"/>
          <w:szCs w:val="20"/>
          <w:color w:val="auto"/>
        </w:rPr>
      </w:pPr>
    </w:p>
    <w:p>
      <w:pPr>
        <w:jc w:val="both"/>
        <w:ind w:left="2180" w:right="1379" w:hanging="480"/>
        <w:spacing w:after="0" w:line="275" w:lineRule="auto"/>
        <w:rPr>
          <w:sz w:val="20"/>
          <w:szCs w:val="20"/>
          <w:color w:val="auto"/>
        </w:rPr>
      </w:pPr>
      <w:r>
        <w:rPr>
          <w:rFonts w:ascii="Times New Roman" w:cs="Times New Roman" w:eastAsia="Times New Roman" w:hAnsi="Times New Roman"/>
          <w:sz w:val="14"/>
          <w:szCs w:val="14"/>
          <w:color w:val="auto"/>
        </w:rPr>
        <w:t>FORMCHECKBOX</w:t>
      </w:r>
      <w:r>
        <w:rPr>
          <w:sz w:val="20"/>
          <w:szCs w:val="20"/>
          <w:color w:val="auto"/>
        </w:rPr>
        <w:t xml:space="preserve"> </w:t>
      </w:r>
      <w:r>
        <w:rPr>
          <w:rFonts w:ascii="Times New Roman" w:cs="Times New Roman" w:eastAsia="Times New Roman" w:hAnsi="Times New Roman"/>
          <w:sz w:val="14"/>
          <w:szCs w:val="14"/>
          <w:color w:val="auto"/>
        </w:rPr>
        <w:t>to convert 100% of the outstanding principal amount of the Tranche B-1 Term Loans held by such Lender (or such lesser amount allocated to such Lender by the Amendment No. 7 Arrangers) into Tranche B-4 Term Loans in a like principal amount.</w:t>
      </w:r>
    </w:p>
    <w:p>
      <w:pPr>
        <w:spacing w:after="0" w:line="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Post-Closing Settlement Option</w:t>
      </w:r>
    </w:p>
    <w:p>
      <w:pPr>
        <w:spacing w:after="0" w:line="97" w:lineRule="exact"/>
        <w:rPr>
          <w:sz w:val="20"/>
          <w:szCs w:val="20"/>
          <w:color w:val="auto"/>
        </w:rPr>
      </w:pPr>
    </w:p>
    <w:p>
      <w:pPr>
        <w:jc w:val="both"/>
        <w:ind w:left="2180" w:right="1159" w:hanging="480"/>
        <w:spacing w:after="0" w:line="268" w:lineRule="auto"/>
        <w:rPr>
          <w:sz w:val="20"/>
          <w:szCs w:val="20"/>
          <w:color w:val="auto"/>
        </w:rPr>
      </w:pPr>
      <w:r>
        <w:rPr>
          <w:rFonts w:ascii="Times New Roman" w:cs="Times New Roman" w:eastAsia="Times New Roman" w:hAnsi="Times New Roman"/>
          <w:sz w:val="14"/>
          <w:szCs w:val="14"/>
          <w:b w:val="1"/>
          <w:bCs w:val="1"/>
          <w:color w:val="auto"/>
        </w:rPr>
        <w:t>FORMCHECKBOX</w:t>
      </w:r>
      <w:r>
        <w:rPr>
          <w:sz w:val="20"/>
          <w:szCs w:val="20"/>
          <w:color w:val="auto"/>
        </w:rPr>
        <w:t xml:space="preserve"> </w:t>
      </w:r>
      <w:r>
        <w:rPr>
          <w:rFonts w:ascii="Times New Roman" w:cs="Times New Roman" w:eastAsia="Times New Roman" w:hAnsi="Times New Roman"/>
          <w:sz w:val="14"/>
          <w:szCs w:val="14"/>
          <w:color w:val="auto"/>
        </w:rPr>
        <w:t>to have 100% of the outstanding principal amount of the Tranche B-1 Term Loans held by such Lender prepaid on the Amendment No. 7 Effective Date and purchase by assignment a like principal amount of Tranche B-4 Term Loans (or such lesser amount allocated to such Lender by the Amendment No. 7 Arrangers).</w:t>
      </w:r>
    </w:p>
    <w:p>
      <w:pPr>
        <w:spacing w:after="0" w:line="14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u w:val="single" w:color="auto"/>
          <w:color w:val="auto"/>
        </w:rPr>
        <w:t>Existing Lenders of Tranche B-3 Term Loans</w:t>
      </w:r>
    </w:p>
    <w:p>
      <w:pPr>
        <w:spacing w:after="0" w:line="99" w:lineRule="exact"/>
        <w:rPr>
          <w:sz w:val="20"/>
          <w:szCs w:val="20"/>
          <w:color w:val="auto"/>
        </w:rPr>
      </w:pPr>
    </w:p>
    <w:p>
      <w:pPr>
        <w:ind w:left="1140" w:right="1279"/>
        <w:spacing w:after="0" w:line="293" w:lineRule="auto"/>
        <w:rPr>
          <w:sz w:val="20"/>
          <w:szCs w:val="20"/>
          <w:color w:val="auto"/>
        </w:rPr>
      </w:pPr>
      <w:r>
        <w:rPr>
          <w:rFonts w:ascii="Times New Roman" w:cs="Times New Roman" w:eastAsia="Times New Roman" w:hAnsi="Times New Roman"/>
          <w:sz w:val="14"/>
          <w:szCs w:val="14"/>
          <w:color w:val="auto"/>
        </w:rPr>
        <w:t>The undersigned Lender hereby irrevocably and unconditionally approves the Amendment and consents as follows (check ONE option):</w:t>
      </w:r>
    </w:p>
    <w:p>
      <w:pPr>
        <w:spacing w:after="0" w:line="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Cashless Settlement Option</w:t>
      </w:r>
    </w:p>
    <w:p>
      <w:pPr>
        <w:spacing w:after="0" w:line="99" w:lineRule="exact"/>
        <w:rPr>
          <w:sz w:val="20"/>
          <w:szCs w:val="20"/>
          <w:color w:val="auto"/>
        </w:rPr>
      </w:pPr>
    </w:p>
    <w:p>
      <w:pPr>
        <w:jc w:val="both"/>
        <w:ind w:left="2180" w:right="1379" w:hanging="480"/>
        <w:spacing w:after="0" w:line="275" w:lineRule="auto"/>
        <w:rPr>
          <w:sz w:val="20"/>
          <w:szCs w:val="20"/>
          <w:color w:val="auto"/>
        </w:rPr>
      </w:pPr>
      <w:r>
        <w:rPr>
          <w:rFonts w:ascii="Times New Roman" w:cs="Times New Roman" w:eastAsia="Times New Roman" w:hAnsi="Times New Roman"/>
          <w:sz w:val="14"/>
          <w:szCs w:val="14"/>
          <w:color w:val="auto"/>
        </w:rPr>
        <w:t>FORMCHECKBOX</w:t>
      </w:r>
      <w:r>
        <w:rPr>
          <w:sz w:val="20"/>
          <w:szCs w:val="20"/>
          <w:color w:val="auto"/>
        </w:rPr>
        <w:t xml:space="preserve"> </w:t>
      </w:r>
      <w:r>
        <w:rPr>
          <w:rFonts w:ascii="Times New Roman" w:cs="Times New Roman" w:eastAsia="Times New Roman" w:hAnsi="Times New Roman"/>
          <w:sz w:val="14"/>
          <w:szCs w:val="14"/>
          <w:color w:val="auto"/>
        </w:rPr>
        <w:t>to convert 100% of the outstanding principal amount of the Tranche B-3 Term Loans held by such Lender (or such lesser amount allocated to such Lender by the Amendment No. 7 Arrangers) into Tranche B-4 Term Loans in a like principal amount.</w:t>
      </w:r>
    </w:p>
    <w:p>
      <w:pPr>
        <w:spacing w:after="0" w:line="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Post-Closing Settlement Option</w:t>
      </w:r>
    </w:p>
    <w:p>
      <w:pPr>
        <w:spacing w:after="0" w:line="97" w:lineRule="exact"/>
        <w:rPr>
          <w:sz w:val="20"/>
          <w:szCs w:val="20"/>
          <w:color w:val="auto"/>
        </w:rPr>
      </w:pPr>
    </w:p>
    <w:p>
      <w:pPr>
        <w:jc w:val="both"/>
        <w:ind w:left="2180" w:right="1159" w:hanging="480"/>
        <w:spacing w:after="0" w:line="268" w:lineRule="auto"/>
        <w:rPr>
          <w:sz w:val="20"/>
          <w:szCs w:val="20"/>
          <w:color w:val="auto"/>
        </w:rPr>
      </w:pPr>
      <w:r>
        <w:rPr>
          <w:rFonts w:ascii="Times New Roman" w:cs="Times New Roman" w:eastAsia="Times New Roman" w:hAnsi="Times New Roman"/>
          <w:sz w:val="14"/>
          <w:szCs w:val="14"/>
          <w:b w:val="1"/>
          <w:bCs w:val="1"/>
          <w:color w:val="auto"/>
        </w:rPr>
        <w:t>FORMCHECKBOX</w:t>
      </w:r>
      <w:r>
        <w:rPr>
          <w:sz w:val="20"/>
          <w:szCs w:val="20"/>
          <w:color w:val="auto"/>
        </w:rPr>
        <w:t xml:space="preserve"> </w:t>
      </w:r>
      <w:r>
        <w:rPr>
          <w:rFonts w:ascii="Times New Roman" w:cs="Times New Roman" w:eastAsia="Times New Roman" w:hAnsi="Times New Roman"/>
          <w:sz w:val="14"/>
          <w:szCs w:val="14"/>
          <w:color w:val="auto"/>
        </w:rPr>
        <w:t>to have 100% of the outstanding principal amount of the Tranche B-3 Term Loans held by such Lender prepaid on the Amendment No. 7 Effective Date and purchase by assignment a like principal amount of Tranche B-4 Term Loans (or such lesser amount allocated to such Lender by the Amendment No. 7 Arrangers).</w:t>
      </w:r>
    </w:p>
    <w:p>
      <w:pPr>
        <w:spacing w:after="0" w:line="144" w:lineRule="exact"/>
        <w:rPr>
          <w:sz w:val="20"/>
          <w:szCs w:val="20"/>
          <w:color w:val="auto"/>
        </w:rPr>
      </w:pPr>
    </w:p>
    <w:p>
      <w:pPr>
        <w:ind w:left="1140" w:right="1639"/>
        <w:spacing w:after="0" w:line="293" w:lineRule="auto"/>
        <w:rPr>
          <w:sz w:val="20"/>
          <w:szCs w:val="20"/>
          <w:color w:val="auto"/>
        </w:rPr>
      </w:pPr>
      <w:r>
        <w:rPr>
          <w:rFonts w:ascii="Times New Roman" w:cs="Times New Roman" w:eastAsia="Times New Roman" w:hAnsi="Times New Roman"/>
          <w:sz w:val="14"/>
          <w:szCs w:val="14"/>
          <w:color w:val="auto"/>
        </w:rPr>
        <w:t>IN WITNESS WHEREOF, the undersigned has caused this Consent to be executed and delivered by its duly authorized officer(s).</w:t>
      </w:r>
    </w:p>
    <w:p>
      <w:pPr>
        <w:spacing w:after="0" w:line="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________________________________________,</w:t>
      </w:r>
    </w:p>
    <w:p>
      <w:pPr>
        <w:spacing w:after="0" w:line="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as a Lender (type name of the legal entity)</w:t>
      </w:r>
    </w:p>
    <w:p>
      <w:pPr>
        <w:spacing w:after="0" w:line="1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-3175</wp:posOffset>
            </wp:positionV>
            <wp:extent cx="18224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182245" cy="6985"/>
                    </a:xfrm>
                    <a:prstGeom prst="rect">
                      <a:avLst/>
                    </a:prstGeom>
                    <a:noFill/>
                  </pic:spPr>
                </pic:pic>
              </a:graphicData>
            </a:graphic>
          </wp:anchor>
        </w:drawing>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Title:</w:t>
      </w:r>
    </w:p>
    <w:p>
      <w:pPr>
        <w:spacing w:after="0" w:line="8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4"/>
          <w:szCs w:val="14"/>
          <w:color w:val="auto"/>
        </w:rPr>
        <w:t>If a second signature is necessary:</w:t>
      </w:r>
    </w:p>
    <w:p>
      <w:pPr>
        <w:spacing w:after="0" w:line="1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-3175</wp:posOffset>
            </wp:positionV>
            <wp:extent cx="182245"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182245" cy="6985"/>
                    </a:xfrm>
                    <a:prstGeom prst="rect">
                      <a:avLst/>
                    </a:prstGeom>
                    <a:noFill/>
                  </pic:spPr>
                </pic:pic>
              </a:graphicData>
            </a:graphic>
          </wp:anchor>
        </w:drawing>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[Signature Page to Consent to Amendment No. 7 [Phoenix Guarantor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386080</wp:posOffset>
            </wp:positionV>
            <wp:extent cx="4288790" cy="393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Exhibit 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Amended Credit Agreement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FIRST LIEN CREDIT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Dated as of March 5, 2019,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by Amendment No. 1, dated as of January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823595</wp:posOffset>
            </wp:positionV>
            <wp:extent cx="4288790" cy="3937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24" w:right="1440" w:bottom="1440" w:gutter="0" w:footer="0" w:header="0"/>
        </w:sectPr>
      </w:pPr>
    </w:p>
    <w:bookmarkStart w:id="69" w:name="page70"/>
    <w:bookmarkEnd w:id="69"/>
    <w:p>
      <w:pPr>
        <w:ind w:left="5760"/>
        <w:spacing w:after="0"/>
        <w:rPr>
          <w:sz w:val="20"/>
          <w:szCs w:val="20"/>
          <w:color w:val="auto"/>
        </w:rPr>
      </w:pPr>
      <w:r>
        <w:rPr>
          <w:rFonts w:ascii="Times New Roman" w:cs="Times New Roman" w:eastAsia="Times New Roman" w:hAnsi="Times New Roman"/>
          <w:sz w:val="17"/>
          <w:szCs w:val="17"/>
          <w:b w:val="1"/>
          <w:bCs w:val="1"/>
          <w:i w:val="1"/>
          <w:iCs w:val="1"/>
          <w:color w:val="FF0000"/>
          <w:strike w:val="1"/>
        </w:rPr>
        <w:t>Final Form</w:t>
      </w:r>
      <w:r>
        <w:rPr>
          <w:rFonts w:ascii="Times New Roman" w:cs="Times New Roman" w:eastAsia="Times New Roman" w:hAnsi="Times New Roman"/>
          <w:sz w:val="17"/>
          <w:szCs w:val="17"/>
          <w:u w:val="single" w:color="auto"/>
          <w:color w:val="0000FF"/>
          <w:strike w:val="1"/>
        </w:rPr>
        <w:t>Execution Version</w:t>
      </w:r>
    </w:p>
    <w:p>
      <w:pPr>
        <w:spacing w:after="0" w:line="2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Exhibit </w:t>
      </w:r>
      <w:r>
        <w:rPr>
          <w:rFonts w:ascii="Times New Roman" w:cs="Times New Roman" w:eastAsia="Times New Roman" w:hAnsi="Times New Roman"/>
          <w:sz w:val="17"/>
          <w:szCs w:val="17"/>
          <w:b w:val="1"/>
          <w:bCs w:val="1"/>
          <w:i w:val="1"/>
          <w:iCs w:val="1"/>
          <w:color w:val="FF0000"/>
          <w:strike w:val="1"/>
        </w:rPr>
        <w:t>B</w:t>
      </w:r>
      <w:r>
        <w:rPr>
          <w:rFonts w:ascii="Times New Roman" w:cs="Times New Roman" w:eastAsia="Times New Roman" w:hAnsi="Times New Roman"/>
          <w:sz w:val="17"/>
          <w:szCs w:val="17"/>
          <w:b w:val="1"/>
          <w:bCs w:val="1"/>
          <w:i w:val="1"/>
          <w:iCs w:val="1"/>
          <w:u w:val="single" w:color="auto"/>
          <w:color w:val="0000FF"/>
        </w:rPr>
        <w:t>A</w:t>
      </w:r>
    </w:p>
    <w:p>
      <w:pPr>
        <w:ind w:left="6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to Amendment No. </w:t>
      </w:r>
      <w:r>
        <w:rPr>
          <w:rFonts w:ascii="Times New Roman" w:cs="Times New Roman" w:eastAsia="Times New Roman" w:hAnsi="Times New Roman"/>
          <w:sz w:val="17"/>
          <w:szCs w:val="17"/>
          <w:b w:val="1"/>
          <w:bCs w:val="1"/>
          <w:i w:val="1"/>
          <w:iCs w:val="1"/>
          <w:color w:val="FF0000"/>
          <w:strike w:val="1"/>
        </w:rPr>
        <w:t>6</w:t>
      </w:r>
      <w:r>
        <w:rPr>
          <w:rFonts w:ascii="Times New Roman" w:cs="Times New Roman" w:eastAsia="Times New Roman" w:hAnsi="Times New Roman"/>
          <w:sz w:val="17"/>
          <w:szCs w:val="17"/>
          <w:b w:val="1"/>
          <w:bCs w:val="1"/>
          <w:i w:val="1"/>
          <w:iCs w:val="1"/>
          <w:u w:val="single" w:color="auto"/>
          <w:color w:val="0000FF"/>
        </w:rPr>
        <w:t>7</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by Amendment No. 2, dated as of June 30, 2020,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by Amendment No. 3, dated as of October 7, 2020,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by Amendment No. 4, dated as of April 8,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amended by Amendment No. 5, dated as of April 16, 2021,</w:t>
      </w:r>
    </w:p>
    <w:p>
      <w:pPr>
        <w:spacing w:after="0" w:line="18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4"/>
          <w:szCs w:val="14"/>
          <w:color w:val="FF0000"/>
          <w:strike w:val="1"/>
        </w:rPr>
        <w:t>and</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as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further</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amended by Amendment No. 6, dated as of June 30, 2023</w:t>
      </w:r>
      <w:r>
        <w:rPr>
          <w:rFonts w:ascii="Times New Roman" w:cs="Times New Roman" w:eastAsia="Times New Roman" w:hAnsi="Times New Roman"/>
          <w:sz w:val="14"/>
          <w:szCs w:val="14"/>
          <w:u w:val="single" w:color="auto"/>
          <w:color w:val="0000FF"/>
        </w:rPr>
        <w:t>,</w:t>
      </w:r>
    </w:p>
    <w:p>
      <w:pPr>
        <w:spacing w:after="0" w:line="18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u w:val="single" w:color="auto"/>
          <w:color w:val="0000FF"/>
        </w:rPr>
        <w:t>and as further amended by Amendment No. 7, dated as of February 21, 2024</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among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PHOENIX INTERMEDIATE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Holdings,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PHOENIX GUARANTOR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the Borrower,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Several Lenders from Time to Time Parties Hereto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MORGAN STANLEY SENIOR FUNDING,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the Administrative Agent and the Collateral Agent,</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____________________________________________________________________________________</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MORGAN STANLEY SENIOR FUNDING, INC.,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CREDIT SUISSE LOAN FUNDING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JEFFERIES FINANCE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KKR CAPITAL MARKETS LLC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CRÉDIT AGRICOLE CORPORATE AND INVESTMENT BANK,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the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823595</wp:posOffset>
            </wp:positionV>
            <wp:extent cx="4288790" cy="393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87" w:right="1440" w:bottom="1440" w:gutter="0" w:footer="0" w:header="0"/>
        </w:sectPr>
      </w:pPr>
    </w:p>
    <w:bookmarkStart w:id="70" w:name="page71"/>
    <w:bookmarkEnd w:id="70"/>
    <w:tbl>
      <w:tblPr>
        <w:tblLayout w:type="fixed"/>
        <w:tblInd w:w="1140" w:type="dxa"/>
        <w:tblCellMar>
          <w:top w:w="0" w:type="dxa"/>
          <w:left w:w="0" w:type="dxa"/>
          <w:bottom w:w="0" w:type="dxa"/>
          <w:right w:w="0" w:type="dxa"/>
        </w:tblCellMar>
      </w:tblPr>
      <w:tr>
        <w:trPr>
          <w:trHeight w:val="172"/>
        </w:trPr>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20" w:type="dxa"/>
            <w:vAlign w:val="bottom"/>
            <w:gridSpan w:val="9"/>
          </w:tcPr>
          <w:p>
            <w:pPr>
              <w:jc w:val="center"/>
              <w:ind w:right="2508"/>
              <w:spacing w:after="0"/>
              <w:rPr>
                <w:sz w:val="20"/>
                <w:szCs w:val="20"/>
                <w:color w:val="auto"/>
              </w:rPr>
            </w:pPr>
            <w:r>
              <w:rPr>
                <w:rFonts w:ascii="Times New Roman" w:cs="Times New Roman" w:eastAsia="Times New Roman" w:hAnsi="Times New Roman"/>
                <w:sz w:val="14"/>
                <w:szCs w:val="14"/>
                <w:color w:val="auto"/>
              </w:rPr>
              <w:t>TABLE OF CONTENTS</w:t>
            </w:r>
          </w:p>
        </w:tc>
        <w:tc>
          <w:tcPr>
            <w:tcW w:w="0" w:type="dxa"/>
            <w:vAlign w:val="bottom"/>
          </w:tcPr>
          <w:p>
            <w:pPr>
              <w:spacing w:after="0"/>
              <w:rPr>
                <w:sz w:val="1"/>
                <w:szCs w:val="1"/>
                <w:color w:val="auto"/>
              </w:rPr>
            </w:pPr>
          </w:p>
        </w:tc>
      </w:tr>
      <w:tr>
        <w:trPr>
          <w:trHeight w:val="155"/>
        </w:trPr>
        <w:tc>
          <w:tcPr>
            <w:tcW w:w="2340" w:type="dxa"/>
            <w:vAlign w:val="bottom"/>
            <w:gridSpan w:val="16"/>
            <w:vMerge w:val="restart"/>
          </w:tcPr>
          <w:p>
            <w:pPr>
              <w:jc w:val="right"/>
              <w:ind w:right="280"/>
              <w:spacing w:after="0"/>
              <w:rPr>
                <w:sz w:val="20"/>
                <w:szCs w:val="20"/>
                <w:color w:val="auto"/>
              </w:rPr>
            </w:pPr>
            <w:r>
              <w:rPr>
                <w:rFonts w:ascii="Times New Roman" w:cs="Times New Roman" w:eastAsia="Times New Roman" w:hAnsi="Times New Roman"/>
                <w:sz w:val="17"/>
                <w:szCs w:val="17"/>
                <w:color w:val="auto"/>
              </w:rPr>
              <w:t>SECTION 1. DEFINITIONS.</w:t>
            </w:r>
          </w:p>
        </w:tc>
        <w:tc>
          <w:tcPr>
            <w:tcW w:w="2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207"/>
        </w:trPr>
        <w:tc>
          <w:tcPr>
            <w:tcW w:w="2340" w:type="dxa"/>
            <w:vAlign w:val="bottom"/>
            <w:gridSpan w:val="16"/>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80" w:type="dxa"/>
            <w:vAlign w:val="bottom"/>
          </w:tcPr>
          <w:p>
            <w:pPr>
              <w:jc w:val="right"/>
              <w:spacing w:after="0" w:line="182" w:lineRule="exact"/>
              <w:rPr>
                <w:sz w:val="20"/>
                <w:szCs w:val="20"/>
                <w:color w:val="auto"/>
              </w:rPr>
            </w:pPr>
            <w:r>
              <w:rPr>
                <w:rFonts w:ascii="Times New Roman" w:cs="Times New Roman" w:eastAsia="Times New Roman" w:hAnsi="Times New Roman"/>
                <w:sz w:val="17"/>
                <w:szCs w:val="17"/>
                <w:color w:val="auto"/>
              </w:rPr>
              <w:t>1.1</w:t>
            </w:r>
          </w:p>
        </w:tc>
        <w:tc>
          <w:tcPr>
            <w:tcW w:w="1420" w:type="dxa"/>
            <w:vAlign w:val="bottom"/>
            <w:gridSpan w:val="12"/>
          </w:tcPr>
          <w:p>
            <w:pPr>
              <w:spacing w:after="0" w:line="182" w:lineRule="exact"/>
              <w:rPr>
                <w:sz w:val="20"/>
                <w:szCs w:val="20"/>
                <w:color w:val="auto"/>
              </w:rPr>
            </w:pPr>
            <w:r>
              <w:rPr>
                <w:rFonts w:ascii="Times New Roman" w:cs="Times New Roman" w:eastAsia="Times New Roman" w:hAnsi="Times New Roman"/>
                <w:sz w:val="17"/>
                <w:szCs w:val="17"/>
                <w:color w:val="auto"/>
              </w:rPr>
              <w:t>Defined Terms 2</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1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Other Interpretive Provisions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77</w:t>
            </w: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0000FF"/>
                <w:w w:val="93"/>
              </w:rPr>
              <w:t>79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Accounting Terms.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FF0000"/>
                <w:strike w:val="1"/>
                <w:w w:val="93"/>
              </w:rPr>
              <w:t>77</w:t>
            </w:r>
          </w:p>
        </w:tc>
        <w:tc>
          <w:tcPr>
            <w:tcW w:w="2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w w:val="82"/>
              </w:rPr>
              <w:t>80</w:t>
            </w: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6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8"/>
              </w:rPr>
              <w:t>Rounding</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FF0000"/>
                <w:strike w:val="1"/>
                <w:w w:val="82"/>
              </w:rPr>
              <w:t>78</w:t>
            </w:r>
          </w:p>
        </w:tc>
        <w:tc>
          <w:tcPr>
            <w:tcW w:w="180" w:type="dxa"/>
            <w:vAlign w:val="bottom"/>
            <w:tcBorders>
              <w:top w:val="single" w:sz="8" w:color="auto"/>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80</w:t>
            </w: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0" w:type="dxa"/>
            <w:vAlign w:val="bottom"/>
            <w:gridSpan w:val="22"/>
          </w:tcPr>
          <w:p>
            <w:pPr>
              <w:spacing w:after="0"/>
              <w:rPr>
                <w:sz w:val="20"/>
                <w:szCs w:val="20"/>
                <w:color w:val="auto"/>
              </w:rPr>
            </w:pPr>
            <w:r>
              <w:rPr>
                <w:rFonts w:ascii="Times New Roman" w:cs="Times New Roman" w:eastAsia="Times New Roman" w:hAnsi="Times New Roman"/>
                <w:sz w:val="17"/>
                <w:szCs w:val="17"/>
                <w:color w:val="auto"/>
              </w:rPr>
              <w:t>References to Agreements, Laws, Etc</w:t>
            </w:r>
          </w:p>
        </w:tc>
        <w:tc>
          <w:tcPr>
            <w:tcW w:w="180" w:type="dxa"/>
            <w:vAlign w:val="bottom"/>
          </w:tcPr>
          <w:p>
            <w:pPr>
              <w:jc w:val="center"/>
              <w:spacing w:after="0"/>
              <w:rPr>
                <w:sz w:val="20"/>
                <w:szCs w:val="20"/>
                <w:color w:val="auto"/>
              </w:rPr>
            </w:pPr>
            <w:r>
              <w:rPr>
                <w:rFonts w:ascii="Times New Roman" w:cs="Times New Roman" w:eastAsia="Times New Roman" w:hAnsi="Times New Roman"/>
                <w:sz w:val="17"/>
                <w:szCs w:val="17"/>
                <w:color w:val="FF0000"/>
                <w:strike w:val="1"/>
              </w:rPr>
              <w:t>78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80</w:t>
            </w: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2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Exchange Rates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FF0000"/>
                <w:strike w:val="1"/>
                <w:w w:val="93"/>
              </w:rPr>
              <w:t>78</w:t>
            </w:r>
          </w:p>
        </w:tc>
        <w:tc>
          <w:tcPr>
            <w:tcW w:w="2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w w:val="82"/>
              </w:rPr>
              <w:t>81</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5"/>
              </w:rPr>
              <w:t>Rates</w:t>
            </w:r>
          </w:p>
        </w:tc>
        <w:tc>
          <w:tcPr>
            <w:tcW w:w="3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82"/>
              </w:rPr>
              <w:t>78</w:t>
            </w:r>
          </w:p>
        </w:tc>
        <w:tc>
          <w:tcPr>
            <w:tcW w:w="160" w:type="dxa"/>
            <w:vAlign w:val="bottom"/>
            <w:tcBorders>
              <w:top w:val="single" w:sz="8" w:color="auto"/>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2"/>
              </w:rPr>
              <w:t>81</w:t>
            </w:r>
          </w:p>
        </w:tc>
        <w:tc>
          <w:tcPr>
            <w:tcW w:w="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8"/>
              </w:rPr>
              <w:t>Times of Day</w:t>
            </w:r>
          </w:p>
        </w:tc>
        <w:tc>
          <w:tcPr>
            <w:tcW w:w="140" w:type="dxa"/>
            <w:vAlign w:val="bottom"/>
            <w:gridSpan w:val="2"/>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78</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81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4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Timing of Payment or Performance</w:t>
            </w:r>
          </w:p>
        </w:tc>
        <w:tc>
          <w:tcPr>
            <w:tcW w:w="360" w:type="dxa"/>
            <w:vAlign w:val="bottom"/>
            <w:gridSpan w:val="3"/>
          </w:tcPr>
          <w:p>
            <w:pPr>
              <w:spacing w:after="0"/>
              <w:rPr>
                <w:sz w:val="16"/>
                <w:szCs w:val="16"/>
                <w:color w:val="auto"/>
              </w:rPr>
            </w:pPr>
          </w:p>
        </w:tc>
        <w:tc>
          <w:tcPr>
            <w:tcW w:w="180" w:type="dxa"/>
            <w:vAlign w:val="bottom"/>
          </w:tcPr>
          <w:p>
            <w:pPr>
              <w:jc w:val="center"/>
              <w:spacing w:after="0"/>
              <w:rPr>
                <w:sz w:val="20"/>
                <w:szCs w:val="20"/>
                <w:color w:val="auto"/>
              </w:rPr>
            </w:pPr>
            <w:r>
              <w:rPr>
                <w:rFonts w:ascii="Times New Roman" w:cs="Times New Roman" w:eastAsia="Times New Roman" w:hAnsi="Times New Roman"/>
                <w:sz w:val="17"/>
                <w:szCs w:val="17"/>
                <w:color w:val="FF0000"/>
                <w:strike w:val="1"/>
              </w:rPr>
              <w:t>78</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81</w:t>
            </w: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1.10</w:t>
            </w:r>
          </w:p>
        </w:tc>
        <w:tc>
          <w:tcPr>
            <w:tcW w:w="1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Certifications</w:t>
            </w: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rPr>
              <w:t>78</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w w:val="71"/>
              </w:rPr>
              <w:t>81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1.11</w:t>
            </w:r>
          </w:p>
        </w:tc>
        <w:tc>
          <w:tcPr>
            <w:tcW w:w="234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7"/>
                <w:szCs w:val="17"/>
                <w:color w:val="auto"/>
                <w:w w:val="98"/>
              </w:rPr>
              <w:t>Compliance with Certain Sections</w:t>
            </w:r>
          </w:p>
        </w:tc>
        <w:tc>
          <w:tcPr>
            <w:tcW w:w="160" w:type="dxa"/>
            <w:vAlign w:val="bottom"/>
            <w:gridSpan w:val="2"/>
          </w:tcPr>
          <w:p>
            <w:pPr>
              <w:spacing w:after="0"/>
              <w:rPr>
                <w:sz w:val="16"/>
                <w:szCs w:val="16"/>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rPr>
              <w:t>78</w:t>
            </w: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8"/>
                <w:szCs w:val="8"/>
                <w:color w:val="0000FF"/>
                <w:w w:val="74"/>
              </w:rPr>
              <w:t>81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1.12</w:t>
            </w:r>
          </w:p>
        </w:tc>
        <w:tc>
          <w:tcPr>
            <w:tcW w:w="250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Pro Forma and Other Calculations.</w:t>
            </w:r>
          </w:p>
        </w:tc>
        <w:tc>
          <w:tcPr>
            <w:tcW w:w="26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rPr>
              <w:t>79</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FF"/>
                <w:w w:val="74"/>
              </w:rPr>
              <w:t>81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1.13</w:t>
            </w:r>
          </w:p>
        </w:tc>
        <w:tc>
          <w:tcPr>
            <w:tcW w:w="4560" w:type="dxa"/>
            <w:vAlign w:val="bottom"/>
            <w:gridSpan w:val="48"/>
          </w:tcPr>
          <w:p>
            <w:pPr>
              <w:spacing w:after="0"/>
              <w:rPr>
                <w:sz w:val="20"/>
                <w:szCs w:val="20"/>
                <w:color w:val="auto"/>
              </w:rPr>
            </w:pPr>
            <w:r>
              <w:rPr>
                <w:rFonts w:ascii="Times New Roman" w:cs="Times New Roman" w:eastAsia="Times New Roman" w:hAnsi="Times New Roman"/>
                <w:sz w:val="17"/>
                <w:szCs w:val="17"/>
                <w:color w:val="auto"/>
              </w:rPr>
              <w:t>Inability to Determine Rates and Benchmark Replacement Setting</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93"/>
              </w:rPr>
              <w:t>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84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1.14</w:t>
            </w:r>
          </w:p>
        </w:tc>
        <w:tc>
          <w:tcPr>
            <w:tcW w:w="7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Divisions</w:t>
            </w:r>
          </w:p>
        </w:tc>
        <w:tc>
          <w:tcPr>
            <w:tcW w:w="2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FF0000"/>
                <w:strike w:val="1"/>
              </w:rPr>
              <w:t>83</w:t>
            </w: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0000FF"/>
                <w:w w:val="82"/>
              </w:rPr>
              <w:t>86</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1.15</w:t>
            </w:r>
          </w:p>
        </w:tc>
        <w:tc>
          <w:tcPr>
            <w:tcW w:w="112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Interest Rates</w:t>
            </w: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rPr>
              <w:t>83</w:t>
            </w:r>
          </w:p>
        </w:tc>
        <w:tc>
          <w:tcPr>
            <w:tcW w:w="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0000FF"/>
                <w:w w:val="71"/>
              </w:rPr>
              <w:t>86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378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SECTION 2. AMOUNT AND TERMS OF CREDIT.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FF0000"/>
                <w:strike w:val="1"/>
                <w:w w:val="85"/>
              </w:rPr>
              <w:t>83</w:t>
            </w:r>
          </w:p>
        </w:tc>
        <w:tc>
          <w:tcPr>
            <w:tcW w:w="2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w w:val="82"/>
              </w:rPr>
              <w:t>86</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4"/>
          </w:tcPr>
          <w:p>
            <w:pPr>
              <w:spacing w:after="0"/>
              <w:rPr>
                <w:sz w:val="16"/>
                <w:szCs w:val="16"/>
                <w:color w:val="auto"/>
              </w:rPr>
            </w:pPr>
          </w:p>
        </w:tc>
        <w:tc>
          <w:tcPr>
            <w:tcW w:w="2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2.1</w:t>
            </w:r>
          </w:p>
        </w:tc>
        <w:tc>
          <w:tcPr>
            <w:tcW w:w="10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Commitments.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FF0000"/>
                <w:strike w:val="1"/>
              </w:rPr>
              <w:t>83</w:t>
            </w: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82"/>
              </w:rPr>
              <w:t>86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0000FF"/>
            </w:tcBorders>
            <w:gridSpan w:val="2"/>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2.2</w:t>
            </w:r>
          </w:p>
        </w:tc>
        <w:tc>
          <w:tcPr>
            <w:tcW w:w="5220" w:type="dxa"/>
            <w:vAlign w:val="bottom"/>
            <w:gridSpan w:val="52"/>
          </w:tcPr>
          <w:p>
            <w:pPr>
              <w:spacing w:after="0"/>
              <w:rPr>
                <w:sz w:val="20"/>
                <w:szCs w:val="20"/>
                <w:color w:val="auto"/>
              </w:rPr>
            </w:pPr>
            <w:r>
              <w:rPr>
                <w:rFonts w:ascii="Times New Roman" w:cs="Times New Roman" w:eastAsia="Times New Roman" w:hAnsi="Times New Roman"/>
                <w:sz w:val="17"/>
                <w:szCs w:val="17"/>
                <w:color w:val="auto"/>
              </w:rPr>
              <w:t>Minimum Amount of Each Borrowing; Maximum Number of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85</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88</w:t>
            </w: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2.3</w:t>
            </w:r>
          </w:p>
        </w:tc>
        <w:tc>
          <w:tcPr>
            <w:tcW w:w="17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7"/>
                <w:szCs w:val="17"/>
                <w:color w:val="auto"/>
              </w:rPr>
              <w:t>Notice of Borrowing.</w:t>
            </w:r>
          </w:p>
        </w:tc>
        <w:tc>
          <w:tcPr>
            <w:tcW w:w="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FF0000"/>
                <w:strike w:val="1"/>
                <w:w w:val="93"/>
              </w:rPr>
              <w:t>86</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89</w:t>
            </w: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2.4</w:t>
            </w:r>
          </w:p>
        </w:tc>
        <w:tc>
          <w:tcPr>
            <w:tcW w:w="17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Disbursement of Funds.</w:t>
            </w:r>
          </w:p>
        </w:tc>
        <w:tc>
          <w:tcPr>
            <w:tcW w:w="18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w w:val="93"/>
              </w:rPr>
              <w:t>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89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2.5</w:t>
            </w:r>
          </w:p>
        </w:tc>
        <w:tc>
          <w:tcPr>
            <w:tcW w:w="280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Repayment of Loans; Evidence of Debt.</w:t>
            </w:r>
          </w:p>
        </w:tc>
        <w:tc>
          <w:tcPr>
            <w:tcW w:w="26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rPr>
              <w:t>87</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0000FF"/>
                <w:w w:val="74"/>
              </w:rPr>
              <w:t>90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2.6</w:t>
            </w:r>
          </w:p>
        </w:tc>
        <w:tc>
          <w:tcPr>
            <w:tcW w:w="24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Conversions and Continuations.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88</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2"/>
              </w:rPr>
              <w:t>91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2.7</w:t>
            </w:r>
          </w:p>
        </w:tc>
        <w:tc>
          <w:tcPr>
            <w:tcW w:w="1760" w:type="dxa"/>
            <w:vAlign w:val="bottom"/>
            <w:tcBorders>
              <w:top w:val="single" w:sz="8" w:color="auto"/>
            </w:tcBorders>
            <w:gridSpan w:val="13"/>
          </w:tcPr>
          <w:p>
            <w:pPr>
              <w:spacing w:after="0"/>
              <w:rPr>
                <w:sz w:val="20"/>
                <w:szCs w:val="20"/>
                <w:color w:val="auto"/>
              </w:rPr>
            </w:pPr>
            <w:r>
              <w:rPr>
                <w:rFonts w:ascii="Times New Roman" w:cs="Times New Roman" w:eastAsia="Times New Roman" w:hAnsi="Times New Roman"/>
                <w:sz w:val="17"/>
                <w:szCs w:val="17"/>
                <w:color w:val="auto"/>
              </w:rPr>
              <w:t>Pro Rata Borrowings</w:t>
            </w:r>
          </w:p>
        </w:tc>
        <w:tc>
          <w:tcPr>
            <w:tcW w:w="1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FF0000"/>
                <w:strike w:val="1"/>
                <w:w w:val="93"/>
              </w:rPr>
              <w:t>89</w:t>
            </w:r>
          </w:p>
        </w:tc>
        <w:tc>
          <w:tcPr>
            <w:tcW w:w="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92</w:t>
            </w:r>
          </w:p>
        </w:tc>
        <w:tc>
          <w:tcPr>
            <w:tcW w:w="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2.8</w:t>
            </w:r>
          </w:p>
        </w:tc>
        <w:tc>
          <w:tcPr>
            <w:tcW w:w="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Interest.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FF0000"/>
                <w:strike w:val="1"/>
                <w:w w:val="82"/>
              </w:rPr>
              <w:t>89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w w:val="70"/>
              </w:rPr>
              <w:t>92</w:t>
            </w:r>
          </w:p>
        </w:tc>
        <w:tc>
          <w:tcPr>
            <w:tcW w:w="220" w:type="dxa"/>
            <w:vAlign w:val="bottom"/>
            <w:tcBorders>
              <w:top w:val="single" w:sz="8" w:color="auto"/>
            </w:tcBorders>
            <w:gridSpan w:val="2"/>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2.9</w:t>
            </w:r>
          </w:p>
        </w:tc>
        <w:tc>
          <w:tcPr>
            <w:tcW w:w="10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5"/>
              </w:rPr>
              <w:t>Interest Periods</w:t>
            </w:r>
          </w:p>
        </w:tc>
        <w:tc>
          <w:tcPr>
            <w:tcW w:w="360" w:type="dxa"/>
            <w:vAlign w:val="bottom"/>
            <w:gridSpan w:val="3"/>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rPr>
              <w:t>90</w:t>
            </w:r>
          </w:p>
        </w:tc>
        <w:tc>
          <w:tcPr>
            <w:tcW w:w="12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71"/>
              </w:rPr>
              <w:t>93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2.10</w:t>
            </w:r>
          </w:p>
        </w:tc>
        <w:tc>
          <w:tcPr>
            <w:tcW w:w="2160" w:type="dxa"/>
            <w:vAlign w:val="bottom"/>
            <w:gridSpan w:val="24"/>
          </w:tcPr>
          <w:p>
            <w:pPr>
              <w:spacing w:after="0"/>
              <w:rPr>
                <w:sz w:val="20"/>
                <w:szCs w:val="20"/>
                <w:color w:val="auto"/>
              </w:rPr>
            </w:pPr>
            <w:r>
              <w:rPr>
                <w:rFonts w:ascii="Times New Roman" w:cs="Times New Roman" w:eastAsia="Times New Roman" w:hAnsi="Times New Roman"/>
                <w:sz w:val="17"/>
                <w:szCs w:val="17"/>
                <w:color w:val="auto"/>
                <w:w w:val="99"/>
              </w:rPr>
              <w:t>Increased Costs, Illegality, Etc.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90</w:t>
            </w:r>
          </w:p>
        </w:tc>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2"/>
              </w:rPr>
              <w:t>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2.11</w:t>
            </w:r>
          </w:p>
        </w:tc>
        <w:tc>
          <w:tcPr>
            <w:tcW w:w="112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Compensation</w:t>
            </w:r>
          </w:p>
        </w:tc>
        <w:tc>
          <w:tcPr>
            <w:tcW w:w="2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FF0000"/>
                <w:strike w:val="1"/>
              </w:rPr>
              <w:t>92</w:t>
            </w:r>
          </w:p>
        </w:tc>
        <w:tc>
          <w:tcPr>
            <w:tcW w:w="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0000FF"/>
                <w:w w:val="71"/>
              </w:rPr>
              <w:t>95</w:t>
            </w: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Borders>
              <w:right w:val="single" w:sz="8" w:color="0000FF"/>
            </w:tcBorders>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2.12</w:t>
            </w:r>
          </w:p>
        </w:tc>
        <w:tc>
          <w:tcPr>
            <w:tcW w:w="182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w w:val="99"/>
              </w:rPr>
              <w:t>Change of Lending Office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93</w:t>
            </w: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82"/>
              </w:rPr>
              <w:t>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2.13</w:t>
            </w:r>
          </w:p>
        </w:tc>
        <w:tc>
          <w:tcPr>
            <w:tcW w:w="162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auto"/>
                <w:w w:val="99"/>
              </w:rPr>
              <w:t>Notice of Certain Costs</w:t>
            </w:r>
          </w:p>
        </w:tc>
        <w:tc>
          <w:tcPr>
            <w:tcW w:w="200" w:type="dxa"/>
            <w:vAlign w:val="bottom"/>
            <w:gridSpan w:val="3"/>
          </w:tcPr>
          <w:p>
            <w:pPr>
              <w:spacing w:after="0"/>
              <w:rPr>
                <w:sz w:val="16"/>
                <w:szCs w:val="16"/>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82"/>
              </w:rPr>
              <w:t>93</w:t>
            </w:r>
          </w:p>
        </w:tc>
        <w:tc>
          <w:tcPr>
            <w:tcW w:w="1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82"/>
              </w:rPr>
              <w:t>96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2.14</w:t>
            </w:r>
          </w:p>
        </w:tc>
        <w:tc>
          <w:tcPr>
            <w:tcW w:w="182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Incremental Facilities.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82"/>
              </w:rPr>
              <w:t>93</w:t>
            </w:r>
          </w:p>
        </w:tc>
        <w:tc>
          <w:tcPr>
            <w:tcW w:w="18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0000FF"/>
                <w:w w:val="93"/>
              </w:rPr>
              <w:t>96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2.15</w:t>
            </w:r>
          </w:p>
        </w:tc>
        <w:tc>
          <w:tcPr>
            <w:tcW w:w="216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Permitted Debt Exchanges.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2"/>
              </w:rPr>
              <w:t>99</w:t>
            </w:r>
          </w:p>
        </w:tc>
        <w:tc>
          <w:tcPr>
            <w:tcW w:w="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102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2.16</w:t>
            </w:r>
          </w:p>
        </w:tc>
        <w:tc>
          <w:tcPr>
            <w:tcW w:w="14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Defaulting Lenders.</w:t>
            </w:r>
          </w:p>
        </w:tc>
        <w:tc>
          <w:tcPr>
            <w:tcW w:w="300" w:type="dxa"/>
            <w:vAlign w:val="bottom"/>
            <w:gridSpan w:val="4"/>
          </w:tcPr>
          <w:p>
            <w:pPr>
              <w:spacing w:after="0"/>
              <w:rPr>
                <w:sz w:val="20"/>
                <w:szCs w:val="20"/>
                <w:color w:val="auto"/>
              </w:rPr>
            </w:pPr>
            <w:r>
              <w:rPr>
                <w:rFonts w:ascii="Times New Roman" w:cs="Times New Roman" w:eastAsia="Times New Roman" w:hAnsi="Times New Roman"/>
                <w:sz w:val="17"/>
                <w:szCs w:val="17"/>
                <w:color w:val="FF0000"/>
                <w:strike w:val="1"/>
              </w:rPr>
              <w:t>100</w:t>
            </w: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w w:val="78"/>
              </w:rPr>
              <w:t>103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2.17</w:t>
            </w:r>
          </w:p>
        </w:tc>
        <w:tc>
          <w:tcPr>
            <w:tcW w:w="13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Swingline Loans.</w:t>
            </w:r>
          </w:p>
        </w:tc>
        <w:tc>
          <w:tcPr>
            <w:tcW w:w="120" w:type="dxa"/>
            <w:vAlign w:val="bottom"/>
            <w:gridSpan w:val="3"/>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7"/>
                <w:szCs w:val="17"/>
                <w:color w:val="FF0000"/>
                <w:strike w:val="1"/>
              </w:rPr>
              <w:t>101</w:t>
            </w:r>
          </w:p>
        </w:tc>
        <w:tc>
          <w:tcPr>
            <w:tcW w:w="22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78"/>
              </w:rPr>
              <w:t>104</w:t>
            </w:r>
          </w:p>
        </w:tc>
        <w:tc>
          <w:tcPr>
            <w:tcW w:w="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780" w:type="dxa"/>
            <w:vAlign w:val="bottom"/>
            <w:gridSpan w:val="2"/>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38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r>
      <w:tr>
        <w:trPr>
          <w:trHeight w:val="195"/>
        </w:trPr>
        <w:tc>
          <w:tcPr>
            <w:tcW w:w="3780" w:type="dxa"/>
            <w:vAlign w:val="bottom"/>
            <w:gridSpan w:val="34"/>
          </w:tcPr>
          <w:p>
            <w:pPr>
              <w:jc w:val="center"/>
              <w:ind w:right="34"/>
              <w:spacing w:after="0"/>
              <w:rPr>
                <w:sz w:val="20"/>
                <w:szCs w:val="20"/>
                <w:color w:val="auto"/>
              </w:rPr>
            </w:pPr>
            <w:r>
              <w:rPr>
                <w:rFonts w:ascii="Times New Roman" w:cs="Times New Roman" w:eastAsia="Times New Roman" w:hAnsi="Times New Roman"/>
                <w:sz w:val="17"/>
                <w:szCs w:val="17"/>
                <w:color w:val="auto"/>
              </w:rPr>
              <w:t>SECTION 3. REVOLVING LETTERS OF CREDIT.</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FF0000"/>
                <w:strike w:val="1"/>
                <w:w w:val="85"/>
              </w:rPr>
              <w:t>103</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106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7"/>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3.1</w:t>
            </w:r>
          </w:p>
        </w:tc>
        <w:tc>
          <w:tcPr>
            <w:tcW w:w="212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Revolving Letters of Credit.</w:t>
            </w:r>
          </w:p>
        </w:tc>
        <w:tc>
          <w:tcPr>
            <w:tcW w:w="260" w:type="dxa"/>
            <w:vAlign w:val="bottom"/>
            <w:gridSpan w:val="5"/>
          </w:tcPr>
          <w:p>
            <w:pPr>
              <w:spacing w:after="0"/>
              <w:rPr>
                <w:sz w:val="20"/>
                <w:szCs w:val="20"/>
                <w:color w:val="auto"/>
              </w:rPr>
            </w:pPr>
            <w:r>
              <w:rPr>
                <w:rFonts w:ascii="Times New Roman" w:cs="Times New Roman" w:eastAsia="Times New Roman" w:hAnsi="Times New Roman"/>
                <w:sz w:val="17"/>
                <w:szCs w:val="17"/>
                <w:color w:val="FF0000"/>
                <w:strike w:val="1"/>
                <w:w w:val="93"/>
              </w:rPr>
              <w:t>103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3.2</w:t>
            </w:r>
          </w:p>
        </w:tc>
        <w:tc>
          <w:tcPr>
            <w:tcW w:w="280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Revolving Letter of Credit Requests.</w:t>
            </w:r>
          </w:p>
        </w:tc>
        <w:tc>
          <w:tcPr>
            <w:tcW w:w="26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w w:val="86"/>
              </w:rPr>
              <w:t>105</w:t>
            </w:r>
          </w:p>
        </w:tc>
        <w:tc>
          <w:tcPr>
            <w:tcW w:w="3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108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3.3</w:t>
            </w:r>
          </w:p>
        </w:tc>
        <w:tc>
          <w:tcPr>
            <w:tcW w:w="314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Revolving Letter of Credit Participations.</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w w:val="93"/>
              </w:rPr>
              <w:t>106</w:t>
            </w:r>
          </w:p>
        </w:tc>
        <w:tc>
          <w:tcPr>
            <w:tcW w:w="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6"/>
              </w:rPr>
              <w:t>109</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3.4</w:t>
            </w:r>
          </w:p>
        </w:tc>
        <w:tc>
          <w:tcPr>
            <w:tcW w:w="4180" w:type="dxa"/>
            <w:vAlign w:val="bottom"/>
            <w:gridSpan w:val="44"/>
          </w:tcPr>
          <w:p>
            <w:pPr>
              <w:spacing w:after="0"/>
              <w:rPr>
                <w:sz w:val="20"/>
                <w:szCs w:val="20"/>
                <w:color w:val="auto"/>
              </w:rPr>
            </w:pPr>
            <w:r>
              <w:rPr>
                <w:rFonts w:ascii="Times New Roman" w:cs="Times New Roman" w:eastAsia="Times New Roman" w:hAnsi="Times New Roman"/>
                <w:sz w:val="17"/>
                <w:szCs w:val="17"/>
                <w:color w:val="auto"/>
              </w:rPr>
              <w:t>Agreement to Repay Revolving Letter of Credit Drawings.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107</w:t>
            </w:r>
          </w:p>
        </w:tc>
        <w:tc>
          <w:tcPr>
            <w:tcW w:w="1120" w:type="dxa"/>
            <w:vAlign w:val="bottom"/>
            <w:gridSpan w:val="8"/>
          </w:tcPr>
          <w:p>
            <w:pPr>
              <w:jc w:val="right"/>
              <w:ind w:right="794"/>
              <w:spacing w:after="0"/>
              <w:rPr>
                <w:sz w:val="20"/>
                <w:szCs w:val="20"/>
                <w:color w:val="auto"/>
              </w:rPr>
            </w:pPr>
            <w:r>
              <w:rPr>
                <w:rFonts w:ascii="Times New Roman" w:cs="Times New Roman" w:eastAsia="Times New Roman" w:hAnsi="Times New Roman"/>
                <w:sz w:val="17"/>
                <w:szCs w:val="17"/>
                <w:color w:val="0000FF"/>
                <w:w w:val="86"/>
              </w:rPr>
              <w:t>110</w:t>
            </w: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3.5</w:t>
            </w:r>
          </w:p>
        </w:tc>
        <w:tc>
          <w:tcPr>
            <w:tcW w:w="106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5"/>
              </w:rPr>
              <w:t>Increased Costs</w:t>
            </w:r>
          </w:p>
        </w:tc>
        <w:tc>
          <w:tcPr>
            <w:tcW w:w="360" w:type="dxa"/>
            <w:vAlign w:val="bottom"/>
            <w:tcBorders>
              <w:top w:val="single" w:sz="8" w:color="auto"/>
            </w:tcBorders>
            <w:gridSpan w:val="3"/>
          </w:tcPr>
          <w:p>
            <w:pPr>
              <w:spacing w:after="0"/>
              <w:rPr>
                <w:sz w:val="16"/>
                <w:szCs w:val="16"/>
                <w:color w:val="auto"/>
              </w:rPr>
            </w:pPr>
          </w:p>
        </w:tc>
        <w:tc>
          <w:tcPr>
            <w:tcW w:w="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FF0000"/>
                <w:strike w:val="1"/>
                <w:w w:val="93"/>
              </w:rPr>
              <w:t>109</w:t>
            </w:r>
          </w:p>
        </w:tc>
        <w:tc>
          <w:tcPr>
            <w:tcW w:w="260" w:type="dxa"/>
            <w:vAlign w:val="bottom"/>
            <w:tcBorders>
              <w:top w:val="single" w:sz="8" w:color="auto"/>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112</w:t>
            </w: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3.6</w:t>
            </w:r>
          </w:p>
        </w:tc>
        <w:tc>
          <w:tcPr>
            <w:tcW w:w="3840" w:type="dxa"/>
            <w:vAlign w:val="bottom"/>
            <w:gridSpan w:val="41"/>
          </w:tcPr>
          <w:p>
            <w:pPr>
              <w:spacing w:after="0"/>
              <w:rPr>
                <w:sz w:val="20"/>
                <w:szCs w:val="20"/>
                <w:color w:val="auto"/>
              </w:rPr>
            </w:pPr>
            <w:r>
              <w:rPr>
                <w:rFonts w:ascii="Times New Roman" w:cs="Times New Roman" w:eastAsia="Times New Roman" w:hAnsi="Times New Roman"/>
                <w:sz w:val="17"/>
                <w:szCs w:val="17"/>
                <w:color w:val="auto"/>
              </w:rPr>
              <w:t>New or Successor Revolving Letter of Credit Issuer.</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86"/>
              </w:rPr>
              <w:t>110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113</w:t>
            </w:r>
          </w:p>
        </w:tc>
        <w:tc>
          <w:tcPr>
            <w:tcW w:w="1220" w:type="dxa"/>
            <w:vAlign w:val="bottom"/>
            <w:gridSpan w:val="9"/>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00" w:type="dxa"/>
            <w:vAlign w:val="bottom"/>
            <w:tcBorders>
              <w:left w:val="single" w:sz="8" w:color="auto"/>
            </w:tcBorders>
            <w:gridSpan w:val="6"/>
            <w:shd w:val="clear" w:color="auto" w:fill="000000"/>
          </w:tcPr>
          <w:p>
            <w:pPr>
              <w:spacing w:after="0" w:line="20" w:lineRule="exact"/>
              <w:rPr>
                <w:sz w:val="1"/>
                <w:szCs w:val="1"/>
                <w:color w:val="auto"/>
              </w:rPr>
            </w:pPr>
          </w:p>
        </w:tc>
        <w:tc>
          <w:tcPr>
            <w:tcW w:w="260" w:type="dxa"/>
            <w:vAlign w:val="bottom"/>
            <w:gridSpan w:val="4"/>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gridSpan w:val="5"/>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3.7</w:t>
            </w:r>
          </w:p>
        </w:tc>
        <w:tc>
          <w:tcPr>
            <w:tcW w:w="314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Role of Revolving Letter of Credit Issuer</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FF0000"/>
                <w:strike w:val="1"/>
                <w:w w:val="93"/>
              </w:rPr>
              <w:t>111</w:t>
            </w:r>
          </w:p>
        </w:tc>
        <w:tc>
          <w:tcPr>
            <w:tcW w:w="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86"/>
              </w:rPr>
              <w:t>114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3.8</w:t>
            </w:r>
          </w:p>
        </w:tc>
        <w:tc>
          <w:tcPr>
            <w:tcW w:w="142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Cash Collateral.</w:t>
            </w:r>
          </w:p>
        </w:tc>
        <w:tc>
          <w:tcPr>
            <w:tcW w:w="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FF0000"/>
                <w:strike w:val="1"/>
                <w:w w:val="86"/>
              </w:rPr>
              <w:t>111</w:t>
            </w:r>
          </w:p>
        </w:tc>
        <w:tc>
          <w:tcPr>
            <w:tcW w:w="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114</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gridSpan w:val="5"/>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3.9</w:t>
            </w:r>
          </w:p>
        </w:tc>
        <w:tc>
          <w:tcPr>
            <w:tcW w:w="20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w w:val="99"/>
              </w:rPr>
              <w:t>Applicability of ISP and UCP</w:t>
            </w:r>
          </w:p>
        </w:tc>
        <w:tc>
          <w:tcPr>
            <w:tcW w:w="60" w:type="dxa"/>
            <w:vAlign w:val="bottom"/>
          </w:tcPr>
          <w:p>
            <w:pPr>
              <w:spacing w:after="0"/>
              <w:rPr>
                <w:sz w:val="16"/>
                <w:szCs w:val="16"/>
                <w:color w:val="auto"/>
              </w:rPr>
            </w:pPr>
          </w:p>
        </w:tc>
        <w:tc>
          <w:tcPr>
            <w:tcW w:w="240" w:type="dxa"/>
            <w:vAlign w:val="bottom"/>
            <w:gridSpan w:val="4"/>
          </w:tcPr>
          <w:p>
            <w:pPr>
              <w:spacing w:after="0"/>
              <w:rPr>
                <w:sz w:val="20"/>
                <w:szCs w:val="20"/>
                <w:color w:val="auto"/>
              </w:rPr>
            </w:pPr>
            <w:r>
              <w:rPr>
                <w:rFonts w:ascii="Times New Roman" w:cs="Times New Roman" w:eastAsia="Times New Roman" w:hAnsi="Times New Roman"/>
                <w:sz w:val="17"/>
                <w:szCs w:val="17"/>
                <w:color w:val="FF0000"/>
                <w:strike w:val="1"/>
                <w:w w:val="86"/>
              </w:rPr>
              <w:t>112</w:t>
            </w:r>
          </w:p>
        </w:tc>
        <w:tc>
          <w:tcPr>
            <w:tcW w:w="28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115</w:t>
            </w:r>
          </w:p>
        </w:tc>
        <w:tc>
          <w:tcPr>
            <w:tcW w:w="1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3.10</w:t>
            </w:r>
          </w:p>
        </w:tc>
        <w:tc>
          <w:tcPr>
            <w:tcW w:w="250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Conflict with Issuer Documents</w:t>
            </w:r>
          </w:p>
        </w:tc>
        <w:tc>
          <w:tcPr>
            <w:tcW w:w="260" w:type="dxa"/>
            <w:vAlign w:val="bottom"/>
            <w:gridSpan w:val="3"/>
          </w:tcPr>
          <w:p>
            <w:pPr>
              <w:spacing w:after="0"/>
              <w:rPr>
                <w:sz w:val="20"/>
                <w:szCs w:val="20"/>
                <w:color w:val="auto"/>
              </w:rPr>
            </w:pPr>
            <w:r>
              <w:rPr>
                <w:rFonts w:ascii="Times New Roman" w:cs="Times New Roman" w:eastAsia="Times New Roman" w:hAnsi="Times New Roman"/>
                <w:sz w:val="17"/>
                <w:szCs w:val="17"/>
                <w:color w:val="FF0000"/>
                <w:strike w:val="1"/>
                <w:w w:val="86"/>
              </w:rPr>
              <w:t>112</w:t>
            </w: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78"/>
              </w:rPr>
              <w:t>115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71" w:name="page72"/>
    <w:bookmarkEnd w:id="71"/>
    <w:p>
      <w:pPr>
        <w:jc w:val="right"/>
        <w:ind w:right="1159"/>
        <w:spacing w:after="0"/>
        <w:rPr>
          <w:sz w:val="20"/>
          <w:szCs w:val="20"/>
          <w:color w:val="auto"/>
        </w:rPr>
      </w:pPr>
      <w:r>
        <w:rPr>
          <w:rFonts w:ascii="Times New Roman" w:cs="Times New Roman" w:eastAsia="Times New Roman" w:hAnsi="Times New Roman"/>
          <w:sz w:val="17"/>
          <w:szCs w:val="17"/>
          <w:u w:val="single" w:color="auto"/>
          <w:color w:val="auto"/>
        </w:rPr>
        <w:t>Page</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3.11</w:t>
            </w:r>
          </w:p>
        </w:tc>
        <w:tc>
          <w:tcPr>
            <w:tcW w:w="346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7"/>
                <w:szCs w:val="17"/>
                <w:color w:val="auto"/>
                <w:w w:val="99"/>
              </w:rPr>
              <w:t>Letters of Credit Issued for Restricted Subsidiaries</w:t>
            </w:r>
          </w:p>
        </w:tc>
        <w:tc>
          <w:tcPr>
            <w:tcW w:w="60" w:type="dxa"/>
            <w:vAlign w:val="bottom"/>
          </w:tcPr>
          <w:p>
            <w:pPr>
              <w:spacing w:after="0"/>
              <w:rPr>
                <w:sz w:val="17"/>
                <w:szCs w:val="17"/>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86"/>
              </w:rPr>
              <w:t>112</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5"/>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3.12</w:t>
            </w:r>
          </w:p>
        </w:tc>
        <w:tc>
          <w:tcPr>
            <w:tcW w:w="4540" w:type="dxa"/>
            <w:vAlign w:val="bottom"/>
            <w:gridSpan w:val="50"/>
          </w:tcPr>
          <w:p>
            <w:pPr>
              <w:spacing w:after="0"/>
              <w:rPr>
                <w:sz w:val="20"/>
                <w:szCs w:val="20"/>
                <w:color w:val="auto"/>
              </w:rPr>
            </w:pPr>
            <w:r>
              <w:rPr>
                <w:rFonts w:ascii="Times New Roman" w:cs="Times New Roman" w:eastAsia="Times New Roman" w:hAnsi="Times New Roman"/>
                <w:sz w:val="17"/>
                <w:szCs w:val="17"/>
                <w:color w:val="auto"/>
              </w:rPr>
              <w:t>Provisions Related to Extended Revolving Credit Commitments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113</w:t>
            </w:r>
          </w:p>
        </w:tc>
        <w:tc>
          <w:tcPr>
            <w:tcW w:w="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0000FF"/>
                <w:w w:val="93"/>
              </w:rPr>
              <w:t>115</w:t>
            </w: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3A.1</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gridSpan w:val="21"/>
          </w:tcPr>
          <w:p>
            <w:pPr>
              <w:spacing w:after="0"/>
              <w:rPr>
                <w:sz w:val="20"/>
                <w:szCs w:val="20"/>
                <w:color w:val="auto"/>
              </w:rPr>
            </w:pPr>
            <w:r>
              <w:rPr>
                <w:rFonts w:ascii="Times New Roman" w:cs="Times New Roman" w:eastAsia="Times New Roman" w:hAnsi="Times New Roman"/>
                <w:sz w:val="17"/>
                <w:szCs w:val="17"/>
                <w:color w:val="auto"/>
              </w:rPr>
              <w:t>2020 Letters of Credit.</w:t>
            </w:r>
          </w:p>
        </w:tc>
        <w:tc>
          <w:tcPr>
            <w:tcW w:w="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FF0000"/>
                <w:strike w:val="1"/>
                <w:w w:val="85"/>
              </w:rPr>
              <w:t>113</w:t>
            </w:r>
          </w:p>
        </w:tc>
        <w:tc>
          <w:tcPr>
            <w:tcW w:w="360" w:type="dxa"/>
            <w:vAlign w:val="bottom"/>
            <w:tcBorders>
              <w:top w:val="single" w:sz="8" w:color="auto"/>
            </w:tcBorders>
            <w:gridSpan w:val="3"/>
          </w:tcPr>
          <w:p>
            <w:pPr>
              <w:jc w:val="right"/>
              <w:ind w:right="14"/>
              <w:spacing w:after="0"/>
              <w:rPr>
                <w:sz w:val="20"/>
                <w:szCs w:val="20"/>
                <w:color w:val="auto"/>
              </w:rPr>
            </w:pPr>
            <w:r>
              <w:rPr>
                <w:rFonts w:ascii="Times New Roman" w:cs="Times New Roman" w:eastAsia="Times New Roman" w:hAnsi="Times New Roman"/>
                <w:sz w:val="17"/>
                <w:szCs w:val="17"/>
                <w:color w:val="0000FF"/>
                <w:w w:val="93"/>
              </w:rPr>
              <w:t>116</w:t>
            </w:r>
          </w:p>
        </w:tc>
        <w:tc>
          <w:tcPr>
            <w:tcW w:w="1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20" w:type="dxa"/>
            <w:vAlign w:val="bottom"/>
            <w:tcBorders>
              <w:right w:val="single" w:sz="8" w:color="auto"/>
            </w:tcBorders>
            <w:gridSpan w:val="5"/>
          </w:tcPr>
          <w:p>
            <w:pPr>
              <w:spacing w:after="0" w:line="20" w:lineRule="exact"/>
              <w:rPr>
                <w:sz w:val="1"/>
                <w:szCs w:val="1"/>
                <w:color w:val="auto"/>
              </w:rPr>
            </w:pPr>
          </w:p>
        </w:tc>
        <w:tc>
          <w:tcPr>
            <w:tcW w:w="620" w:type="dxa"/>
            <w:vAlign w:val="bottom"/>
            <w:tcBorders>
              <w:right w:val="single" w:sz="8" w:color="auto"/>
            </w:tcBorders>
            <w:gridSpan w:val="8"/>
            <w:shd w:val="clear" w:color="auto" w:fill="000000"/>
          </w:tcPr>
          <w:p>
            <w:pPr>
              <w:spacing w:after="0" w:line="20" w:lineRule="exact"/>
              <w:rPr>
                <w:sz w:val="1"/>
                <w:szCs w:val="1"/>
                <w:color w:val="auto"/>
              </w:rPr>
            </w:pPr>
          </w:p>
        </w:tc>
        <w:tc>
          <w:tcPr>
            <w:tcW w:w="24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1020" w:type="dxa"/>
            <w:vAlign w:val="bottom"/>
            <w:tcBorders>
              <w:left w:val="single" w:sz="8" w:color="auto"/>
              <w:right w:val="single" w:sz="8" w:color="0000FF"/>
            </w:tcBorders>
            <w:gridSpan w:val="11"/>
            <w:shd w:val="clear" w:color="auto" w:fill="000000"/>
          </w:tcPr>
          <w:p>
            <w:pPr>
              <w:spacing w:after="0" w:line="20" w:lineRule="exact"/>
              <w:rPr>
                <w:sz w:val="1"/>
                <w:szCs w:val="1"/>
                <w:color w:val="auto"/>
              </w:rPr>
            </w:pPr>
          </w:p>
        </w:tc>
        <w:tc>
          <w:tcPr>
            <w:tcW w:w="2760" w:type="dxa"/>
            <w:vAlign w:val="bottom"/>
            <w:gridSpan w:val="29"/>
          </w:tcPr>
          <w:p>
            <w:pPr>
              <w:spacing w:after="0" w:line="20" w:lineRule="exact"/>
              <w:rPr>
                <w:sz w:val="1"/>
                <w:szCs w:val="1"/>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2020 Letter of Credit Requests.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FF0000"/>
                <w:strike w:val="1"/>
                <w:w w:val="85"/>
              </w:rPr>
              <w:t>115</w:t>
            </w:r>
          </w:p>
        </w:tc>
        <w:tc>
          <w:tcPr>
            <w:tcW w:w="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86"/>
              </w:rPr>
              <w:t>117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29"/>
          </w:tcPr>
          <w:p>
            <w:pPr>
              <w:spacing w:after="0"/>
              <w:rPr>
                <w:sz w:val="20"/>
                <w:szCs w:val="20"/>
                <w:color w:val="auto"/>
              </w:rPr>
            </w:pPr>
            <w:r>
              <w:rPr>
                <w:rFonts w:ascii="Times New Roman" w:cs="Times New Roman" w:eastAsia="Times New Roman" w:hAnsi="Times New Roman"/>
                <w:sz w:val="17"/>
                <w:szCs w:val="17"/>
                <w:color w:val="auto"/>
              </w:rPr>
              <w:t>2020 Letter of Credit Participations.</w:t>
            </w:r>
          </w:p>
        </w:tc>
        <w:tc>
          <w:tcPr>
            <w:tcW w:w="60" w:type="dxa"/>
            <w:vAlign w:val="bottom"/>
            <w:gridSpan w:val="2"/>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FF0000"/>
                <w:strike w:val="1"/>
              </w:rPr>
              <w:t>116</w:t>
            </w:r>
          </w:p>
        </w:tc>
        <w:tc>
          <w:tcPr>
            <w:tcW w:w="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119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gridSpan w:val="42"/>
          </w:tcPr>
          <w:p>
            <w:pPr>
              <w:spacing w:after="0"/>
              <w:rPr>
                <w:sz w:val="20"/>
                <w:szCs w:val="20"/>
                <w:color w:val="auto"/>
              </w:rPr>
            </w:pPr>
            <w:r>
              <w:rPr>
                <w:rFonts w:ascii="Times New Roman" w:cs="Times New Roman" w:eastAsia="Times New Roman" w:hAnsi="Times New Roman"/>
                <w:sz w:val="17"/>
                <w:szCs w:val="17"/>
                <w:color w:val="auto"/>
              </w:rPr>
              <w:t>Agreement to Repay 2020 Letter of Credit Drawings.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FF0000"/>
                <w:strike w:val="1"/>
                <w:w w:val="95"/>
              </w:rPr>
              <w:t>117</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120</w:t>
            </w:r>
          </w:p>
        </w:tc>
        <w:tc>
          <w:tcPr>
            <w:tcW w:w="10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w w:val="98"/>
              </w:rPr>
              <w:t>Increased Costs</w:t>
            </w:r>
          </w:p>
        </w:tc>
        <w:tc>
          <w:tcPr>
            <w:tcW w:w="14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FF0000"/>
                <w:strike w:val="1"/>
              </w:rPr>
              <w:t>118</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121</w:t>
            </w: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39"/>
          </w:tcPr>
          <w:p>
            <w:pPr>
              <w:spacing w:after="0"/>
              <w:rPr>
                <w:sz w:val="20"/>
                <w:szCs w:val="20"/>
                <w:color w:val="auto"/>
              </w:rPr>
            </w:pPr>
            <w:r>
              <w:rPr>
                <w:rFonts w:ascii="Times New Roman" w:cs="Times New Roman" w:eastAsia="Times New Roman" w:hAnsi="Times New Roman"/>
                <w:sz w:val="17"/>
                <w:szCs w:val="17"/>
                <w:color w:val="auto"/>
              </w:rPr>
              <w:t>New or Successor 2020 Letter of Credit Issuer.</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FF0000"/>
                <w:strike w:val="1"/>
                <w:w w:val="85"/>
              </w:rPr>
              <w:t>119</w:t>
            </w:r>
          </w:p>
        </w:tc>
        <w:tc>
          <w:tcPr>
            <w:tcW w:w="36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0000FF"/>
                <w:w w:val="93"/>
              </w:rPr>
              <w:t>122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 w:type="dxa"/>
            <w:vAlign w:val="bottom"/>
            <w:shd w:val="clear" w:color="auto" w:fill="000000"/>
          </w:tcPr>
          <w:p>
            <w:pPr>
              <w:spacing w:after="0" w:line="20" w:lineRule="exact"/>
              <w:rPr>
                <w:sz w:val="1"/>
                <w:szCs w:val="1"/>
                <w:color w:val="auto"/>
              </w:rPr>
            </w:pPr>
          </w:p>
        </w:tc>
        <w:tc>
          <w:tcPr>
            <w:tcW w:w="23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Role of 2020 Letter of Credit Issuer</w:t>
            </w:r>
          </w:p>
        </w:tc>
        <w:tc>
          <w:tcPr>
            <w:tcW w:w="16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FF0000"/>
                <w:strike w:val="1"/>
              </w:rPr>
              <w:t>120</w:t>
            </w:r>
          </w:p>
        </w:tc>
        <w:tc>
          <w:tcPr>
            <w:tcW w:w="3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3A.8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rPr>
              <w:t>Cash Collateral.</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FF0000"/>
                <w:strike w:val="1"/>
              </w:rPr>
              <w:t>120</w:t>
            </w:r>
          </w:p>
        </w:tc>
        <w:tc>
          <w:tcPr>
            <w:tcW w:w="290" w:type="dxa"/>
            <w:vAlign w:val="bottom"/>
            <w:tcBorders>
              <w:top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7"/>
                <w:szCs w:val="17"/>
                <w:color w:val="0000FF"/>
                <w:w w:val="86"/>
              </w:rPr>
              <w:t>123</w:t>
            </w:r>
          </w:p>
        </w:tc>
        <w:tc>
          <w:tcPr>
            <w:tcW w:w="3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220" w:type="dxa"/>
            <w:vAlign w:val="bottom"/>
            <w:tcBorders>
              <w:right w:val="single" w:sz="8" w:color="auto"/>
            </w:tcBorders>
            <w:gridSpan w:val="5"/>
          </w:tcPr>
          <w:p>
            <w:pPr>
              <w:spacing w:after="0" w:line="20" w:lineRule="exact"/>
              <w:rPr>
                <w:sz w:val="1"/>
                <w:szCs w:val="1"/>
                <w:color w:val="auto"/>
              </w:rPr>
            </w:pPr>
          </w:p>
        </w:tc>
        <w:tc>
          <w:tcPr>
            <w:tcW w:w="620" w:type="dxa"/>
            <w:vAlign w:val="bottom"/>
            <w:tcBorders>
              <w:right w:val="single" w:sz="8" w:color="auto"/>
            </w:tcBorders>
            <w:gridSpan w:val="8"/>
            <w:shd w:val="clear" w:color="auto" w:fill="000000"/>
          </w:tcPr>
          <w:p>
            <w:pPr>
              <w:spacing w:after="0" w:line="20" w:lineRule="exact"/>
              <w:rPr>
                <w:sz w:val="1"/>
                <w:szCs w:val="1"/>
                <w:color w:val="auto"/>
              </w:rPr>
            </w:pPr>
          </w:p>
        </w:tc>
        <w:tc>
          <w:tcPr>
            <w:tcW w:w="920" w:type="dxa"/>
            <w:vAlign w:val="bottom"/>
            <w:tcBorders>
              <w:left w:val="single" w:sz="8" w:color="auto"/>
            </w:tcBorders>
            <w:gridSpan w:val="12"/>
            <w:shd w:val="clear" w:color="auto" w:fill="000000"/>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00" w:type="dxa"/>
            <w:vAlign w:val="bottom"/>
            <w:gridSpan w:val="33"/>
          </w:tcPr>
          <w:p>
            <w:pPr>
              <w:spacing w:after="0" w:line="20" w:lineRule="exact"/>
              <w:rPr>
                <w:sz w:val="1"/>
                <w:szCs w:val="1"/>
                <w:color w:val="auto"/>
              </w:rPr>
            </w:pPr>
          </w:p>
        </w:tc>
      </w:tr>
      <w:tr>
        <w:trPr>
          <w:trHeight w:val="195"/>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3A.9</w:t>
            </w:r>
          </w:p>
        </w:tc>
        <w:tc>
          <w:tcPr>
            <w:tcW w:w="213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Applicability of ISP and UCP</w:t>
            </w:r>
          </w:p>
        </w:tc>
        <w:tc>
          <w:tcPr>
            <w:tcW w:w="29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6"/>
              </w:rPr>
              <w:t>124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80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30" w:type="dxa"/>
            <w:vAlign w:val="bottom"/>
            <w:gridSpan w:val="2"/>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3460" w:type="dxa"/>
            <w:vAlign w:val="bottom"/>
            <w:gridSpan w:val="32"/>
          </w:tcPr>
          <w:p>
            <w:pPr>
              <w:ind w:left="340"/>
              <w:spacing w:after="0"/>
              <w:rPr>
                <w:sz w:val="20"/>
                <w:szCs w:val="20"/>
                <w:color w:val="auto"/>
              </w:rPr>
            </w:pPr>
            <w:r>
              <w:rPr>
                <w:rFonts w:ascii="Times New Roman" w:cs="Times New Roman" w:eastAsia="Times New Roman" w:hAnsi="Times New Roman"/>
                <w:sz w:val="17"/>
                <w:szCs w:val="17"/>
                <w:color w:val="auto"/>
              </w:rPr>
              <w:t>3A.10  Conflict with Issuer Documents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FF0000"/>
                <w:strike w:val="1"/>
                <w:w w:val="85"/>
              </w:rPr>
              <w:t>122</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0000FF"/>
                <w:w w:val="78"/>
              </w:rPr>
              <w:t>124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 w:type="dxa"/>
            <w:vAlign w:val="bottom"/>
            <w:shd w:val="clear" w:color="auto" w:fill="000000"/>
          </w:tcPr>
          <w:p>
            <w:pPr>
              <w:spacing w:after="0" w:line="20" w:lineRule="exact"/>
              <w:rPr>
                <w:sz w:val="1"/>
                <w:szCs w:val="1"/>
                <w:color w:val="auto"/>
              </w:rPr>
            </w:pPr>
          </w:p>
        </w:tc>
        <w:tc>
          <w:tcPr>
            <w:tcW w:w="23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8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w w:val="99"/>
              </w:rPr>
              <w:t>3A.11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39"/>
          </w:tcPr>
          <w:p>
            <w:pPr>
              <w:spacing w:after="0"/>
              <w:rPr>
                <w:sz w:val="20"/>
                <w:szCs w:val="20"/>
                <w:color w:val="auto"/>
              </w:rPr>
            </w:pPr>
            <w:r>
              <w:rPr>
                <w:rFonts w:ascii="Times New Roman" w:cs="Times New Roman" w:eastAsia="Times New Roman" w:hAnsi="Times New Roman"/>
                <w:sz w:val="17"/>
                <w:szCs w:val="17"/>
                <w:color w:val="auto"/>
              </w:rPr>
              <w:t>Letters of Credit Issued for Restricted Subsidiaries</w:t>
            </w:r>
          </w:p>
        </w:tc>
        <w:tc>
          <w:tcPr>
            <w:tcW w:w="80" w:type="dxa"/>
            <w:vAlign w:val="bottom"/>
          </w:tcPr>
          <w:p>
            <w:pPr>
              <w:spacing w:after="0"/>
              <w:rPr>
                <w:sz w:val="16"/>
                <w:szCs w:val="16"/>
                <w:color w:val="auto"/>
              </w:rPr>
            </w:pPr>
          </w:p>
        </w:tc>
        <w:tc>
          <w:tcPr>
            <w:tcW w:w="260" w:type="dxa"/>
            <w:vAlign w:val="bottom"/>
            <w:gridSpan w:val="2"/>
          </w:tcPr>
          <w:p>
            <w:pPr>
              <w:spacing w:after="0"/>
              <w:rPr>
                <w:sz w:val="16"/>
                <w:szCs w:val="16"/>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FF0000"/>
                <w:strike w:val="1"/>
                <w:w w:val="95"/>
              </w:rPr>
              <w:t>122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6"/>
              </w:rPr>
              <w:t>124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 w:type="dxa"/>
            <w:vAlign w:val="bottom"/>
            <w:shd w:val="clear" w:color="auto" w:fill="000000"/>
          </w:tcPr>
          <w:p>
            <w:pPr>
              <w:spacing w:after="0" w:line="20" w:lineRule="exact"/>
              <w:rPr>
                <w:sz w:val="1"/>
                <w:szCs w:val="1"/>
                <w:color w:val="auto"/>
              </w:rPr>
            </w:pPr>
          </w:p>
        </w:tc>
        <w:tc>
          <w:tcPr>
            <w:tcW w:w="29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5"/>
        </w:trPr>
        <w:tc>
          <w:tcPr>
            <w:tcW w:w="5520" w:type="dxa"/>
            <w:vAlign w:val="bottom"/>
            <w:gridSpan w:val="54"/>
          </w:tcPr>
          <w:p>
            <w:pPr>
              <w:ind w:left="340"/>
              <w:spacing w:after="0"/>
              <w:rPr>
                <w:sz w:val="20"/>
                <w:szCs w:val="20"/>
                <w:color w:val="auto"/>
              </w:rPr>
            </w:pPr>
            <w:r>
              <w:rPr>
                <w:rFonts w:ascii="Times New Roman" w:cs="Times New Roman" w:eastAsia="Times New Roman" w:hAnsi="Times New Roman"/>
                <w:sz w:val="17"/>
                <w:szCs w:val="17"/>
                <w:color w:val="auto"/>
              </w:rPr>
              <w:t>3A.12  Provisions Related to Extended Revolving Credit Commitments</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FF0000"/>
                <w:strike w:val="1"/>
                <w:w w:val="85"/>
              </w:rPr>
              <w:t>122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125</w:t>
            </w:r>
          </w:p>
        </w:tc>
      </w:tr>
      <w:tr>
        <w:trPr>
          <w:trHeight w:val="20"/>
        </w:trPr>
        <w:tc>
          <w:tcPr>
            <w:tcW w:w="1220" w:type="dxa"/>
            <w:vAlign w:val="bottom"/>
            <w:tcBorders>
              <w:right w:val="single" w:sz="8" w:color="auto"/>
            </w:tcBorders>
            <w:gridSpan w:val="5"/>
          </w:tcPr>
          <w:p>
            <w:pPr>
              <w:spacing w:after="0" w:line="20" w:lineRule="exact"/>
              <w:rPr>
                <w:sz w:val="1"/>
                <w:szCs w:val="1"/>
                <w:color w:val="auto"/>
              </w:rPr>
            </w:pPr>
          </w:p>
        </w:tc>
        <w:tc>
          <w:tcPr>
            <w:tcW w:w="620" w:type="dxa"/>
            <w:vAlign w:val="bottom"/>
            <w:tcBorders>
              <w:right w:val="single" w:sz="8" w:color="auto"/>
            </w:tcBorders>
            <w:gridSpan w:val="8"/>
            <w:shd w:val="clear" w:color="auto" w:fill="000000"/>
          </w:tcPr>
          <w:p>
            <w:pPr>
              <w:spacing w:after="0" w:line="20" w:lineRule="exact"/>
              <w:rPr>
                <w:sz w:val="1"/>
                <w:szCs w:val="1"/>
                <w:color w:val="auto"/>
              </w:rPr>
            </w:pPr>
          </w:p>
        </w:tc>
        <w:tc>
          <w:tcPr>
            <w:tcW w:w="24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4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0" w:type="dxa"/>
            <w:vAlign w:val="bottom"/>
            <w:tcBorders>
              <w:left w:val="single" w:sz="8" w:color="auto"/>
              <w:right w:val="single" w:sz="8" w:color="auto"/>
            </w:tcBorders>
            <w:gridSpan w:val="9"/>
            <w:shd w:val="clear" w:color="auto" w:fill="000000"/>
          </w:tcPr>
          <w:p>
            <w:pPr>
              <w:spacing w:after="0" w:line="20" w:lineRule="exact"/>
              <w:rPr>
                <w:sz w:val="1"/>
                <w:szCs w:val="1"/>
                <w:color w:val="auto"/>
              </w:rPr>
            </w:pPr>
          </w:p>
        </w:tc>
        <w:tc>
          <w:tcPr>
            <w:tcW w:w="460" w:type="dxa"/>
            <w:vAlign w:val="bottom"/>
            <w:tcBorders>
              <w:right w:val="single" w:sz="8" w:color="auto"/>
            </w:tcBorders>
            <w:gridSpan w:val="6"/>
            <w:shd w:val="clear" w:color="auto" w:fill="000000"/>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r>
      <w:tr>
        <w:trPr>
          <w:trHeight w:val="195"/>
        </w:trPr>
        <w:tc>
          <w:tcPr>
            <w:tcW w:w="156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SECTION 4. FEES.</w:t>
            </w: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FF0000"/>
                <w:strike w:val="1"/>
              </w:rPr>
              <w:t>122</w:t>
            </w:r>
          </w:p>
        </w:tc>
        <w:tc>
          <w:tcPr>
            <w:tcW w:w="260" w:type="dxa"/>
            <w:vAlign w:val="bottom"/>
            <w:tcBorders>
              <w:bottom w:val="single" w:sz="8" w:color="0000FF"/>
            </w:tcBorders>
            <w:gridSpan w:val="5"/>
          </w:tcPr>
          <w:p>
            <w:pPr>
              <w:jc w:val="right"/>
              <w:spacing w:after="0"/>
              <w:rPr>
                <w:sz w:val="20"/>
                <w:szCs w:val="20"/>
                <w:color w:val="auto"/>
              </w:rPr>
            </w:pPr>
            <w:r>
              <w:rPr>
                <w:rFonts w:ascii="Times New Roman" w:cs="Times New Roman" w:eastAsia="Times New Roman" w:hAnsi="Times New Roman"/>
                <w:sz w:val="17"/>
                <w:szCs w:val="17"/>
                <w:color w:val="0000FF"/>
                <w:w w:val="93"/>
              </w:rPr>
              <w:t>125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4.1</w:t>
            </w:r>
          </w:p>
        </w:tc>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Fees.</w:t>
            </w:r>
          </w:p>
        </w:tc>
        <w:tc>
          <w:tcPr>
            <w:tcW w:w="34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FF0000"/>
                <w:strike w:val="1"/>
                <w:w w:val="86"/>
              </w:rPr>
              <w:t>122</w:t>
            </w:r>
          </w:p>
        </w:tc>
        <w:tc>
          <w:tcPr>
            <w:tcW w:w="4760" w:type="dxa"/>
            <w:vAlign w:val="bottom"/>
            <w:gridSpan w:val="54"/>
          </w:tcPr>
          <w:p>
            <w:pPr>
              <w:jc w:val="right"/>
              <w:ind w:right="4600"/>
              <w:spacing w:after="0"/>
              <w:rPr>
                <w:sz w:val="20"/>
                <w:szCs w:val="20"/>
                <w:color w:val="auto"/>
              </w:rPr>
            </w:pPr>
            <w:r>
              <w:rPr>
                <w:rFonts w:ascii="Times New Roman" w:cs="Times New Roman" w:eastAsia="Times New Roman" w:hAnsi="Times New Roman"/>
                <w:sz w:val="13"/>
                <w:szCs w:val="13"/>
                <w:color w:val="0000FF"/>
                <w:w w:val="71"/>
              </w:rPr>
              <w:t>125</w:t>
            </w:r>
          </w:p>
        </w:tc>
      </w:tr>
      <w:tr>
        <w:trPr>
          <w:trHeight w:val="20"/>
        </w:trPr>
        <w:tc>
          <w:tcPr>
            <w:tcW w:w="48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9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4.2</w:t>
            </w:r>
          </w:p>
        </w:tc>
        <w:tc>
          <w:tcPr>
            <w:tcW w:w="4000" w:type="dxa"/>
            <w:vAlign w:val="bottom"/>
            <w:gridSpan w:val="42"/>
          </w:tcPr>
          <w:p>
            <w:pPr>
              <w:spacing w:after="0"/>
              <w:rPr>
                <w:sz w:val="20"/>
                <w:szCs w:val="20"/>
                <w:color w:val="auto"/>
              </w:rPr>
            </w:pPr>
            <w:r>
              <w:rPr>
                <w:rFonts w:ascii="Times New Roman" w:cs="Times New Roman" w:eastAsia="Times New Roman" w:hAnsi="Times New Roman"/>
                <w:sz w:val="17"/>
                <w:szCs w:val="17"/>
                <w:color w:val="auto"/>
              </w:rPr>
              <w:t>Voluntary Reduction of Revolving Credit Commitments.</w:t>
            </w:r>
          </w:p>
        </w:tc>
        <w:tc>
          <w:tcPr>
            <w:tcW w:w="8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124</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126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4.3</w:t>
            </w:r>
          </w:p>
        </w:tc>
        <w:tc>
          <w:tcPr>
            <w:tcW w:w="2980" w:type="dxa"/>
            <w:vAlign w:val="bottom"/>
            <w:tcBorders>
              <w:top w:val="single" w:sz="8" w:color="auto"/>
            </w:tcBorders>
            <w:gridSpan w:val="31"/>
          </w:tcPr>
          <w:p>
            <w:pPr>
              <w:spacing w:after="0"/>
              <w:rPr>
                <w:sz w:val="20"/>
                <w:szCs w:val="20"/>
                <w:color w:val="auto"/>
              </w:rPr>
            </w:pPr>
            <w:r>
              <w:rPr>
                <w:rFonts w:ascii="Times New Roman" w:cs="Times New Roman" w:eastAsia="Times New Roman" w:hAnsi="Times New Roman"/>
                <w:sz w:val="17"/>
                <w:szCs w:val="17"/>
                <w:color w:val="auto"/>
              </w:rPr>
              <w:t>Mandatory Termination of Commitments.</w:t>
            </w: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124</w:t>
            </w: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127</w:t>
            </w: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0" w:type="dxa"/>
            <w:vAlign w:val="bottom"/>
            <w:shd w:val="clear" w:color="auto" w:fill="000000"/>
          </w:tcPr>
          <w:p>
            <w:pPr>
              <w:spacing w:after="0" w:line="20" w:lineRule="exact"/>
              <w:rPr>
                <w:sz w:val="1"/>
                <w:szCs w:val="1"/>
                <w:color w:val="auto"/>
              </w:rPr>
            </w:pPr>
          </w:p>
        </w:tc>
        <w:tc>
          <w:tcPr>
            <w:tcW w:w="3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1840" w:type="dxa"/>
            <w:vAlign w:val="bottom"/>
            <w:gridSpan w:val="13"/>
          </w:tcPr>
          <w:p>
            <w:pPr>
              <w:spacing w:after="0"/>
              <w:rPr>
                <w:sz w:val="20"/>
                <w:szCs w:val="20"/>
                <w:color w:val="auto"/>
              </w:rPr>
            </w:pPr>
            <w:r>
              <w:rPr>
                <w:rFonts w:ascii="Times New Roman" w:cs="Times New Roman" w:eastAsia="Times New Roman" w:hAnsi="Times New Roman"/>
                <w:sz w:val="17"/>
                <w:szCs w:val="17"/>
                <w:color w:val="auto"/>
                <w:w w:val="95"/>
              </w:rPr>
              <w:t>SECTION 5. PAYMENTS.</w:t>
            </w:r>
          </w:p>
        </w:tc>
        <w:tc>
          <w:tcPr>
            <w:tcW w:w="220" w:type="dxa"/>
            <w:vAlign w:val="bottom"/>
            <w:gridSpan w:val="3"/>
          </w:tcPr>
          <w:p>
            <w:pPr>
              <w:spacing w:after="0"/>
              <w:rPr>
                <w:sz w:val="16"/>
                <w:szCs w:val="16"/>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FF0000"/>
                <w:strike w:val="1"/>
                <w:w w:val="95"/>
              </w:rPr>
              <w:t>125</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128</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5.1</w:t>
            </w:r>
          </w:p>
        </w:tc>
        <w:tc>
          <w:tcPr>
            <w:tcW w:w="172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Voluntary Prepayments.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125</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128</w:t>
            </w: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5.2</w:t>
            </w:r>
          </w:p>
        </w:tc>
        <w:tc>
          <w:tcPr>
            <w:tcW w:w="1720" w:type="dxa"/>
            <w:vAlign w:val="bottom"/>
            <w:gridSpan w:val="18"/>
          </w:tcPr>
          <w:p>
            <w:pPr>
              <w:spacing w:after="0"/>
              <w:rPr>
                <w:sz w:val="20"/>
                <w:szCs w:val="20"/>
                <w:color w:val="auto"/>
              </w:rPr>
            </w:pPr>
            <w:r>
              <w:rPr>
                <w:rFonts w:ascii="Times New Roman" w:cs="Times New Roman" w:eastAsia="Times New Roman" w:hAnsi="Times New Roman"/>
                <w:sz w:val="17"/>
                <w:szCs w:val="17"/>
                <w:color w:val="auto"/>
                <w:w w:val="98"/>
              </w:rPr>
              <w:t>Mandatory Prepayments.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126</w:t>
            </w:r>
          </w:p>
        </w:tc>
        <w:tc>
          <w:tcPr>
            <w:tcW w:w="380" w:type="dxa"/>
            <w:vAlign w:val="bottom"/>
            <w:gridSpan w:val="4"/>
          </w:tcPr>
          <w:p>
            <w:pPr>
              <w:jc w:val="right"/>
              <w:ind w:right="48"/>
              <w:spacing w:after="0"/>
              <w:rPr>
                <w:sz w:val="20"/>
                <w:szCs w:val="20"/>
                <w:color w:val="auto"/>
              </w:rPr>
            </w:pPr>
            <w:r>
              <w:rPr>
                <w:rFonts w:ascii="Times New Roman" w:cs="Times New Roman" w:eastAsia="Times New Roman" w:hAnsi="Times New Roman"/>
                <w:sz w:val="17"/>
                <w:szCs w:val="17"/>
                <w:color w:val="0000FF"/>
                <w:w w:val="93"/>
              </w:rPr>
              <w:t>128</w:t>
            </w: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29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5.3</w:t>
            </w:r>
          </w:p>
        </w:tc>
        <w:tc>
          <w:tcPr>
            <w:tcW w:w="245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Method and Place of Payment.</w:t>
            </w:r>
          </w:p>
        </w:tc>
        <w:tc>
          <w:tcPr>
            <w:tcW w:w="29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129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6"/>
              </w:rPr>
              <w:t>131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5.4</w:t>
            </w:r>
          </w:p>
        </w:tc>
        <w:tc>
          <w:tcPr>
            <w:tcW w:w="10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Net Payments.</w:t>
            </w:r>
          </w:p>
        </w:tc>
        <w:tc>
          <w:tcPr>
            <w:tcW w:w="28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129</w:t>
            </w:r>
          </w:p>
        </w:tc>
        <w:tc>
          <w:tcPr>
            <w:tcW w:w="2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86"/>
              </w:rPr>
              <w:t>132</w:t>
            </w: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5.5</w:t>
            </w:r>
          </w:p>
        </w:tc>
        <w:tc>
          <w:tcPr>
            <w:tcW w:w="2450" w:type="dxa"/>
            <w:vAlign w:val="bottom"/>
            <w:gridSpan w:val="26"/>
          </w:tcPr>
          <w:p>
            <w:pPr>
              <w:spacing w:after="0"/>
              <w:rPr>
                <w:sz w:val="20"/>
                <w:szCs w:val="20"/>
                <w:color w:val="auto"/>
              </w:rPr>
            </w:pPr>
            <w:r>
              <w:rPr>
                <w:rFonts w:ascii="Times New Roman" w:cs="Times New Roman" w:eastAsia="Times New Roman" w:hAnsi="Times New Roman"/>
                <w:sz w:val="17"/>
                <w:szCs w:val="17"/>
                <w:color w:val="auto"/>
              </w:rPr>
              <w:t>Computations of Interest and Fees.</w:t>
            </w:r>
          </w:p>
        </w:tc>
        <w:tc>
          <w:tcPr>
            <w:tcW w:w="29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132</w:t>
            </w:r>
          </w:p>
        </w:tc>
        <w:tc>
          <w:tcPr>
            <w:tcW w:w="400" w:type="dxa"/>
            <w:vAlign w:val="bottom"/>
            <w:gridSpan w:val="3"/>
          </w:tcPr>
          <w:p>
            <w:pPr>
              <w:jc w:val="right"/>
              <w:ind w:right="88"/>
              <w:spacing w:after="0"/>
              <w:rPr>
                <w:sz w:val="20"/>
                <w:szCs w:val="20"/>
                <w:color w:val="auto"/>
              </w:rPr>
            </w:pPr>
            <w:r>
              <w:rPr>
                <w:rFonts w:ascii="Times New Roman" w:cs="Times New Roman" w:eastAsia="Times New Roman" w:hAnsi="Times New Roman"/>
                <w:sz w:val="17"/>
                <w:szCs w:val="17"/>
                <w:color w:val="0000FF"/>
                <w:w w:val="86"/>
              </w:rPr>
              <w:t>135</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5.6</w:t>
            </w:r>
          </w:p>
        </w:tc>
        <w:tc>
          <w:tcPr>
            <w:tcW w:w="1720" w:type="dxa"/>
            <w:vAlign w:val="bottom"/>
            <w:tcBorders>
              <w:top w:val="single" w:sz="8" w:color="auto"/>
            </w:tcBorders>
            <w:gridSpan w:val="18"/>
          </w:tcPr>
          <w:p>
            <w:pPr>
              <w:spacing w:after="0"/>
              <w:rPr>
                <w:sz w:val="20"/>
                <w:szCs w:val="20"/>
                <w:color w:val="auto"/>
              </w:rPr>
            </w:pPr>
            <w:r>
              <w:rPr>
                <w:rFonts w:ascii="Times New Roman" w:cs="Times New Roman" w:eastAsia="Times New Roman" w:hAnsi="Times New Roman"/>
                <w:sz w:val="17"/>
                <w:szCs w:val="17"/>
                <w:color w:val="auto"/>
                <w:w w:val="97"/>
              </w:rPr>
              <w:t>Limit on Rate of Interest.</w:t>
            </w:r>
          </w:p>
        </w:tc>
        <w:tc>
          <w:tcPr>
            <w:tcW w:w="3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132</w:t>
            </w:r>
          </w:p>
        </w:tc>
        <w:tc>
          <w:tcPr>
            <w:tcW w:w="380" w:type="dxa"/>
            <w:vAlign w:val="bottom"/>
            <w:tcBorders>
              <w:top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7"/>
                <w:szCs w:val="17"/>
                <w:color w:val="0000FF"/>
                <w:w w:val="93"/>
              </w:rPr>
              <w:t>135</w:t>
            </w: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left w:val="single" w:sz="8" w:color="0000FF"/>
            </w:tcBorders>
            <w:gridSpan w:val="3"/>
            <w:shd w:val="clear" w:color="auto" w:fill="0000FF"/>
          </w:tcPr>
          <w:p>
            <w:pPr>
              <w:spacing w:after="0" w:line="20" w:lineRule="exact"/>
              <w:rPr>
                <w:sz w:val="1"/>
                <w:szCs w:val="1"/>
                <w:color w:val="auto"/>
              </w:rPr>
            </w:pPr>
          </w:p>
        </w:tc>
        <w:tc>
          <w:tcPr>
            <w:tcW w:w="2420" w:type="dxa"/>
            <w:vAlign w:val="bottom"/>
            <w:gridSpan w:val="2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r>
      <w:tr>
        <w:trPr>
          <w:trHeight w:val="195"/>
        </w:trPr>
        <w:tc>
          <w:tcPr>
            <w:tcW w:w="5180" w:type="dxa"/>
            <w:vAlign w:val="bottom"/>
            <w:gridSpan w:val="50"/>
          </w:tcPr>
          <w:p>
            <w:pPr>
              <w:spacing w:after="0"/>
              <w:rPr>
                <w:sz w:val="20"/>
                <w:szCs w:val="20"/>
                <w:color w:val="auto"/>
              </w:rPr>
            </w:pPr>
            <w:r>
              <w:rPr>
                <w:rFonts w:ascii="Times New Roman" w:cs="Times New Roman" w:eastAsia="Times New Roman" w:hAnsi="Times New Roman"/>
                <w:sz w:val="17"/>
                <w:szCs w:val="17"/>
                <w:color w:val="auto"/>
              </w:rPr>
              <w:t>SECTION 6. CONDITIONS PRECEDENT TO INITIAL BORROWING.</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FF0000"/>
                <w:strike w:val="1"/>
                <w:w w:val="85"/>
              </w:rPr>
              <w:t>133</w:t>
            </w:r>
          </w:p>
        </w:tc>
        <w:tc>
          <w:tcPr>
            <w:tcW w:w="2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136</w:t>
            </w:r>
          </w:p>
        </w:tc>
        <w:tc>
          <w:tcPr>
            <w:tcW w:w="340" w:type="dxa"/>
            <w:vAlign w:val="bottom"/>
            <w:gridSpan w:val="3"/>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6.1</w:t>
            </w:r>
          </w:p>
        </w:tc>
        <w:tc>
          <w:tcPr>
            <w:tcW w:w="13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Credit Documents.</w:t>
            </w:r>
          </w:p>
        </w:tc>
        <w:tc>
          <w:tcPr>
            <w:tcW w:w="3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FF0000"/>
                <w:strike w:val="1"/>
              </w:rPr>
              <w:t>133</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6.2</w:t>
            </w:r>
          </w:p>
        </w:tc>
        <w:tc>
          <w:tcPr>
            <w:tcW w:w="740" w:type="dxa"/>
            <w:vAlign w:val="bottom"/>
            <w:tcBorders>
              <w:top w:val="single" w:sz="8" w:color="auto"/>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Collateral</w:t>
            </w:r>
          </w:p>
        </w:tc>
        <w:tc>
          <w:tcPr>
            <w:tcW w:w="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133</w:t>
            </w:r>
          </w:p>
        </w:tc>
        <w:tc>
          <w:tcPr>
            <w:tcW w:w="260" w:type="dxa"/>
            <w:vAlign w:val="bottom"/>
            <w:tcBorders>
              <w:top w:val="single" w:sz="8" w:color="auto"/>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136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6.3</w:t>
            </w:r>
          </w:p>
        </w:tc>
        <w:tc>
          <w:tcPr>
            <w:tcW w:w="10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Legal Opinions</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FF0000"/>
                <w:strike w:val="1"/>
              </w:rPr>
              <w:t>134</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0000FF"/>
                <w:w w:val="78"/>
              </w:rPr>
              <w:t>136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060" w:type="dxa"/>
            <w:vAlign w:val="bottom"/>
            <w:gridSpan w:val="8"/>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gridSpan w:val="6"/>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6.4</w:t>
            </w:r>
          </w:p>
        </w:tc>
        <w:tc>
          <w:tcPr>
            <w:tcW w:w="13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Equity Investments</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FF0000"/>
                <w:strike w:val="1"/>
              </w:rPr>
              <w:t>134</w:t>
            </w: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0000FF"/>
                <w:w w:val="78"/>
              </w:rPr>
              <w:t>136</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320" w:type="dxa"/>
            <w:vAlign w:val="bottom"/>
            <w:gridSpan w:val="11"/>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right w:val="single" w:sz="8" w:color="0000FF"/>
            </w:tcBorders>
            <w:gridSpan w:val="6"/>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10" w:type="dxa"/>
            <w:vAlign w:val="bottom"/>
            <w:gridSpan w:val="6"/>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6.5</w:t>
            </w:r>
          </w:p>
        </w:tc>
        <w:tc>
          <w:tcPr>
            <w:tcW w:w="1360" w:type="dxa"/>
            <w:vAlign w:val="bottom"/>
            <w:gridSpan w:val="12"/>
          </w:tcPr>
          <w:p>
            <w:pPr>
              <w:spacing w:after="0"/>
              <w:rPr>
                <w:sz w:val="20"/>
                <w:szCs w:val="20"/>
                <w:color w:val="auto"/>
              </w:rPr>
            </w:pPr>
            <w:r>
              <w:rPr>
                <w:rFonts w:ascii="Times New Roman" w:cs="Times New Roman" w:eastAsia="Times New Roman" w:hAnsi="Times New Roman"/>
                <w:sz w:val="17"/>
                <w:szCs w:val="17"/>
                <w:color w:val="auto"/>
                <w:w w:val="97"/>
              </w:rPr>
              <w:t>Closing Certificates</w:t>
            </w:r>
          </w:p>
        </w:tc>
        <w:tc>
          <w:tcPr>
            <w:tcW w:w="36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FF0000"/>
                <w:strike w:val="1"/>
              </w:rPr>
              <w:t>134</w:t>
            </w:r>
          </w:p>
        </w:tc>
        <w:tc>
          <w:tcPr>
            <w:tcW w:w="730" w:type="dxa"/>
            <w:vAlign w:val="bottom"/>
            <w:gridSpan w:val="8"/>
          </w:tcPr>
          <w:p>
            <w:pPr>
              <w:jc w:val="right"/>
              <w:ind w:right="510"/>
              <w:spacing w:after="0"/>
              <w:rPr>
                <w:sz w:val="20"/>
                <w:szCs w:val="20"/>
                <w:color w:val="auto"/>
              </w:rPr>
            </w:pPr>
            <w:r>
              <w:rPr>
                <w:rFonts w:ascii="Times New Roman" w:cs="Times New Roman" w:eastAsia="Times New Roman" w:hAnsi="Times New Roman"/>
                <w:sz w:val="17"/>
                <w:szCs w:val="17"/>
                <w:color w:val="0000FF"/>
                <w:w w:val="78"/>
              </w:rPr>
              <w:t>137</w:t>
            </w:r>
          </w:p>
        </w:tc>
        <w:tc>
          <w:tcPr>
            <w:tcW w:w="3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800" w:type="dxa"/>
            <w:vAlign w:val="bottom"/>
            <w:tcBorders>
              <w:right w:val="single" w:sz="8" w:color="auto"/>
            </w:tcBorders>
            <w:gridSpan w:val="2"/>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620" w:type="dxa"/>
            <w:vAlign w:val="bottom"/>
            <w:tcBorders>
              <w:right w:val="single" w:sz="8" w:color="auto"/>
            </w:tcBorders>
            <w:gridSpan w:val="8"/>
            <w:shd w:val="clear" w:color="auto" w:fill="000000"/>
          </w:tcPr>
          <w:p>
            <w:pPr>
              <w:spacing w:after="0" w:line="20" w:lineRule="exact"/>
              <w:rPr>
                <w:sz w:val="1"/>
                <w:szCs w:val="1"/>
                <w:color w:val="auto"/>
              </w:rPr>
            </w:pPr>
          </w:p>
        </w:tc>
        <w:tc>
          <w:tcPr>
            <w:tcW w:w="360" w:type="dxa"/>
            <w:vAlign w:val="bottom"/>
            <w:tcBorders>
              <w:right w:val="single" w:sz="8" w:color="0000FF"/>
            </w:tcBorders>
            <w:gridSpan w:val="6"/>
          </w:tcPr>
          <w:p>
            <w:pPr>
              <w:spacing w:after="0" w:line="20" w:lineRule="exact"/>
              <w:rPr>
                <w:sz w:val="1"/>
                <w:szCs w:val="1"/>
                <w:color w:val="auto"/>
              </w:rPr>
            </w:pPr>
          </w:p>
        </w:tc>
        <w:tc>
          <w:tcPr>
            <w:tcW w:w="3780" w:type="dxa"/>
            <w:vAlign w:val="bottom"/>
            <w:tcBorders>
              <w:left w:val="single" w:sz="8" w:color="0000FF"/>
            </w:tcBorders>
            <w:gridSpan w:val="40"/>
            <w:shd w:val="clear" w:color="auto" w:fill="0000FF"/>
          </w:tcPr>
          <w:p>
            <w:pPr>
              <w:spacing w:after="0" w:line="20" w:lineRule="exact"/>
              <w:rPr>
                <w:sz w:val="1"/>
                <w:szCs w:val="1"/>
                <w:color w:val="auto"/>
              </w:rPr>
            </w:pPr>
          </w:p>
        </w:tc>
      </w:tr>
    </w:tbl>
    <w:p>
      <w:pPr>
        <w:spacing w:after="0" w:line="22" w:lineRule="exact"/>
        <w:rPr>
          <w:sz w:val="20"/>
          <w:szCs w:val="20"/>
          <w:color w:val="auto"/>
        </w:rPr>
      </w:pPr>
    </w:p>
    <w:p>
      <w:pPr>
        <w:ind w:left="1320" w:right="1379"/>
        <w:spacing w:after="0" w:line="247"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Authorization of Proceedings of Holdings, the Borrower and the Guarantors; Corporate</w:t>
      </w:r>
      <w:r>
        <w:rPr>
          <w:rFonts w:ascii="Times New Roman" w:cs="Times New Roman" w:eastAsia="Times New Roman" w:hAnsi="Times New Roman"/>
          <w:sz w:val="17"/>
          <w:szCs w:val="17"/>
          <w:color w:val="auto"/>
        </w:rPr>
        <w:t xml:space="preserve"> Documents </w:t>
      </w:r>
      <w:r>
        <w:rPr>
          <w:rFonts w:ascii="Times New Roman" w:cs="Times New Roman" w:eastAsia="Times New Roman" w:hAnsi="Times New Roman"/>
          <w:sz w:val="17"/>
          <w:szCs w:val="17"/>
          <w:color w:val="FF0000"/>
          <w:strike w:val="1"/>
        </w:rPr>
        <w:t>134</w:t>
      </w:r>
      <w:r>
        <w:rPr>
          <w:rFonts w:ascii="Times New Roman" w:cs="Times New Roman" w:eastAsia="Times New Roman" w:hAnsi="Times New Roman"/>
          <w:sz w:val="17"/>
          <w:szCs w:val="17"/>
          <w:color w:val="0000FF"/>
        </w:rPr>
        <w:t>137</w:t>
      </w:r>
    </w:p>
    <w:p>
      <w:pPr>
        <w:spacing w:after="0" w:line="15" w:lineRule="exact"/>
        <w:rPr>
          <w:sz w:val="20"/>
          <w:szCs w:val="20"/>
          <w:color w:val="auto"/>
        </w:rPr>
      </w:pPr>
    </w:p>
    <w:tbl>
      <w:tblPr>
        <w:tblLayout w:type="fixed"/>
        <w:tblInd w:w="1320" w:type="dxa"/>
        <w:tblCellMar>
          <w:top w:w="0" w:type="dxa"/>
          <w:left w:w="0" w:type="dxa"/>
          <w:bottom w:w="0" w:type="dxa"/>
          <w:right w:w="0" w:type="dxa"/>
        </w:tblCellMar>
      </w:tblPr>
      <w:tr>
        <w:trPr>
          <w:trHeight w:val="20"/>
        </w:trPr>
        <w:tc>
          <w:tcPr>
            <w:tcW w:w="3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4"/>
        </w:trPr>
        <w:tc>
          <w:tcPr>
            <w:tcW w:w="30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rPr>
              <w:t>6.7</w:t>
            </w:r>
          </w:p>
        </w:tc>
        <w:tc>
          <w:tcPr>
            <w:tcW w:w="320" w:type="dxa"/>
            <w:vAlign w:val="bottom"/>
            <w:tcBorders>
              <w:bottom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w w:val="89"/>
              </w:rPr>
              <w:t>Fees</w:t>
            </w:r>
          </w:p>
        </w:tc>
        <w:tc>
          <w:tcPr>
            <w:tcW w:w="80" w:type="dxa"/>
            <w:vAlign w:val="bottom"/>
          </w:tcPr>
          <w:p>
            <w:pPr>
              <w:spacing w:after="0"/>
              <w:rPr>
                <w:sz w:val="13"/>
                <w:szCs w:val="13"/>
                <w:color w:val="auto"/>
              </w:rPr>
            </w:pPr>
          </w:p>
        </w:tc>
        <w:tc>
          <w:tcPr>
            <w:tcW w:w="240" w:type="dxa"/>
            <w:vAlign w:val="bottom"/>
            <w:gridSpan w:val="2"/>
          </w:tcPr>
          <w:p>
            <w:pPr>
              <w:jc w:val="right"/>
              <w:spacing w:after="0" w:line="154" w:lineRule="exact"/>
              <w:rPr>
                <w:sz w:val="20"/>
                <w:szCs w:val="20"/>
                <w:color w:val="auto"/>
              </w:rPr>
            </w:pPr>
            <w:r>
              <w:rPr>
                <w:rFonts w:ascii="Times New Roman" w:cs="Times New Roman" w:eastAsia="Times New Roman" w:hAnsi="Times New Roman"/>
                <w:sz w:val="17"/>
                <w:szCs w:val="17"/>
                <w:color w:val="FF0000"/>
                <w:strike w:val="1"/>
                <w:w w:val="86"/>
              </w:rPr>
              <w:t>134</w:t>
            </w:r>
          </w:p>
        </w:tc>
        <w:tc>
          <w:tcPr>
            <w:tcW w:w="260" w:type="dxa"/>
            <w:vAlign w:val="bottom"/>
            <w:tcBorders>
              <w:bottom w:val="single" w:sz="8" w:color="0000FF"/>
            </w:tcBorders>
          </w:tcPr>
          <w:p>
            <w:pPr>
              <w:jc w:val="right"/>
              <w:spacing w:after="0" w:line="154" w:lineRule="exact"/>
              <w:rPr>
                <w:sz w:val="20"/>
                <w:szCs w:val="20"/>
                <w:color w:val="auto"/>
              </w:rPr>
            </w:pPr>
            <w:r>
              <w:rPr>
                <w:rFonts w:ascii="Times New Roman" w:cs="Times New Roman" w:eastAsia="Times New Roman" w:hAnsi="Times New Roman"/>
                <w:sz w:val="17"/>
                <w:szCs w:val="17"/>
                <w:color w:val="0000FF"/>
                <w:w w:val="93"/>
              </w:rPr>
              <w:t>137</w:t>
            </w:r>
          </w:p>
        </w:tc>
        <w:tc>
          <w:tcPr>
            <w:tcW w:w="2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95"/>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6.8</w:t>
            </w:r>
          </w:p>
        </w:tc>
        <w:tc>
          <w:tcPr>
            <w:tcW w:w="2180" w:type="dxa"/>
            <w:vAlign w:val="bottom"/>
            <w:tcBorders>
              <w:bottom w:val="single" w:sz="8" w:color="auto"/>
            </w:tcBorders>
            <w:gridSpan w:val="15"/>
          </w:tcPr>
          <w:p>
            <w:pPr>
              <w:spacing w:after="0"/>
              <w:rPr>
                <w:sz w:val="20"/>
                <w:szCs w:val="20"/>
                <w:color w:val="auto"/>
              </w:rPr>
            </w:pPr>
            <w:r>
              <w:rPr>
                <w:rFonts w:ascii="Times New Roman" w:cs="Times New Roman" w:eastAsia="Times New Roman" w:hAnsi="Times New Roman"/>
                <w:sz w:val="17"/>
                <w:szCs w:val="17"/>
                <w:color w:val="auto"/>
                <w:w w:val="99"/>
              </w:rPr>
              <w:t>Representations and Warranties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134</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137</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6.9</w:t>
            </w:r>
          </w:p>
        </w:tc>
        <w:tc>
          <w:tcPr>
            <w:tcW w:w="14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Solvency Certificate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FF0000"/>
                <w:strike w:val="1"/>
              </w:rPr>
              <w:t>135</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5"/>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6.10</w:t>
            </w:r>
          </w:p>
        </w:tc>
        <w:tc>
          <w:tcPr>
            <w:tcW w:w="11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Acquisition</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135</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w w:val="78"/>
              </w:rPr>
              <w:t>137</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6.11</w:t>
            </w:r>
          </w:p>
        </w:tc>
        <w:tc>
          <w:tcPr>
            <w:tcW w:w="800" w:type="dxa"/>
            <w:vAlign w:val="bottom"/>
            <w:tcBorders>
              <w:top w:val="single" w:sz="8" w:color="auto"/>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Patriot Act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FF0000"/>
                <w:strike w:val="1"/>
                <w:w w:val="78"/>
              </w:rPr>
              <w:t>135</w:t>
            </w: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138</w:t>
            </w:r>
          </w:p>
        </w:tc>
        <w:tc>
          <w:tcPr>
            <w:tcW w:w="1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6.12</w:t>
            </w:r>
          </w:p>
        </w:tc>
        <w:tc>
          <w:tcPr>
            <w:tcW w:w="180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Pro Forma Balance Sheet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135</w:t>
            </w:r>
          </w:p>
        </w:tc>
        <w:tc>
          <w:tcPr>
            <w:tcW w:w="54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0000FF"/>
                <w:w w:val="86"/>
              </w:rPr>
              <w:t>138</w:t>
            </w:r>
          </w:p>
        </w:tc>
        <w:tc>
          <w:tcPr>
            <w:tcW w:w="22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620" w:type="dxa"/>
            <w:vAlign w:val="bottom"/>
            <w:tcBorders>
              <w:right w:val="single" w:sz="8" w:color="auto"/>
            </w:tcBorders>
            <w:gridSpan w:val="2"/>
          </w:tcPr>
          <w:p>
            <w:pPr>
              <w:spacing w:after="0" w:line="20" w:lineRule="exact"/>
              <w:rPr>
                <w:sz w:val="1"/>
                <w:szCs w:val="1"/>
                <w:color w:val="auto"/>
              </w:rPr>
            </w:pPr>
          </w:p>
        </w:tc>
        <w:tc>
          <w:tcPr>
            <w:tcW w:w="800" w:type="dxa"/>
            <w:vAlign w:val="bottom"/>
            <w:tcBorders>
              <w:right w:val="single" w:sz="8" w:color="auto"/>
            </w:tcBorders>
            <w:gridSpan w:val="5"/>
            <w:shd w:val="clear" w:color="auto" w:fill="000000"/>
          </w:tcPr>
          <w:p>
            <w:pPr>
              <w:spacing w:after="0" w:line="20" w:lineRule="exact"/>
              <w:rPr>
                <w:sz w:val="1"/>
                <w:szCs w:val="1"/>
                <w:color w:val="auto"/>
              </w:rPr>
            </w:pPr>
          </w:p>
        </w:tc>
        <w:tc>
          <w:tcPr>
            <w:tcW w:w="600" w:type="dxa"/>
            <w:vAlign w:val="bottom"/>
            <w:tcBorders>
              <w:right w:val="single" w:sz="8" w:color="auto"/>
            </w:tcBorders>
            <w:gridSpan w:val="5"/>
            <w:shd w:val="clear" w:color="auto" w:fill="000000"/>
          </w:tcPr>
          <w:p>
            <w:pPr>
              <w:spacing w:after="0" w:line="20" w:lineRule="exact"/>
              <w:rPr>
                <w:sz w:val="1"/>
                <w:szCs w:val="1"/>
                <w:color w:val="auto"/>
              </w:rPr>
            </w:pPr>
          </w:p>
        </w:tc>
        <w:tc>
          <w:tcPr>
            <w:tcW w:w="32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6.13</w:t>
            </w:r>
          </w:p>
        </w:tc>
        <w:tc>
          <w:tcPr>
            <w:tcW w:w="1400" w:type="dxa"/>
            <w:vAlign w:val="bottom"/>
            <w:gridSpan w:val="10"/>
          </w:tcPr>
          <w:p>
            <w:pPr>
              <w:spacing w:after="0"/>
              <w:rPr>
                <w:sz w:val="20"/>
                <w:szCs w:val="20"/>
                <w:color w:val="auto"/>
              </w:rPr>
            </w:pPr>
            <w:r>
              <w:rPr>
                <w:rFonts w:ascii="Times New Roman" w:cs="Times New Roman" w:eastAsia="Times New Roman" w:hAnsi="Times New Roman"/>
                <w:sz w:val="17"/>
                <w:szCs w:val="17"/>
                <w:color w:val="auto"/>
                <w:w w:val="95"/>
              </w:rPr>
              <w:t>Financial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FF0000"/>
                <w:strike w:val="1"/>
              </w:rPr>
              <w:t>136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620" w:type="dxa"/>
            <w:vAlign w:val="bottom"/>
            <w:tcBorders>
              <w:right w:val="single" w:sz="8" w:color="auto"/>
            </w:tcBorders>
            <w:gridSpan w:val="2"/>
          </w:tcPr>
          <w:p>
            <w:pPr>
              <w:spacing w:after="0" w:line="20" w:lineRule="exact"/>
              <w:rPr>
                <w:sz w:val="1"/>
                <w:szCs w:val="1"/>
                <w:color w:val="auto"/>
              </w:rPr>
            </w:pPr>
          </w:p>
        </w:tc>
        <w:tc>
          <w:tcPr>
            <w:tcW w:w="800" w:type="dxa"/>
            <w:vAlign w:val="bottom"/>
            <w:tcBorders>
              <w:right w:val="single" w:sz="8" w:color="auto"/>
            </w:tcBorders>
            <w:gridSpan w:val="5"/>
            <w:shd w:val="clear" w:color="auto" w:fill="000000"/>
          </w:tcPr>
          <w:p>
            <w:pPr>
              <w:spacing w:after="0" w:line="20" w:lineRule="exact"/>
              <w:rPr>
                <w:sz w:val="1"/>
                <w:szCs w:val="1"/>
                <w:color w:val="auto"/>
              </w:rPr>
            </w:pPr>
          </w:p>
        </w:tc>
        <w:tc>
          <w:tcPr>
            <w:tcW w:w="600" w:type="dxa"/>
            <w:vAlign w:val="bottom"/>
            <w:tcBorders>
              <w:right w:val="single" w:sz="8" w:color="auto"/>
            </w:tcBorders>
            <w:gridSpan w:val="5"/>
            <w:shd w:val="clear" w:color="auto" w:fill="000000"/>
          </w:tcPr>
          <w:p>
            <w:pPr>
              <w:spacing w:after="0" w:line="20" w:lineRule="exact"/>
              <w:rPr>
                <w:sz w:val="1"/>
                <w:szCs w:val="1"/>
                <w:color w:val="auto"/>
              </w:rPr>
            </w:pPr>
          </w:p>
        </w:tc>
        <w:tc>
          <w:tcPr>
            <w:tcW w:w="320" w:type="dxa"/>
            <w:vAlign w:val="bottom"/>
            <w:tcBorders>
              <w:right w:val="single" w:sz="8" w:color="0000FF"/>
            </w:tcBorders>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6.14</w:t>
            </w:r>
          </w:p>
        </w:tc>
        <w:tc>
          <w:tcPr>
            <w:tcW w:w="2820" w:type="dxa"/>
            <w:vAlign w:val="bottom"/>
            <w:gridSpan w:val="21"/>
          </w:tcPr>
          <w:p>
            <w:pPr>
              <w:spacing w:after="0"/>
              <w:rPr>
                <w:sz w:val="20"/>
                <w:szCs w:val="20"/>
                <w:color w:val="auto"/>
              </w:rPr>
            </w:pPr>
            <w:r>
              <w:rPr>
                <w:rFonts w:ascii="Times New Roman" w:cs="Times New Roman" w:eastAsia="Times New Roman" w:hAnsi="Times New Roman"/>
                <w:sz w:val="17"/>
                <w:szCs w:val="17"/>
                <w:color w:val="auto"/>
              </w:rPr>
              <w:t>No Company Material Adverse Effect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93"/>
              </w:rPr>
              <w:t>136</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138</w:t>
            </w: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6.15</w:t>
            </w:r>
          </w:p>
        </w:tc>
        <w:tc>
          <w:tcPr>
            <w:tcW w:w="110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Refinancing</w:t>
            </w:r>
          </w:p>
        </w:tc>
        <w:tc>
          <w:tcPr>
            <w:tcW w:w="30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136</w:t>
            </w:r>
          </w:p>
        </w:tc>
        <w:tc>
          <w:tcPr>
            <w:tcW w:w="32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0000FF"/>
                <w:w w:val="78"/>
              </w:rPr>
              <w:t>138</w:t>
            </w: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r>
      <w:tr>
        <w:trPr>
          <w:trHeight w:val="20"/>
        </w:trPr>
        <w:tc>
          <w:tcPr>
            <w:tcW w:w="620" w:type="dxa"/>
            <w:vAlign w:val="bottom"/>
            <w:tcBorders>
              <w:right w:val="single" w:sz="8" w:color="auto"/>
            </w:tcBorders>
            <w:gridSpan w:val="2"/>
          </w:tcPr>
          <w:p>
            <w:pPr>
              <w:spacing w:after="0" w:line="20" w:lineRule="exact"/>
              <w:rPr>
                <w:sz w:val="1"/>
                <w:szCs w:val="1"/>
                <w:color w:val="auto"/>
              </w:rPr>
            </w:pPr>
          </w:p>
        </w:tc>
        <w:tc>
          <w:tcPr>
            <w:tcW w:w="800" w:type="dxa"/>
            <w:vAlign w:val="bottom"/>
            <w:tcBorders>
              <w:right w:val="single" w:sz="8" w:color="auto"/>
            </w:tcBorders>
            <w:gridSpan w:val="5"/>
            <w:shd w:val="clear" w:color="auto" w:fill="000000"/>
          </w:tcPr>
          <w:p>
            <w:pPr>
              <w:spacing w:after="0" w:line="20" w:lineRule="exact"/>
              <w:rPr>
                <w:sz w:val="1"/>
                <w:szCs w:val="1"/>
                <w:color w:val="auto"/>
              </w:rPr>
            </w:pPr>
          </w:p>
        </w:tc>
        <w:tc>
          <w:tcPr>
            <w:tcW w:w="600" w:type="dxa"/>
            <w:vAlign w:val="bottom"/>
            <w:tcBorders>
              <w:right w:val="single" w:sz="8" w:color="0000FF"/>
            </w:tcBorders>
            <w:gridSpan w:val="5"/>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6.16</w:t>
            </w:r>
          </w:p>
        </w:tc>
        <w:tc>
          <w:tcPr>
            <w:tcW w:w="1400" w:type="dxa"/>
            <w:vAlign w:val="bottom"/>
            <w:gridSpan w:val="10"/>
          </w:tcPr>
          <w:p>
            <w:pPr>
              <w:spacing w:after="0"/>
              <w:rPr>
                <w:sz w:val="20"/>
                <w:szCs w:val="20"/>
                <w:color w:val="auto"/>
              </w:rPr>
            </w:pPr>
            <w:r>
              <w:rPr>
                <w:rFonts w:ascii="Times New Roman" w:cs="Times New Roman" w:eastAsia="Times New Roman" w:hAnsi="Times New Roman"/>
                <w:sz w:val="17"/>
                <w:szCs w:val="17"/>
                <w:color w:val="auto"/>
                <w:w w:val="95"/>
              </w:rPr>
              <w:t>Notice of Borrowing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FF0000"/>
                <w:strike w:val="1"/>
              </w:rPr>
              <w:t>136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 w:lineRule="exact"/>
        <w:rPr>
          <w:sz w:val="20"/>
          <w:szCs w:val="20"/>
          <w:color w:val="auto"/>
        </w:rPr>
      </w:pPr>
    </w:p>
    <w:p>
      <w:pPr>
        <w:ind w:left="1140" w:right="1859"/>
        <w:spacing w:after="0" w:line="262" w:lineRule="auto"/>
        <w:rPr>
          <w:sz w:val="20"/>
          <w:szCs w:val="20"/>
          <w:color w:val="auto"/>
        </w:rPr>
      </w:pPr>
      <w:r>
        <w:rPr>
          <w:rFonts w:ascii="Times New Roman" w:cs="Times New Roman" w:eastAsia="Times New Roman" w:hAnsi="Times New Roman"/>
          <w:sz w:val="17"/>
          <w:szCs w:val="17"/>
          <w:color w:val="auto"/>
        </w:rPr>
        <w:t xml:space="preserve">SECTION 7. CONDITIONS PRECEDENT TO ALL CREDIT EVENTS AFTER THE CLOSING DATE. </w:t>
      </w:r>
      <w:r>
        <w:rPr>
          <w:rFonts w:ascii="Times New Roman" w:cs="Times New Roman" w:eastAsia="Times New Roman" w:hAnsi="Times New Roman"/>
          <w:sz w:val="14"/>
          <w:szCs w:val="14"/>
          <w:color w:val="FF0000"/>
          <w:strike w:val="1"/>
        </w:rPr>
        <w:t>136</w:t>
      </w:r>
      <w:r>
        <w:rPr>
          <w:rFonts w:ascii="Times New Roman" w:cs="Times New Roman" w:eastAsia="Times New Roman" w:hAnsi="Times New Roman"/>
          <w:sz w:val="17"/>
          <w:szCs w:val="17"/>
          <w:u w:val="single" w:color="auto"/>
          <w:color w:val="0000FF"/>
        </w:rPr>
        <w:t>138</w:t>
      </w:r>
    </w:p>
    <w:p>
      <w:pPr>
        <w:ind w:left="1320"/>
        <w:spacing w:after="0"/>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No Default; Representations and Warranties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FF0000"/>
          <w:strike w:val="1"/>
        </w:rPr>
        <w:t>136</w:t>
      </w:r>
      <w:r>
        <w:rPr>
          <w:rFonts w:ascii="Times New Roman" w:cs="Times New Roman" w:eastAsia="Times New Roman" w:hAnsi="Times New Roman"/>
          <w:sz w:val="17"/>
          <w:szCs w:val="17"/>
          <w:u w:val="single" w:color="auto"/>
          <w:color w:val="0000FF"/>
        </w:rPr>
        <w:t>139</w:t>
      </w:r>
    </w:p>
    <w:p>
      <w:pPr>
        <w:spacing w:after="0" w:line="8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72" w:name="page73"/>
    <w:bookmarkEnd w:id="72"/>
    <w:p>
      <w:pPr>
        <w:jc w:val="right"/>
        <w:ind w:right="1159"/>
        <w:spacing w:after="0"/>
        <w:rPr>
          <w:sz w:val="20"/>
          <w:szCs w:val="20"/>
          <w:color w:val="auto"/>
        </w:rPr>
      </w:pPr>
      <w:r>
        <w:rPr>
          <w:rFonts w:ascii="Times New Roman" w:cs="Times New Roman" w:eastAsia="Times New Roman" w:hAnsi="Times New Roman"/>
          <w:sz w:val="17"/>
          <w:szCs w:val="17"/>
          <w:u w:val="single" w:color="auto"/>
          <w:color w:val="auto"/>
        </w:rPr>
        <w:t>Page</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7.2</w:t>
            </w:r>
          </w:p>
        </w:tc>
        <w:tc>
          <w:tcPr>
            <w:tcW w:w="17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Notice of Borrowing.</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136</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0000FF"/>
                <w:w w:val="70"/>
              </w:rPr>
              <w:t>139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7.3</w:t>
            </w:r>
          </w:p>
        </w:tc>
        <w:tc>
          <w:tcPr>
            <w:tcW w:w="2980" w:type="dxa"/>
            <w:vAlign w:val="bottom"/>
            <w:tcBorders>
              <w:bottom w:val="single" w:sz="8" w:color="auto"/>
            </w:tcBorders>
            <w:gridSpan w:val="33"/>
          </w:tcPr>
          <w:p>
            <w:pPr>
              <w:spacing w:after="0"/>
              <w:rPr>
                <w:sz w:val="20"/>
                <w:szCs w:val="20"/>
                <w:color w:val="auto"/>
              </w:rPr>
            </w:pPr>
            <w:r>
              <w:rPr>
                <w:rFonts w:ascii="Times New Roman" w:cs="Times New Roman" w:eastAsia="Times New Roman" w:hAnsi="Times New Roman"/>
                <w:sz w:val="17"/>
                <w:szCs w:val="17"/>
                <w:color w:val="auto"/>
              </w:rPr>
              <w:t>Additional 2020 Letter of Credit Condition</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137</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8"/>
              </w:rPr>
              <w:t>139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140" w:type="dxa"/>
            <w:vAlign w:val="bottom"/>
            <w:gridSpan w:val="41"/>
          </w:tcPr>
          <w:p>
            <w:pPr>
              <w:spacing w:after="0"/>
              <w:rPr>
                <w:sz w:val="20"/>
                <w:szCs w:val="20"/>
                <w:color w:val="auto"/>
              </w:rPr>
            </w:pPr>
            <w:r>
              <w:rPr>
                <w:rFonts w:ascii="Times New Roman" w:cs="Times New Roman" w:eastAsia="Times New Roman" w:hAnsi="Times New Roman"/>
                <w:sz w:val="17"/>
                <w:szCs w:val="17"/>
                <w:color w:val="auto"/>
              </w:rPr>
              <w:t>SECTION 8. REPRESENTATIONS AND WARRANTIES.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FF0000"/>
                <w:strike w:val="1"/>
                <w:w w:val="95"/>
              </w:rPr>
              <w:t>137</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0000FF"/>
                <w:w w:val="93"/>
              </w:rPr>
              <w:t>139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8.1</w:t>
            </w:r>
          </w:p>
        </w:tc>
        <w:tc>
          <w:tcPr>
            <w:tcW w:w="13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Corporate Status</w:t>
            </w:r>
          </w:p>
        </w:tc>
        <w:tc>
          <w:tcPr>
            <w:tcW w:w="420" w:type="dxa"/>
            <w:vAlign w:val="bottom"/>
            <w:gridSpan w:val="7"/>
          </w:tcPr>
          <w:p>
            <w:pPr>
              <w:jc w:val="right"/>
              <w:ind w:right="100"/>
              <w:spacing w:after="0"/>
              <w:rPr>
                <w:sz w:val="20"/>
                <w:szCs w:val="20"/>
                <w:color w:val="auto"/>
              </w:rPr>
            </w:pPr>
            <w:r>
              <w:rPr>
                <w:rFonts w:ascii="Times New Roman" w:cs="Times New Roman" w:eastAsia="Times New Roman" w:hAnsi="Times New Roman"/>
                <w:sz w:val="17"/>
                <w:szCs w:val="17"/>
                <w:color w:val="FF0000"/>
                <w:strike w:val="1"/>
              </w:rPr>
              <w:t>137</w:t>
            </w:r>
          </w:p>
        </w:tc>
        <w:tc>
          <w:tcPr>
            <w:tcW w:w="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0000FF"/>
                <w:w w:val="71"/>
              </w:rPr>
              <w:t>139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8.2</w:t>
            </w:r>
          </w:p>
        </w:tc>
        <w:tc>
          <w:tcPr>
            <w:tcW w:w="238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Corporate Power and Authority</w:t>
            </w:r>
          </w:p>
        </w:tc>
        <w:tc>
          <w:tcPr>
            <w:tcW w:w="2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rPr>
              <w:t>137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8.3</w:t>
            </w:r>
          </w:p>
        </w:tc>
        <w:tc>
          <w:tcPr>
            <w:tcW w:w="108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rPr>
              <w:t>No Violation</w:t>
            </w:r>
          </w:p>
        </w:tc>
        <w:tc>
          <w:tcPr>
            <w:tcW w:w="2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137</w:t>
            </w:r>
          </w:p>
        </w:tc>
        <w:tc>
          <w:tcPr>
            <w:tcW w:w="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140</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8.4</w:t>
            </w:r>
          </w:p>
        </w:tc>
        <w:tc>
          <w:tcPr>
            <w:tcW w:w="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8"/>
              </w:rPr>
              <w:t>Litigation</w:t>
            </w:r>
          </w:p>
        </w:tc>
        <w:tc>
          <w:tcPr>
            <w:tcW w:w="60" w:type="dxa"/>
            <w:vAlign w:val="bottom"/>
          </w:tcPr>
          <w:p>
            <w:pPr>
              <w:spacing w:after="0"/>
              <w:rPr>
                <w:sz w:val="16"/>
                <w:szCs w:val="16"/>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138</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8.5</w:t>
            </w:r>
          </w:p>
        </w:tc>
        <w:tc>
          <w:tcPr>
            <w:tcW w:w="1360" w:type="dxa"/>
            <w:vAlign w:val="bottom"/>
            <w:gridSpan w:val="13"/>
          </w:tcPr>
          <w:p>
            <w:pPr>
              <w:spacing w:after="0"/>
              <w:rPr>
                <w:sz w:val="20"/>
                <w:szCs w:val="20"/>
                <w:color w:val="auto"/>
              </w:rPr>
            </w:pPr>
            <w:r>
              <w:rPr>
                <w:rFonts w:ascii="Times New Roman" w:cs="Times New Roman" w:eastAsia="Times New Roman" w:hAnsi="Times New Roman"/>
                <w:sz w:val="17"/>
                <w:szCs w:val="17"/>
                <w:color w:val="auto"/>
                <w:w w:val="97"/>
              </w:rPr>
              <w:t>Margin Regulations</w:t>
            </w:r>
          </w:p>
        </w:tc>
        <w:tc>
          <w:tcPr>
            <w:tcW w:w="420" w:type="dxa"/>
            <w:vAlign w:val="bottom"/>
            <w:gridSpan w:val="7"/>
          </w:tcPr>
          <w:p>
            <w:pPr>
              <w:jc w:val="right"/>
              <w:ind w:right="100"/>
              <w:spacing w:after="0"/>
              <w:rPr>
                <w:sz w:val="20"/>
                <w:szCs w:val="20"/>
                <w:color w:val="auto"/>
              </w:rPr>
            </w:pPr>
            <w:r>
              <w:rPr>
                <w:rFonts w:ascii="Times New Roman" w:cs="Times New Roman" w:eastAsia="Times New Roman" w:hAnsi="Times New Roman"/>
                <w:sz w:val="17"/>
                <w:szCs w:val="17"/>
                <w:color w:val="FF0000"/>
                <w:strike w:val="1"/>
              </w:rPr>
              <w:t>138</w:t>
            </w:r>
          </w:p>
        </w:tc>
        <w:tc>
          <w:tcPr>
            <w:tcW w:w="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0000FF"/>
                <w:w w:val="71"/>
              </w:rPr>
              <w:t>140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8.6</w:t>
            </w:r>
          </w:p>
        </w:tc>
        <w:tc>
          <w:tcPr>
            <w:tcW w:w="17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7"/>
                <w:szCs w:val="17"/>
                <w:color w:val="auto"/>
              </w:rPr>
              <w:t>Governmental Approvals</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138</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70"/>
              </w:rPr>
              <w:t>140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8.7</w:t>
            </w:r>
          </w:p>
        </w:tc>
        <w:tc>
          <w:tcPr>
            <w:tcW w:w="178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7"/>
                <w:szCs w:val="17"/>
                <w:color w:val="auto"/>
                <w:w w:val="99"/>
              </w:rPr>
              <w:t>Investment Company Act</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138</w:t>
            </w:r>
          </w:p>
        </w:tc>
        <w:tc>
          <w:tcPr>
            <w:tcW w:w="2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86"/>
              </w:rPr>
              <w:t>140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8.8</w:t>
            </w:r>
          </w:p>
        </w:tc>
        <w:tc>
          <w:tcPr>
            <w:tcW w:w="238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True and Complete Disclosure.</w:t>
            </w:r>
          </w:p>
        </w:tc>
        <w:tc>
          <w:tcPr>
            <w:tcW w:w="2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rPr>
              <w:t>138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8.9</w:t>
            </w:r>
          </w:p>
        </w:tc>
        <w:tc>
          <w:tcPr>
            <w:tcW w:w="2980" w:type="dxa"/>
            <w:vAlign w:val="bottom"/>
            <w:gridSpan w:val="33"/>
          </w:tcPr>
          <w:p>
            <w:pPr>
              <w:spacing w:after="0"/>
              <w:rPr>
                <w:sz w:val="20"/>
                <w:szCs w:val="20"/>
                <w:color w:val="auto"/>
              </w:rPr>
            </w:pPr>
            <w:r>
              <w:rPr>
                <w:rFonts w:ascii="Times New Roman" w:cs="Times New Roman" w:eastAsia="Times New Roman" w:hAnsi="Times New Roman"/>
                <w:sz w:val="17"/>
                <w:szCs w:val="17"/>
                <w:color w:val="auto"/>
              </w:rPr>
              <w:t>Financial Condition; Financial Statements.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138</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8"/>
              </w:rPr>
              <w:t>141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8.10</w:t>
            </w:r>
          </w:p>
        </w:tc>
        <w:tc>
          <w:tcPr>
            <w:tcW w:w="5260" w:type="dxa"/>
            <w:vAlign w:val="bottom"/>
            <w:gridSpan w:val="50"/>
          </w:tcPr>
          <w:p>
            <w:pPr>
              <w:spacing w:after="0"/>
              <w:rPr>
                <w:sz w:val="20"/>
                <w:szCs w:val="20"/>
                <w:color w:val="auto"/>
              </w:rPr>
            </w:pPr>
            <w:r>
              <w:rPr>
                <w:rFonts w:ascii="Times New Roman" w:cs="Times New Roman" w:eastAsia="Times New Roman" w:hAnsi="Times New Roman"/>
                <w:sz w:val="17"/>
                <w:szCs w:val="17"/>
                <w:color w:val="auto"/>
              </w:rPr>
              <w:t>Compliance with Laws; No Default; OFAC; FCPA; Anti-Corruption Laws.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93"/>
              </w:rPr>
              <w:t>139</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141</w:t>
            </w: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8.11</w:t>
            </w:r>
          </w:p>
        </w:tc>
        <w:tc>
          <w:tcPr>
            <w:tcW w:w="820" w:type="dxa"/>
            <w:vAlign w:val="bottom"/>
            <w:tcBorders>
              <w:top w:val="single" w:sz="8" w:color="auto"/>
              <w:bottom w:val="single" w:sz="8" w:color="auto"/>
            </w:tcBorders>
            <w:gridSpan w:val="9"/>
          </w:tcPr>
          <w:p>
            <w:pPr>
              <w:spacing w:after="0"/>
              <w:rPr>
                <w:sz w:val="20"/>
                <w:szCs w:val="20"/>
                <w:color w:val="auto"/>
              </w:rPr>
            </w:pPr>
            <w:r>
              <w:rPr>
                <w:rFonts w:ascii="Times New Roman" w:cs="Times New Roman" w:eastAsia="Times New Roman" w:hAnsi="Times New Roman"/>
                <w:sz w:val="17"/>
                <w:szCs w:val="17"/>
                <w:color w:val="auto"/>
                <w:w w:val="94"/>
              </w:rPr>
              <w:t>Tax Matters</w:t>
            </w:r>
          </w:p>
        </w:tc>
        <w:tc>
          <w:tcPr>
            <w:tcW w:w="240" w:type="dxa"/>
            <w:vAlign w:val="bottom"/>
            <w:tcBorders>
              <w:top w:val="single" w:sz="8" w:color="auto"/>
            </w:tcBorders>
            <w:gridSpan w:val="3"/>
          </w:tcPr>
          <w:p>
            <w:pPr>
              <w:spacing w:after="0"/>
              <w:rPr>
                <w:sz w:val="16"/>
                <w:szCs w:val="16"/>
                <w:color w:val="auto"/>
              </w:rPr>
            </w:pPr>
          </w:p>
        </w:tc>
        <w:tc>
          <w:tcPr>
            <w:tcW w:w="420" w:type="dxa"/>
            <w:vAlign w:val="bottom"/>
            <w:tcBorders>
              <w:top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7"/>
                <w:szCs w:val="17"/>
                <w:color w:val="FF0000"/>
                <w:strike w:val="1"/>
              </w:rPr>
              <w:t>139</w:t>
            </w:r>
          </w:p>
        </w:tc>
        <w:tc>
          <w:tcPr>
            <w:tcW w:w="200" w:type="dxa"/>
            <w:vAlign w:val="bottom"/>
            <w:tcBorders>
              <w:top w:val="single" w:sz="8" w:color="auto"/>
              <w:bottom w:val="single" w:sz="8" w:color="0000FF"/>
            </w:tcBorders>
            <w:gridSpan w:val="3"/>
          </w:tcPr>
          <w:p>
            <w:pPr>
              <w:jc w:val="right"/>
              <w:ind w:right="40"/>
              <w:spacing w:after="0"/>
              <w:rPr>
                <w:sz w:val="20"/>
                <w:szCs w:val="20"/>
                <w:color w:val="auto"/>
              </w:rPr>
            </w:pPr>
            <w:r>
              <w:rPr>
                <w:rFonts w:ascii="Times New Roman" w:cs="Times New Roman" w:eastAsia="Times New Roman" w:hAnsi="Times New Roman"/>
                <w:sz w:val="13"/>
                <w:szCs w:val="13"/>
                <w:color w:val="0000FF"/>
                <w:w w:val="71"/>
              </w:rPr>
              <w:t>142</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8.12</w:t>
            </w:r>
          </w:p>
        </w:tc>
        <w:tc>
          <w:tcPr>
            <w:tcW w:w="3880" w:type="dxa"/>
            <w:vAlign w:val="bottom"/>
            <w:gridSpan w:val="43"/>
          </w:tcPr>
          <w:p>
            <w:pPr>
              <w:spacing w:after="0"/>
              <w:rPr>
                <w:sz w:val="20"/>
                <w:szCs w:val="20"/>
                <w:color w:val="auto"/>
              </w:rPr>
            </w:pPr>
            <w:r>
              <w:rPr>
                <w:rFonts w:ascii="Times New Roman" w:cs="Times New Roman" w:eastAsia="Times New Roman" w:hAnsi="Times New Roman"/>
                <w:sz w:val="17"/>
                <w:szCs w:val="17"/>
                <w:color w:val="auto"/>
              </w:rPr>
              <w:t>Compliance with ERISA; Foreign Plan Compliance.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139</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93"/>
              </w:rPr>
              <w:t>142</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8.13</w:t>
            </w:r>
          </w:p>
        </w:tc>
        <w:tc>
          <w:tcPr>
            <w:tcW w:w="10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Subsidiaries</w:t>
            </w:r>
          </w:p>
        </w:tc>
        <w:tc>
          <w:tcPr>
            <w:tcW w:w="420" w:type="dxa"/>
            <w:vAlign w:val="bottom"/>
            <w:tcBorders>
              <w:top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7"/>
                <w:szCs w:val="17"/>
                <w:color w:val="FF0000"/>
                <w:strike w:val="1"/>
              </w:rPr>
              <w:t>140</w:t>
            </w:r>
          </w:p>
        </w:tc>
        <w:tc>
          <w:tcPr>
            <w:tcW w:w="320" w:type="dxa"/>
            <w:vAlign w:val="bottom"/>
            <w:tcBorders>
              <w:top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3"/>
                <w:szCs w:val="13"/>
                <w:color w:val="0000FF"/>
                <w:w w:val="71"/>
              </w:rPr>
              <w:t>142</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8.14</w:t>
            </w:r>
          </w:p>
        </w:tc>
        <w:tc>
          <w:tcPr>
            <w:tcW w:w="148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Intellectual Property</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140</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70"/>
              </w:rPr>
              <w:t>142</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8.15</w:t>
            </w:r>
          </w:p>
        </w:tc>
        <w:tc>
          <w:tcPr>
            <w:tcW w:w="1480" w:type="dxa"/>
            <w:vAlign w:val="bottom"/>
            <w:gridSpan w:val="19"/>
          </w:tcPr>
          <w:p>
            <w:pPr>
              <w:spacing w:after="0"/>
              <w:rPr>
                <w:sz w:val="20"/>
                <w:szCs w:val="20"/>
                <w:color w:val="auto"/>
              </w:rPr>
            </w:pPr>
            <w:r>
              <w:rPr>
                <w:rFonts w:ascii="Times New Roman" w:cs="Times New Roman" w:eastAsia="Times New Roman" w:hAnsi="Times New Roman"/>
                <w:sz w:val="17"/>
                <w:szCs w:val="17"/>
                <w:color w:val="auto"/>
                <w:w w:val="98"/>
              </w:rPr>
              <w:t>Environmental Laws.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140</w:t>
            </w:r>
          </w:p>
        </w:tc>
        <w:tc>
          <w:tcPr>
            <w:tcW w:w="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6"/>
              </w:rPr>
              <w:t>142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8.16</w:t>
            </w:r>
          </w:p>
        </w:tc>
        <w:tc>
          <w:tcPr>
            <w:tcW w:w="7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Properties.</w:t>
            </w:r>
          </w:p>
        </w:tc>
        <w:tc>
          <w:tcPr>
            <w:tcW w:w="28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140</w:t>
            </w:r>
          </w:p>
        </w:tc>
        <w:tc>
          <w:tcPr>
            <w:tcW w:w="260" w:type="dxa"/>
            <w:vAlign w:val="bottom"/>
            <w:tcBorders>
              <w:top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143</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8.17</w:t>
            </w:r>
          </w:p>
        </w:tc>
        <w:tc>
          <w:tcPr>
            <w:tcW w:w="6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Solvency</w:t>
            </w:r>
          </w:p>
        </w:tc>
        <w:tc>
          <w:tcPr>
            <w:tcW w:w="100" w:type="dxa"/>
            <w:vAlign w:val="bottom"/>
            <w:gridSpan w:val="2"/>
          </w:tcPr>
          <w:p>
            <w:pPr>
              <w:spacing w:after="0"/>
              <w:rPr>
                <w:sz w:val="16"/>
                <w:szCs w:val="16"/>
                <w:color w:val="auto"/>
              </w:rPr>
            </w:pPr>
          </w:p>
        </w:tc>
        <w:tc>
          <w:tcPr>
            <w:tcW w:w="28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FF0000"/>
                <w:strike w:val="1"/>
                <w:w w:val="93"/>
              </w:rPr>
              <w:t>140</w:t>
            </w:r>
          </w:p>
        </w:tc>
        <w:tc>
          <w:tcPr>
            <w:tcW w:w="24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143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gridSpan w:val="4"/>
            <w:shd w:val="clear" w:color="auto" w:fill="000000"/>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tcBorders>
              <w:right w:val="single" w:sz="8" w:color="0000FF"/>
            </w:tcBorders>
            <w:gridSpan w:val="2"/>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8.18</w:t>
            </w:r>
          </w:p>
        </w:tc>
        <w:tc>
          <w:tcPr>
            <w:tcW w:w="10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w w:val="92"/>
              </w:rPr>
              <w:t>Use of Proceeds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141</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70"/>
              </w:rPr>
              <w:t>143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8.19</w:t>
            </w:r>
          </w:p>
        </w:tc>
        <w:tc>
          <w:tcPr>
            <w:tcW w:w="24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Beneficial Ownership Certification</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141</w:t>
            </w:r>
          </w:p>
        </w:tc>
        <w:tc>
          <w:tcPr>
            <w:tcW w:w="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0000FF"/>
                <w:w w:val="93"/>
              </w:rPr>
              <w:t>143</w:t>
            </w:r>
          </w:p>
        </w:tc>
        <w:tc>
          <w:tcPr>
            <w:tcW w:w="220" w:type="dxa"/>
            <w:vAlign w:val="bottom"/>
          </w:tcPr>
          <w:p>
            <w:pPr>
              <w:spacing w:after="0"/>
              <w:rPr>
                <w:sz w:val="16"/>
                <w:szCs w:val="16"/>
                <w:color w:val="auto"/>
              </w:rPr>
            </w:pPr>
          </w:p>
        </w:tc>
        <w:tc>
          <w:tcPr>
            <w:tcW w:w="52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gridSpan w:val="9"/>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346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SECTION 9. AFFIRMATIVE COVENANTS.</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FF0000"/>
                <w:strike w:val="1"/>
                <w:w w:val="85"/>
              </w:rPr>
              <w:t>141</w:t>
            </w:r>
          </w:p>
        </w:tc>
        <w:tc>
          <w:tcPr>
            <w:tcW w:w="4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0000FF"/>
                <w:w w:val="93"/>
              </w:rPr>
              <w:t>143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9.1</w:t>
            </w:r>
          </w:p>
        </w:tc>
        <w:tc>
          <w:tcPr>
            <w:tcW w:w="1780" w:type="dxa"/>
            <w:vAlign w:val="bottom"/>
            <w:gridSpan w:val="20"/>
          </w:tcPr>
          <w:p>
            <w:pPr>
              <w:spacing w:after="0"/>
              <w:rPr>
                <w:sz w:val="20"/>
                <w:szCs w:val="20"/>
                <w:color w:val="auto"/>
              </w:rPr>
            </w:pPr>
            <w:r>
              <w:rPr>
                <w:rFonts w:ascii="Times New Roman" w:cs="Times New Roman" w:eastAsia="Times New Roman" w:hAnsi="Times New Roman"/>
                <w:sz w:val="17"/>
                <w:szCs w:val="17"/>
                <w:color w:val="auto"/>
              </w:rPr>
              <w:t>Information Covenants</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141</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0000FF"/>
                <w:w w:val="70"/>
              </w:rPr>
              <w:t>143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9"/>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9.2</w:t>
            </w:r>
          </w:p>
        </w:tc>
        <w:tc>
          <w:tcPr>
            <w:tcW w:w="2380" w:type="dxa"/>
            <w:vAlign w:val="bottom"/>
            <w:gridSpan w:val="27"/>
          </w:tcPr>
          <w:p>
            <w:pPr>
              <w:spacing w:after="0"/>
              <w:rPr>
                <w:sz w:val="20"/>
                <w:szCs w:val="20"/>
                <w:color w:val="auto"/>
              </w:rPr>
            </w:pPr>
            <w:r>
              <w:rPr>
                <w:rFonts w:ascii="Times New Roman" w:cs="Times New Roman" w:eastAsia="Times New Roman" w:hAnsi="Times New Roman"/>
                <w:sz w:val="17"/>
                <w:szCs w:val="17"/>
                <w:color w:val="auto"/>
              </w:rPr>
              <w:t>Books, Records, and Inspections</w:t>
            </w:r>
          </w:p>
        </w:tc>
        <w:tc>
          <w:tcPr>
            <w:tcW w:w="2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rPr>
              <w:t>143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9"/>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9.3</w:t>
            </w:r>
          </w:p>
        </w:tc>
        <w:tc>
          <w:tcPr>
            <w:tcW w:w="21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Maintenance of Insurance</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144</w:t>
            </w: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9"/>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9.4</w:t>
            </w:r>
          </w:p>
        </w:tc>
        <w:tc>
          <w:tcPr>
            <w:tcW w:w="1360" w:type="dxa"/>
            <w:vAlign w:val="bottom"/>
            <w:gridSpan w:val="13"/>
          </w:tcPr>
          <w:p>
            <w:pPr>
              <w:spacing w:after="0"/>
              <w:rPr>
                <w:sz w:val="20"/>
                <w:szCs w:val="20"/>
                <w:color w:val="auto"/>
              </w:rPr>
            </w:pPr>
            <w:r>
              <w:rPr>
                <w:rFonts w:ascii="Times New Roman" w:cs="Times New Roman" w:eastAsia="Times New Roman" w:hAnsi="Times New Roman"/>
                <w:sz w:val="17"/>
                <w:szCs w:val="17"/>
                <w:color w:val="auto"/>
              </w:rPr>
              <w:t>Payment of Taxes</w:t>
            </w:r>
          </w:p>
        </w:tc>
        <w:tc>
          <w:tcPr>
            <w:tcW w:w="420" w:type="dxa"/>
            <w:vAlign w:val="bottom"/>
            <w:gridSpan w:val="7"/>
          </w:tcPr>
          <w:p>
            <w:pPr>
              <w:jc w:val="right"/>
              <w:ind w:right="100"/>
              <w:spacing w:after="0"/>
              <w:rPr>
                <w:sz w:val="20"/>
                <w:szCs w:val="20"/>
                <w:color w:val="auto"/>
              </w:rPr>
            </w:pPr>
            <w:r>
              <w:rPr>
                <w:rFonts w:ascii="Times New Roman" w:cs="Times New Roman" w:eastAsia="Times New Roman" w:hAnsi="Times New Roman"/>
                <w:sz w:val="17"/>
                <w:szCs w:val="17"/>
                <w:color w:val="FF0000"/>
                <w:strike w:val="1"/>
              </w:rPr>
              <w:t>144</w:t>
            </w:r>
          </w:p>
        </w:tc>
        <w:tc>
          <w:tcPr>
            <w:tcW w:w="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0000FF"/>
                <w:w w:val="71"/>
              </w:rPr>
              <w:t>147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gridSpan w:val="9"/>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9.5</w:t>
            </w:r>
          </w:p>
        </w:tc>
        <w:tc>
          <w:tcPr>
            <w:tcW w:w="4440" w:type="dxa"/>
            <w:vAlign w:val="bottom"/>
            <w:gridSpan w:val="46"/>
          </w:tcPr>
          <w:p>
            <w:pPr>
              <w:spacing w:after="0"/>
              <w:rPr>
                <w:sz w:val="20"/>
                <w:szCs w:val="20"/>
                <w:color w:val="auto"/>
              </w:rPr>
            </w:pPr>
            <w:r>
              <w:rPr>
                <w:rFonts w:ascii="Times New Roman" w:cs="Times New Roman" w:eastAsia="Times New Roman" w:hAnsi="Times New Roman"/>
                <w:sz w:val="17"/>
                <w:szCs w:val="17"/>
                <w:color w:val="auto"/>
              </w:rPr>
              <w:t>Preservation of Existence; Consolidated Corporate Franchises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144</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147</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9.6</w:t>
            </w:r>
          </w:p>
        </w:tc>
        <w:tc>
          <w:tcPr>
            <w:tcW w:w="3140" w:type="dxa"/>
            <w:vAlign w:val="bottom"/>
            <w:tcBorders>
              <w:top w:val="single" w:sz="8" w:color="auto"/>
            </w:tcBorders>
            <w:gridSpan w:val="36"/>
          </w:tcPr>
          <w:p>
            <w:pPr>
              <w:spacing w:after="0"/>
              <w:rPr>
                <w:sz w:val="20"/>
                <w:szCs w:val="20"/>
                <w:color w:val="auto"/>
              </w:rPr>
            </w:pPr>
            <w:r>
              <w:rPr>
                <w:rFonts w:ascii="Times New Roman" w:cs="Times New Roman" w:eastAsia="Times New Roman" w:hAnsi="Times New Roman"/>
                <w:sz w:val="17"/>
                <w:szCs w:val="17"/>
                <w:color w:val="auto"/>
              </w:rPr>
              <w:t>Compliance with Statutes, Regulations, Etc</w:t>
            </w:r>
          </w:p>
        </w:tc>
        <w:tc>
          <w:tcPr>
            <w:tcW w:w="3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145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w w:val="78"/>
              </w:rPr>
              <w:t>147</w:t>
            </w:r>
          </w:p>
        </w:tc>
        <w:tc>
          <w:tcPr>
            <w:tcW w:w="520" w:type="dxa"/>
            <w:vAlign w:val="bottom"/>
            <w:tcBorders>
              <w:top w:val="single" w:sz="8" w:color="auto"/>
            </w:tcBorders>
            <w:gridSpan w:val="4"/>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9.7</w:t>
            </w:r>
          </w:p>
        </w:tc>
        <w:tc>
          <w:tcPr>
            <w:tcW w:w="5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w w:val="97"/>
              </w:rPr>
              <w:t>ERISA</w:t>
            </w: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145</w:t>
            </w:r>
          </w:p>
        </w:tc>
        <w:tc>
          <w:tcPr>
            <w:tcW w:w="260" w:type="dxa"/>
            <w:vAlign w:val="bottom"/>
            <w:tcBorders>
              <w:top w:val="single" w:sz="8" w:color="auto"/>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147</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9.8</w:t>
            </w:r>
          </w:p>
        </w:tc>
        <w:tc>
          <w:tcPr>
            <w:tcW w:w="1780" w:type="dxa"/>
            <w:vAlign w:val="bottom"/>
            <w:gridSpan w:val="20"/>
          </w:tcPr>
          <w:p>
            <w:pPr>
              <w:spacing w:after="0"/>
              <w:rPr>
                <w:sz w:val="20"/>
                <w:szCs w:val="20"/>
                <w:color w:val="auto"/>
              </w:rPr>
            </w:pPr>
            <w:r>
              <w:rPr>
                <w:rFonts w:ascii="Times New Roman" w:cs="Times New Roman" w:eastAsia="Times New Roman" w:hAnsi="Times New Roman"/>
                <w:sz w:val="17"/>
                <w:szCs w:val="17"/>
                <w:color w:val="auto"/>
                <w:w w:val="96"/>
              </w:rPr>
              <w:t>Maintenance of Properties</w:t>
            </w:r>
          </w:p>
        </w:tc>
        <w:tc>
          <w:tcPr>
            <w:tcW w:w="320" w:type="dxa"/>
            <w:vAlign w:val="bottom"/>
            <w:gridSpan w:val="4"/>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145</w:t>
            </w: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1360" w:type="dxa"/>
            <w:vAlign w:val="bottom"/>
            <w:tcBorders>
              <w:right w:val="single" w:sz="8" w:color="auto"/>
            </w:tcBorders>
            <w:gridSpan w:val="13"/>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9.9</w:t>
            </w:r>
          </w:p>
        </w:tc>
        <w:tc>
          <w:tcPr>
            <w:tcW w:w="2100" w:type="dxa"/>
            <w:vAlign w:val="bottom"/>
            <w:gridSpan w:val="24"/>
          </w:tcPr>
          <w:p>
            <w:pPr>
              <w:spacing w:after="0"/>
              <w:rPr>
                <w:sz w:val="20"/>
                <w:szCs w:val="20"/>
                <w:color w:val="auto"/>
              </w:rPr>
            </w:pPr>
            <w:r>
              <w:rPr>
                <w:rFonts w:ascii="Times New Roman" w:cs="Times New Roman" w:eastAsia="Times New Roman" w:hAnsi="Times New Roman"/>
                <w:sz w:val="17"/>
                <w:szCs w:val="17"/>
                <w:color w:val="auto"/>
              </w:rPr>
              <w:t>Transactions with Affiliates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145</w:t>
            </w: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060" w:type="dxa"/>
            <w:vAlign w:val="bottom"/>
            <w:tcBorders>
              <w:right w:val="single" w:sz="8" w:color="auto"/>
            </w:tcBorders>
            <w:gridSpan w:val="1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9.10</w:t>
            </w:r>
          </w:p>
        </w:tc>
        <w:tc>
          <w:tcPr>
            <w:tcW w:w="134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w w:val="98"/>
              </w:rPr>
              <w:t>End of Fiscal Years</w:t>
            </w:r>
          </w:p>
        </w:tc>
        <w:tc>
          <w:tcPr>
            <w:tcW w:w="140" w:type="dxa"/>
            <w:vAlign w:val="bottom"/>
            <w:gridSpan w:val="2"/>
          </w:tcPr>
          <w:p>
            <w:pPr>
              <w:spacing w:after="0"/>
              <w:rPr>
                <w:sz w:val="16"/>
                <w:szCs w:val="16"/>
                <w:color w:val="auto"/>
              </w:rPr>
            </w:pP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146</w:t>
            </w:r>
          </w:p>
        </w:tc>
        <w:tc>
          <w:tcPr>
            <w:tcW w:w="14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70"/>
              </w:rPr>
              <w:t>149</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9.11</w:t>
            </w:r>
          </w:p>
        </w:tc>
        <w:tc>
          <w:tcPr>
            <w:tcW w:w="2460" w:type="dxa"/>
            <w:vAlign w:val="bottom"/>
            <w:gridSpan w:val="30"/>
          </w:tcPr>
          <w:p>
            <w:pPr>
              <w:spacing w:after="0"/>
              <w:rPr>
                <w:sz w:val="20"/>
                <w:szCs w:val="20"/>
                <w:color w:val="auto"/>
              </w:rPr>
            </w:pPr>
            <w:r>
              <w:rPr>
                <w:rFonts w:ascii="Times New Roman" w:cs="Times New Roman" w:eastAsia="Times New Roman" w:hAnsi="Times New Roman"/>
                <w:sz w:val="17"/>
                <w:szCs w:val="17"/>
                <w:color w:val="auto"/>
                <w:w w:val="98"/>
              </w:rPr>
              <w:t>Additional Guarantors and Grantors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146</w:t>
            </w:r>
          </w:p>
        </w:tc>
        <w:tc>
          <w:tcPr>
            <w:tcW w:w="3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0000FF"/>
                <w:w w:val="93"/>
              </w:rPr>
              <w:t>149</w:t>
            </w:r>
          </w:p>
        </w:tc>
        <w:tc>
          <w:tcPr>
            <w:tcW w:w="220" w:type="dxa"/>
            <w:vAlign w:val="bottom"/>
          </w:tcPr>
          <w:p>
            <w:pPr>
              <w:spacing w:after="0"/>
              <w:rPr>
                <w:sz w:val="16"/>
                <w:szCs w:val="16"/>
                <w:color w:val="auto"/>
              </w:rPr>
            </w:pPr>
          </w:p>
        </w:tc>
        <w:tc>
          <w:tcPr>
            <w:tcW w:w="52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1060" w:type="dxa"/>
            <w:vAlign w:val="bottom"/>
            <w:tcBorders>
              <w:right w:val="single" w:sz="8" w:color="auto"/>
            </w:tcBorders>
            <w:gridSpan w:val="1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3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9.12</w:t>
            </w:r>
          </w:p>
        </w:tc>
        <w:tc>
          <w:tcPr>
            <w:tcW w:w="4140" w:type="dxa"/>
            <w:vAlign w:val="bottom"/>
            <w:gridSpan w:val="45"/>
          </w:tcPr>
          <w:p>
            <w:pPr>
              <w:spacing w:after="0"/>
              <w:rPr>
                <w:sz w:val="20"/>
                <w:szCs w:val="20"/>
                <w:color w:val="auto"/>
              </w:rPr>
            </w:pPr>
            <w:r>
              <w:rPr>
                <w:rFonts w:ascii="Times New Roman" w:cs="Times New Roman" w:eastAsia="Times New Roman" w:hAnsi="Times New Roman"/>
                <w:sz w:val="17"/>
                <w:szCs w:val="17"/>
                <w:color w:val="auto"/>
              </w:rPr>
              <w:t>Pledge of Additional Stock and Evidence of Indebtedness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147</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149</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9.13</w:t>
            </w:r>
          </w:p>
        </w:tc>
        <w:tc>
          <w:tcPr>
            <w:tcW w:w="148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Use of Proceeds.</w:t>
            </w:r>
          </w:p>
        </w:tc>
        <w:tc>
          <w:tcPr>
            <w:tcW w:w="320" w:type="dxa"/>
            <w:vAlign w:val="bottom"/>
            <w:tcBorders>
              <w:top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0000FF"/>
                <w:w w:val="70"/>
              </w:rPr>
              <w:t>149</w:t>
            </w: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1060" w:type="dxa"/>
            <w:vAlign w:val="bottom"/>
            <w:tcBorders>
              <w:right w:val="single" w:sz="8" w:color="auto"/>
            </w:tcBorders>
            <w:gridSpan w:val="1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9.14</w:t>
            </w:r>
          </w:p>
        </w:tc>
        <w:tc>
          <w:tcPr>
            <w:tcW w:w="14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Further Assurances.</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148</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0000FF"/>
                <w:w w:val="70"/>
              </w:rPr>
              <w:t>150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1220" w:type="dxa"/>
            <w:vAlign w:val="bottom"/>
            <w:gridSpan w:val="14"/>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60" w:type="dxa"/>
            <w:vAlign w:val="bottom"/>
            <w:tcBorders>
              <w:right w:val="single" w:sz="8" w:color="0000FF"/>
            </w:tcBorders>
            <w:gridSpan w:val="2"/>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9.15</w:t>
            </w:r>
          </w:p>
        </w:tc>
        <w:tc>
          <w:tcPr>
            <w:tcW w:w="1640" w:type="dxa"/>
            <w:vAlign w:val="bottom"/>
            <w:gridSpan w:val="21"/>
          </w:tcPr>
          <w:p>
            <w:pPr>
              <w:spacing w:after="0"/>
              <w:rPr>
                <w:sz w:val="20"/>
                <w:szCs w:val="20"/>
                <w:color w:val="auto"/>
              </w:rPr>
            </w:pPr>
            <w:r>
              <w:rPr>
                <w:rFonts w:ascii="Times New Roman" w:cs="Times New Roman" w:eastAsia="Times New Roman" w:hAnsi="Times New Roman"/>
                <w:sz w:val="17"/>
                <w:szCs w:val="17"/>
                <w:color w:val="auto"/>
                <w:w w:val="99"/>
              </w:rPr>
              <w:t>Maintenance of Ratings</w:t>
            </w:r>
          </w:p>
        </w:tc>
        <w:tc>
          <w:tcPr>
            <w:tcW w:w="160" w:type="dxa"/>
            <w:vAlign w:val="bottom"/>
            <w:gridSpan w:val="2"/>
          </w:tcPr>
          <w:p>
            <w:pPr>
              <w:spacing w:after="0"/>
              <w:rPr>
                <w:sz w:val="16"/>
                <w:szCs w:val="16"/>
                <w:color w:val="auto"/>
              </w:rPr>
            </w:pP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149</w:t>
            </w:r>
          </w:p>
        </w:tc>
        <w:tc>
          <w:tcPr>
            <w:tcW w:w="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3"/>
              </w:rPr>
              <w:t>151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1220" w:type="dxa"/>
            <w:vAlign w:val="bottom"/>
            <w:gridSpan w:val="14"/>
            <w:shd w:val="clear" w:color="auto" w:fill="000000"/>
          </w:tcPr>
          <w:p>
            <w:pPr>
              <w:spacing w:after="0" w:line="20" w:lineRule="exact"/>
              <w:rPr>
                <w:sz w:val="1"/>
                <w:szCs w:val="1"/>
                <w:color w:val="auto"/>
              </w:rPr>
            </w:pPr>
          </w:p>
        </w:tc>
        <w:tc>
          <w:tcPr>
            <w:tcW w:w="14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9.16</w:t>
            </w:r>
          </w:p>
        </w:tc>
        <w:tc>
          <w:tcPr>
            <w:tcW w:w="14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Lines of Business</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149</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0000FF"/>
                <w:w w:val="70"/>
              </w:rPr>
              <w:t>151</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80" w:type="dxa"/>
            <w:vAlign w:val="bottom"/>
            <w:gridSpan w:val="11"/>
            <w:shd w:val="clear" w:color="auto" w:fill="00000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40" w:type="dxa"/>
            <w:vAlign w:val="bottom"/>
            <w:tcBorders>
              <w:right w:val="single" w:sz="8" w:color="0000FF"/>
            </w:tcBorders>
            <w:gridSpan w:val="5"/>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11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SECTION 10.</w:t>
            </w:r>
          </w:p>
        </w:tc>
        <w:tc>
          <w:tcPr>
            <w:tcW w:w="60" w:type="dxa"/>
            <w:vAlign w:val="bottom"/>
          </w:tcPr>
          <w:p>
            <w:pPr>
              <w:spacing w:after="0"/>
              <w:rPr>
                <w:sz w:val="16"/>
                <w:szCs w:val="16"/>
                <w:color w:val="auto"/>
              </w:rPr>
            </w:pPr>
          </w:p>
        </w:tc>
        <w:tc>
          <w:tcPr>
            <w:tcW w:w="2240" w:type="dxa"/>
            <w:vAlign w:val="bottom"/>
            <w:gridSpan w:val="29"/>
          </w:tcPr>
          <w:p>
            <w:pPr>
              <w:jc w:val="right"/>
              <w:ind w:right="220"/>
              <w:spacing w:after="0"/>
              <w:rPr>
                <w:sz w:val="20"/>
                <w:szCs w:val="20"/>
                <w:color w:val="auto"/>
              </w:rPr>
            </w:pPr>
            <w:r>
              <w:rPr>
                <w:rFonts w:ascii="Times New Roman" w:cs="Times New Roman" w:eastAsia="Times New Roman" w:hAnsi="Times New Roman"/>
                <w:sz w:val="17"/>
                <w:szCs w:val="17"/>
                <w:color w:val="auto"/>
              </w:rPr>
              <w:t>NEGATIVE COVENANTS.</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FF0000"/>
                <w:strike w:val="1"/>
                <w:w w:val="85"/>
              </w:rPr>
              <w:t>149</w:t>
            </w:r>
          </w:p>
        </w:tc>
        <w:tc>
          <w:tcPr>
            <w:tcW w:w="4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0000FF"/>
                <w:w w:val="93"/>
              </w:rPr>
              <w:t>151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10.1</w:t>
            </w:r>
          </w:p>
        </w:tc>
        <w:tc>
          <w:tcPr>
            <w:tcW w:w="194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7"/>
                <w:szCs w:val="17"/>
                <w:color w:val="auto"/>
              </w:rPr>
              <w:t>Limitation on Indebtedness</w:t>
            </w: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rPr>
              <w:t>149</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152</w:t>
            </w:r>
          </w:p>
        </w:tc>
        <w:tc>
          <w:tcPr>
            <w:tcW w:w="20" w:type="dxa"/>
            <w:vAlign w:val="bottom"/>
            <w:tcBorders>
              <w:bottom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10.2</w:t>
            </w:r>
          </w:p>
        </w:tc>
        <w:tc>
          <w:tcPr>
            <w:tcW w:w="14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Limitation on Liens.</w:t>
            </w:r>
          </w:p>
        </w:tc>
        <w:tc>
          <w:tcPr>
            <w:tcW w:w="320" w:type="dxa"/>
            <w:vAlign w:val="bottom"/>
            <w:gridSpan w:val="4"/>
          </w:tcPr>
          <w:p>
            <w:pPr>
              <w:jc w:val="right"/>
              <w:ind w:right="80"/>
              <w:spacing w:after="0"/>
              <w:rPr>
                <w:sz w:val="20"/>
                <w:szCs w:val="20"/>
                <w:color w:val="auto"/>
              </w:rPr>
            </w:pPr>
            <w:r>
              <w:rPr>
                <w:rFonts w:ascii="Times New Roman" w:cs="Times New Roman" w:eastAsia="Times New Roman" w:hAnsi="Times New Roman"/>
                <w:sz w:val="17"/>
                <w:szCs w:val="17"/>
                <w:color w:val="FF0000"/>
                <w:strike w:val="1"/>
                <w:w w:val="86"/>
              </w:rPr>
              <w:t>154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0000FF"/>
                <w:w w:val="70"/>
              </w:rPr>
              <w:t>156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1360" w:type="dxa"/>
            <w:vAlign w:val="bottom"/>
            <w:gridSpan w:val="18"/>
            <w:shd w:val="clear" w:color="auto" w:fill="000000"/>
          </w:tcPr>
          <w:p>
            <w:pPr>
              <w:spacing w:after="0" w:line="20" w:lineRule="exact"/>
              <w:rPr>
                <w:sz w:val="1"/>
                <w:szCs w:val="1"/>
                <w:color w:val="auto"/>
              </w:rPr>
            </w:pPr>
          </w:p>
        </w:tc>
        <w:tc>
          <w:tcPr>
            <w:tcW w:w="440" w:type="dxa"/>
            <w:vAlign w:val="bottom"/>
            <w:tcBorders>
              <w:right w:val="single" w:sz="8" w:color="0000FF"/>
            </w:tcBorders>
            <w:gridSpan w:val="5"/>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10.3</w:t>
            </w:r>
          </w:p>
        </w:tc>
        <w:tc>
          <w:tcPr>
            <w:tcW w:w="2680" w:type="dxa"/>
            <w:vAlign w:val="bottom"/>
            <w:gridSpan w:val="32"/>
          </w:tcPr>
          <w:p>
            <w:pPr>
              <w:spacing w:after="0"/>
              <w:rPr>
                <w:sz w:val="20"/>
                <w:szCs w:val="20"/>
                <w:color w:val="auto"/>
              </w:rPr>
            </w:pPr>
            <w:r>
              <w:rPr>
                <w:rFonts w:ascii="Times New Roman" w:cs="Times New Roman" w:eastAsia="Times New Roman" w:hAnsi="Times New Roman"/>
                <w:sz w:val="17"/>
                <w:szCs w:val="17"/>
                <w:color w:val="auto"/>
              </w:rPr>
              <w:t>Limitation on Fundamental Changes</w:t>
            </w:r>
          </w:p>
        </w:tc>
        <w:tc>
          <w:tcPr>
            <w:tcW w:w="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154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8"/>
              </w:rPr>
              <w:t>157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020" w:type="dxa"/>
            <w:vAlign w:val="bottom"/>
            <w:gridSpan w:val="2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10.4</w:t>
            </w:r>
          </w:p>
        </w:tc>
        <w:tc>
          <w:tcPr>
            <w:tcW w:w="2020" w:type="dxa"/>
            <w:vAlign w:val="bottom"/>
            <w:tcBorders>
              <w:bottom w:val="single" w:sz="8" w:color="auto"/>
            </w:tcBorders>
            <w:gridSpan w:val="25"/>
          </w:tcPr>
          <w:p>
            <w:pPr>
              <w:spacing w:after="0"/>
              <w:rPr>
                <w:sz w:val="20"/>
                <w:szCs w:val="20"/>
                <w:color w:val="auto"/>
              </w:rPr>
            </w:pPr>
            <w:r>
              <w:rPr>
                <w:rFonts w:ascii="Times New Roman" w:cs="Times New Roman" w:eastAsia="Times New Roman" w:hAnsi="Times New Roman"/>
                <w:sz w:val="17"/>
                <w:szCs w:val="17"/>
                <w:color w:val="auto"/>
                <w:w w:val="99"/>
              </w:rPr>
              <w:t>Limitations on Sale of Assets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rPr>
              <w:t>156</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159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10.5</w:t>
            </w:r>
          </w:p>
        </w:tc>
        <w:tc>
          <w:tcPr>
            <w:tcW w:w="2460" w:type="dxa"/>
            <w:vAlign w:val="bottom"/>
            <w:gridSpan w:val="30"/>
          </w:tcPr>
          <w:p>
            <w:pPr>
              <w:spacing w:after="0"/>
              <w:rPr>
                <w:sz w:val="20"/>
                <w:szCs w:val="20"/>
                <w:color w:val="auto"/>
              </w:rPr>
            </w:pPr>
            <w:r>
              <w:rPr>
                <w:rFonts w:ascii="Times New Roman" w:cs="Times New Roman" w:eastAsia="Times New Roman" w:hAnsi="Times New Roman"/>
                <w:sz w:val="17"/>
                <w:szCs w:val="17"/>
                <w:color w:val="auto"/>
              </w:rPr>
              <w:t>Limitation on Restricted Payments.</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157</w:t>
            </w:r>
          </w:p>
        </w:tc>
        <w:tc>
          <w:tcPr>
            <w:tcW w:w="1120" w:type="dxa"/>
            <w:vAlign w:val="bottom"/>
            <w:gridSpan w:val="9"/>
          </w:tcPr>
          <w:p>
            <w:pPr>
              <w:jc w:val="right"/>
              <w:ind w:right="860"/>
              <w:spacing w:after="0"/>
              <w:rPr>
                <w:sz w:val="20"/>
                <w:szCs w:val="20"/>
                <w:color w:val="auto"/>
              </w:rPr>
            </w:pPr>
            <w:r>
              <w:rPr>
                <w:rFonts w:ascii="Times New Roman" w:cs="Times New Roman" w:eastAsia="Times New Roman" w:hAnsi="Times New Roman"/>
                <w:sz w:val="17"/>
                <w:szCs w:val="17"/>
                <w:color w:val="0000FF"/>
                <w:w w:val="93"/>
              </w:rPr>
              <w:t>160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780" w:type="dxa"/>
            <w:vAlign w:val="bottom"/>
            <w:tcBorders>
              <w:right w:val="single" w:sz="8" w:color="auto"/>
            </w:tcBorders>
            <w:gridSpan w:val="2"/>
          </w:tcPr>
          <w:p>
            <w:pPr>
              <w:spacing w:after="0" w:line="20" w:lineRule="exact"/>
              <w:rPr>
                <w:sz w:val="1"/>
                <w:szCs w:val="1"/>
                <w:color w:val="auto"/>
              </w:rPr>
            </w:pPr>
          </w:p>
        </w:tc>
        <w:tc>
          <w:tcPr>
            <w:tcW w:w="2380" w:type="dxa"/>
            <w:vAlign w:val="bottom"/>
            <w:gridSpan w:val="29"/>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7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10.6</w:t>
            </w:r>
          </w:p>
        </w:tc>
        <w:tc>
          <w:tcPr>
            <w:tcW w:w="2680" w:type="dxa"/>
            <w:vAlign w:val="bottom"/>
            <w:tcBorders>
              <w:bottom w:val="single" w:sz="8" w:color="auto"/>
            </w:tcBorders>
            <w:gridSpan w:val="32"/>
          </w:tcPr>
          <w:p>
            <w:pPr>
              <w:spacing w:after="0"/>
              <w:rPr>
                <w:sz w:val="20"/>
                <w:szCs w:val="20"/>
                <w:color w:val="auto"/>
              </w:rPr>
            </w:pPr>
            <w:r>
              <w:rPr>
                <w:rFonts w:ascii="Times New Roman" w:cs="Times New Roman" w:eastAsia="Times New Roman" w:hAnsi="Times New Roman"/>
                <w:sz w:val="17"/>
                <w:szCs w:val="17"/>
                <w:color w:val="auto"/>
              </w:rPr>
              <w:t>Limitation on Subsidiary Distributions</w:t>
            </w:r>
          </w:p>
        </w:tc>
        <w:tc>
          <w:tcPr>
            <w:tcW w:w="160" w:type="dxa"/>
            <w:vAlign w:val="bottom"/>
            <w:gridSpan w:val="3"/>
          </w:tcPr>
          <w:p>
            <w:pPr>
              <w:spacing w:after="0"/>
              <w:rPr>
                <w:sz w:val="16"/>
                <w:szCs w:val="16"/>
                <w:color w:val="auto"/>
              </w:rPr>
            </w:pP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163</w:t>
            </w:r>
          </w:p>
        </w:tc>
        <w:tc>
          <w:tcPr>
            <w:tcW w:w="22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78"/>
              </w:rPr>
              <w:t>166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r>
    </w:tbl>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73" w:name="page74"/>
    <w:bookmarkEnd w:id="73"/>
    <w:p>
      <w:pPr>
        <w:jc w:val="right"/>
        <w:ind w:right="1159"/>
        <w:spacing w:after="0"/>
        <w:rPr>
          <w:sz w:val="20"/>
          <w:szCs w:val="20"/>
          <w:color w:val="auto"/>
        </w:rPr>
      </w:pPr>
      <w:r>
        <w:rPr>
          <w:rFonts w:ascii="Times New Roman" w:cs="Times New Roman" w:eastAsia="Times New Roman" w:hAnsi="Times New Roman"/>
          <w:sz w:val="17"/>
          <w:szCs w:val="17"/>
          <w:u w:val="single" w:color="auto"/>
          <w:color w:val="auto"/>
        </w:rPr>
        <w:t>Page</w:t>
      </w:r>
    </w:p>
    <w:p>
      <w:pPr>
        <w:spacing w:after="0" w:line="222" w:lineRule="exact"/>
        <w:rPr>
          <w:sz w:val="20"/>
          <w:szCs w:val="20"/>
          <w:color w:val="auto"/>
        </w:rPr>
      </w:pPr>
    </w:p>
    <w:tbl>
      <w:tblPr>
        <w:tblLayout w:type="fixed"/>
        <w:tblInd w:w="1140" w:type="dxa"/>
        <w:tblCellMar>
          <w:top w:w="0" w:type="dxa"/>
          <w:left w:w="0" w:type="dxa"/>
          <w:bottom w:w="0" w:type="dxa"/>
          <w:right w:w="0" w:type="dxa"/>
        </w:tblCellMar>
      </w:tblP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920" w:type="dxa"/>
            <w:vAlign w:val="bottom"/>
            <w:gridSpan w:val="56"/>
          </w:tcPr>
          <w:p>
            <w:pPr>
              <w:spacing w:after="0"/>
              <w:rPr>
                <w:sz w:val="20"/>
                <w:szCs w:val="20"/>
                <w:color w:val="auto"/>
              </w:rPr>
            </w:pPr>
            <w:r>
              <w:rPr>
                <w:rFonts w:ascii="Times New Roman" w:cs="Times New Roman" w:eastAsia="Times New Roman" w:hAnsi="Times New Roman"/>
                <w:sz w:val="17"/>
                <w:szCs w:val="17"/>
                <w:color w:val="auto"/>
              </w:rPr>
              <w:t>Consolidated First Lien Secured Debt to Consolidated EBITDA Ratio</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FF0000"/>
                <w:strike w:val="1"/>
                <w:w w:val="86"/>
              </w:rPr>
              <w:t>165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168</w:t>
            </w: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w w:val="96"/>
              </w:rPr>
              <w:t>Permitted Activities</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165</w:t>
            </w:r>
          </w:p>
        </w:tc>
        <w:tc>
          <w:tcPr>
            <w:tcW w:w="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168</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gridSpan w:val="14"/>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gridSpan w:val="7"/>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4060" w:type="dxa"/>
            <w:vAlign w:val="bottom"/>
            <w:gridSpan w:val="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SECTION 11.</w:t>
            </w:r>
          </w:p>
        </w:tc>
        <w:tc>
          <w:tcPr>
            <w:tcW w:w="1940" w:type="dxa"/>
            <w:vAlign w:val="bottom"/>
            <w:gridSpan w:val="29"/>
          </w:tcPr>
          <w:p>
            <w:pPr>
              <w:ind w:left="140"/>
              <w:spacing w:after="0"/>
              <w:rPr>
                <w:sz w:val="20"/>
                <w:szCs w:val="20"/>
                <w:color w:val="auto"/>
              </w:rPr>
            </w:pPr>
            <w:r>
              <w:rPr>
                <w:rFonts w:ascii="Times New Roman" w:cs="Times New Roman" w:eastAsia="Times New Roman" w:hAnsi="Times New Roman"/>
                <w:sz w:val="17"/>
                <w:szCs w:val="17"/>
                <w:color w:val="auto"/>
                <w:w w:val="99"/>
              </w:rPr>
              <w:t>EVENTS OF DEFAULT.</w:t>
            </w: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14"/>
                <w:szCs w:val="14"/>
                <w:color w:val="FF0000"/>
                <w:strike w:val="1"/>
              </w:rPr>
              <w:t>165</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168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w w:val="96"/>
              </w:rPr>
              <w:t>Payments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165</w:t>
            </w:r>
          </w:p>
        </w:tc>
        <w:tc>
          <w:tcPr>
            <w:tcW w:w="2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7"/>
                <w:szCs w:val="17"/>
                <w:color w:val="0000FF"/>
                <w:w w:val="86"/>
              </w:rPr>
              <w:t>168</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1"/>
          </w:tcPr>
          <w:p>
            <w:pPr>
              <w:spacing w:after="0"/>
              <w:rPr>
                <w:sz w:val="20"/>
                <w:szCs w:val="20"/>
                <w:color w:val="auto"/>
              </w:rPr>
            </w:pPr>
            <w:r>
              <w:rPr>
                <w:rFonts w:ascii="Times New Roman" w:cs="Times New Roman" w:eastAsia="Times New Roman" w:hAnsi="Times New Roman"/>
                <w:sz w:val="17"/>
                <w:szCs w:val="17"/>
                <w:color w:val="auto"/>
                <w:w w:val="98"/>
              </w:rPr>
              <w:t>Representations, Etc</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165</w:t>
            </w:r>
          </w:p>
        </w:tc>
        <w:tc>
          <w:tcPr>
            <w:tcW w:w="460" w:type="dxa"/>
            <w:vAlign w:val="bottom"/>
            <w:gridSpan w:val="4"/>
          </w:tcPr>
          <w:p>
            <w:pPr>
              <w:jc w:val="right"/>
              <w:ind w:right="148"/>
              <w:spacing w:after="0"/>
              <w:rPr>
                <w:sz w:val="20"/>
                <w:szCs w:val="20"/>
                <w:color w:val="auto"/>
              </w:rPr>
            </w:pPr>
            <w:r>
              <w:rPr>
                <w:rFonts w:ascii="Times New Roman" w:cs="Times New Roman" w:eastAsia="Times New Roman" w:hAnsi="Times New Roman"/>
                <w:sz w:val="17"/>
                <w:szCs w:val="17"/>
                <w:color w:val="0000FF"/>
                <w:w w:val="86"/>
              </w:rPr>
              <w:t>168</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w w:val="97"/>
              </w:rPr>
              <w:t>Covenants</w:t>
            </w:r>
          </w:p>
        </w:tc>
        <w:tc>
          <w:tcPr>
            <w:tcW w:w="60" w:type="dxa"/>
            <w:vAlign w:val="bottom"/>
            <w:tcBorders>
              <w:top w:val="single" w:sz="8" w:color="auto"/>
            </w:tcBorders>
            <w:gridSpan w:val="2"/>
          </w:tcPr>
          <w:p>
            <w:pPr>
              <w:spacing w:after="0"/>
              <w:rPr>
                <w:sz w:val="16"/>
                <w:szCs w:val="16"/>
                <w:color w:val="auto"/>
              </w:rPr>
            </w:pPr>
          </w:p>
        </w:tc>
        <w:tc>
          <w:tcPr>
            <w:tcW w:w="2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165</w:t>
            </w:r>
          </w:p>
        </w:tc>
        <w:tc>
          <w:tcPr>
            <w:tcW w:w="260" w:type="dxa"/>
            <w:vAlign w:val="bottom"/>
            <w:tcBorders>
              <w:top w:val="single" w:sz="8" w:color="auto"/>
              <w:bottom w:val="single" w:sz="8" w:color="0000FF"/>
            </w:tcBorders>
            <w:gridSpan w:val="6"/>
          </w:tcPr>
          <w:p>
            <w:pPr>
              <w:jc w:val="right"/>
              <w:spacing w:after="0"/>
              <w:rPr>
                <w:sz w:val="20"/>
                <w:szCs w:val="20"/>
                <w:color w:val="auto"/>
              </w:rPr>
            </w:pPr>
            <w:r>
              <w:rPr>
                <w:rFonts w:ascii="Times New Roman" w:cs="Times New Roman" w:eastAsia="Times New Roman" w:hAnsi="Times New Roman"/>
                <w:sz w:val="17"/>
                <w:szCs w:val="17"/>
                <w:color w:val="0000FF"/>
                <w:w w:val="86"/>
              </w:rPr>
              <w:t>168</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Default Under Other Agreements</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166</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8"/>
              </w:rPr>
              <w:t>169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auto"/>
                <w:w w:val="97"/>
              </w:rPr>
              <w:t>Bankruptcy, Etc</w:t>
            </w: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167</w:t>
            </w:r>
          </w:p>
        </w:tc>
        <w:tc>
          <w:tcPr>
            <w:tcW w:w="220" w:type="dxa"/>
            <w:vAlign w:val="bottom"/>
            <w:tcBorders>
              <w:top w:val="single" w:sz="8" w:color="auto"/>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169</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ERISA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167</w:t>
            </w:r>
          </w:p>
        </w:tc>
        <w:tc>
          <w:tcPr>
            <w:tcW w:w="22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0000FF"/>
                <w:w w:val="93"/>
              </w:rPr>
              <w:t>170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gridSpan w:val="5"/>
          </w:tcPr>
          <w:p>
            <w:pPr>
              <w:spacing w:after="0" w:line="20" w:lineRule="exact"/>
              <w:rPr>
                <w:sz w:val="1"/>
                <w:szCs w:val="1"/>
                <w:color w:val="auto"/>
              </w:rPr>
            </w:pPr>
          </w:p>
        </w:tc>
        <w:tc>
          <w:tcPr>
            <w:tcW w:w="1260" w:type="dxa"/>
            <w:vAlign w:val="bottom"/>
            <w:tcBorders>
              <w:right w:val="single" w:sz="8" w:color="0000FF"/>
            </w:tcBorders>
            <w:gridSpan w:val="17"/>
            <w:shd w:val="clear" w:color="auto" w:fill="000000"/>
          </w:tcPr>
          <w:p>
            <w:pPr>
              <w:spacing w:after="0" w:line="20" w:lineRule="exact"/>
              <w:rPr>
                <w:sz w:val="1"/>
                <w:szCs w:val="1"/>
                <w:color w:val="auto"/>
              </w:rPr>
            </w:pPr>
          </w:p>
        </w:tc>
        <w:tc>
          <w:tcPr>
            <w:tcW w:w="4160" w:type="dxa"/>
            <w:vAlign w:val="bottom"/>
            <w:tcBorders>
              <w:left w:val="single" w:sz="8" w:color="0000FF"/>
            </w:tcBorders>
            <w:gridSpan w:val="4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w w:val="97"/>
              </w:rPr>
              <w:t>Guarantee</w:t>
            </w:r>
          </w:p>
        </w:tc>
        <w:tc>
          <w:tcPr>
            <w:tcW w:w="80" w:type="dxa"/>
            <w:vAlign w:val="bottom"/>
            <w:gridSpan w:val="3"/>
          </w:tcPr>
          <w:p>
            <w:pPr>
              <w:spacing w:after="0"/>
              <w:rPr>
                <w:sz w:val="16"/>
                <w:szCs w:val="16"/>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167</w:t>
            </w:r>
          </w:p>
        </w:tc>
        <w:tc>
          <w:tcPr>
            <w:tcW w:w="260" w:type="dxa"/>
            <w:vAlign w:val="bottom"/>
            <w:tcBorders>
              <w:bottom w:val="single" w:sz="8" w:color="0000FF"/>
            </w:tcBorders>
            <w:gridSpan w:val="6"/>
          </w:tcPr>
          <w:p>
            <w:pPr>
              <w:jc w:val="right"/>
              <w:spacing w:after="0"/>
              <w:rPr>
                <w:sz w:val="20"/>
                <w:szCs w:val="20"/>
                <w:color w:val="auto"/>
              </w:rPr>
            </w:pPr>
            <w:r>
              <w:rPr>
                <w:rFonts w:ascii="Times New Roman" w:cs="Times New Roman" w:eastAsia="Times New Roman" w:hAnsi="Times New Roman"/>
                <w:sz w:val="17"/>
                <w:szCs w:val="17"/>
                <w:color w:val="0000FF"/>
                <w:w w:val="86"/>
              </w:rPr>
              <w:t>170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Pledge Agreement</w:t>
            </w:r>
          </w:p>
        </w:tc>
        <w:tc>
          <w:tcPr>
            <w:tcW w:w="60" w:type="dxa"/>
            <w:vAlign w:val="bottom"/>
            <w:gridSpan w:val="2"/>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167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170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w w:val="96"/>
              </w:rPr>
              <w:t>Security Agreement</w:t>
            </w:r>
          </w:p>
        </w:tc>
        <w:tc>
          <w:tcPr>
            <w:tcW w:w="60" w:type="dxa"/>
            <w:vAlign w:val="bottom"/>
            <w:gridSpan w:val="2"/>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167</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170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11.10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Judgments</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168</w:t>
            </w:r>
          </w:p>
        </w:tc>
        <w:tc>
          <w:tcPr>
            <w:tcW w:w="320" w:type="dxa"/>
            <w:vAlign w:val="bottom"/>
            <w:gridSpan w:val="8"/>
          </w:tcPr>
          <w:p>
            <w:pPr>
              <w:jc w:val="right"/>
              <w:ind w:right="60"/>
              <w:spacing w:after="0"/>
              <w:rPr>
                <w:sz w:val="20"/>
                <w:szCs w:val="20"/>
                <w:color w:val="auto"/>
              </w:rPr>
            </w:pPr>
            <w:r>
              <w:rPr>
                <w:rFonts w:ascii="Times New Roman" w:cs="Times New Roman" w:eastAsia="Times New Roman" w:hAnsi="Times New Roman"/>
                <w:sz w:val="17"/>
                <w:szCs w:val="17"/>
                <w:color w:val="0000FF"/>
                <w:w w:val="93"/>
              </w:rPr>
              <w:t>170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11.11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Change of Control</w:t>
            </w:r>
          </w:p>
        </w:tc>
        <w:tc>
          <w:tcPr>
            <w:tcW w:w="60" w:type="dxa"/>
            <w:vAlign w:val="bottom"/>
            <w:gridSpan w:val="2"/>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168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170</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11.12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Remedies Upon Event of Default</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168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78"/>
              </w:rPr>
              <w:t>171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11.13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Application of Proceeds</w:t>
            </w:r>
          </w:p>
        </w:tc>
        <w:tc>
          <w:tcPr>
            <w:tcW w:w="460" w:type="dxa"/>
            <w:vAlign w:val="bottom"/>
            <w:gridSpan w:val="4"/>
          </w:tcPr>
          <w:p>
            <w:pPr>
              <w:jc w:val="right"/>
              <w:ind w:right="48"/>
              <w:spacing w:after="0"/>
              <w:rPr>
                <w:sz w:val="20"/>
                <w:szCs w:val="20"/>
                <w:color w:val="auto"/>
              </w:rPr>
            </w:pPr>
            <w:r>
              <w:rPr>
                <w:rFonts w:ascii="Times New Roman" w:cs="Times New Roman" w:eastAsia="Times New Roman" w:hAnsi="Times New Roman"/>
                <w:sz w:val="17"/>
                <w:szCs w:val="17"/>
                <w:color w:val="FF0000"/>
                <w:strike w:val="1"/>
              </w:rPr>
              <w:t>169</w:t>
            </w:r>
          </w:p>
        </w:tc>
        <w:tc>
          <w:tcPr>
            <w:tcW w:w="140" w:type="dxa"/>
            <w:vAlign w:val="bottom"/>
            <w:gridSpan w:val="2"/>
          </w:tcPr>
          <w:p>
            <w:pPr>
              <w:spacing w:after="0"/>
              <w:rPr>
                <w:sz w:val="20"/>
                <w:szCs w:val="20"/>
                <w:color w:val="auto"/>
              </w:rPr>
            </w:pPr>
            <w:r>
              <w:rPr>
                <w:rFonts w:ascii="Times New Roman" w:cs="Times New Roman" w:eastAsia="Times New Roman" w:hAnsi="Times New Roman"/>
                <w:sz w:val="11"/>
                <w:szCs w:val="11"/>
                <w:color w:val="0000FF"/>
                <w:w w:val="72"/>
              </w:rPr>
              <w:t>172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11.14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Equity Cure</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gridSpan w:val="2"/>
          </w:tcPr>
          <w:p>
            <w:pPr>
              <w:spacing w:after="0"/>
              <w:rPr>
                <w:sz w:val="16"/>
                <w:szCs w:val="16"/>
                <w:color w:val="auto"/>
              </w:rPr>
            </w:pPr>
          </w:p>
        </w:tc>
        <w:tc>
          <w:tcPr>
            <w:tcW w:w="300" w:type="dxa"/>
            <w:vAlign w:val="bottom"/>
            <w:tcBorders>
              <w:top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FF0000"/>
                <w:strike w:val="1"/>
                <w:w w:val="93"/>
              </w:rPr>
              <w:t>169</w:t>
            </w: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172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SECTION 12.</w:t>
            </w:r>
          </w:p>
        </w:tc>
        <w:tc>
          <w:tcPr>
            <w:tcW w:w="1260" w:type="dxa"/>
            <w:vAlign w:val="bottom"/>
            <w:gridSpan w:val="21"/>
          </w:tcPr>
          <w:p>
            <w:pPr>
              <w:ind w:left="140"/>
              <w:spacing w:after="0"/>
              <w:rPr>
                <w:sz w:val="20"/>
                <w:szCs w:val="20"/>
                <w:color w:val="auto"/>
              </w:rPr>
            </w:pPr>
            <w:r>
              <w:rPr>
                <w:rFonts w:ascii="Times New Roman" w:cs="Times New Roman" w:eastAsia="Times New Roman" w:hAnsi="Times New Roman"/>
                <w:sz w:val="17"/>
                <w:szCs w:val="17"/>
                <w:color w:val="auto"/>
                <w:w w:val="99"/>
              </w:rPr>
              <w:t>THE AGENTS.</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FF0000"/>
                <w:strike w:val="1"/>
              </w:rPr>
              <w:t>170</w:t>
            </w:r>
          </w:p>
        </w:tc>
        <w:tc>
          <w:tcPr>
            <w:tcW w:w="340" w:type="dxa"/>
            <w:vAlign w:val="bottom"/>
            <w:tcBorders>
              <w:bottom w:val="single" w:sz="8" w:color="0000FF"/>
            </w:tcBorders>
            <w:gridSpan w:val="3"/>
          </w:tcPr>
          <w:p>
            <w:pPr>
              <w:jc w:val="right"/>
              <w:ind w:right="8"/>
              <w:spacing w:after="0"/>
              <w:rPr>
                <w:sz w:val="20"/>
                <w:szCs w:val="20"/>
                <w:color w:val="auto"/>
              </w:rPr>
            </w:pPr>
            <w:r>
              <w:rPr>
                <w:rFonts w:ascii="Times New Roman" w:cs="Times New Roman" w:eastAsia="Times New Roman" w:hAnsi="Times New Roman"/>
                <w:sz w:val="17"/>
                <w:szCs w:val="17"/>
                <w:color w:val="0000FF"/>
                <w:w w:val="93"/>
              </w:rPr>
              <w:t>173</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Appointment.</w:t>
            </w: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FF0000"/>
                <w:strike w:val="1"/>
                <w:w w:val="93"/>
              </w:rPr>
              <w:t>170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173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right w:val="single" w:sz="8" w:color="0000FF"/>
            </w:tcBorders>
            <w:gridSpan w:val="2"/>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1"/>
          </w:tcPr>
          <w:p>
            <w:pPr>
              <w:spacing w:after="0"/>
              <w:rPr>
                <w:sz w:val="20"/>
                <w:szCs w:val="20"/>
                <w:color w:val="auto"/>
              </w:rPr>
            </w:pPr>
            <w:r>
              <w:rPr>
                <w:rFonts w:ascii="Times New Roman" w:cs="Times New Roman" w:eastAsia="Times New Roman" w:hAnsi="Times New Roman"/>
                <w:sz w:val="17"/>
                <w:szCs w:val="17"/>
                <w:color w:val="auto"/>
                <w:w w:val="97"/>
              </w:rPr>
              <w:t>Delegation of Duties</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171</w:t>
            </w:r>
          </w:p>
        </w:tc>
        <w:tc>
          <w:tcPr>
            <w:tcW w:w="460" w:type="dxa"/>
            <w:vAlign w:val="bottom"/>
            <w:gridSpan w:val="4"/>
          </w:tcPr>
          <w:p>
            <w:pPr>
              <w:jc w:val="right"/>
              <w:ind w:right="148"/>
              <w:spacing w:after="0"/>
              <w:rPr>
                <w:sz w:val="20"/>
                <w:szCs w:val="20"/>
                <w:color w:val="auto"/>
              </w:rPr>
            </w:pPr>
            <w:r>
              <w:rPr>
                <w:rFonts w:ascii="Times New Roman" w:cs="Times New Roman" w:eastAsia="Times New Roman" w:hAnsi="Times New Roman"/>
                <w:sz w:val="17"/>
                <w:szCs w:val="17"/>
                <w:color w:val="0000FF"/>
                <w:w w:val="86"/>
              </w:rPr>
              <w:t>174</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 w:type="dxa"/>
            <w:vAlign w:val="bottom"/>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Borders>
              <w:bottom w:val="single" w:sz="8" w:color="auto"/>
            </w:tcBorders>
            <w:gridSpan w:val="22"/>
          </w:tcPr>
          <w:p>
            <w:pPr>
              <w:spacing w:after="0"/>
              <w:rPr>
                <w:sz w:val="20"/>
                <w:szCs w:val="20"/>
                <w:color w:val="auto"/>
              </w:rPr>
            </w:pPr>
            <w:r>
              <w:rPr>
                <w:rFonts w:ascii="Times New Roman" w:cs="Times New Roman" w:eastAsia="Times New Roman" w:hAnsi="Times New Roman"/>
                <w:sz w:val="17"/>
                <w:szCs w:val="17"/>
                <w:color w:val="auto"/>
                <w:w w:val="97"/>
              </w:rPr>
              <w:t>Exculpatory Provisions</w:t>
            </w:r>
          </w:p>
        </w:tc>
        <w:tc>
          <w:tcPr>
            <w:tcW w:w="140" w:type="dxa"/>
            <w:vAlign w:val="bottom"/>
            <w:gridSpan w:val="3"/>
          </w:tcPr>
          <w:p>
            <w:pPr>
              <w:spacing w:after="0"/>
              <w:rPr>
                <w:sz w:val="16"/>
                <w:szCs w:val="16"/>
                <w:color w:val="auto"/>
              </w:rPr>
            </w:pPr>
          </w:p>
        </w:tc>
        <w:tc>
          <w:tcPr>
            <w:tcW w:w="460" w:type="dxa"/>
            <w:vAlign w:val="bottom"/>
            <w:gridSpan w:val="4"/>
          </w:tcPr>
          <w:p>
            <w:pPr>
              <w:jc w:val="right"/>
              <w:ind w:right="48"/>
              <w:spacing w:after="0"/>
              <w:rPr>
                <w:sz w:val="20"/>
                <w:szCs w:val="20"/>
                <w:color w:val="auto"/>
              </w:rPr>
            </w:pPr>
            <w:r>
              <w:rPr>
                <w:rFonts w:ascii="Times New Roman" w:cs="Times New Roman" w:eastAsia="Times New Roman" w:hAnsi="Times New Roman"/>
                <w:sz w:val="17"/>
                <w:szCs w:val="17"/>
                <w:color w:val="FF0000"/>
                <w:strike w:val="1"/>
              </w:rPr>
              <w:t>171</w:t>
            </w:r>
          </w:p>
        </w:tc>
        <w:tc>
          <w:tcPr>
            <w:tcW w:w="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1"/>
                <w:szCs w:val="11"/>
                <w:color w:val="0000FF"/>
                <w:w w:val="72"/>
              </w:rPr>
              <w:t>174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bottom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w w:val="99"/>
              </w:rPr>
              <w:t>Reliance by Agents</w:t>
            </w:r>
          </w:p>
        </w:tc>
        <w:tc>
          <w:tcPr>
            <w:tcW w:w="60" w:type="dxa"/>
            <w:vAlign w:val="bottom"/>
            <w:gridSpan w:val="2"/>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171</w:t>
            </w:r>
          </w:p>
        </w:tc>
        <w:tc>
          <w:tcPr>
            <w:tcW w:w="2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174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Notice of Default</w:t>
            </w:r>
          </w:p>
        </w:tc>
        <w:tc>
          <w:tcPr>
            <w:tcW w:w="10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172</w:t>
            </w:r>
          </w:p>
        </w:tc>
        <w:tc>
          <w:tcPr>
            <w:tcW w:w="24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175</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29"/>
            <w:vMerge w:val="restart"/>
          </w:tcPr>
          <w:p>
            <w:pPr>
              <w:jc w:val="right"/>
              <w:ind w:right="120"/>
              <w:spacing w:after="0"/>
              <w:rPr>
                <w:sz w:val="20"/>
                <w:szCs w:val="20"/>
                <w:color w:val="auto"/>
              </w:rPr>
            </w:pPr>
            <w:r>
              <w:rPr>
                <w:rFonts w:ascii="Times New Roman" w:cs="Times New Roman" w:eastAsia="Times New Roman" w:hAnsi="Times New Roman"/>
                <w:sz w:val="17"/>
                <w:szCs w:val="17"/>
                <w:color w:val="auto"/>
              </w:rPr>
              <w:t>Agent, Collateral Agent, and Other Lenders</w:t>
            </w:r>
          </w:p>
        </w:tc>
        <w:tc>
          <w:tcPr>
            <w:tcW w:w="0" w:type="dxa"/>
            <w:vAlign w:val="bottom"/>
          </w:tcPr>
          <w:p>
            <w:pPr>
              <w:spacing w:after="0"/>
              <w:rPr>
                <w:sz w:val="1"/>
                <w:szCs w:val="1"/>
                <w:color w:val="auto"/>
              </w:rPr>
            </w:pPr>
          </w:p>
        </w:tc>
      </w:tr>
      <w:tr>
        <w:trPr>
          <w:trHeight w:val="206"/>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17"/>
          </w:tcPr>
          <w:p>
            <w:pPr>
              <w:spacing w:after="0" w:line="196" w:lineRule="exact"/>
              <w:rPr>
                <w:sz w:val="20"/>
                <w:szCs w:val="20"/>
                <w:color w:val="auto"/>
              </w:rPr>
            </w:pPr>
            <w:r>
              <w:rPr>
                <w:rFonts w:ascii="Times New Roman" w:cs="Times New Roman" w:eastAsia="Times New Roman" w:hAnsi="Times New Roman"/>
                <w:sz w:val="17"/>
                <w:szCs w:val="17"/>
                <w:color w:val="auto"/>
              </w:rPr>
              <w:t>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Reliance on</w:t>
            </w:r>
          </w:p>
        </w:tc>
        <w:tc>
          <w:tcPr>
            <w:tcW w:w="720" w:type="dxa"/>
            <w:vAlign w:val="bottom"/>
            <w:gridSpan w:val="11"/>
          </w:tcPr>
          <w:p>
            <w:pPr>
              <w:jc w:val="right"/>
              <w:spacing w:after="0"/>
              <w:rPr>
                <w:sz w:val="20"/>
                <w:szCs w:val="20"/>
                <w:color w:val="auto"/>
              </w:rPr>
            </w:pPr>
            <w:r>
              <w:rPr>
                <w:rFonts w:ascii="Times New Roman" w:cs="Times New Roman" w:eastAsia="Times New Roman" w:hAnsi="Times New Roman"/>
                <w:sz w:val="16"/>
                <w:szCs w:val="16"/>
                <w:color w:val="auto"/>
                <w:w w:val="72"/>
              </w:rPr>
              <w:t>Administrative</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2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0" w:type="dxa"/>
            <w:vAlign w:val="bottom"/>
            <w:gridSpan w:val="2"/>
          </w:tcPr>
          <w:p>
            <w:pPr>
              <w:jc w:val="right"/>
              <w:ind w:right="354"/>
              <w:spacing w:after="0"/>
              <w:rPr>
                <w:sz w:val="20"/>
                <w:szCs w:val="20"/>
                <w:color w:val="auto"/>
              </w:rPr>
            </w:pPr>
            <w:r>
              <w:rPr>
                <w:rFonts w:ascii="Times New Roman" w:cs="Times New Roman" w:eastAsia="Times New Roman" w:hAnsi="Times New Roman"/>
                <w:sz w:val="17"/>
                <w:szCs w:val="17"/>
                <w:color w:val="FF0000"/>
                <w:strike w:val="1"/>
              </w:rPr>
              <w:t>172</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175</w:t>
            </w:r>
          </w:p>
        </w:tc>
        <w:tc>
          <w:tcPr>
            <w:tcW w:w="80" w:type="dxa"/>
            <w:vAlign w:val="bottom"/>
          </w:tcPr>
          <w:p>
            <w:pPr>
              <w:spacing w:after="0"/>
              <w:rPr>
                <w:sz w:val="16"/>
                <w:szCs w:val="16"/>
                <w:color w:val="auto"/>
              </w:rPr>
            </w:pPr>
          </w:p>
        </w:tc>
        <w:tc>
          <w:tcPr>
            <w:tcW w:w="5300" w:type="dxa"/>
            <w:vAlign w:val="bottom"/>
            <w:tcBorders>
              <w:top w:val="single" w:sz="8" w:color="auto"/>
            </w:tcBorders>
            <w:gridSpan w:val="58"/>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80" w:type="dxa"/>
            <w:vAlign w:val="bottom"/>
            <w:gridSpan w:val="3"/>
          </w:tcPr>
          <w:p>
            <w:pPr>
              <w:ind w:left="180"/>
              <w:spacing w:after="0" w:line="174" w:lineRule="exact"/>
              <w:rPr>
                <w:sz w:val="20"/>
                <w:szCs w:val="20"/>
                <w:color w:val="auto"/>
              </w:rPr>
            </w:pPr>
            <w:r>
              <w:rPr>
                <w:rFonts w:ascii="Times New Roman" w:cs="Times New Roman" w:eastAsia="Times New Roman" w:hAnsi="Times New Roman"/>
                <w:sz w:val="17"/>
                <w:szCs w:val="17"/>
                <w:color w:val="auto"/>
              </w:rPr>
              <w:t>12.7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15"/>
          </w:tcPr>
          <w:p>
            <w:pPr>
              <w:spacing w:after="0" w:line="174" w:lineRule="exact"/>
              <w:rPr>
                <w:sz w:val="20"/>
                <w:szCs w:val="20"/>
                <w:color w:val="auto"/>
              </w:rPr>
            </w:pPr>
            <w:r>
              <w:rPr>
                <w:rFonts w:ascii="Times New Roman" w:cs="Times New Roman" w:eastAsia="Times New Roman" w:hAnsi="Times New Roman"/>
                <w:sz w:val="17"/>
                <w:szCs w:val="17"/>
                <w:color w:val="auto"/>
              </w:rPr>
              <w:t>Indemnification</w:t>
            </w:r>
          </w:p>
        </w:tc>
        <w:tc>
          <w:tcPr>
            <w:tcW w:w="300" w:type="dxa"/>
            <w:vAlign w:val="bottom"/>
            <w:gridSpan w:val="6"/>
          </w:tcPr>
          <w:p>
            <w:pPr>
              <w:jc w:val="right"/>
              <w:spacing w:after="0" w:line="174" w:lineRule="exact"/>
              <w:rPr>
                <w:sz w:val="20"/>
                <w:szCs w:val="20"/>
                <w:color w:val="auto"/>
              </w:rPr>
            </w:pPr>
            <w:r>
              <w:rPr>
                <w:rFonts w:ascii="Times New Roman" w:cs="Times New Roman" w:eastAsia="Times New Roman" w:hAnsi="Times New Roman"/>
                <w:sz w:val="17"/>
                <w:szCs w:val="17"/>
                <w:color w:val="FF0000"/>
                <w:strike w:val="1"/>
                <w:w w:val="93"/>
              </w:rPr>
              <w:t>173</w:t>
            </w:r>
          </w:p>
        </w:tc>
        <w:tc>
          <w:tcPr>
            <w:tcW w:w="320" w:type="dxa"/>
            <w:vAlign w:val="bottom"/>
            <w:gridSpan w:val="4"/>
          </w:tcPr>
          <w:p>
            <w:pPr>
              <w:jc w:val="right"/>
              <w:ind w:right="14"/>
              <w:spacing w:after="0" w:line="174" w:lineRule="exact"/>
              <w:rPr>
                <w:sz w:val="20"/>
                <w:szCs w:val="20"/>
                <w:color w:val="auto"/>
              </w:rPr>
            </w:pPr>
            <w:r>
              <w:rPr>
                <w:rFonts w:ascii="Times New Roman" w:cs="Times New Roman" w:eastAsia="Times New Roman" w:hAnsi="Times New Roman"/>
                <w:sz w:val="17"/>
                <w:szCs w:val="17"/>
                <w:color w:val="0000FF"/>
                <w:w w:val="78"/>
              </w:rPr>
              <w:t>175</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gridSpan w:val="4"/>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38"/>
          </w:tcPr>
          <w:p>
            <w:pPr>
              <w:spacing w:after="0"/>
              <w:rPr>
                <w:sz w:val="20"/>
                <w:szCs w:val="20"/>
                <w:color w:val="auto"/>
              </w:rPr>
            </w:pPr>
            <w:r>
              <w:rPr>
                <w:rFonts w:ascii="Times New Roman" w:cs="Times New Roman" w:eastAsia="Times New Roman" w:hAnsi="Times New Roman"/>
                <w:sz w:val="17"/>
                <w:szCs w:val="17"/>
                <w:color w:val="auto"/>
              </w:rPr>
              <w:t>Agents in Their Individual Capacities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173</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176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19"/>
          </w:tcPr>
          <w:p>
            <w:pPr>
              <w:spacing w:after="0"/>
              <w:rPr>
                <w:sz w:val="20"/>
                <w:szCs w:val="20"/>
                <w:color w:val="auto"/>
              </w:rPr>
            </w:pPr>
            <w:r>
              <w:rPr>
                <w:rFonts w:ascii="Times New Roman" w:cs="Times New Roman" w:eastAsia="Times New Roman" w:hAnsi="Times New Roman"/>
                <w:sz w:val="17"/>
                <w:szCs w:val="17"/>
                <w:color w:val="auto"/>
              </w:rPr>
              <w:t>Successor Agents.</w:t>
            </w:r>
          </w:p>
        </w:tc>
        <w:tc>
          <w:tcPr>
            <w:tcW w:w="60" w:type="dxa"/>
            <w:vAlign w:val="bottom"/>
            <w:tcBorders>
              <w:top w:val="single" w:sz="8" w:color="auto"/>
            </w:tcBorders>
            <w:gridSpan w:val="2"/>
          </w:tcPr>
          <w:p>
            <w:pPr>
              <w:spacing w:after="0"/>
              <w:rPr>
                <w:sz w:val="16"/>
                <w:szCs w:val="16"/>
                <w:color w:val="auto"/>
              </w:rPr>
            </w:pPr>
          </w:p>
        </w:tc>
        <w:tc>
          <w:tcPr>
            <w:tcW w:w="3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173</w:t>
            </w:r>
          </w:p>
        </w:tc>
        <w:tc>
          <w:tcPr>
            <w:tcW w:w="2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176</w:t>
            </w: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12.10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Withholding Tax</w:t>
            </w:r>
          </w:p>
        </w:tc>
        <w:tc>
          <w:tcPr>
            <w:tcW w:w="100" w:type="dxa"/>
            <w:vAlign w:val="bottom"/>
            <w:gridSpan w:val="2"/>
          </w:tcPr>
          <w:p>
            <w:pPr>
              <w:spacing w:after="0"/>
              <w:rPr>
                <w:sz w:val="16"/>
                <w:szCs w:val="16"/>
                <w:color w:val="auto"/>
              </w:rPr>
            </w:pPr>
          </w:p>
        </w:tc>
        <w:tc>
          <w:tcPr>
            <w:tcW w:w="60" w:type="dxa"/>
            <w:vAlign w:val="bottom"/>
            <w:gridSpan w:val="2"/>
          </w:tcPr>
          <w:p>
            <w:pPr>
              <w:spacing w:after="0"/>
              <w:rPr>
                <w:sz w:val="16"/>
                <w:szCs w:val="16"/>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174</w:t>
            </w:r>
          </w:p>
        </w:tc>
        <w:tc>
          <w:tcPr>
            <w:tcW w:w="24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86"/>
              </w:rPr>
              <w:t>177</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gridSpan w:val="6"/>
            <w:shd w:val="clear" w:color="auto" w:fill="00000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12.11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tcBorders>
              <w:bottom w:val="single" w:sz="8" w:color="auto"/>
            </w:tcBorders>
            <w:gridSpan w:val="44"/>
          </w:tcPr>
          <w:p>
            <w:pPr>
              <w:spacing w:after="0"/>
              <w:rPr>
                <w:sz w:val="20"/>
                <w:szCs w:val="20"/>
                <w:color w:val="auto"/>
              </w:rPr>
            </w:pPr>
            <w:r>
              <w:rPr>
                <w:rFonts w:ascii="Times New Roman" w:cs="Times New Roman" w:eastAsia="Times New Roman" w:hAnsi="Times New Roman"/>
                <w:sz w:val="17"/>
                <w:szCs w:val="17"/>
                <w:color w:val="auto"/>
              </w:rPr>
              <w:t>Agents Under Security Documents and Guarantee</w:t>
            </w:r>
          </w:p>
        </w:tc>
        <w:tc>
          <w:tcPr>
            <w:tcW w:w="100" w:type="dxa"/>
            <w:vAlign w:val="bottom"/>
          </w:tcPr>
          <w:p>
            <w:pPr>
              <w:spacing w:after="0"/>
              <w:rPr>
                <w:sz w:val="16"/>
                <w:szCs w:val="16"/>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175</w:t>
            </w:r>
          </w:p>
        </w:tc>
        <w:tc>
          <w:tcPr>
            <w:tcW w:w="2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177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12.12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gridSpan w:val="49"/>
          </w:tcPr>
          <w:p>
            <w:pPr>
              <w:spacing w:after="0"/>
              <w:rPr>
                <w:sz w:val="20"/>
                <w:szCs w:val="20"/>
                <w:color w:val="auto"/>
              </w:rPr>
            </w:pPr>
            <w:r>
              <w:rPr>
                <w:rFonts w:ascii="Times New Roman" w:cs="Times New Roman" w:eastAsia="Times New Roman" w:hAnsi="Times New Roman"/>
                <w:sz w:val="17"/>
                <w:szCs w:val="17"/>
                <w:color w:val="auto"/>
              </w:rPr>
              <w:t>Right to Realize on Collateral and Enforce Guarantee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175</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93"/>
              </w:rPr>
              <w:t>178</w:t>
            </w:r>
          </w:p>
        </w:tc>
        <w:tc>
          <w:tcPr>
            <w:tcW w:w="260" w:type="dxa"/>
            <w:vAlign w:val="bottom"/>
          </w:tcPr>
          <w:p>
            <w:pPr>
              <w:spacing w:after="0"/>
              <w:rPr>
                <w:sz w:val="16"/>
                <w:szCs w:val="16"/>
                <w:color w:val="auto"/>
              </w:rPr>
            </w:pPr>
          </w:p>
        </w:tc>
        <w:tc>
          <w:tcPr>
            <w:tcW w:w="6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12.13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tcBorders>
              <w:top w:val="single" w:sz="8" w:color="auto"/>
            </w:tcBorders>
            <w:gridSpan w:val="34"/>
          </w:tcPr>
          <w:p>
            <w:pPr>
              <w:spacing w:after="0"/>
              <w:rPr>
                <w:sz w:val="20"/>
                <w:szCs w:val="20"/>
                <w:color w:val="auto"/>
              </w:rPr>
            </w:pPr>
            <w:r>
              <w:rPr>
                <w:rFonts w:ascii="Times New Roman" w:cs="Times New Roman" w:eastAsia="Times New Roman" w:hAnsi="Times New Roman"/>
                <w:sz w:val="17"/>
                <w:szCs w:val="17"/>
                <w:color w:val="auto"/>
              </w:rPr>
              <w:t>Intercreditor Agreements Govern</w:t>
            </w:r>
          </w:p>
        </w:tc>
        <w:tc>
          <w:tcPr>
            <w:tcW w:w="30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176</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w w:val="78"/>
              </w:rPr>
              <w:t>179</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11"/>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12.14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Certain ERISA Matters</w:t>
            </w:r>
          </w:p>
        </w:tc>
        <w:tc>
          <w:tcPr>
            <w:tcW w:w="460" w:type="dxa"/>
            <w:vAlign w:val="bottom"/>
            <w:gridSpan w:val="4"/>
          </w:tcPr>
          <w:p>
            <w:pPr>
              <w:jc w:val="right"/>
              <w:ind w:right="48"/>
              <w:spacing w:after="0"/>
              <w:rPr>
                <w:sz w:val="20"/>
                <w:szCs w:val="20"/>
                <w:color w:val="auto"/>
              </w:rPr>
            </w:pPr>
            <w:r>
              <w:rPr>
                <w:rFonts w:ascii="Times New Roman" w:cs="Times New Roman" w:eastAsia="Times New Roman" w:hAnsi="Times New Roman"/>
                <w:sz w:val="17"/>
                <w:szCs w:val="17"/>
                <w:color w:val="FF0000"/>
                <w:strike w:val="1"/>
              </w:rPr>
              <w:t>176</w:t>
            </w:r>
          </w:p>
        </w:tc>
        <w:tc>
          <w:tcPr>
            <w:tcW w:w="80" w:type="dxa"/>
            <w:vAlign w:val="bottom"/>
          </w:tcPr>
          <w:p>
            <w:pPr>
              <w:spacing w:after="0"/>
              <w:rPr>
                <w:sz w:val="20"/>
                <w:szCs w:val="20"/>
                <w:color w:val="auto"/>
              </w:rPr>
            </w:pPr>
            <w:r>
              <w:rPr>
                <w:rFonts w:ascii="Times New Roman" w:cs="Times New Roman" w:eastAsia="Times New Roman" w:hAnsi="Times New Roman"/>
                <w:sz w:val="3"/>
                <w:szCs w:val="3"/>
                <w:color w:val="0000FF"/>
                <w:w w:val="87"/>
              </w:rPr>
              <w:t>179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11"/>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80" w:type="dxa"/>
            <w:vAlign w:val="bottom"/>
          </w:tcPr>
          <w:p>
            <w:pPr>
              <w:spacing w:after="0"/>
              <w:rPr>
                <w:sz w:val="16"/>
                <w:szCs w:val="16"/>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12.</w:t>
            </w:r>
            <w:r>
              <w:rPr>
                <w:rFonts w:ascii="Times New Roman" w:cs="Times New Roman" w:eastAsia="Times New Roman" w:hAnsi="Times New Roman"/>
                <w:sz w:val="17"/>
                <w:szCs w:val="17"/>
                <w:u w:val="single" w:color="auto"/>
                <w:color w:val="0000FF"/>
                <w:w w:val="99"/>
              </w:rPr>
              <w:t>15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34"/>
          </w:tcPr>
          <w:p>
            <w:pPr>
              <w:spacing w:after="0"/>
              <w:rPr>
                <w:sz w:val="20"/>
                <w:szCs w:val="20"/>
                <w:color w:val="auto"/>
              </w:rPr>
            </w:pPr>
            <w:r>
              <w:rPr>
                <w:rFonts w:ascii="Times New Roman" w:cs="Times New Roman" w:eastAsia="Times New Roman" w:hAnsi="Times New Roman"/>
                <w:sz w:val="17"/>
                <w:szCs w:val="17"/>
                <w:color w:val="0000FF"/>
              </w:rPr>
              <w:t>Return of Certain Payments   180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11"/>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2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SECTION 13.</w:t>
            </w:r>
          </w:p>
        </w:tc>
        <w:tc>
          <w:tcPr>
            <w:tcW w:w="1640" w:type="dxa"/>
            <w:vAlign w:val="bottom"/>
            <w:gridSpan w:val="27"/>
          </w:tcPr>
          <w:p>
            <w:pPr>
              <w:ind w:left="140"/>
              <w:spacing w:after="0"/>
              <w:rPr>
                <w:sz w:val="20"/>
                <w:szCs w:val="20"/>
                <w:color w:val="auto"/>
              </w:rPr>
            </w:pPr>
            <w:r>
              <w:rPr>
                <w:rFonts w:ascii="Times New Roman" w:cs="Times New Roman" w:eastAsia="Times New Roman" w:hAnsi="Times New Roman"/>
                <w:sz w:val="17"/>
                <w:szCs w:val="17"/>
                <w:color w:val="auto"/>
              </w:rPr>
              <w:t>MISCELLANEOUS.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w w:val="95"/>
              </w:rPr>
              <w:t>177</w:t>
            </w:r>
          </w:p>
        </w:tc>
        <w:tc>
          <w:tcPr>
            <w:tcW w:w="260" w:type="dxa"/>
            <w:vAlign w:val="bottom"/>
            <w:tcBorders>
              <w:bottom w:val="single" w:sz="8" w:color="0000FF"/>
            </w:tcBorders>
            <w:gridSpan w:val="4"/>
          </w:tcPr>
          <w:p>
            <w:pPr>
              <w:jc w:val="right"/>
              <w:spacing w:after="0"/>
              <w:rPr>
                <w:sz w:val="20"/>
                <w:szCs w:val="20"/>
                <w:color w:val="auto"/>
              </w:rPr>
            </w:pPr>
            <w:r>
              <w:rPr>
                <w:rFonts w:ascii="Times New Roman" w:cs="Times New Roman" w:eastAsia="Times New Roman" w:hAnsi="Times New Roman"/>
                <w:sz w:val="17"/>
                <w:szCs w:val="17"/>
                <w:color w:val="0000FF"/>
                <w:w w:val="93"/>
              </w:rPr>
              <w:t>183</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gridSpan w:val="38"/>
          </w:tcPr>
          <w:p>
            <w:pPr>
              <w:spacing w:after="0"/>
              <w:rPr>
                <w:sz w:val="20"/>
                <w:szCs w:val="20"/>
                <w:color w:val="auto"/>
              </w:rPr>
            </w:pPr>
            <w:r>
              <w:rPr>
                <w:rFonts w:ascii="Times New Roman" w:cs="Times New Roman" w:eastAsia="Times New Roman" w:hAnsi="Times New Roman"/>
                <w:sz w:val="17"/>
                <w:szCs w:val="17"/>
                <w:color w:val="auto"/>
              </w:rPr>
              <w:t>Amendments, Waivers, and Releases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177</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w w:val="93"/>
              </w:rPr>
              <w:t>183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w w:val="96"/>
              </w:rPr>
              <w:t>Notices</w:t>
            </w: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gridSpan w:val="3"/>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FF0000"/>
                <w:strike w:val="1"/>
                <w:w w:val="93"/>
              </w:rPr>
              <w:t>181</w:t>
            </w:r>
          </w:p>
        </w:tc>
        <w:tc>
          <w:tcPr>
            <w:tcW w:w="260" w:type="dxa"/>
            <w:vAlign w:val="bottom"/>
            <w:tcBorders>
              <w:top w:val="single" w:sz="8" w:color="auto"/>
              <w:bottom w:val="single" w:sz="8" w:color="0000FF"/>
            </w:tcBorders>
            <w:gridSpan w:val="6"/>
          </w:tcPr>
          <w:p>
            <w:pPr>
              <w:jc w:val="right"/>
              <w:spacing w:after="0"/>
              <w:rPr>
                <w:sz w:val="20"/>
                <w:szCs w:val="20"/>
                <w:color w:val="auto"/>
              </w:rPr>
            </w:pPr>
            <w:r>
              <w:rPr>
                <w:rFonts w:ascii="Times New Roman" w:cs="Times New Roman" w:eastAsia="Times New Roman" w:hAnsi="Times New Roman"/>
                <w:sz w:val="17"/>
                <w:szCs w:val="17"/>
                <w:color w:val="0000FF"/>
                <w:w w:val="86"/>
              </w:rPr>
              <w:t>187</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34"/>
          </w:tcPr>
          <w:p>
            <w:pPr>
              <w:spacing w:after="0"/>
              <w:rPr>
                <w:sz w:val="20"/>
                <w:szCs w:val="20"/>
                <w:color w:val="auto"/>
              </w:rPr>
            </w:pPr>
            <w:r>
              <w:rPr>
                <w:rFonts w:ascii="Times New Roman" w:cs="Times New Roman" w:eastAsia="Times New Roman" w:hAnsi="Times New Roman"/>
                <w:sz w:val="17"/>
                <w:szCs w:val="17"/>
                <w:color w:val="auto"/>
              </w:rPr>
              <w:t>No Waiver; Cumulative Remedies</w:t>
            </w:r>
          </w:p>
        </w:tc>
        <w:tc>
          <w:tcPr>
            <w:tcW w:w="30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FF0000"/>
                <w:strike w:val="1"/>
                <w:w w:val="93"/>
              </w:rPr>
              <w:t>181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78"/>
              </w:rPr>
              <w:t>188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11"/>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740" w:type="dxa"/>
            <w:vAlign w:val="bottom"/>
            <w:tcBorders>
              <w:left w:val="single" w:sz="8" w:color="auto"/>
            </w:tcBorders>
            <w:gridSpan w:val="9"/>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39"/>
          </w:tcPr>
          <w:p>
            <w:pPr>
              <w:spacing w:after="0"/>
              <w:rPr>
                <w:sz w:val="20"/>
                <w:szCs w:val="20"/>
                <w:color w:val="auto"/>
              </w:rPr>
            </w:pPr>
            <w:r>
              <w:rPr>
                <w:rFonts w:ascii="Times New Roman" w:cs="Times New Roman" w:eastAsia="Times New Roman" w:hAnsi="Times New Roman"/>
                <w:sz w:val="17"/>
                <w:szCs w:val="17"/>
                <w:color w:val="auto"/>
                <w:w w:val="99"/>
              </w:rPr>
              <w:t>Survival of Representations and Warranties</w:t>
            </w:r>
          </w:p>
        </w:tc>
        <w:tc>
          <w:tcPr>
            <w:tcW w:w="200" w:type="dxa"/>
            <w:vAlign w:val="bottom"/>
            <w:gridSpan w:val="2"/>
          </w:tcPr>
          <w:p>
            <w:pPr>
              <w:spacing w:after="0"/>
              <w:rPr>
                <w:sz w:val="16"/>
                <w:szCs w:val="16"/>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181</w:t>
            </w:r>
          </w:p>
        </w:tc>
        <w:tc>
          <w:tcPr>
            <w:tcW w:w="380" w:type="dxa"/>
            <w:vAlign w:val="bottom"/>
            <w:gridSpan w:val="4"/>
          </w:tcPr>
          <w:p>
            <w:pPr>
              <w:jc w:val="right"/>
              <w:ind w:right="34"/>
              <w:spacing w:after="0"/>
              <w:rPr>
                <w:sz w:val="20"/>
                <w:szCs w:val="20"/>
                <w:color w:val="auto"/>
              </w:rPr>
            </w:pPr>
            <w:r>
              <w:rPr>
                <w:rFonts w:ascii="Times New Roman" w:cs="Times New Roman" w:eastAsia="Times New Roman" w:hAnsi="Times New Roman"/>
                <w:sz w:val="17"/>
                <w:szCs w:val="17"/>
                <w:color w:val="0000FF"/>
                <w:w w:val="93"/>
              </w:rPr>
              <w:t>188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11"/>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060" w:type="dxa"/>
            <w:vAlign w:val="bottom"/>
            <w:tcBorders>
              <w:left w:val="single" w:sz="8" w:color="auto"/>
            </w:tcBorders>
            <w:gridSpan w:val="15"/>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Borders>
              <w:bottom w:val="single" w:sz="8" w:color="auto"/>
            </w:tcBorders>
            <w:gridSpan w:val="37"/>
          </w:tcPr>
          <w:p>
            <w:pPr>
              <w:spacing w:after="0"/>
              <w:rPr>
                <w:sz w:val="20"/>
                <w:szCs w:val="20"/>
                <w:color w:val="auto"/>
              </w:rPr>
            </w:pPr>
            <w:r>
              <w:rPr>
                <w:rFonts w:ascii="Times New Roman" w:cs="Times New Roman" w:eastAsia="Times New Roman" w:hAnsi="Times New Roman"/>
                <w:sz w:val="17"/>
                <w:szCs w:val="17"/>
                <w:color w:val="auto"/>
              </w:rPr>
              <w:t>Payment of Expenses; Indemnification</w:t>
            </w:r>
          </w:p>
        </w:tc>
        <w:tc>
          <w:tcPr>
            <w:tcW w:w="14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181</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188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60" w:type="dxa"/>
            <w:vAlign w:val="bottom"/>
            <w:gridSpan w:val="50"/>
          </w:tcPr>
          <w:p>
            <w:pPr>
              <w:spacing w:after="0"/>
              <w:rPr>
                <w:sz w:val="20"/>
                <w:szCs w:val="20"/>
                <w:color w:val="auto"/>
              </w:rPr>
            </w:pPr>
            <w:r>
              <w:rPr>
                <w:rFonts w:ascii="Times New Roman" w:cs="Times New Roman" w:eastAsia="Times New Roman" w:hAnsi="Times New Roman"/>
                <w:sz w:val="17"/>
                <w:szCs w:val="17"/>
                <w:color w:val="auto"/>
              </w:rPr>
              <w:t>Successors and Assigns; Participations and Assignments.</w:t>
            </w:r>
          </w:p>
        </w:tc>
        <w:tc>
          <w:tcPr>
            <w:tcW w:w="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182</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189</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80" w:type="dxa"/>
            <w:vAlign w:val="bottom"/>
            <w:tcBorders>
              <w:top w:val="single" w:sz="8" w:color="auto"/>
            </w:tcBorders>
            <w:gridSpan w:val="49"/>
          </w:tcPr>
          <w:p>
            <w:pPr>
              <w:spacing w:after="0"/>
              <w:rPr>
                <w:sz w:val="20"/>
                <w:szCs w:val="20"/>
                <w:color w:val="auto"/>
              </w:rPr>
            </w:pPr>
            <w:r>
              <w:rPr>
                <w:rFonts w:ascii="Times New Roman" w:cs="Times New Roman" w:eastAsia="Times New Roman" w:hAnsi="Times New Roman"/>
                <w:sz w:val="17"/>
                <w:szCs w:val="17"/>
                <w:color w:val="auto"/>
              </w:rPr>
              <w:t>Replacements of Lenders Under Certain Circumstances.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187</w:t>
            </w:r>
          </w:p>
        </w:tc>
        <w:tc>
          <w:tcPr>
            <w:tcW w:w="26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194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tcBorders>
              <w:top w:val="single" w:sz="8" w:color="auto"/>
            </w:tcBorders>
            <w:gridSpan w:val="25"/>
          </w:tcPr>
          <w:p>
            <w:pPr>
              <w:spacing w:after="0" w:line="196" w:lineRule="exact"/>
              <w:rPr>
                <w:sz w:val="20"/>
                <w:szCs w:val="20"/>
                <w:color w:val="auto"/>
              </w:rPr>
            </w:pPr>
            <w:r>
              <w:rPr>
                <w:rFonts w:ascii="Times New Roman" w:cs="Times New Roman" w:eastAsia="Times New Roman" w:hAnsi="Times New Roman"/>
                <w:sz w:val="17"/>
                <w:szCs w:val="17"/>
                <w:color w:val="auto"/>
              </w:rPr>
              <w:t>Adjustments; Set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off.</w:t>
            </w:r>
          </w:p>
        </w:tc>
        <w:tc>
          <w:tcPr>
            <w:tcW w:w="460" w:type="dxa"/>
            <w:vAlign w:val="bottom"/>
            <w:tcBorders>
              <w:top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7"/>
                <w:szCs w:val="17"/>
                <w:color w:val="FF0000"/>
                <w:strike w:val="1"/>
              </w:rPr>
              <w:t>188</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3"/>
                <w:szCs w:val="3"/>
                <w:color w:val="0000FF"/>
                <w:w w:val="87"/>
              </w:rPr>
              <w:t>195</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60" w:type="dxa"/>
            <w:vAlign w:val="bottom"/>
            <w:tcBorders>
              <w:right w:val="single" w:sz="8" w:color="auto"/>
            </w:tcBorders>
            <w:gridSpan w:val="9"/>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13.9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7"/>
                <w:szCs w:val="17"/>
                <w:color w:val="auto"/>
                <w:w w:val="97"/>
              </w:rPr>
              <w:t>Counterparts</w:t>
            </w:r>
          </w:p>
        </w:tc>
        <w:tc>
          <w:tcPr>
            <w:tcW w:w="160" w:type="dxa"/>
            <w:vAlign w:val="bottom"/>
            <w:gridSpan w:val="2"/>
          </w:tcPr>
          <w:p>
            <w:pPr>
              <w:spacing w:after="0"/>
              <w:rPr>
                <w:sz w:val="16"/>
                <w:szCs w:val="16"/>
                <w:color w:val="auto"/>
              </w:rPr>
            </w:pPr>
          </w:p>
        </w:tc>
        <w:tc>
          <w:tcPr>
            <w:tcW w:w="60" w:type="dxa"/>
            <w:vAlign w:val="bottom"/>
            <w:gridSpan w:val="3"/>
          </w:tcPr>
          <w:p>
            <w:pPr>
              <w:spacing w:after="0"/>
              <w:rPr>
                <w:sz w:val="16"/>
                <w:szCs w:val="16"/>
                <w:color w:val="auto"/>
              </w:rPr>
            </w:pPr>
          </w:p>
        </w:tc>
        <w:tc>
          <w:tcPr>
            <w:tcW w:w="26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FF0000"/>
                <w:strike w:val="1"/>
                <w:w w:val="93"/>
              </w:rPr>
              <w:t>189</w:t>
            </w:r>
          </w:p>
        </w:tc>
        <w:tc>
          <w:tcPr>
            <w:tcW w:w="22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195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13.10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9"/>
          </w:tcPr>
          <w:p>
            <w:pPr>
              <w:spacing w:after="0"/>
              <w:rPr>
                <w:sz w:val="20"/>
                <w:szCs w:val="20"/>
                <w:color w:val="auto"/>
              </w:rPr>
            </w:pPr>
            <w:r>
              <w:rPr>
                <w:rFonts w:ascii="Times New Roman" w:cs="Times New Roman" w:eastAsia="Times New Roman" w:hAnsi="Times New Roman"/>
                <w:sz w:val="17"/>
                <w:szCs w:val="17"/>
                <w:color w:val="auto"/>
                <w:w w:val="94"/>
              </w:rPr>
              <w:t>Severability</w:t>
            </w:r>
          </w:p>
        </w:tc>
        <w:tc>
          <w:tcPr>
            <w:tcW w:w="240" w:type="dxa"/>
            <w:vAlign w:val="bottom"/>
            <w:gridSpan w:val="3"/>
          </w:tcPr>
          <w:p>
            <w:pPr>
              <w:spacing w:after="0"/>
              <w:rPr>
                <w:sz w:val="16"/>
                <w:szCs w:val="16"/>
                <w:color w:val="auto"/>
              </w:rPr>
            </w:pPr>
          </w:p>
        </w:tc>
        <w:tc>
          <w:tcPr>
            <w:tcW w:w="60" w:type="dxa"/>
            <w:vAlign w:val="bottom"/>
            <w:gridSpan w:val="3"/>
          </w:tcPr>
          <w:p>
            <w:pPr>
              <w:spacing w:after="0"/>
              <w:rPr>
                <w:sz w:val="16"/>
                <w:szCs w:val="16"/>
                <w:color w:val="auto"/>
              </w:rPr>
            </w:pPr>
          </w:p>
        </w:tc>
        <w:tc>
          <w:tcPr>
            <w:tcW w:w="300" w:type="dxa"/>
            <w:vAlign w:val="bottom"/>
            <w:gridSpan w:val="6"/>
          </w:tcPr>
          <w:p>
            <w:pPr>
              <w:jc w:val="right"/>
              <w:spacing w:after="0"/>
              <w:rPr>
                <w:sz w:val="20"/>
                <w:szCs w:val="20"/>
                <w:color w:val="auto"/>
              </w:rPr>
            </w:pPr>
            <w:r>
              <w:rPr>
                <w:rFonts w:ascii="Times New Roman" w:cs="Times New Roman" w:eastAsia="Times New Roman" w:hAnsi="Times New Roman"/>
                <w:sz w:val="17"/>
                <w:szCs w:val="17"/>
                <w:color w:val="FF0000"/>
                <w:strike w:val="1"/>
                <w:w w:val="93"/>
              </w:rPr>
              <w:t>189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78"/>
              </w:rPr>
              <w:t>195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13.11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Integration</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w w:val="93"/>
              </w:rPr>
              <w:t>189</w:t>
            </w:r>
          </w:p>
        </w:tc>
        <w:tc>
          <w:tcPr>
            <w:tcW w:w="320" w:type="dxa"/>
            <w:vAlign w:val="bottom"/>
            <w:gridSpan w:val="8"/>
          </w:tcPr>
          <w:p>
            <w:pPr>
              <w:jc w:val="right"/>
              <w:ind w:right="60"/>
              <w:spacing w:after="0"/>
              <w:rPr>
                <w:sz w:val="20"/>
                <w:szCs w:val="20"/>
                <w:color w:val="auto"/>
              </w:rPr>
            </w:pPr>
            <w:r>
              <w:rPr>
                <w:rFonts w:ascii="Times New Roman" w:cs="Times New Roman" w:eastAsia="Times New Roman" w:hAnsi="Times New Roman"/>
                <w:sz w:val="17"/>
                <w:szCs w:val="17"/>
                <w:color w:val="0000FF"/>
                <w:w w:val="93"/>
              </w:rPr>
              <w:t>195</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740" w:type="dxa"/>
            <w:vAlign w:val="bottom"/>
            <w:gridSpan w:val="7"/>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tcBorders>
              <w:right w:val="single" w:sz="8" w:color="0000FF"/>
            </w:tcBorders>
            <w:gridSpan w:val="6"/>
            <w:shd w:val="clear" w:color="auto" w:fill="0000FF"/>
          </w:tcPr>
          <w:p>
            <w:pPr>
              <w:spacing w:after="0" w:line="20" w:lineRule="exact"/>
              <w:rPr>
                <w:sz w:val="1"/>
                <w:szCs w:val="1"/>
                <w:color w:val="auto"/>
              </w:rPr>
            </w:pPr>
          </w:p>
        </w:tc>
        <w:tc>
          <w:tcPr>
            <w:tcW w:w="16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w w:val="99"/>
              </w:rPr>
              <w:t>13.12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1"/>
          </w:tcPr>
          <w:p>
            <w:pPr>
              <w:spacing w:after="0"/>
              <w:rPr>
                <w:sz w:val="20"/>
                <w:szCs w:val="20"/>
                <w:color w:val="auto"/>
              </w:rPr>
            </w:pPr>
            <w:r>
              <w:rPr>
                <w:rFonts w:ascii="Times New Roman" w:cs="Times New Roman" w:eastAsia="Times New Roman" w:hAnsi="Times New Roman"/>
                <w:sz w:val="17"/>
                <w:szCs w:val="17"/>
                <w:color w:val="auto"/>
                <w:w w:val="95"/>
              </w:rPr>
              <w:t>GOVERNING LAW</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FF0000"/>
                <w:strike w:val="1"/>
              </w:rPr>
              <w:t>189</w:t>
            </w:r>
          </w:p>
        </w:tc>
        <w:tc>
          <w:tcPr>
            <w:tcW w:w="760" w:type="dxa"/>
            <w:vAlign w:val="bottom"/>
            <w:gridSpan w:val="9"/>
          </w:tcPr>
          <w:p>
            <w:pPr>
              <w:jc w:val="right"/>
              <w:ind w:right="520"/>
              <w:spacing w:after="0"/>
              <w:rPr>
                <w:sz w:val="20"/>
                <w:szCs w:val="20"/>
                <w:color w:val="auto"/>
              </w:rPr>
            </w:pPr>
            <w:r>
              <w:rPr>
                <w:rFonts w:ascii="Times New Roman" w:cs="Times New Roman" w:eastAsia="Times New Roman" w:hAnsi="Times New Roman"/>
                <w:sz w:val="17"/>
                <w:szCs w:val="17"/>
                <w:color w:val="0000FF"/>
                <w:w w:val="86"/>
              </w:rPr>
              <w:t>196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right w:val="single" w:sz="8" w:color="auto"/>
            </w:tcBorders>
            <w:gridSpan w:val="5"/>
          </w:tcPr>
          <w:p>
            <w:pPr>
              <w:spacing w:after="0" w:line="20" w:lineRule="exact"/>
              <w:rPr>
                <w:sz w:val="1"/>
                <w:szCs w:val="1"/>
                <w:color w:val="auto"/>
              </w:rPr>
            </w:pPr>
          </w:p>
        </w:tc>
        <w:tc>
          <w:tcPr>
            <w:tcW w:w="820" w:type="dxa"/>
            <w:vAlign w:val="bottom"/>
            <w:gridSpan w:val="9"/>
            <w:shd w:val="clear" w:color="auto" w:fill="000000"/>
          </w:tcPr>
          <w:p>
            <w:pPr>
              <w:spacing w:after="0" w:line="20" w:lineRule="exact"/>
              <w:rPr>
                <w:sz w:val="1"/>
                <w:szCs w:val="1"/>
                <w:color w:val="auto"/>
              </w:rPr>
            </w:pPr>
          </w:p>
        </w:tc>
        <w:tc>
          <w:tcPr>
            <w:tcW w:w="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gridSpan w:val="7"/>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4000" w:type="dxa"/>
            <w:vAlign w:val="bottom"/>
            <w:gridSpan w:val="3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74" w:name="page75"/>
    <w:bookmarkEnd w:id="74"/>
    <w:p>
      <w:pPr>
        <w:jc w:val="right"/>
        <w:ind w:right="1159"/>
        <w:spacing w:after="0"/>
        <w:rPr>
          <w:sz w:val="20"/>
          <w:szCs w:val="20"/>
          <w:color w:val="auto"/>
        </w:rPr>
      </w:pPr>
      <w:r>
        <w:rPr>
          <w:rFonts w:ascii="Times New Roman" w:cs="Times New Roman" w:eastAsia="Times New Roman" w:hAnsi="Times New Roman"/>
          <w:sz w:val="17"/>
          <w:szCs w:val="17"/>
          <w:u w:val="single" w:color="auto"/>
          <w:color w:val="auto"/>
        </w:rPr>
        <w:t>Page</w:t>
      </w:r>
    </w:p>
    <w:p>
      <w:pPr>
        <w:spacing w:after="0" w:line="222"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13.13</w:t>
            </w:r>
          </w:p>
        </w:tc>
        <w:tc>
          <w:tcPr>
            <w:tcW w:w="60" w:type="dxa"/>
            <w:vAlign w:val="bottom"/>
          </w:tcPr>
          <w:p>
            <w:pPr>
              <w:spacing w:after="0"/>
              <w:rPr>
                <w:sz w:val="17"/>
                <w:szCs w:val="17"/>
                <w:color w:val="auto"/>
              </w:rPr>
            </w:pPr>
          </w:p>
        </w:tc>
        <w:tc>
          <w:tcPr>
            <w:tcW w:w="252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Submission to Jurisdiction; Waivers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189</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w w:val="93"/>
              </w:rPr>
              <w:t>196</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13.14</w:t>
            </w:r>
          </w:p>
        </w:tc>
        <w:tc>
          <w:tcPr>
            <w:tcW w:w="60" w:type="dxa"/>
            <w:vAlign w:val="bottom"/>
          </w:tcPr>
          <w:p>
            <w:pPr>
              <w:spacing w:after="0"/>
              <w:rPr>
                <w:sz w:val="16"/>
                <w:szCs w:val="16"/>
                <w:color w:val="auto"/>
              </w:rPr>
            </w:pPr>
          </w:p>
        </w:tc>
        <w:tc>
          <w:tcPr>
            <w:tcW w:w="130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Acknowledgments</w:t>
            </w:r>
          </w:p>
        </w:tc>
        <w:tc>
          <w:tcPr>
            <w:tcW w:w="100" w:type="dxa"/>
            <w:vAlign w:val="bottom"/>
            <w:tcBorders>
              <w:top w:val="single" w:sz="8" w:color="auto"/>
            </w:tcBorders>
            <w:gridSpan w:val="2"/>
          </w:tcPr>
          <w:p>
            <w:pPr>
              <w:spacing w:after="0"/>
              <w:rPr>
                <w:sz w:val="16"/>
                <w:szCs w:val="16"/>
                <w:color w:val="auto"/>
              </w:rPr>
            </w:pPr>
          </w:p>
        </w:tc>
        <w:tc>
          <w:tcPr>
            <w:tcW w:w="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190</w:t>
            </w:r>
          </w:p>
        </w:tc>
        <w:tc>
          <w:tcPr>
            <w:tcW w:w="260" w:type="dxa"/>
            <w:vAlign w:val="bottom"/>
            <w:tcBorders>
              <w:top w:val="single" w:sz="8" w:color="auto"/>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196</w:t>
            </w: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13.15</w:t>
            </w:r>
          </w:p>
        </w:tc>
        <w:tc>
          <w:tcPr>
            <w:tcW w:w="60" w:type="dxa"/>
            <w:vAlign w:val="bottom"/>
          </w:tcPr>
          <w:p>
            <w:pPr>
              <w:spacing w:after="0"/>
              <w:rPr>
                <w:sz w:val="16"/>
                <w:szCs w:val="16"/>
                <w:color w:val="auto"/>
              </w:rPr>
            </w:pPr>
          </w:p>
        </w:tc>
        <w:tc>
          <w:tcPr>
            <w:tcW w:w="21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WAIVERS OF JURY TRIAL</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191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w w:val="93"/>
              </w:rPr>
              <w:t>197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13.16</w:t>
            </w:r>
          </w:p>
        </w:tc>
        <w:tc>
          <w:tcPr>
            <w:tcW w:w="60" w:type="dxa"/>
            <w:vAlign w:val="bottom"/>
          </w:tcPr>
          <w:p>
            <w:pPr>
              <w:spacing w:after="0"/>
              <w:rPr>
                <w:sz w:val="16"/>
                <w:szCs w:val="16"/>
                <w:color w:val="auto"/>
              </w:rPr>
            </w:pPr>
          </w:p>
        </w:tc>
        <w:tc>
          <w:tcPr>
            <w:tcW w:w="11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Confidentiality</w:t>
            </w:r>
          </w:p>
        </w:tc>
        <w:tc>
          <w:tcPr>
            <w:tcW w:w="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191</w:t>
            </w:r>
          </w:p>
        </w:tc>
        <w:tc>
          <w:tcPr>
            <w:tcW w:w="34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93"/>
              </w:rPr>
              <w:t>197</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13.17</w:t>
            </w:r>
          </w:p>
        </w:tc>
        <w:tc>
          <w:tcPr>
            <w:tcW w:w="60" w:type="dxa"/>
            <w:vAlign w:val="bottom"/>
          </w:tcPr>
          <w:p>
            <w:pPr>
              <w:spacing w:after="0"/>
              <w:rPr>
                <w:sz w:val="16"/>
                <w:szCs w:val="16"/>
                <w:color w:val="auto"/>
              </w:rPr>
            </w:pPr>
          </w:p>
        </w:tc>
        <w:tc>
          <w:tcPr>
            <w:tcW w:w="2520" w:type="dxa"/>
            <w:vAlign w:val="bottom"/>
            <w:gridSpan w:val="18"/>
          </w:tcPr>
          <w:p>
            <w:pPr>
              <w:spacing w:after="0"/>
              <w:rPr>
                <w:sz w:val="20"/>
                <w:szCs w:val="20"/>
                <w:color w:val="auto"/>
              </w:rPr>
            </w:pPr>
            <w:r>
              <w:rPr>
                <w:rFonts w:ascii="Times New Roman" w:cs="Times New Roman" w:eastAsia="Times New Roman" w:hAnsi="Times New Roman"/>
                <w:sz w:val="17"/>
                <w:szCs w:val="17"/>
                <w:color w:val="auto"/>
              </w:rPr>
              <w:t>Direct Website Communications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w w:val="93"/>
              </w:rPr>
              <w:t>192</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0000FF"/>
                <w:w w:val="93"/>
              </w:rPr>
              <w:t>198</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13.18</w:t>
            </w:r>
          </w:p>
        </w:tc>
        <w:tc>
          <w:tcPr>
            <w:tcW w:w="60" w:type="dxa"/>
            <w:vAlign w:val="bottom"/>
          </w:tcPr>
          <w:p>
            <w:pPr>
              <w:spacing w:after="0"/>
              <w:rPr>
                <w:sz w:val="16"/>
                <w:szCs w:val="16"/>
                <w:color w:val="auto"/>
              </w:rPr>
            </w:pPr>
          </w:p>
        </w:tc>
        <w:tc>
          <w:tcPr>
            <w:tcW w:w="1380" w:type="dxa"/>
            <w:vAlign w:val="bottom"/>
            <w:tcBorders>
              <w:top w:val="single" w:sz="8" w:color="auto"/>
              <w:bottom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w w:val="97"/>
              </w:rPr>
              <w:t>USA PATRIOT Act</w:t>
            </w:r>
          </w:p>
        </w:tc>
        <w:tc>
          <w:tcPr>
            <w:tcW w:w="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193</w:t>
            </w:r>
          </w:p>
        </w:tc>
        <w:tc>
          <w:tcPr>
            <w:tcW w:w="240" w:type="dxa"/>
            <w:vAlign w:val="bottom"/>
            <w:tcBorders>
              <w:top w:val="single" w:sz="8" w:color="auto"/>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6"/>
              </w:rPr>
              <w:t>199</w:t>
            </w: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13.19</w:t>
            </w:r>
          </w:p>
        </w:tc>
        <w:tc>
          <w:tcPr>
            <w:tcW w:w="60" w:type="dxa"/>
            <w:vAlign w:val="bottom"/>
          </w:tcPr>
          <w:p>
            <w:pPr>
              <w:spacing w:after="0"/>
              <w:rPr>
                <w:sz w:val="16"/>
                <w:szCs w:val="16"/>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[Reserved].</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FF0000"/>
                <w:strike w:val="1"/>
              </w:rPr>
              <w:t>193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93"/>
              </w:rPr>
              <w:t>200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13.20</w:t>
            </w:r>
          </w:p>
        </w:tc>
        <w:tc>
          <w:tcPr>
            <w:tcW w:w="60" w:type="dxa"/>
            <w:vAlign w:val="bottom"/>
          </w:tcPr>
          <w:p>
            <w:pPr>
              <w:spacing w:after="0"/>
              <w:rPr>
                <w:sz w:val="16"/>
                <w:szCs w:val="16"/>
                <w:color w:val="auto"/>
              </w:rPr>
            </w:pPr>
          </w:p>
        </w:tc>
        <w:tc>
          <w:tcPr>
            <w:tcW w:w="140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Payments Set Aside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200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13.21</w:t>
            </w:r>
          </w:p>
        </w:tc>
        <w:tc>
          <w:tcPr>
            <w:tcW w:w="60" w:type="dxa"/>
            <w:vAlign w:val="bottom"/>
          </w:tcPr>
          <w:p>
            <w:pPr>
              <w:spacing w:after="0"/>
              <w:rPr>
                <w:sz w:val="16"/>
                <w:szCs w:val="16"/>
                <w:color w:val="auto"/>
              </w:rPr>
            </w:pPr>
          </w:p>
        </w:tc>
        <w:tc>
          <w:tcPr>
            <w:tcW w:w="13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7"/>
                <w:szCs w:val="17"/>
                <w:color w:val="auto"/>
              </w:rPr>
              <w:t>No Fiduciary Duty</w:t>
            </w:r>
          </w:p>
        </w:tc>
        <w:tc>
          <w:tcPr>
            <w:tcW w:w="2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FF0000"/>
                <w:strike w:val="1"/>
              </w:rPr>
              <w:t>193</w:t>
            </w:r>
          </w:p>
        </w:tc>
        <w:tc>
          <w:tcPr>
            <w:tcW w:w="20" w:type="dxa"/>
            <w:vAlign w:val="bottom"/>
            <w:tcBorders>
              <w:top w:val="single" w:sz="8" w:color="0000FF"/>
            </w:tcBorders>
          </w:tcPr>
          <w:p>
            <w:pPr>
              <w:spacing w:after="0"/>
              <w:rPr>
                <w:sz w:val="16"/>
                <w:szCs w:val="16"/>
                <w:color w:val="auto"/>
              </w:rPr>
            </w:pPr>
          </w:p>
        </w:tc>
        <w:tc>
          <w:tcPr>
            <w:tcW w:w="24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6"/>
              </w:rPr>
              <w:t>200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5"/>
        </w:trPr>
        <w:tc>
          <w:tcPr>
            <w:tcW w:w="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13.22</w:t>
            </w:r>
          </w:p>
        </w:tc>
        <w:tc>
          <w:tcPr>
            <w:tcW w:w="6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Acknowledg</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78"/>
              </w:rPr>
              <w:t>e</w:t>
            </w:r>
          </w:p>
        </w:tc>
        <w:tc>
          <w:tcPr>
            <w:tcW w:w="218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ment and Consent to Bail-In of</w:t>
            </w:r>
          </w:p>
        </w:tc>
        <w:tc>
          <w:tcPr>
            <w:tcW w:w="34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96"/>
              </w:rPr>
              <w:t>EEA</w:t>
            </w:r>
          </w:p>
        </w:tc>
        <w:tc>
          <w:tcPr>
            <w:tcW w:w="21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 xml:space="preserve">Affected </w:t>
            </w:r>
            <w:r>
              <w:rPr>
                <w:rFonts w:ascii="Times New Roman" w:cs="Times New Roman" w:eastAsia="Times New Roman" w:hAnsi="Times New Roman"/>
                <w:sz w:val="17"/>
                <w:szCs w:val="17"/>
                <w:color w:val="000000"/>
              </w:rPr>
              <w:t>Financial Institutions</w:t>
            </w:r>
          </w:p>
        </w:tc>
      </w:tr>
      <w:tr>
        <w:trPr>
          <w:trHeight w:val="195"/>
        </w:trPr>
        <w:tc>
          <w:tcPr>
            <w:tcW w:w="260" w:type="dxa"/>
            <w:vAlign w:val="bottom"/>
          </w:tcPr>
          <w:p>
            <w:pPr>
              <w:spacing w:after="0"/>
              <w:rPr>
                <w:sz w:val="20"/>
                <w:szCs w:val="20"/>
                <w:color w:val="auto"/>
              </w:rPr>
            </w:pPr>
            <w:r>
              <w:rPr>
                <w:rFonts w:ascii="Times New Roman" w:cs="Times New Roman" w:eastAsia="Times New Roman" w:hAnsi="Times New Roman"/>
                <w:sz w:val="17"/>
                <w:szCs w:val="17"/>
                <w:color w:val="FF0000"/>
                <w:strike w:val="1"/>
                <w:w w:val="93"/>
              </w:rPr>
              <w:t>194</w:t>
            </w:r>
          </w:p>
        </w:tc>
        <w:tc>
          <w:tcPr>
            <w:tcW w:w="2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200</w:t>
            </w:r>
          </w:p>
        </w:tc>
        <w:tc>
          <w:tcPr>
            <w:tcW w:w="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r>
      <w:tr>
        <w:trPr>
          <w:trHeight w:val="174"/>
        </w:trPr>
        <w:tc>
          <w:tcPr>
            <w:tcW w:w="520" w:type="dxa"/>
            <w:vAlign w:val="bottom"/>
            <w:gridSpan w:val="2"/>
          </w:tcPr>
          <w:p>
            <w:pPr>
              <w:spacing w:after="0" w:line="174" w:lineRule="exact"/>
              <w:rPr>
                <w:sz w:val="20"/>
                <w:szCs w:val="20"/>
                <w:color w:val="auto"/>
              </w:rPr>
            </w:pPr>
            <w:r>
              <w:rPr>
                <w:rFonts w:ascii="Times New Roman" w:cs="Times New Roman" w:eastAsia="Times New Roman" w:hAnsi="Times New Roman"/>
                <w:sz w:val="17"/>
                <w:szCs w:val="17"/>
                <w:color w:val="auto"/>
              </w:rPr>
              <w:t>13.23</w:t>
            </w:r>
          </w:p>
        </w:tc>
        <w:tc>
          <w:tcPr>
            <w:tcW w:w="60" w:type="dxa"/>
            <w:vAlign w:val="bottom"/>
          </w:tcPr>
          <w:p>
            <w:pPr>
              <w:spacing w:after="0"/>
              <w:rPr>
                <w:sz w:val="15"/>
                <w:szCs w:val="15"/>
                <w:color w:val="auto"/>
              </w:rPr>
            </w:pPr>
          </w:p>
        </w:tc>
        <w:tc>
          <w:tcPr>
            <w:tcW w:w="3900" w:type="dxa"/>
            <w:vAlign w:val="bottom"/>
            <w:gridSpan w:val="25"/>
          </w:tcPr>
          <w:p>
            <w:pPr>
              <w:spacing w:after="0" w:line="174" w:lineRule="exact"/>
              <w:rPr>
                <w:sz w:val="20"/>
                <w:szCs w:val="20"/>
                <w:color w:val="auto"/>
              </w:rPr>
            </w:pPr>
            <w:r>
              <w:rPr>
                <w:rFonts w:ascii="Times New Roman" w:cs="Times New Roman" w:eastAsia="Times New Roman" w:hAnsi="Times New Roman"/>
                <w:sz w:val="17"/>
                <w:szCs w:val="17"/>
                <w:color w:val="auto"/>
              </w:rPr>
              <w:t>Acknowledgement Regarding Any Supported QFCs</w:t>
            </w:r>
          </w:p>
        </w:tc>
        <w:tc>
          <w:tcPr>
            <w:tcW w:w="260" w:type="dxa"/>
            <w:vAlign w:val="bottom"/>
            <w:gridSpan w:val="2"/>
          </w:tcPr>
          <w:p>
            <w:pPr>
              <w:jc w:val="right"/>
              <w:spacing w:after="0" w:line="174" w:lineRule="exact"/>
              <w:rPr>
                <w:sz w:val="20"/>
                <w:szCs w:val="20"/>
                <w:color w:val="auto"/>
              </w:rPr>
            </w:pPr>
            <w:r>
              <w:rPr>
                <w:rFonts w:ascii="Times New Roman" w:cs="Times New Roman" w:eastAsia="Times New Roman" w:hAnsi="Times New Roman"/>
                <w:sz w:val="17"/>
                <w:szCs w:val="17"/>
                <w:color w:val="FF0000"/>
                <w:strike w:val="1"/>
                <w:w w:val="93"/>
              </w:rPr>
              <w:t>194</w:t>
            </w:r>
          </w:p>
        </w:tc>
        <w:tc>
          <w:tcPr>
            <w:tcW w:w="1420" w:type="dxa"/>
            <w:vAlign w:val="bottom"/>
            <w:gridSpan w:val="2"/>
          </w:tcPr>
          <w:p>
            <w:pPr>
              <w:jc w:val="right"/>
              <w:ind w:right="1160"/>
              <w:spacing w:after="0" w:line="174" w:lineRule="exact"/>
              <w:rPr>
                <w:sz w:val="20"/>
                <w:szCs w:val="20"/>
                <w:color w:val="auto"/>
              </w:rPr>
            </w:pPr>
            <w:r>
              <w:rPr>
                <w:rFonts w:ascii="Times New Roman" w:cs="Times New Roman" w:eastAsia="Times New Roman" w:hAnsi="Times New Roman"/>
                <w:sz w:val="17"/>
                <w:szCs w:val="17"/>
                <w:color w:val="0000FF"/>
                <w:w w:val="93"/>
              </w:rPr>
              <w:t>201</w:t>
            </w: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893" w:right="1440" w:bottom="1440" w:gutter="0" w:footer="0" w:header="0"/>
        </w:sectPr>
      </w:pPr>
    </w:p>
    <w:bookmarkStart w:id="75" w:name="page76"/>
    <w:bookmarkEnd w:id="75"/>
    <w:p>
      <w:pPr>
        <w:ind w:left="1140"/>
        <w:spacing w:after="0"/>
        <w:rPr>
          <w:sz w:val="20"/>
          <w:szCs w:val="20"/>
          <w:color w:val="auto"/>
        </w:rPr>
      </w:pPr>
      <w:r>
        <w:rPr>
          <w:rFonts w:ascii="Times New Roman" w:cs="Times New Roman" w:eastAsia="Times New Roman" w:hAnsi="Times New Roman"/>
          <w:sz w:val="14"/>
          <w:szCs w:val="14"/>
          <w:u w:val="single" w:color="auto"/>
          <w:color w:val="auto"/>
        </w:rPr>
        <w:t>SCHEDULES</w:t>
      </w:r>
    </w:p>
    <w:p>
      <w:pPr>
        <w:spacing w:after="0" w:line="183"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Schedule 1.1</w:t>
        <w:tab/>
        <w:t>Commitments of Lenders</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8.13 Subsidiaries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8.15 Environmental</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8.16 Mortgaged Properties</w:t>
      </w:r>
    </w:p>
    <w:p>
      <w:pPr>
        <w:spacing w:after="0" w:line="8"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Schedule 9.14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Closing Actions</w:t>
      </w:r>
    </w:p>
    <w:p>
      <w:pPr>
        <w:spacing w:after="0" w:line="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10.1 Closing Date Indebtedness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10.2 Closing Date Liens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10.5 Closing Date Investments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Schedule 13.2 Notice Addresses</w:t>
      </w:r>
    </w:p>
    <w:p>
      <w:pPr>
        <w:spacing w:after="0" w:line="1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EXHIBITS</w:t>
      </w:r>
    </w:p>
    <w:p>
      <w:pPr>
        <w:spacing w:after="0" w:line="183"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Exhibit A</w:t>
      </w:r>
      <w:r>
        <w:rPr>
          <w:sz w:val="20"/>
          <w:szCs w:val="20"/>
          <w:color w:val="auto"/>
        </w:rPr>
        <w:tab/>
      </w:r>
      <w:r>
        <w:rPr>
          <w:rFonts w:ascii="Times New Roman" w:cs="Times New Roman" w:eastAsia="Times New Roman" w:hAnsi="Times New Roman"/>
          <w:sz w:val="14"/>
          <w:szCs w:val="14"/>
          <w:color w:val="auto"/>
        </w:rPr>
        <w:t>Form of Joinder Agreement</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Exhibit B Form of Guarantee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Exhibit C Form of Pledge Agreement</w:t>
      </w:r>
    </w:p>
    <w:p>
      <w:pPr>
        <w:spacing w:after="0" w:line="11"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Exhibit D</w:t>
      </w:r>
      <w:r>
        <w:rPr>
          <w:sz w:val="20"/>
          <w:szCs w:val="20"/>
          <w:color w:val="auto"/>
        </w:rPr>
        <w:tab/>
      </w:r>
      <w:r>
        <w:rPr>
          <w:rFonts w:ascii="Times New Roman" w:cs="Times New Roman" w:eastAsia="Times New Roman" w:hAnsi="Times New Roman"/>
          <w:sz w:val="14"/>
          <w:szCs w:val="14"/>
          <w:color w:val="auto"/>
        </w:rPr>
        <w:t>Form of Security Agreement</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Exhibit E Form of Credit Party Closing Certificate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Exhibit F Form of Assignment and Acceptance</w:t>
      </w:r>
    </w:p>
    <w:p>
      <w:pPr>
        <w:spacing w:after="0" w:line="11" w:lineRule="exact"/>
        <w:rPr>
          <w:sz w:val="20"/>
          <w:szCs w:val="20"/>
          <w:color w:val="auto"/>
        </w:rPr>
      </w:pPr>
    </w:p>
    <w:p>
      <w:pPr>
        <w:ind w:left="2000" w:right="1499" w:hanging="1548"/>
        <w:spacing w:after="0" w:line="256" w:lineRule="auto"/>
        <w:tabs>
          <w:tab w:leader="none" w:pos="1980" w:val="left"/>
        </w:tabs>
        <w:rPr>
          <w:sz w:val="20"/>
          <w:szCs w:val="20"/>
          <w:color w:val="auto"/>
        </w:rPr>
      </w:pPr>
      <w:r>
        <w:rPr>
          <w:rFonts w:ascii="Times New Roman" w:cs="Times New Roman" w:eastAsia="Times New Roman" w:hAnsi="Times New Roman"/>
          <w:sz w:val="14"/>
          <w:szCs w:val="14"/>
          <w:color w:val="auto"/>
        </w:rPr>
        <w:t>Exhibit G-1</w:t>
        <w:tab/>
        <w:t>Form of Promissory Note (Tranche B</w:t>
      </w:r>
      <w:r>
        <w:rPr>
          <w:rFonts w:ascii="Times New Roman" w:cs="Times New Roman" w:eastAsia="Times New Roman" w:hAnsi="Times New Roman"/>
          <w:sz w:val="14"/>
          <w:szCs w:val="14"/>
          <w:color w:val="FF0000"/>
          <w:strike w:val="1"/>
        </w:rPr>
        <w:t>-1 Term Loans,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and New Term Loans)</w:t>
      </w:r>
    </w:p>
    <w:p>
      <w:pPr>
        <w:spacing w:after="0" w:line="1"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Exhibit G-2</w:t>
        <w:tab/>
        <w:t>Form of Promissory Note (Revolving Credit Loans)</w:t>
      </w:r>
    </w:p>
    <w:p>
      <w:pPr>
        <w:spacing w:after="0" w:line="11" w:lineRule="exact"/>
        <w:rPr>
          <w:sz w:val="20"/>
          <w:szCs w:val="20"/>
          <w:color w:val="auto"/>
        </w:rPr>
      </w:pPr>
    </w:p>
    <w:p>
      <w:pPr>
        <w:ind w:left="1140"/>
        <w:spacing w:after="0" w:line="161" w:lineRule="exact"/>
        <w:tabs>
          <w:tab w:leader="none" w:pos="1980" w:val="left"/>
        </w:tabs>
        <w:rPr>
          <w:sz w:val="20"/>
          <w:szCs w:val="20"/>
          <w:color w:val="auto"/>
        </w:rPr>
      </w:pPr>
      <w:r>
        <w:rPr>
          <w:rFonts w:ascii="Times New Roman" w:cs="Times New Roman" w:eastAsia="Times New Roman" w:hAnsi="Times New Roman"/>
          <w:sz w:val="14"/>
          <w:szCs w:val="14"/>
          <w:color w:val="auto"/>
        </w:rPr>
        <w:t>Exhibit 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w:t>
        <w:tab/>
        <w:t>Form of First Lien Intercreditor Agreement</w:t>
      </w:r>
    </w:p>
    <w:p>
      <w:pPr>
        <w:spacing w:after="0" w:line="14" w:lineRule="exact"/>
        <w:rPr>
          <w:sz w:val="20"/>
          <w:szCs w:val="20"/>
          <w:color w:val="auto"/>
        </w:rPr>
      </w:pPr>
    </w:p>
    <w:p>
      <w:pPr>
        <w:ind w:left="1140"/>
        <w:spacing w:after="0" w:line="161" w:lineRule="exact"/>
        <w:tabs>
          <w:tab w:leader="none" w:pos="1980" w:val="left"/>
        </w:tabs>
        <w:rPr>
          <w:sz w:val="20"/>
          <w:szCs w:val="20"/>
          <w:color w:val="auto"/>
        </w:rPr>
      </w:pPr>
      <w:r>
        <w:rPr>
          <w:rFonts w:ascii="Times New Roman" w:cs="Times New Roman" w:eastAsia="Times New Roman" w:hAnsi="Times New Roman"/>
          <w:sz w:val="14"/>
          <w:szCs w:val="14"/>
          <w:color w:val="auto"/>
        </w:rPr>
        <w:t>Exhibit 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w:t>
        <w:tab/>
        <w:t>Form of Second Lien Intercreditor Agreement</w:t>
      </w:r>
    </w:p>
    <w:p>
      <w:pPr>
        <w:spacing w:after="0" w:line="6" w:lineRule="exact"/>
        <w:rPr>
          <w:sz w:val="20"/>
          <w:szCs w:val="20"/>
          <w:color w:val="auto"/>
        </w:rPr>
      </w:pPr>
    </w:p>
    <w:p>
      <w:pPr>
        <w:ind w:left="1140"/>
        <w:spacing w:after="0" w:line="161" w:lineRule="exact"/>
        <w:tabs>
          <w:tab w:leader="none" w:pos="1980" w:val="left"/>
        </w:tabs>
        <w:rPr>
          <w:sz w:val="20"/>
          <w:szCs w:val="20"/>
          <w:color w:val="auto"/>
        </w:rPr>
      </w:pPr>
      <w:r>
        <w:rPr>
          <w:rFonts w:ascii="Times New Roman" w:cs="Times New Roman" w:eastAsia="Times New Roman" w:hAnsi="Times New Roman"/>
          <w:sz w:val="14"/>
          <w:szCs w:val="14"/>
          <w:color w:val="auto"/>
        </w:rPr>
        <w:t>Exhibit 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w:t>
        <w:tab/>
        <w:t>Form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Bank Tax Certificate (For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Lenders That Are Not Partnerships For U.S.</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Federal Income Tax Purposes)</w:t>
      </w:r>
    </w:p>
    <w:p>
      <w:pPr>
        <w:spacing w:after="0" w:line="6" w:lineRule="exact"/>
        <w:rPr>
          <w:sz w:val="20"/>
          <w:szCs w:val="20"/>
          <w:color w:val="auto"/>
        </w:rPr>
      </w:pPr>
    </w:p>
    <w:p>
      <w:pPr>
        <w:ind w:left="1140"/>
        <w:spacing w:after="0" w:line="161" w:lineRule="exact"/>
        <w:tabs>
          <w:tab w:leader="none" w:pos="1980" w:val="left"/>
        </w:tabs>
        <w:rPr>
          <w:sz w:val="20"/>
          <w:szCs w:val="20"/>
          <w:color w:val="auto"/>
        </w:rPr>
      </w:pPr>
      <w:r>
        <w:rPr>
          <w:rFonts w:ascii="Times New Roman" w:cs="Times New Roman" w:eastAsia="Times New Roman" w:hAnsi="Times New Roman"/>
          <w:sz w:val="14"/>
          <w:szCs w:val="14"/>
          <w:color w:val="auto"/>
        </w:rPr>
        <w:t>Exhibit 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w:t>
        <w:tab/>
        <w:t>Form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Bank Tax Certificate (For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Participants That Are Partnerships For U.S.</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Federal Income Tax Purposes)</w:t>
      </w:r>
    </w:p>
    <w:p>
      <w:pPr>
        <w:spacing w:after="0" w:line="6" w:lineRule="exact"/>
        <w:rPr>
          <w:sz w:val="20"/>
          <w:szCs w:val="20"/>
          <w:color w:val="auto"/>
        </w:rPr>
      </w:pPr>
    </w:p>
    <w:p>
      <w:pPr>
        <w:ind w:left="1140"/>
        <w:spacing w:after="0" w:line="161" w:lineRule="exact"/>
        <w:tabs>
          <w:tab w:leader="none" w:pos="1980" w:val="left"/>
        </w:tabs>
        <w:rPr>
          <w:sz w:val="20"/>
          <w:szCs w:val="20"/>
          <w:color w:val="auto"/>
        </w:rPr>
      </w:pPr>
      <w:r>
        <w:rPr>
          <w:rFonts w:ascii="Times New Roman" w:cs="Times New Roman" w:eastAsia="Times New Roman" w:hAnsi="Times New Roman"/>
          <w:sz w:val="14"/>
          <w:szCs w:val="14"/>
          <w:color w:val="auto"/>
        </w:rPr>
        <w:t>Exhibit 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3</w:t>
        <w:tab/>
        <w:t>Form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Bank Tax Certificate (For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Participants That Are Not Partnerships For U.S.</w:t>
      </w:r>
    </w:p>
    <w:p>
      <w:pPr>
        <w:spacing w:after="0" w:line="1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4"/>
          <w:szCs w:val="14"/>
          <w:color w:val="auto"/>
        </w:rPr>
        <w:t>Federal Income Tax Purposes)</w:t>
      </w:r>
    </w:p>
    <w:p>
      <w:pPr>
        <w:spacing w:after="0" w:line="6" w:lineRule="exact"/>
        <w:rPr>
          <w:sz w:val="20"/>
          <w:szCs w:val="20"/>
          <w:color w:val="auto"/>
        </w:rPr>
      </w:pPr>
    </w:p>
    <w:p>
      <w:pPr>
        <w:ind w:left="2000" w:right="1359" w:hanging="1548"/>
        <w:spacing w:after="0" w:line="174" w:lineRule="exact"/>
        <w:tabs>
          <w:tab w:leader="none" w:pos="1980" w:val="left"/>
        </w:tabs>
        <w:rPr>
          <w:sz w:val="20"/>
          <w:szCs w:val="20"/>
          <w:color w:val="auto"/>
        </w:rPr>
      </w:pPr>
      <w:r>
        <w:rPr>
          <w:rFonts w:ascii="Times New Roman" w:cs="Times New Roman" w:eastAsia="Times New Roman" w:hAnsi="Times New Roman"/>
          <w:sz w:val="14"/>
          <w:szCs w:val="14"/>
          <w:color w:val="auto"/>
        </w:rPr>
        <w:t>Exhibit 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4</w:t>
        <w:tab/>
        <w:t>Form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Bank Tax Certificate (For Non-U.S. Lenders That Are Partnerships For U.S. Federal Income Tax Purposes)</w:t>
      </w:r>
    </w:p>
    <w:p>
      <w:pPr>
        <w:spacing w:after="0" w:line="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Exhibit J Form of Notice of Borrowing or Continuation or Conversion</w:t>
      </w:r>
    </w:p>
    <w:p>
      <w:pPr>
        <w:spacing w:after="0" w:line="11"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Exhibit K</w:t>
      </w:r>
      <w:r>
        <w:rPr>
          <w:sz w:val="20"/>
          <w:szCs w:val="20"/>
          <w:color w:val="auto"/>
        </w:rPr>
        <w:tab/>
      </w:r>
      <w:r>
        <w:rPr>
          <w:rFonts w:ascii="Times New Roman" w:cs="Times New Roman" w:eastAsia="Times New Roman" w:hAnsi="Times New Roman"/>
          <w:sz w:val="14"/>
          <w:szCs w:val="14"/>
          <w:color w:val="auto"/>
        </w:rPr>
        <w:t>Form of Letter of Credit Request</w:t>
      </w:r>
    </w:p>
    <w:p>
      <w:pPr>
        <w:spacing w:after="0" w:line="11"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Exhibit L-1</w:t>
        <w:tab/>
        <w:t>Form of Hedge Bank Designation</w:t>
      </w:r>
    </w:p>
    <w:p>
      <w:pPr>
        <w:spacing w:after="0" w:line="11" w:lineRule="exact"/>
        <w:rPr>
          <w:sz w:val="20"/>
          <w:szCs w:val="20"/>
          <w:color w:val="auto"/>
        </w:rPr>
      </w:pPr>
    </w:p>
    <w:p>
      <w:pPr>
        <w:ind w:left="1140"/>
        <w:spacing w:after="0"/>
        <w:tabs>
          <w:tab w:leader="none" w:pos="1980" w:val="left"/>
        </w:tabs>
        <w:rPr>
          <w:sz w:val="20"/>
          <w:szCs w:val="20"/>
          <w:color w:val="auto"/>
        </w:rPr>
      </w:pPr>
      <w:r>
        <w:rPr>
          <w:rFonts w:ascii="Times New Roman" w:cs="Times New Roman" w:eastAsia="Times New Roman" w:hAnsi="Times New Roman"/>
          <w:sz w:val="14"/>
          <w:szCs w:val="14"/>
          <w:color w:val="auto"/>
        </w:rPr>
        <w:t>Exhibit L-2</w:t>
        <w:tab/>
        <w:t>Form of Cash Management Bank Designation</w:t>
      </w:r>
    </w:p>
    <w:p>
      <w:pPr>
        <w:spacing w:after="0" w:line="2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30"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4"/>
          <w:szCs w:val="14"/>
          <w:b w:val="1"/>
          <w:bCs w:val="1"/>
          <w:color w:val="auto"/>
        </w:rPr>
        <w:t>FIRST LIEN CREDIT AGREEMENT</w:t>
      </w:r>
    </w:p>
    <w:p>
      <w:pPr>
        <w:spacing w:after="0" w:line="185" w:lineRule="exact"/>
        <w:rPr>
          <w:sz w:val="20"/>
          <w:szCs w:val="20"/>
          <w:color w:val="auto"/>
        </w:rPr>
      </w:pPr>
    </w:p>
    <w:p>
      <w:pPr>
        <w:ind w:left="1140" w:right="1279" w:firstLine="1033"/>
        <w:spacing w:after="0" w:line="264" w:lineRule="auto"/>
        <w:rPr>
          <w:sz w:val="20"/>
          <w:szCs w:val="20"/>
          <w:color w:val="auto"/>
        </w:rPr>
      </w:pPr>
      <w:r>
        <w:rPr>
          <w:rFonts w:ascii="Times New Roman" w:cs="Times New Roman" w:eastAsia="Times New Roman" w:hAnsi="Times New Roman"/>
          <w:sz w:val="14"/>
          <w:szCs w:val="14"/>
          <w:color w:val="auto"/>
        </w:rPr>
        <w:t>First Lien Credit Agreement, dated as of March 5, 2019, among Phoenix Intermediate Holdings Inc. (“</w:t>
      </w:r>
      <w:r>
        <w:rPr>
          <w:rFonts w:ascii="Times New Roman" w:cs="Times New Roman" w:eastAsia="Times New Roman" w:hAnsi="Times New Roman"/>
          <w:sz w:val="14"/>
          <w:szCs w:val="14"/>
          <w:b w:val="1"/>
          <w:bCs w:val="1"/>
          <w:color w:val="auto"/>
        </w:rPr>
        <w:t>Holdings</w:t>
      </w:r>
      <w:r>
        <w:rPr>
          <w:rFonts w:ascii="Times New Roman" w:cs="Times New Roman" w:eastAsia="Times New Roman" w:hAnsi="Times New Roman"/>
          <w:sz w:val="14"/>
          <w:szCs w:val="14"/>
          <w:color w:val="auto"/>
        </w:rPr>
        <w:t>”), Phoenix Guarantor Inc., a Wholly-Owned Subsidiary of Holdings (“</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the several lenders from time to time parties hereto (each a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Lenders</w:t>
      </w:r>
      <w:r>
        <w:rPr>
          <w:rFonts w:ascii="Times New Roman" w:cs="Times New Roman" w:eastAsia="Times New Roman" w:hAnsi="Times New Roman"/>
          <w:sz w:val="14"/>
          <w:szCs w:val="14"/>
          <w:color w:val="auto"/>
        </w:rPr>
        <w:t xml:space="preserve">”), the Letter of Credit Issuers from time to time parties hereto and Morgan Stanley Senior Funding, Inc., as the Administrative Agent and the Collateral Agent (such terms and each other capitalized term used but not defined in this preamble and the recitals having the meaning provided in </w:t>
      </w:r>
      <w:r>
        <w:rPr>
          <w:rFonts w:ascii="Times New Roman" w:cs="Times New Roman" w:eastAsia="Times New Roman" w:hAnsi="Times New Roman"/>
          <w:sz w:val="14"/>
          <w:szCs w:val="14"/>
          <w:u w:val="single" w:color="auto"/>
          <w:color w:val="auto"/>
        </w:rPr>
        <w:t>Section 1</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WHEREAS, pursuant to that certain Agreement and Plan of Merger, dated as of December 10,</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2018 (the “</w:t>
      </w:r>
      <w:r>
        <w:rPr>
          <w:rFonts w:ascii="Times New Roman" w:cs="Times New Roman" w:eastAsia="Times New Roman" w:hAnsi="Times New Roman"/>
          <w:sz w:val="14"/>
          <w:szCs w:val="14"/>
          <w:b w:val="1"/>
          <w:bCs w:val="1"/>
          <w:color w:val="auto"/>
        </w:rPr>
        <w:t>Acquisition Agreement</w:t>
      </w:r>
      <w:r>
        <w:rPr>
          <w:rFonts w:ascii="Times New Roman" w:cs="Times New Roman" w:eastAsia="Times New Roman" w:hAnsi="Times New Roman"/>
          <w:sz w:val="14"/>
          <w:szCs w:val="14"/>
          <w:color w:val="auto"/>
        </w:rPr>
        <w:t>”), by and among Phoenix Parent Holdings Inc., Cardinal Merger Sub Inc.</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Onex Rescare Holdings Corp. (the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and Onex Partners GP Inc. (the “</w:t>
      </w:r>
      <w:r>
        <w:rPr>
          <w:rFonts w:ascii="Times New Roman" w:cs="Times New Roman" w:eastAsia="Times New Roman" w:hAnsi="Times New Roman"/>
          <w:sz w:val="14"/>
          <w:szCs w:val="14"/>
          <w:b w:val="1"/>
          <w:bCs w:val="1"/>
          <w:color w:val="auto"/>
        </w:rPr>
        <w:t>Equityholder</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b w:val="1"/>
          <w:bCs w:val="1"/>
          <w:color w:val="auto"/>
        </w:rPr>
        <w:t>Representative</w:t>
      </w:r>
      <w:r>
        <w:rPr>
          <w:rFonts w:ascii="Times New Roman" w:cs="Times New Roman" w:eastAsia="Times New Roman" w:hAnsi="Times New Roman"/>
          <w:sz w:val="14"/>
          <w:szCs w:val="14"/>
          <w:color w:val="auto"/>
        </w:rPr>
        <w:t>”), Phoenix Parent Holdings Inc., will acquire, directly or indirectly, the outstanding equity interests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of the Company (together with the other related transactions contemplated in the Acquisition Agreement to occur on</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date of or substantially contemporaneously with the foregoing, the “</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w:t>
      </w:r>
    </w:p>
    <w:p>
      <w:pPr>
        <w:spacing w:after="0" w:line="170" w:lineRule="exact"/>
        <w:rPr>
          <w:sz w:val="20"/>
          <w:szCs w:val="20"/>
          <w:color w:val="auto"/>
        </w:rPr>
      </w:pPr>
    </w:p>
    <w:p>
      <w:pPr>
        <w:ind w:left="1140" w:right="1359" w:firstLine="1033"/>
        <w:spacing w:after="0" w:line="293" w:lineRule="auto"/>
        <w:rPr>
          <w:sz w:val="20"/>
          <w:szCs w:val="20"/>
          <w:color w:val="auto"/>
        </w:rPr>
      </w:pPr>
      <w:r>
        <w:rPr>
          <w:rFonts w:ascii="Times New Roman" w:cs="Times New Roman" w:eastAsia="Times New Roman" w:hAnsi="Times New Roman"/>
          <w:sz w:val="14"/>
          <w:szCs w:val="14"/>
          <w:color w:val="auto"/>
        </w:rPr>
        <w:t>WHEREAS, on the Closing Date, Merger Sub shall merge with and into the Company, with the Company surviving the merger and continuing as a wholly owned subsidiary of the Borrower;</w:t>
      </w:r>
    </w:p>
    <w:p>
      <w:pPr>
        <w:spacing w:after="0" w:line="123" w:lineRule="exact"/>
        <w:rPr>
          <w:sz w:val="20"/>
          <w:szCs w:val="20"/>
          <w:color w:val="auto"/>
        </w:rPr>
      </w:pPr>
    </w:p>
    <w:p>
      <w:pPr>
        <w:ind w:left="1140" w:right="1179" w:firstLine="1033"/>
        <w:spacing w:after="0" w:line="265" w:lineRule="auto"/>
        <w:rPr>
          <w:sz w:val="20"/>
          <w:szCs w:val="20"/>
          <w:color w:val="auto"/>
        </w:rPr>
      </w:pPr>
      <w:r>
        <w:rPr>
          <w:rFonts w:ascii="Times New Roman" w:cs="Times New Roman" w:eastAsia="Times New Roman" w:hAnsi="Times New Roman"/>
          <w:sz w:val="14"/>
          <w:szCs w:val="14"/>
          <w:color w:val="auto"/>
        </w:rPr>
        <w:t>WHEREAS, it is intended that the Investor Group will directly or indirectly contribute an amount in cash to Phoenix Parent Holdings Inc. (such contributions, the “</w:t>
      </w:r>
      <w:r>
        <w:rPr>
          <w:rFonts w:ascii="Times New Roman" w:cs="Times New Roman" w:eastAsia="Times New Roman" w:hAnsi="Times New Roman"/>
          <w:sz w:val="14"/>
          <w:szCs w:val="14"/>
          <w:b w:val="1"/>
          <w:bCs w:val="1"/>
          <w:color w:val="auto"/>
        </w:rPr>
        <w:t>Equity Investments</w:t>
      </w:r>
      <w:r>
        <w:rPr>
          <w:rFonts w:ascii="Times New Roman" w:cs="Times New Roman" w:eastAsia="Times New Roman" w:hAnsi="Times New Roman"/>
          <w:sz w:val="14"/>
          <w:szCs w:val="14"/>
          <w:color w:val="auto"/>
        </w:rPr>
        <w:t xml:space="preserve">”), in an aggregate amount equal to at least $250,000,000;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KKR shall directly or indirectly own at least 50.1% of the Voting Stock of the Company immediately following the consummation of the Transactions (collectively, the “</w:t>
      </w:r>
      <w:r>
        <w:rPr>
          <w:rFonts w:ascii="Times New Roman" w:cs="Times New Roman" w:eastAsia="Times New Roman" w:hAnsi="Times New Roman"/>
          <w:sz w:val="14"/>
          <w:szCs w:val="14"/>
          <w:b w:val="1"/>
          <w:bCs w:val="1"/>
          <w:color w:val="auto"/>
        </w:rPr>
        <w:t>Minimum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1140" w:right="1199" w:firstLine="1033"/>
        <w:spacing w:after="0" w:line="275" w:lineRule="auto"/>
        <w:rPr>
          <w:sz w:val="20"/>
          <w:szCs w:val="20"/>
          <w:color w:val="auto"/>
        </w:rPr>
      </w:pPr>
      <w:r>
        <w:rPr>
          <w:rFonts w:ascii="Times New Roman" w:cs="Times New Roman" w:eastAsia="Times New Roman" w:hAnsi="Times New Roman"/>
          <w:sz w:val="14"/>
          <w:szCs w:val="14"/>
          <w:color w:val="auto"/>
        </w:rPr>
        <w:t>WHEREAS, it is intended that the Borrower will incur the Second Lien Loans pursuant to the Second Lien Credit Documents on the Closing Date in an aggregate principal amount of $450,000,000 (the “</w:t>
      </w:r>
      <w:r>
        <w:rPr>
          <w:rFonts w:ascii="Times New Roman" w:cs="Times New Roman" w:eastAsia="Times New Roman" w:hAnsi="Times New Roman"/>
          <w:sz w:val="14"/>
          <w:szCs w:val="14"/>
          <w:b w:val="1"/>
          <w:bCs w:val="1"/>
          <w:color w:val="auto"/>
        </w:rPr>
        <w:t>Second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Lien Facility</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140" w:right="1219" w:firstLine="1033"/>
        <w:spacing w:after="0" w:line="259" w:lineRule="auto"/>
        <w:rPr>
          <w:sz w:val="20"/>
          <w:szCs w:val="20"/>
          <w:color w:val="auto"/>
        </w:rPr>
      </w:pPr>
      <w:r>
        <w:rPr>
          <w:rFonts w:ascii="Times New Roman" w:cs="Times New Roman" w:eastAsia="Times New Roman" w:hAnsi="Times New Roman"/>
          <w:sz w:val="14"/>
          <w:szCs w:val="14"/>
          <w:color w:val="auto"/>
        </w:rPr>
        <w:t>WHEREAS, in connection with the foregoing, the Borrower has requested that (i) the Lender extend credit in the form of Initial Term Loans to the Borrower, in an aggregate principal amount of $1,800,000,000 comprised of (x) Initial Term Loans made available to the Borrower on the Closing Date in an aggregate principal amount of $1,650,000,000 and (y) the Delayed Draw Term Loans made available to the Borrower after the Closing Date and at any time and from time to time on or prior to the Delayed Draw Term Loan Commitment Termination Date, in an aggregate principal amount of $150,000,000 (the “</w:t>
      </w:r>
      <w:r>
        <w:rPr>
          <w:rFonts w:ascii="Times New Roman" w:cs="Times New Roman" w:eastAsia="Times New Roman" w:hAnsi="Times New Roman"/>
          <w:sz w:val="14"/>
          <w:szCs w:val="14"/>
          <w:b w:val="1"/>
          <w:bCs w:val="1"/>
          <w:i w:val="1"/>
          <w:iCs w:val="1"/>
          <w:color w:val="auto"/>
        </w:rPr>
        <w:t>Delayed Draw First Lien Term Loan Facility</w:t>
      </w:r>
      <w:r>
        <w:rPr>
          <w:rFonts w:ascii="Times New Roman" w:cs="Times New Roman" w:eastAsia="Times New Roman" w:hAnsi="Times New Roman"/>
          <w:sz w:val="14"/>
          <w:szCs w:val="14"/>
          <w:color w:val="auto"/>
        </w:rPr>
        <w:t>”), (ii) the Lenders extend credit in the form of Revolving Credit Loans made available to the Borrower at any time and from time to time prior to the Revolving Credit Maturity Date, in an aggregate principal amount at any time outstanding not in excess of $187,500,000 less the aggregate Letters of Credit Outstanding and Swingline Loans outstanding at such time, (iii) the Revolving Letter of Credit Issuer issue standby Revolving Letters of Credit at any time and from time to time prior to the Revolving L/C Facility Maturity Date, in an aggregate Stated Amount at any time outstanding not in excess of $82,500,000 and (iv) the Swingline Lender issue Swingline Loans at any time and from time to time prior to the Revolving Credit Maturity Date, in an aggregated amount at any time outstanding not in excess of $50,000,000;</w:t>
      </w:r>
    </w:p>
    <w:p>
      <w:pPr>
        <w:spacing w:after="0" w:line="324" w:lineRule="exact"/>
        <w:rPr>
          <w:sz w:val="20"/>
          <w:szCs w:val="20"/>
          <w:color w:val="auto"/>
        </w:rPr>
      </w:pPr>
    </w:p>
    <w:p>
      <w:pPr>
        <w:ind w:left="1140" w:right="1279" w:firstLine="1033"/>
        <w:spacing w:after="0" w:line="264" w:lineRule="auto"/>
        <w:rPr>
          <w:sz w:val="20"/>
          <w:szCs w:val="20"/>
          <w:color w:val="auto"/>
        </w:rPr>
      </w:pPr>
      <w:r>
        <w:rPr>
          <w:rFonts w:ascii="Times New Roman" w:cs="Times New Roman" w:eastAsia="Times New Roman" w:hAnsi="Times New Roman"/>
          <w:sz w:val="14"/>
          <w:szCs w:val="14"/>
          <w:color w:val="auto"/>
        </w:rPr>
        <w:t>WHEREAS, on the Closing Date, the proceeds of the Initial Term Loans (other than the Delayed Draw Term Loans) will be used by the Borrower, together with (i) up to $20 million, in the aggregate, of (a) the proceeds of the borrowing of the Revolving Credit Facility to fund certain Transaction Expenses and (b) the proceeds of the borrowing of the Revolving Credit Facility (exclusive of Letter of Credit usage) to fund working capital, (ii) the proceeds of the Second Lien Facility, (iii) the proceeds of the Equity Investments and (iv) cash on hand, to effect the Acquisition, to consummate the Closing Date Refinancing and to pay Transaction Expenses;</w:t>
      </w:r>
    </w:p>
    <w:p>
      <w:pPr>
        <w:spacing w:after="0" w:line="143" w:lineRule="exact"/>
        <w:rPr>
          <w:sz w:val="20"/>
          <w:szCs w:val="20"/>
          <w:color w:val="auto"/>
        </w:rPr>
      </w:pPr>
    </w:p>
    <w:p>
      <w:pPr>
        <w:ind w:left="1140" w:right="1279" w:firstLine="1033"/>
        <w:spacing w:after="0" w:line="275" w:lineRule="auto"/>
        <w:rPr>
          <w:sz w:val="20"/>
          <w:szCs w:val="20"/>
          <w:color w:val="auto"/>
        </w:rPr>
      </w:pPr>
      <w:r>
        <w:rPr>
          <w:rFonts w:ascii="Times New Roman" w:cs="Times New Roman" w:eastAsia="Times New Roman" w:hAnsi="Times New Roman"/>
          <w:sz w:val="14"/>
          <w:szCs w:val="14"/>
          <w:color w:val="auto"/>
        </w:rPr>
        <w:t>WHEREAS, after the Closing Date, the proceeds of the Delayed Draw First Lien Term Loan Facility will be used by the Borrower and its Restricted Subsidiaries to finance one or more Permitted Acquisitions and for related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793115</wp:posOffset>
            </wp:positionV>
            <wp:extent cx="4288790" cy="3937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77" w:name="page78"/>
    <w:bookmarkEnd w:id="77"/>
    <w:p>
      <w:pPr>
        <w:ind w:left="1140" w:right="1179" w:firstLine="1033"/>
        <w:spacing w:after="0" w:line="275" w:lineRule="auto"/>
        <w:rPr>
          <w:sz w:val="20"/>
          <w:szCs w:val="20"/>
          <w:color w:val="auto"/>
        </w:rPr>
      </w:pPr>
      <w:r>
        <w:rPr>
          <w:rFonts w:ascii="Times New Roman" w:cs="Times New Roman" w:eastAsia="Times New Roman" w:hAnsi="Times New Roman"/>
          <w:sz w:val="14"/>
          <w:szCs w:val="14"/>
          <w:color w:val="auto"/>
        </w:rPr>
        <w:t>WHEREAS, the Borrower has requested that the 2020 Letter of Credit Issuer issue 2020 Letters of Credit at any time and from time to time prior to the 2020 L/C Facility Maturity Date, in an aggregate Stated Amount at any time outstanding not in excess of $55,000,000; and</w:t>
      </w:r>
    </w:p>
    <w:p>
      <w:pPr>
        <w:spacing w:after="0" w:line="135" w:lineRule="exact"/>
        <w:rPr>
          <w:sz w:val="20"/>
          <w:szCs w:val="20"/>
          <w:color w:val="auto"/>
        </w:rPr>
      </w:pPr>
    </w:p>
    <w:p>
      <w:pPr>
        <w:jc w:val="both"/>
        <w:ind w:left="1140" w:right="1339" w:firstLine="1033"/>
        <w:spacing w:after="0" w:line="275" w:lineRule="auto"/>
        <w:rPr>
          <w:sz w:val="20"/>
          <w:szCs w:val="20"/>
          <w:color w:val="auto"/>
        </w:rPr>
      </w:pPr>
      <w:r>
        <w:rPr>
          <w:rFonts w:ascii="Times New Roman" w:cs="Times New Roman" w:eastAsia="Times New Roman" w:hAnsi="Times New Roman"/>
          <w:sz w:val="14"/>
          <w:szCs w:val="14"/>
          <w:color w:val="auto"/>
        </w:rPr>
        <w:t>WHEREAS, the Lenders, the Revolving Letter of Credit Issuer, the 2020 Letter of Credit Issuer and the Swingline Lender are willing to make available to the Borrower such Credit Facilities upon the terms and subject to the conditions set forth herein.</w:t>
      </w:r>
    </w:p>
    <w:p>
      <w:pPr>
        <w:spacing w:after="0" w:line="135" w:lineRule="exact"/>
        <w:rPr>
          <w:sz w:val="20"/>
          <w:szCs w:val="20"/>
          <w:color w:val="auto"/>
        </w:rPr>
      </w:pPr>
    </w:p>
    <w:p>
      <w:pPr>
        <w:ind w:left="1140" w:right="1719" w:firstLine="1033"/>
        <w:spacing w:after="0" w:line="293" w:lineRule="auto"/>
        <w:rPr>
          <w:sz w:val="20"/>
          <w:szCs w:val="20"/>
          <w:color w:val="auto"/>
        </w:rPr>
      </w:pPr>
      <w:r>
        <w:rPr>
          <w:rFonts w:ascii="Times New Roman" w:cs="Times New Roman" w:eastAsia="Times New Roman" w:hAnsi="Times New Roman"/>
          <w:sz w:val="14"/>
          <w:szCs w:val="14"/>
          <w:color w:val="auto"/>
        </w:rPr>
        <w:t>NOW, THEREFORE, in consideration of the premises and the covenants and agreements contained herein, the parties hereto hereby agree as follows:</w:t>
      </w:r>
    </w:p>
    <w:p>
      <w:pPr>
        <w:spacing w:after="0" w:line="119"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1.</w:t>
      </w:r>
      <w:r>
        <w:rPr>
          <w:sz w:val="20"/>
          <w:szCs w:val="20"/>
          <w:color w:val="auto"/>
        </w:rPr>
        <w:tab/>
      </w:r>
      <w:r>
        <w:rPr>
          <w:rFonts w:ascii="Times New Roman" w:cs="Times New Roman" w:eastAsia="Times New Roman" w:hAnsi="Times New Roman"/>
          <w:sz w:val="14"/>
          <w:szCs w:val="14"/>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101028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4">
                      <a:extLst>
                        <a:ext uri="{28A0092B-C50C-407E-A947-70E740481C1C}"/>
                      </a:extLst>
                    </a:blip>
                    <a:srcRect/>
                    <a:stretch>
                      <a:fillRect/>
                    </a:stretch>
                  </pic:blipFill>
                  <pic:spPr bwMode="auto">
                    <a:xfrm>
                      <a:off x="0" y="0"/>
                      <a:ext cx="1010285" cy="6985"/>
                    </a:xfrm>
                    <a:prstGeom prst="rect">
                      <a:avLst/>
                    </a:prstGeom>
                    <a:noFill/>
                  </pic:spPr>
                </pic:pic>
              </a:graphicData>
            </a:graphic>
          </wp:anchor>
        </w:drawing>
      </w:r>
    </w:p>
    <w:p>
      <w:pPr>
        <w:spacing w:after="0" w:line="166"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1.1 Defined Terms</w:t>
      </w:r>
      <w:r>
        <w:rPr>
          <w:rFonts w:ascii="Times New Roman" w:cs="Times New Roman" w:eastAsia="Times New Roman" w:hAnsi="Times New Roman"/>
          <w:sz w:val="14"/>
          <w:szCs w:val="14"/>
          <w:color w:val="auto"/>
        </w:rPr>
        <w:t xml:space="preserve">. As used herein, the following terms shall have the meanings specified in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14"/>
          <w:szCs w:val="14"/>
          <w:color w:val="auto"/>
        </w:rPr>
        <w:t xml:space="preserve"> unless the context otherwise requires (it being understood that defined terms in this Agreement shall include in the singular number the plural and in the plural the singular):</w:t>
      </w:r>
    </w:p>
    <w:p>
      <w:pPr>
        <w:spacing w:after="0" w:line="133" w:lineRule="exact"/>
        <w:rPr>
          <w:sz w:val="20"/>
          <w:szCs w:val="20"/>
          <w:color w:val="auto"/>
        </w:rPr>
      </w:pPr>
    </w:p>
    <w:p>
      <w:pPr>
        <w:jc w:val="both"/>
        <w:ind w:left="1140" w:right="117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Additional Revolving Credit Lender</w:t>
      </w:r>
      <w:r>
        <w:rPr>
          <w:rFonts w:ascii="Times New Roman" w:cs="Times New Roman" w:eastAsia="Times New Roman" w:hAnsi="Times New Roman"/>
          <w:sz w:val="14"/>
          <w:szCs w:val="14"/>
          <w:color w:val="auto"/>
        </w:rPr>
        <w:t>” shall mean, at any time, any Lender that has a 2020 Letter of Credit Commitment at such time.</w:t>
      </w:r>
    </w:p>
    <w:p>
      <w:pPr>
        <w:spacing w:after="0" w:line="11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L/C Facility Maturity Date</w:t>
      </w:r>
      <w:r>
        <w:rPr>
          <w:rFonts w:ascii="Times New Roman" w:cs="Times New Roman" w:eastAsia="Times New Roman" w:hAnsi="Times New Roman"/>
          <w:sz w:val="14"/>
          <w:szCs w:val="14"/>
          <w:color w:val="auto"/>
        </w:rPr>
        <w:t xml:space="preserve">” shall mean </w:t>
      </w:r>
      <w:r>
        <w:rPr>
          <w:rFonts w:ascii="Times New Roman" w:cs="Times New Roman" w:eastAsia="Times New Roman" w:hAnsi="Times New Roman"/>
          <w:sz w:val="14"/>
          <w:szCs w:val="14"/>
          <w:color w:val="FF0000"/>
          <w:strike w:val="1"/>
        </w:rPr>
        <w:t>March 5</w:t>
      </w:r>
      <w:r>
        <w:rPr>
          <w:rFonts w:ascii="Times New Roman" w:cs="Times New Roman" w:eastAsia="Times New Roman" w:hAnsi="Times New Roman"/>
          <w:sz w:val="14"/>
          <w:szCs w:val="14"/>
          <w:u w:val="single" w:color="auto"/>
          <w:color w:val="0000FF"/>
        </w:rPr>
        <w:t>June 30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2024</w:t>
      </w:r>
      <w:r>
        <w:rPr>
          <w:rFonts w:ascii="Times New Roman" w:cs="Times New Roman" w:eastAsia="Times New Roman" w:hAnsi="Times New Roman"/>
          <w:sz w:val="14"/>
          <w:szCs w:val="14"/>
          <w:u w:val="single" w:color="auto"/>
          <w:color w:val="0000FF"/>
        </w:rPr>
        <w:t>2028</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L/C Fronting Fee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4.1(g)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3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L/C Obligations</w:t>
      </w:r>
      <w:r>
        <w:rPr>
          <w:rFonts w:ascii="Times New Roman" w:cs="Times New Roman" w:eastAsia="Times New Roman" w:hAnsi="Times New Roman"/>
          <w:sz w:val="14"/>
          <w:szCs w:val="14"/>
          <w:color w:val="auto"/>
        </w:rPr>
        <w:t xml:space="preserve">” shall mean, as at any date of determination, the aggregate amount available to be drawn under all outstanding 2020 Letters of Credit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aggregate of all 2020 Letter of Credit Unpaid Drawings. For all purposes of this Agreement, if on any date of determination a 2020 Letter of Credit has expired by its terms but any amount may still be drawn thereunder by reason of the operation of Rule 13.13 or Rule 3.14 of the International Standby Practices (ISP98), Article 29 of the Uniform Customs and Practice for Documentary Credits (UCP600), or similar terms expressed in the 2020 Letter of Credit, such 2020 Letter of Credit shall be deemed to be “outstanding” in the amount so remaining available to be drawn. Unless otherwise specified herein, the amount of a 2020 Letter of Credit at any time shall be deemed to be the Stated Amount of such 2020 Letter of Credit at such time.</w:t>
      </w:r>
    </w:p>
    <w:p>
      <w:pPr>
        <w:spacing w:after="0" w:line="14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w:t>
      </w:r>
      <w:r>
        <w:rPr>
          <w:rFonts w:ascii="Times New Roman" w:cs="Times New Roman" w:eastAsia="Times New Roman" w:hAnsi="Times New Roman"/>
          <w:sz w:val="14"/>
          <w:szCs w:val="14"/>
          <w:color w:val="auto"/>
        </w:rPr>
        <w:t xml:space="preserve">” shall mean each letter of credit issued pursuant to </w:t>
      </w:r>
      <w:r>
        <w:rPr>
          <w:rFonts w:ascii="Times New Roman" w:cs="Times New Roman" w:eastAsia="Times New Roman" w:hAnsi="Times New Roman"/>
          <w:sz w:val="14"/>
          <w:szCs w:val="14"/>
          <w:u w:val="single" w:color="auto"/>
          <w:color w:val="auto"/>
        </w:rPr>
        <w:t>Section 3A.1</w:t>
      </w:r>
    </w:p>
    <w:p>
      <w:pPr>
        <w:spacing w:after="0" w:line="183" w:lineRule="exact"/>
        <w:rPr>
          <w:sz w:val="20"/>
          <w:szCs w:val="20"/>
          <w:color w:val="auto"/>
        </w:rPr>
      </w:pPr>
    </w:p>
    <w:p>
      <w:pPr>
        <w:ind w:left="1140" w:right="131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Applicable Margin</w:t>
      </w:r>
      <w:r>
        <w:rPr>
          <w:rFonts w:ascii="Times New Roman" w:cs="Times New Roman" w:eastAsia="Times New Roman" w:hAnsi="Times New Roman"/>
          <w:sz w:val="14"/>
          <w:szCs w:val="14"/>
          <w:color w:val="auto"/>
        </w:rPr>
        <w:t>” shall mean</w:t>
      </w:r>
      <w:r>
        <w:rPr>
          <w:rFonts w:ascii="Times New Roman" w:cs="Times New Roman" w:eastAsia="Times New Roman" w:hAnsi="Times New Roman"/>
          <w:sz w:val="14"/>
          <w:szCs w:val="14"/>
          <w:color w:val="FF0000"/>
          <w:strike w:val="1"/>
        </w:rPr>
        <w:t>, until delivery of financial statements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and a related Compliance Certificate for the first full fiscal quarter commencing on or after</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u w:val="single" w:color="auto"/>
          <w:color w:val="0000FF"/>
        </w:rPr>
        <w:t>(i) prior to</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the</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 xml:space="preserve">Amendment No. </w:t>
      </w:r>
      <w:r>
        <w:rPr>
          <w:rFonts w:ascii="Times New Roman" w:cs="Times New Roman" w:eastAsia="Times New Roman" w:hAnsi="Times New Roman"/>
          <w:sz w:val="14"/>
          <w:szCs w:val="14"/>
          <w:color w:val="FF0000"/>
          <w:strike w:val="1"/>
        </w:rPr>
        <w:t>2</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000000"/>
        </w:rPr>
        <w:t xml:space="preserve"> Effective Date </w:t>
      </w:r>
      <w:r>
        <w:rPr>
          <w:rFonts w:ascii="Times New Roman" w:cs="Times New Roman" w:eastAsia="Times New Roman" w:hAnsi="Times New Roman"/>
          <w:sz w:val="14"/>
          <w:szCs w:val="14"/>
          <w:color w:val="FF0000"/>
          <w:strike w:val="1"/>
        </w:rPr>
        <w:t>pursuant to</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FF0000"/>
          <w:strike w:val="1"/>
        </w:rPr>
        <w:t>Section 9.1</w:t>
      </w:r>
      <w:r>
        <w:rPr>
          <w:rFonts w:ascii="Times New Roman" w:cs="Times New Roman" w:eastAsia="Times New Roman" w:hAnsi="Times New Roman"/>
          <w:sz w:val="14"/>
          <w:szCs w:val="14"/>
          <w:color w:val="FF0000"/>
          <w:strike w:val="1"/>
        </w:rPr>
        <w:t>, 3.75% per annum, and, thereafter</w:t>
      </w:r>
      <w:r>
        <w:rPr>
          <w:rFonts w:ascii="Times New Roman" w:cs="Times New Roman" w:eastAsia="Times New Roman" w:hAnsi="Times New Roman"/>
          <w:sz w:val="14"/>
          <w:szCs w:val="14"/>
          <w:color w:val="000000"/>
        </w:rPr>
        <w:t xml:space="preserve">,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cs="Times New Roman" w:eastAsia="Times New Roman" w:hAnsi="Times New Roman"/>
          <w:sz w:val="14"/>
          <w:szCs w:val="14"/>
          <w:u w:val="single" w:color="auto"/>
          <w:color w:val="000000"/>
        </w:rPr>
        <w:t>Section 9.1</w:t>
      </w:r>
      <w:r>
        <w:rPr>
          <w:rFonts w:ascii="Times New Roman" w:cs="Times New Roman" w:eastAsia="Times New Roman" w:hAnsi="Times New Roman"/>
          <w:sz w:val="14"/>
          <w:szCs w:val="14"/>
          <w:color w:val="000000"/>
        </w:rPr>
        <w:t>:</w:t>
      </w:r>
    </w:p>
    <w:p>
      <w:pPr>
        <w:spacing w:after="0" w:line="135" w:lineRule="exact"/>
        <w:rPr>
          <w:sz w:val="20"/>
          <w:szCs w:val="20"/>
          <w:color w:val="auto"/>
        </w:rPr>
      </w:pPr>
    </w:p>
    <w:tbl>
      <w:tblPr>
        <w:tblLayout w:type="fixed"/>
        <w:tblInd w:w="2030" w:type="dxa"/>
        <w:tblCellMar>
          <w:top w:w="0" w:type="dxa"/>
          <w:left w:w="0" w:type="dxa"/>
          <w:bottom w:w="0" w:type="dxa"/>
          <w:right w:w="0" w:type="dxa"/>
        </w:tblCellMar>
      </w:tblPr>
      <w:tr>
        <w:trPr>
          <w:trHeight w:val="166"/>
        </w:trPr>
        <w:tc>
          <w:tcPr>
            <w:tcW w:w="160" w:type="dxa"/>
            <w:vAlign w:val="bottom"/>
            <w:tcBorders>
              <w:top w:val="single" w:sz="8" w:color="auto"/>
              <w:left w:val="single" w:sz="8" w:color="auto"/>
              <w:bottom w:val="single" w:sz="8" w:color="99CCFF"/>
            </w:tcBorders>
            <w:shd w:val="clear" w:color="auto" w:fill="99CCFF"/>
          </w:tcPr>
          <w:p>
            <w:pPr>
              <w:spacing w:after="0"/>
              <w:rPr>
                <w:sz w:val="14"/>
                <w:szCs w:val="14"/>
                <w:color w:val="auto"/>
              </w:rPr>
            </w:pPr>
          </w:p>
        </w:tc>
        <w:tc>
          <w:tcPr>
            <w:tcW w:w="60" w:type="dxa"/>
            <w:vAlign w:val="bottom"/>
            <w:tcBorders>
              <w:top w:val="single" w:sz="8" w:color="auto"/>
              <w:bottom w:val="single" w:sz="8" w:color="99CCFF"/>
            </w:tcBorders>
            <w:shd w:val="clear" w:color="auto" w:fill="99CCFF"/>
          </w:tcPr>
          <w:p>
            <w:pPr>
              <w:spacing w:after="0"/>
              <w:rPr>
                <w:sz w:val="14"/>
                <w:szCs w:val="14"/>
                <w:color w:val="auto"/>
              </w:rPr>
            </w:pPr>
          </w:p>
        </w:tc>
        <w:tc>
          <w:tcPr>
            <w:tcW w:w="100" w:type="dxa"/>
            <w:vAlign w:val="bottom"/>
            <w:tcBorders>
              <w:top w:val="single" w:sz="8" w:color="auto"/>
              <w:bottom w:val="single" w:sz="8" w:color="99CCFF"/>
            </w:tcBorders>
            <w:shd w:val="clear" w:color="auto" w:fill="99CCFF"/>
          </w:tcPr>
          <w:p>
            <w:pPr>
              <w:spacing w:after="0"/>
              <w:rPr>
                <w:sz w:val="14"/>
                <w:szCs w:val="14"/>
                <w:color w:val="auto"/>
              </w:rPr>
            </w:pPr>
          </w:p>
        </w:tc>
        <w:tc>
          <w:tcPr>
            <w:tcW w:w="20" w:type="dxa"/>
            <w:vAlign w:val="bottom"/>
            <w:tcBorders>
              <w:top w:val="single" w:sz="8" w:color="auto"/>
              <w:bottom w:val="single" w:sz="8" w:color="99CCFF"/>
            </w:tcBorders>
            <w:shd w:val="clear" w:color="auto" w:fill="99CCFF"/>
          </w:tcPr>
          <w:p>
            <w:pPr>
              <w:spacing w:after="0"/>
              <w:rPr>
                <w:sz w:val="14"/>
                <w:szCs w:val="14"/>
                <w:color w:val="auto"/>
              </w:rPr>
            </w:pPr>
          </w:p>
        </w:tc>
        <w:tc>
          <w:tcPr>
            <w:tcW w:w="100" w:type="dxa"/>
            <w:vAlign w:val="bottom"/>
            <w:tcBorders>
              <w:top w:val="single" w:sz="8" w:color="auto"/>
              <w:bottom w:val="single" w:sz="8" w:color="99CCFF"/>
            </w:tcBorders>
            <w:shd w:val="clear" w:color="auto" w:fill="99CCFF"/>
          </w:tcPr>
          <w:p>
            <w:pPr>
              <w:spacing w:after="0"/>
              <w:rPr>
                <w:sz w:val="14"/>
                <w:szCs w:val="14"/>
                <w:color w:val="auto"/>
              </w:rPr>
            </w:pPr>
          </w:p>
        </w:tc>
        <w:tc>
          <w:tcPr>
            <w:tcW w:w="20" w:type="dxa"/>
            <w:vAlign w:val="bottom"/>
            <w:tcBorders>
              <w:top w:val="single" w:sz="8" w:color="auto"/>
              <w:bottom w:val="single" w:sz="8" w:color="99CCFF"/>
            </w:tcBorders>
            <w:shd w:val="clear" w:color="auto" w:fill="99CCFF"/>
          </w:tcPr>
          <w:p>
            <w:pPr>
              <w:spacing w:after="0"/>
              <w:rPr>
                <w:sz w:val="14"/>
                <w:szCs w:val="14"/>
                <w:color w:val="auto"/>
              </w:rPr>
            </w:pPr>
          </w:p>
        </w:tc>
        <w:tc>
          <w:tcPr>
            <w:tcW w:w="100" w:type="dxa"/>
            <w:vAlign w:val="bottom"/>
            <w:tcBorders>
              <w:top w:val="single" w:sz="8" w:color="auto"/>
              <w:bottom w:val="single" w:sz="8" w:color="99CCFF"/>
            </w:tcBorders>
            <w:shd w:val="clear" w:color="auto" w:fill="99CCFF"/>
          </w:tcPr>
          <w:p>
            <w:pPr>
              <w:spacing w:after="0"/>
              <w:rPr>
                <w:sz w:val="14"/>
                <w:szCs w:val="14"/>
                <w:color w:val="auto"/>
              </w:rPr>
            </w:pPr>
          </w:p>
        </w:tc>
        <w:tc>
          <w:tcPr>
            <w:tcW w:w="60" w:type="dxa"/>
            <w:vAlign w:val="bottom"/>
            <w:tcBorders>
              <w:top w:val="single" w:sz="8" w:color="auto"/>
              <w:bottom w:val="single" w:sz="8" w:color="99CCFF"/>
            </w:tcBorders>
            <w:shd w:val="clear" w:color="auto" w:fill="99CCFF"/>
          </w:tcPr>
          <w:p>
            <w:pPr>
              <w:spacing w:after="0"/>
              <w:rPr>
                <w:sz w:val="14"/>
                <w:szCs w:val="14"/>
                <w:color w:val="auto"/>
              </w:rPr>
            </w:pPr>
          </w:p>
        </w:tc>
        <w:tc>
          <w:tcPr>
            <w:tcW w:w="200" w:type="dxa"/>
            <w:vAlign w:val="bottom"/>
            <w:tcBorders>
              <w:top w:val="single" w:sz="8" w:color="auto"/>
              <w:bottom w:val="single" w:sz="8" w:color="99CCFF"/>
              <w:right w:val="single" w:sz="8" w:color="auto"/>
            </w:tcBorders>
            <w:shd w:val="clear" w:color="auto" w:fill="99CCFF"/>
          </w:tcPr>
          <w:p>
            <w:pPr>
              <w:spacing w:after="0"/>
              <w:rPr>
                <w:sz w:val="14"/>
                <w:szCs w:val="14"/>
                <w:color w:val="auto"/>
              </w:rPr>
            </w:pPr>
          </w:p>
        </w:tc>
        <w:tc>
          <w:tcPr>
            <w:tcW w:w="40" w:type="dxa"/>
            <w:vAlign w:val="bottom"/>
            <w:tcBorders>
              <w:top w:val="single" w:sz="8" w:color="auto"/>
              <w:bottom w:val="single" w:sz="8" w:color="99CCFF"/>
            </w:tcBorders>
            <w:shd w:val="clear" w:color="auto" w:fill="99CCFF"/>
          </w:tcPr>
          <w:p>
            <w:pPr>
              <w:spacing w:after="0"/>
              <w:rPr>
                <w:sz w:val="14"/>
                <w:szCs w:val="14"/>
                <w:color w:val="auto"/>
              </w:rPr>
            </w:pPr>
          </w:p>
        </w:tc>
        <w:tc>
          <w:tcPr>
            <w:tcW w:w="1480" w:type="dxa"/>
            <w:vAlign w:val="bottom"/>
            <w:tcBorders>
              <w:top w:val="single" w:sz="8" w:color="auto"/>
              <w:bottom w:val="single" w:sz="8" w:color="0000FF"/>
            </w:tcBorders>
            <w:gridSpan w:val="11"/>
            <w:shd w:val="clear" w:color="auto" w:fill="99CCFF"/>
          </w:tcPr>
          <w:p>
            <w:pPr>
              <w:jc w:val="center"/>
              <w:ind w:right="40"/>
              <w:spacing w:after="0"/>
              <w:rPr>
                <w:sz w:val="20"/>
                <w:szCs w:val="20"/>
                <w:color w:val="auto"/>
              </w:rPr>
            </w:pPr>
            <w:r>
              <w:rPr>
                <w:rFonts w:ascii="Times New Roman" w:cs="Times New Roman" w:eastAsia="Times New Roman" w:hAnsi="Times New Roman"/>
                <w:sz w:val="14"/>
                <w:szCs w:val="14"/>
                <w:b w:val="1"/>
                <w:bCs w:val="1"/>
                <w:color w:val="0000FF"/>
              </w:rPr>
              <w:t>Consolidated First Lien</w:t>
            </w:r>
          </w:p>
        </w:tc>
        <w:tc>
          <w:tcPr>
            <w:tcW w:w="100" w:type="dxa"/>
            <w:vAlign w:val="bottom"/>
            <w:tcBorders>
              <w:top w:val="single" w:sz="8" w:color="auto"/>
              <w:bottom w:val="single" w:sz="8" w:color="99CCFF"/>
              <w:right w:val="single" w:sz="8" w:color="auto"/>
            </w:tcBorders>
            <w:shd w:val="clear" w:color="auto" w:fill="99CCFF"/>
          </w:tcPr>
          <w:p>
            <w:pPr>
              <w:spacing w:after="0"/>
              <w:rPr>
                <w:sz w:val="14"/>
                <w:szCs w:val="14"/>
                <w:color w:val="auto"/>
              </w:rPr>
            </w:pPr>
          </w:p>
        </w:tc>
        <w:tc>
          <w:tcPr>
            <w:tcW w:w="40" w:type="dxa"/>
            <w:vAlign w:val="bottom"/>
            <w:tcBorders>
              <w:top w:val="single" w:sz="8" w:color="auto"/>
              <w:bottom w:val="single" w:sz="8" w:color="99CCFF"/>
            </w:tcBorders>
            <w:shd w:val="clear" w:color="auto" w:fill="99CCFF"/>
          </w:tcPr>
          <w:p>
            <w:pPr>
              <w:spacing w:after="0"/>
              <w:rPr>
                <w:sz w:val="14"/>
                <w:szCs w:val="14"/>
                <w:color w:val="auto"/>
              </w:rPr>
            </w:pPr>
          </w:p>
        </w:tc>
        <w:tc>
          <w:tcPr>
            <w:tcW w:w="120" w:type="dxa"/>
            <w:vAlign w:val="bottom"/>
            <w:tcBorders>
              <w:top w:val="single" w:sz="8" w:color="auto"/>
              <w:bottom w:val="single" w:sz="8" w:color="99CCFF"/>
            </w:tcBorders>
            <w:shd w:val="clear" w:color="auto" w:fill="99CCFF"/>
          </w:tcPr>
          <w:p>
            <w:pPr>
              <w:spacing w:after="0"/>
              <w:rPr>
                <w:sz w:val="14"/>
                <w:szCs w:val="14"/>
                <w:color w:val="auto"/>
              </w:rPr>
            </w:pPr>
          </w:p>
        </w:tc>
        <w:tc>
          <w:tcPr>
            <w:tcW w:w="900" w:type="dxa"/>
            <w:vAlign w:val="bottom"/>
            <w:tcBorders>
              <w:top w:val="single" w:sz="8" w:color="auto"/>
              <w:bottom w:val="single" w:sz="8" w:color="0000FF"/>
            </w:tcBorders>
            <w:gridSpan w:val="5"/>
            <w:shd w:val="clear" w:color="auto" w:fill="99CCFF"/>
          </w:tcPr>
          <w:p>
            <w:pPr>
              <w:jc w:val="center"/>
              <w:ind w:right="40"/>
              <w:spacing w:after="0"/>
              <w:rPr>
                <w:sz w:val="20"/>
                <w:szCs w:val="20"/>
                <w:color w:val="auto"/>
              </w:rPr>
            </w:pPr>
            <w:r>
              <w:rPr>
                <w:rFonts w:ascii="Times New Roman" w:cs="Times New Roman" w:eastAsia="Times New Roman" w:hAnsi="Times New Roman"/>
                <w:sz w:val="14"/>
                <w:szCs w:val="14"/>
                <w:b w:val="1"/>
                <w:bCs w:val="1"/>
                <w:color w:val="0000FF"/>
              </w:rPr>
              <w:t>2020 Letter of</w:t>
            </w:r>
          </w:p>
        </w:tc>
        <w:tc>
          <w:tcPr>
            <w:tcW w:w="200" w:type="dxa"/>
            <w:vAlign w:val="bottom"/>
            <w:tcBorders>
              <w:top w:val="single" w:sz="8" w:color="auto"/>
              <w:bottom w:val="single" w:sz="8" w:color="99CCFF"/>
              <w:right w:val="single" w:sz="8" w:color="auto"/>
            </w:tcBorders>
            <w:shd w:val="clear" w:color="auto" w:fill="99CCFF"/>
          </w:tcPr>
          <w:p>
            <w:pPr>
              <w:spacing w:after="0"/>
              <w:rPr>
                <w:sz w:val="14"/>
                <w:szCs w:val="14"/>
                <w:color w:val="auto"/>
              </w:rPr>
            </w:pPr>
          </w:p>
        </w:tc>
        <w:tc>
          <w:tcPr>
            <w:tcW w:w="180" w:type="dxa"/>
            <w:vAlign w:val="bottom"/>
            <w:tcBorders>
              <w:top w:val="single" w:sz="8" w:color="auto"/>
              <w:bottom w:val="single" w:sz="8" w:color="99CCFF"/>
            </w:tcBorders>
            <w:shd w:val="clear" w:color="auto" w:fill="99CCFF"/>
          </w:tcPr>
          <w:p>
            <w:pPr>
              <w:spacing w:after="0"/>
              <w:rPr>
                <w:sz w:val="14"/>
                <w:szCs w:val="14"/>
                <w:color w:val="auto"/>
              </w:rPr>
            </w:pPr>
          </w:p>
        </w:tc>
        <w:tc>
          <w:tcPr>
            <w:tcW w:w="900" w:type="dxa"/>
            <w:vAlign w:val="bottom"/>
            <w:tcBorders>
              <w:top w:val="single" w:sz="8" w:color="auto"/>
              <w:bottom w:val="single" w:sz="8" w:color="0000FF"/>
            </w:tcBorders>
            <w:gridSpan w:val="5"/>
            <w:shd w:val="clear" w:color="auto" w:fill="99CCFF"/>
          </w:tcPr>
          <w:p>
            <w:pPr>
              <w:jc w:val="center"/>
              <w:ind w:right="40"/>
              <w:spacing w:after="0"/>
              <w:rPr>
                <w:sz w:val="20"/>
                <w:szCs w:val="20"/>
                <w:color w:val="auto"/>
              </w:rPr>
            </w:pPr>
            <w:r>
              <w:rPr>
                <w:rFonts w:ascii="Times New Roman" w:cs="Times New Roman" w:eastAsia="Times New Roman" w:hAnsi="Times New Roman"/>
                <w:sz w:val="14"/>
                <w:szCs w:val="14"/>
                <w:b w:val="1"/>
                <w:bCs w:val="1"/>
                <w:color w:val="0000FF"/>
              </w:rPr>
              <w:t>2020 Letter of</w:t>
            </w:r>
          </w:p>
        </w:tc>
        <w:tc>
          <w:tcPr>
            <w:tcW w:w="200" w:type="dxa"/>
            <w:vAlign w:val="bottom"/>
            <w:tcBorders>
              <w:top w:val="single" w:sz="8" w:color="auto"/>
              <w:bottom w:val="single" w:sz="8" w:color="99CCFF"/>
              <w:right w:val="single" w:sz="8" w:color="auto"/>
            </w:tcBorders>
            <w:shd w:val="clear" w:color="auto" w:fill="99CCFF"/>
          </w:tcPr>
          <w:p>
            <w:pPr>
              <w:spacing w:after="0"/>
              <w:rPr>
                <w:sz w:val="14"/>
                <w:szCs w:val="14"/>
                <w:color w:val="auto"/>
              </w:rPr>
            </w:pPr>
          </w:p>
        </w:tc>
      </w:tr>
      <w:tr>
        <w:trPr>
          <w:trHeight w:val="152"/>
        </w:trPr>
        <w:tc>
          <w:tcPr>
            <w:tcW w:w="160" w:type="dxa"/>
            <w:vAlign w:val="bottom"/>
            <w:tcBorders>
              <w:left w:val="single" w:sz="8" w:color="auto"/>
              <w:bottom w:val="single" w:sz="8" w:color="99CCFF"/>
            </w:tcBorders>
            <w:shd w:val="clear" w:color="auto" w:fill="99CCFF"/>
          </w:tcPr>
          <w:p>
            <w:pPr>
              <w:spacing w:after="0"/>
              <w:rPr>
                <w:sz w:val="13"/>
                <w:szCs w:val="13"/>
                <w:color w:val="auto"/>
              </w:rPr>
            </w:pPr>
          </w:p>
        </w:tc>
        <w:tc>
          <w:tcPr>
            <w:tcW w:w="60" w:type="dxa"/>
            <w:vAlign w:val="bottom"/>
            <w:tcBorders>
              <w:bottom w:val="single" w:sz="8" w:color="99CCFF"/>
            </w:tcBorders>
            <w:shd w:val="clear" w:color="auto" w:fill="99CCFF"/>
          </w:tcPr>
          <w:p>
            <w:pPr>
              <w:spacing w:after="0"/>
              <w:rPr>
                <w:sz w:val="13"/>
                <w:szCs w:val="13"/>
                <w:color w:val="auto"/>
              </w:rPr>
            </w:pPr>
          </w:p>
        </w:tc>
        <w:tc>
          <w:tcPr>
            <w:tcW w:w="100" w:type="dxa"/>
            <w:vAlign w:val="bottom"/>
            <w:tcBorders>
              <w:bottom w:val="single" w:sz="8" w:color="99CCFF"/>
            </w:tcBorders>
            <w:shd w:val="clear" w:color="auto" w:fill="99CCFF"/>
          </w:tcPr>
          <w:p>
            <w:pPr>
              <w:spacing w:after="0"/>
              <w:rPr>
                <w:sz w:val="13"/>
                <w:szCs w:val="13"/>
                <w:color w:val="auto"/>
              </w:rPr>
            </w:pPr>
          </w:p>
        </w:tc>
        <w:tc>
          <w:tcPr>
            <w:tcW w:w="20" w:type="dxa"/>
            <w:vAlign w:val="bottom"/>
            <w:tcBorders>
              <w:bottom w:val="single" w:sz="8" w:color="99CCFF"/>
            </w:tcBorders>
            <w:shd w:val="clear" w:color="auto" w:fill="99CCFF"/>
          </w:tcPr>
          <w:p>
            <w:pPr>
              <w:spacing w:after="0"/>
              <w:rPr>
                <w:sz w:val="13"/>
                <w:szCs w:val="13"/>
                <w:color w:val="auto"/>
              </w:rPr>
            </w:pPr>
          </w:p>
        </w:tc>
        <w:tc>
          <w:tcPr>
            <w:tcW w:w="100" w:type="dxa"/>
            <w:vAlign w:val="bottom"/>
            <w:tcBorders>
              <w:bottom w:val="single" w:sz="8" w:color="99CCFF"/>
            </w:tcBorders>
            <w:shd w:val="clear" w:color="auto" w:fill="99CCFF"/>
          </w:tcPr>
          <w:p>
            <w:pPr>
              <w:spacing w:after="0"/>
              <w:rPr>
                <w:sz w:val="13"/>
                <w:szCs w:val="13"/>
                <w:color w:val="auto"/>
              </w:rPr>
            </w:pPr>
          </w:p>
        </w:tc>
        <w:tc>
          <w:tcPr>
            <w:tcW w:w="20" w:type="dxa"/>
            <w:vAlign w:val="bottom"/>
            <w:tcBorders>
              <w:bottom w:val="single" w:sz="8" w:color="99CCFF"/>
            </w:tcBorders>
            <w:shd w:val="clear" w:color="auto" w:fill="99CCFF"/>
          </w:tcPr>
          <w:p>
            <w:pPr>
              <w:spacing w:after="0"/>
              <w:rPr>
                <w:sz w:val="13"/>
                <w:szCs w:val="13"/>
                <w:color w:val="auto"/>
              </w:rPr>
            </w:pPr>
          </w:p>
        </w:tc>
        <w:tc>
          <w:tcPr>
            <w:tcW w:w="100" w:type="dxa"/>
            <w:vAlign w:val="bottom"/>
            <w:tcBorders>
              <w:bottom w:val="single" w:sz="8" w:color="99CCFF"/>
            </w:tcBorders>
            <w:shd w:val="clear" w:color="auto" w:fill="99CCFF"/>
          </w:tcPr>
          <w:p>
            <w:pPr>
              <w:spacing w:after="0"/>
              <w:rPr>
                <w:sz w:val="13"/>
                <w:szCs w:val="13"/>
                <w:color w:val="auto"/>
              </w:rPr>
            </w:pPr>
          </w:p>
        </w:tc>
        <w:tc>
          <w:tcPr>
            <w:tcW w:w="60" w:type="dxa"/>
            <w:vAlign w:val="bottom"/>
            <w:tcBorders>
              <w:bottom w:val="single" w:sz="8" w:color="99CCFF"/>
            </w:tcBorders>
            <w:shd w:val="clear" w:color="auto" w:fill="99CCFF"/>
          </w:tcPr>
          <w:p>
            <w:pPr>
              <w:spacing w:after="0"/>
              <w:rPr>
                <w:sz w:val="13"/>
                <w:szCs w:val="13"/>
                <w:color w:val="auto"/>
              </w:rPr>
            </w:pPr>
          </w:p>
        </w:tc>
        <w:tc>
          <w:tcPr>
            <w:tcW w:w="200" w:type="dxa"/>
            <w:vAlign w:val="bottom"/>
            <w:tcBorders>
              <w:bottom w:val="single" w:sz="8" w:color="99CCFF"/>
              <w:right w:val="single" w:sz="8" w:color="auto"/>
            </w:tcBorders>
            <w:shd w:val="clear" w:color="auto" w:fill="99CCFF"/>
          </w:tcPr>
          <w:p>
            <w:pPr>
              <w:spacing w:after="0"/>
              <w:rPr>
                <w:sz w:val="13"/>
                <w:szCs w:val="13"/>
                <w:color w:val="auto"/>
              </w:rPr>
            </w:pPr>
          </w:p>
        </w:tc>
        <w:tc>
          <w:tcPr>
            <w:tcW w:w="40" w:type="dxa"/>
            <w:vAlign w:val="bottom"/>
            <w:tcBorders>
              <w:bottom w:val="single" w:sz="8" w:color="99CCFF"/>
            </w:tcBorders>
            <w:shd w:val="clear" w:color="auto" w:fill="99CCFF"/>
          </w:tcPr>
          <w:p>
            <w:pPr>
              <w:spacing w:after="0"/>
              <w:rPr>
                <w:sz w:val="13"/>
                <w:szCs w:val="13"/>
                <w:color w:val="auto"/>
              </w:rPr>
            </w:pPr>
          </w:p>
        </w:tc>
        <w:tc>
          <w:tcPr>
            <w:tcW w:w="20" w:type="dxa"/>
            <w:vAlign w:val="bottom"/>
            <w:tcBorders>
              <w:bottom w:val="single" w:sz="8" w:color="99CCFF"/>
            </w:tcBorders>
            <w:shd w:val="clear" w:color="auto" w:fill="99CCFF"/>
          </w:tcPr>
          <w:p>
            <w:pPr>
              <w:spacing w:after="0"/>
              <w:rPr>
                <w:sz w:val="13"/>
                <w:szCs w:val="13"/>
                <w:color w:val="auto"/>
              </w:rPr>
            </w:pPr>
          </w:p>
        </w:tc>
        <w:tc>
          <w:tcPr>
            <w:tcW w:w="80" w:type="dxa"/>
            <w:vAlign w:val="bottom"/>
            <w:tcBorders>
              <w:bottom w:val="single" w:sz="8" w:color="99CCFF"/>
            </w:tcBorders>
            <w:shd w:val="clear" w:color="auto" w:fill="99CCFF"/>
          </w:tcPr>
          <w:p>
            <w:pPr>
              <w:spacing w:after="0"/>
              <w:rPr>
                <w:sz w:val="13"/>
                <w:szCs w:val="13"/>
                <w:color w:val="auto"/>
              </w:rPr>
            </w:pPr>
          </w:p>
        </w:tc>
        <w:tc>
          <w:tcPr>
            <w:tcW w:w="120" w:type="dxa"/>
            <w:vAlign w:val="bottom"/>
            <w:tcBorders>
              <w:bottom w:val="single" w:sz="8" w:color="99CCFF"/>
            </w:tcBorders>
            <w:shd w:val="clear" w:color="auto" w:fill="99CCFF"/>
          </w:tcPr>
          <w:p>
            <w:pPr>
              <w:spacing w:after="0"/>
              <w:rPr>
                <w:sz w:val="13"/>
                <w:szCs w:val="13"/>
                <w:color w:val="auto"/>
              </w:rPr>
            </w:pPr>
          </w:p>
        </w:tc>
        <w:tc>
          <w:tcPr>
            <w:tcW w:w="1020" w:type="dxa"/>
            <w:vAlign w:val="bottom"/>
            <w:tcBorders>
              <w:bottom w:val="single" w:sz="8" w:color="0000FF"/>
            </w:tcBorders>
            <w:gridSpan w:val="5"/>
            <w:shd w:val="clear" w:color="auto" w:fill="99CCFF"/>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0000FF"/>
              </w:rPr>
              <w:t>Secured Debt to</w:t>
            </w:r>
          </w:p>
        </w:tc>
        <w:tc>
          <w:tcPr>
            <w:tcW w:w="340" w:type="dxa"/>
            <w:vAlign w:val="bottom"/>
            <w:tcBorders>
              <w:bottom w:val="single" w:sz="8" w:color="99CCFF"/>
              <w:right w:val="single" w:sz="8" w:color="auto"/>
            </w:tcBorders>
            <w:gridSpan w:val="4"/>
            <w:shd w:val="clear" w:color="auto" w:fill="99CCFF"/>
          </w:tcPr>
          <w:p>
            <w:pPr>
              <w:spacing w:after="0"/>
              <w:rPr>
                <w:sz w:val="13"/>
                <w:szCs w:val="13"/>
                <w:color w:val="auto"/>
              </w:rPr>
            </w:pPr>
          </w:p>
        </w:tc>
        <w:tc>
          <w:tcPr>
            <w:tcW w:w="40" w:type="dxa"/>
            <w:vAlign w:val="bottom"/>
            <w:tcBorders>
              <w:bottom w:val="single" w:sz="8" w:color="99CCFF"/>
            </w:tcBorders>
            <w:shd w:val="clear" w:color="auto" w:fill="99CCFF"/>
          </w:tcPr>
          <w:p>
            <w:pPr>
              <w:spacing w:after="0"/>
              <w:rPr>
                <w:sz w:val="13"/>
                <w:szCs w:val="13"/>
                <w:color w:val="auto"/>
              </w:rPr>
            </w:pPr>
          </w:p>
        </w:tc>
        <w:tc>
          <w:tcPr>
            <w:tcW w:w="1220" w:type="dxa"/>
            <w:vAlign w:val="bottom"/>
            <w:tcBorders>
              <w:bottom w:val="single" w:sz="8" w:color="0000FF"/>
              <w:right w:val="single" w:sz="8" w:color="auto"/>
            </w:tcBorders>
            <w:gridSpan w:val="7"/>
            <w:shd w:val="clear" w:color="auto" w:fill="99CCFF"/>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0000FF"/>
              </w:rPr>
              <w:t>Credit Applicable</w:t>
            </w:r>
          </w:p>
        </w:tc>
        <w:tc>
          <w:tcPr>
            <w:tcW w:w="1280" w:type="dxa"/>
            <w:vAlign w:val="bottom"/>
            <w:tcBorders>
              <w:bottom w:val="single" w:sz="8" w:color="0000FF"/>
              <w:right w:val="single" w:sz="8" w:color="auto"/>
            </w:tcBorders>
            <w:gridSpan w:val="7"/>
            <w:shd w:val="clear" w:color="auto" w:fill="99CCFF"/>
          </w:tcPr>
          <w:p>
            <w:pPr>
              <w:jc w:val="center"/>
              <w:ind w:right="40"/>
              <w:spacing w:after="0" w:line="152" w:lineRule="exact"/>
              <w:rPr>
                <w:sz w:val="20"/>
                <w:szCs w:val="20"/>
                <w:color w:val="auto"/>
              </w:rPr>
            </w:pPr>
            <w:r>
              <w:rPr>
                <w:rFonts w:ascii="Times New Roman" w:cs="Times New Roman" w:eastAsia="Times New Roman" w:hAnsi="Times New Roman"/>
                <w:sz w:val="14"/>
                <w:szCs w:val="14"/>
                <w:b w:val="1"/>
                <w:bCs w:val="1"/>
                <w:color w:val="0000FF"/>
              </w:rPr>
              <w:t>Credit Commitment</w:t>
            </w:r>
          </w:p>
        </w:tc>
      </w:tr>
      <w:tr>
        <w:trPr>
          <w:trHeight w:val="152"/>
        </w:trPr>
        <w:tc>
          <w:tcPr>
            <w:tcW w:w="160" w:type="dxa"/>
            <w:vAlign w:val="bottom"/>
            <w:tcBorders>
              <w:left w:val="single" w:sz="8" w:color="auto"/>
            </w:tcBorders>
            <w:shd w:val="clear" w:color="auto" w:fill="99CCFF"/>
          </w:tcPr>
          <w:p>
            <w:pPr>
              <w:spacing w:after="0"/>
              <w:rPr>
                <w:sz w:val="13"/>
                <w:szCs w:val="13"/>
                <w:color w:val="auto"/>
              </w:rPr>
            </w:pPr>
          </w:p>
        </w:tc>
        <w:tc>
          <w:tcPr>
            <w:tcW w:w="460" w:type="dxa"/>
            <w:vAlign w:val="bottom"/>
            <w:gridSpan w:val="7"/>
            <w:shd w:val="clear" w:color="auto" w:fill="99CCFF"/>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0000FF"/>
              </w:rPr>
              <w:t>Pricing</w:t>
            </w:r>
          </w:p>
        </w:tc>
        <w:tc>
          <w:tcPr>
            <w:tcW w:w="200" w:type="dxa"/>
            <w:vAlign w:val="bottom"/>
            <w:tcBorders>
              <w:right w:val="single" w:sz="8" w:color="auto"/>
            </w:tcBorders>
            <w:shd w:val="clear" w:color="auto" w:fill="99CCFF"/>
          </w:tcPr>
          <w:p>
            <w:pPr>
              <w:spacing w:after="0"/>
              <w:rPr>
                <w:sz w:val="13"/>
                <w:szCs w:val="13"/>
                <w:color w:val="auto"/>
              </w:rPr>
            </w:pPr>
          </w:p>
        </w:tc>
        <w:tc>
          <w:tcPr>
            <w:tcW w:w="40" w:type="dxa"/>
            <w:vAlign w:val="bottom"/>
            <w:shd w:val="clear" w:color="auto" w:fill="99CCFF"/>
          </w:tcPr>
          <w:p>
            <w:pPr>
              <w:spacing w:after="0"/>
              <w:rPr>
                <w:sz w:val="13"/>
                <w:szCs w:val="13"/>
                <w:color w:val="auto"/>
              </w:rPr>
            </w:pPr>
          </w:p>
        </w:tc>
        <w:tc>
          <w:tcPr>
            <w:tcW w:w="20" w:type="dxa"/>
            <w:vAlign w:val="bottom"/>
            <w:shd w:val="clear" w:color="auto" w:fill="99CCFF"/>
          </w:tcPr>
          <w:p>
            <w:pPr>
              <w:spacing w:after="0"/>
              <w:rPr>
                <w:sz w:val="13"/>
                <w:szCs w:val="13"/>
                <w:color w:val="auto"/>
              </w:rPr>
            </w:pPr>
          </w:p>
        </w:tc>
        <w:tc>
          <w:tcPr>
            <w:tcW w:w="1420" w:type="dxa"/>
            <w:vAlign w:val="bottom"/>
            <w:gridSpan w:val="9"/>
            <w:shd w:val="clear" w:color="auto" w:fill="99CCFF"/>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0000FF"/>
              </w:rPr>
              <w:t>Consolidated EBITDA</w:t>
            </w:r>
          </w:p>
        </w:tc>
        <w:tc>
          <w:tcPr>
            <w:tcW w:w="140" w:type="dxa"/>
            <w:vAlign w:val="bottom"/>
            <w:tcBorders>
              <w:right w:val="single" w:sz="8" w:color="auto"/>
            </w:tcBorders>
            <w:gridSpan w:val="2"/>
            <w:shd w:val="clear" w:color="auto" w:fill="99CCFF"/>
          </w:tcPr>
          <w:p>
            <w:pPr>
              <w:spacing w:after="0"/>
              <w:rPr>
                <w:sz w:val="13"/>
                <w:szCs w:val="13"/>
                <w:color w:val="auto"/>
              </w:rPr>
            </w:pPr>
          </w:p>
        </w:tc>
        <w:tc>
          <w:tcPr>
            <w:tcW w:w="40" w:type="dxa"/>
            <w:vAlign w:val="bottom"/>
            <w:shd w:val="clear" w:color="auto" w:fill="99CCFF"/>
          </w:tcPr>
          <w:p>
            <w:pPr>
              <w:spacing w:after="0"/>
              <w:rPr>
                <w:sz w:val="13"/>
                <w:szCs w:val="13"/>
                <w:color w:val="auto"/>
              </w:rPr>
            </w:pPr>
          </w:p>
        </w:tc>
        <w:tc>
          <w:tcPr>
            <w:tcW w:w="120" w:type="dxa"/>
            <w:vAlign w:val="bottom"/>
            <w:shd w:val="clear" w:color="auto" w:fill="99CCFF"/>
          </w:tcPr>
          <w:p>
            <w:pPr>
              <w:spacing w:after="0"/>
              <w:rPr>
                <w:sz w:val="13"/>
                <w:szCs w:val="13"/>
                <w:color w:val="auto"/>
              </w:rPr>
            </w:pPr>
          </w:p>
        </w:tc>
        <w:tc>
          <w:tcPr>
            <w:tcW w:w="220" w:type="dxa"/>
            <w:vAlign w:val="bottom"/>
            <w:shd w:val="clear" w:color="auto" w:fill="99CCFF"/>
          </w:tcPr>
          <w:p>
            <w:pPr>
              <w:spacing w:after="0"/>
              <w:rPr>
                <w:sz w:val="13"/>
                <w:szCs w:val="13"/>
                <w:color w:val="auto"/>
              </w:rPr>
            </w:pPr>
          </w:p>
        </w:tc>
        <w:tc>
          <w:tcPr>
            <w:tcW w:w="880" w:type="dxa"/>
            <w:vAlign w:val="bottom"/>
            <w:tcBorders>
              <w:right w:val="single" w:sz="8" w:color="auto"/>
            </w:tcBorders>
            <w:gridSpan w:val="5"/>
            <w:shd w:val="clear" w:color="auto" w:fill="99CCFF"/>
          </w:tcPr>
          <w:p>
            <w:pPr>
              <w:jc w:val="center"/>
              <w:ind w:right="420"/>
              <w:spacing w:after="0" w:line="152" w:lineRule="exact"/>
              <w:rPr>
                <w:sz w:val="20"/>
                <w:szCs w:val="20"/>
                <w:color w:val="auto"/>
              </w:rPr>
            </w:pPr>
            <w:r>
              <w:rPr>
                <w:rFonts w:ascii="Times New Roman" w:cs="Times New Roman" w:eastAsia="Times New Roman" w:hAnsi="Times New Roman"/>
                <w:sz w:val="14"/>
                <w:szCs w:val="14"/>
                <w:b w:val="1"/>
                <w:bCs w:val="1"/>
                <w:color w:val="0000FF"/>
              </w:rPr>
              <w:t>Margin</w:t>
            </w:r>
          </w:p>
        </w:tc>
        <w:tc>
          <w:tcPr>
            <w:tcW w:w="180" w:type="dxa"/>
            <w:vAlign w:val="bottom"/>
            <w:shd w:val="clear" w:color="auto" w:fill="99CCFF"/>
          </w:tcPr>
          <w:p>
            <w:pPr>
              <w:spacing w:after="0"/>
              <w:rPr>
                <w:sz w:val="13"/>
                <w:szCs w:val="13"/>
                <w:color w:val="auto"/>
              </w:rPr>
            </w:pPr>
          </w:p>
        </w:tc>
        <w:tc>
          <w:tcPr>
            <w:tcW w:w="260" w:type="dxa"/>
            <w:vAlign w:val="bottom"/>
            <w:shd w:val="clear" w:color="auto" w:fill="99CCFF"/>
          </w:tcPr>
          <w:p>
            <w:pPr>
              <w:spacing w:after="0"/>
              <w:rPr>
                <w:sz w:val="13"/>
                <w:szCs w:val="13"/>
                <w:color w:val="auto"/>
              </w:rPr>
            </w:pPr>
          </w:p>
        </w:tc>
        <w:tc>
          <w:tcPr>
            <w:tcW w:w="840" w:type="dxa"/>
            <w:vAlign w:val="bottom"/>
            <w:tcBorders>
              <w:right w:val="single" w:sz="8" w:color="auto"/>
            </w:tcBorders>
            <w:gridSpan w:val="5"/>
            <w:shd w:val="clear" w:color="auto" w:fill="99CCFF"/>
          </w:tcPr>
          <w:p>
            <w:pPr>
              <w:jc w:val="center"/>
              <w:ind w:right="500"/>
              <w:spacing w:after="0" w:line="152" w:lineRule="exact"/>
              <w:rPr>
                <w:sz w:val="20"/>
                <w:szCs w:val="20"/>
                <w:color w:val="auto"/>
              </w:rPr>
            </w:pPr>
            <w:r>
              <w:rPr>
                <w:rFonts w:ascii="Times New Roman" w:cs="Times New Roman" w:eastAsia="Times New Roman" w:hAnsi="Times New Roman"/>
                <w:sz w:val="14"/>
                <w:szCs w:val="14"/>
                <w:b w:val="1"/>
                <w:bCs w:val="1"/>
                <w:color w:val="0000FF"/>
              </w:rPr>
              <w:t>Fee</w:t>
            </w:r>
          </w:p>
        </w:tc>
      </w:tr>
      <w:tr>
        <w:trPr>
          <w:trHeight w:val="217"/>
        </w:trPr>
        <w:tc>
          <w:tcPr>
            <w:tcW w:w="160" w:type="dxa"/>
            <w:vAlign w:val="bottom"/>
            <w:tcBorders>
              <w:top w:val="single" w:sz="8" w:color="99CCFF"/>
              <w:left w:val="single" w:sz="8" w:color="auto"/>
              <w:bottom w:val="single" w:sz="8" w:color="auto"/>
            </w:tcBorders>
            <w:shd w:val="clear" w:color="auto" w:fill="99CCFF"/>
          </w:tcPr>
          <w:p>
            <w:pPr>
              <w:spacing w:after="0"/>
              <w:rPr>
                <w:sz w:val="18"/>
                <w:szCs w:val="18"/>
                <w:color w:val="auto"/>
              </w:rPr>
            </w:pPr>
          </w:p>
        </w:tc>
        <w:tc>
          <w:tcPr>
            <w:tcW w:w="460" w:type="dxa"/>
            <w:vAlign w:val="bottom"/>
            <w:tcBorders>
              <w:top w:val="single" w:sz="8" w:color="0000FF"/>
              <w:bottom w:val="single" w:sz="8" w:color="auto"/>
            </w:tcBorders>
            <w:gridSpan w:val="7"/>
            <w:shd w:val="clear" w:color="auto" w:fill="99CCFF"/>
          </w:tcPr>
          <w:p>
            <w:pPr>
              <w:jc w:val="center"/>
              <w:spacing w:after="0" w:line="152" w:lineRule="exact"/>
              <w:rPr>
                <w:sz w:val="20"/>
                <w:szCs w:val="20"/>
                <w:color w:val="auto"/>
              </w:rPr>
            </w:pPr>
            <w:r>
              <w:rPr>
                <w:rFonts w:ascii="Times New Roman" w:cs="Times New Roman" w:eastAsia="Times New Roman" w:hAnsi="Times New Roman"/>
                <w:sz w:val="14"/>
                <w:szCs w:val="14"/>
                <w:b w:val="1"/>
                <w:bCs w:val="1"/>
                <w:color w:val="0000FF"/>
              </w:rPr>
              <w:t>Level</w:t>
            </w:r>
          </w:p>
        </w:tc>
        <w:tc>
          <w:tcPr>
            <w:tcW w:w="2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40" w:type="dxa"/>
            <w:vAlign w:val="bottom"/>
            <w:tcBorders>
              <w:top w:val="single" w:sz="8" w:color="99CCFF"/>
              <w:bottom w:val="single" w:sz="8" w:color="auto"/>
            </w:tcBorders>
            <w:shd w:val="clear" w:color="auto" w:fill="99CCFF"/>
          </w:tcPr>
          <w:p>
            <w:pPr>
              <w:spacing w:after="0"/>
              <w:rPr>
                <w:sz w:val="18"/>
                <w:szCs w:val="18"/>
                <w:color w:val="auto"/>
              </w:rPr>
            </w:pPr>
          </w:p>
        </w:tc>
        <w:tc>
          <w:tcPr>
            <w:tcW w:w="20" w:type="dxa"/>
            <w:vAlign w:val="bottom"/>
            <w:tcBorders>
              <w:top w:val="single" w:sz="8" w:color="99CCFF"/>
              <w:bottom w:val="single" w:sz="8" w:color="auto"/>
            </w:tcBorders>
            <w:shd w:val="clear" w:color="auto" w:fill="99CCFF"/>
          </w:tcPr>
          <w:p>
            <w:pPr>
              <w:spacing w:after="0"/>
              <w:rPr>
                <w:sz w:val="18"/>
                <w:szCs w:val="18"/>
                <w:color w:val="auto"/>
              </w:rPr>
            </w:pPr>
          </w:p>
        </w:tc>
        <w:tc>
          <w:tcPr>
            <w:tcW w:w="80" w:type="dxa"/>
            <w:vAlign w:val="bottom"/>
            <w:tcBorders>
              <w:top w:val="single" w:sz="8" w:color="0000FF"/>
              <w:bottom w:val="single" w:sz="8" w:color="auto"/>
            </w:tcBorders>
            <w:shd w:val="clear" w:color="auto" w:fill="99CCFF"/>
          </w:tcPr>
          <w:p>
            <w:pPr>
              <w:spacing w:after="0"/>
              <w:rPr>
                <w:sz w:val="18"/>
                <w:szCs w:val="18"/>
                <w:color w:val="auto"/>
              </w:rPr>
            </w:pPr>
          </w:p>
        </w:tc>
        <w:tc>
          <w:tcPr>
            <w:tcW w:w="120" w:type="dxa"/>
            <w:vAlign w:val="bottom"/>
            <w:tcBorders>
              <w:top w:val="single" w:sz="8" w:color="0000FF"/>
              <w:bottom w:val="single" w:sz="8" w:color="auto"/>
            </w:tcBorders>
            <w:shd w:val="clear" w:color="auto" w:fill="99CCFF"/>
          </w:tcPr>
          <w:p>
            <w:pPr>
              <w:spacing w:after="0"/>
              <w:rPr>
                <w:sz w:val="18"/>
                <w:szCs w:val="18"/>
                <w:color w:val="auto"/>
              </w:rPr>
            </w:pPr>
          </w:p>
        </w:tc>
        <w:tc>
          <w:tcPr>
            <w:tcW w:w="180" w:type="dxa"/>
            <w:vAlign w:val="bottom"/>
            <w:tcBorders>
              <w:top w:val="single" w:sz="8" w:color="0000FF"/>
              <w:bottom w:val="single" w:sz="8" w:color="auto"/>
            </w:tcBorders>
            <w:shd w:val="clear" w:color="auto" w:fill="99CCFF"/>
          </w:tcPr>
          <w:p>
            <w:pPr>
              <w:spacing w:after="0"/>
              <w:rPr>
                <w:sz w:val="18"/>
                <w:szCs w:val="18"/>
                <w:color w:val="auto"/>
              </w:rPr>
            </w:pPr>
          </w:p>
        </w:tc>
        <w:tc>
          <w:tcPr>
            <w:tcW w:w="1040" w:type="dxa"/>
            <w:vAlign w:val="bottom"/>
            <w:tcBorders>
              <w:top w:val="single" w:sz="8" w:color="0000FF"/>
              <w:bottom w:val="single" w:sz="8" w:color="auto"/>
            </w:tcBorders>
            <w:gridSpan w:val="6"/>
            <w:shd w:val="clear" w:color="auto" w:fill="99CCFF"/>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0000FF"/>
              </w:rPr>
              <w:t>Ratio</w:t>
            </w:r>
          </w:p>
        </w:tc>
        <w:tc>
          <w:tcPr>
            <w:tcW w:w="140" w:type="dxa"/>
            <w:vAlign w:val="bottom"/>
            <w:tcBorders>
              <w:top w:val="single" w:sz="8" w:color="99CCFF"/>
              <w:bottom w:val="single" w:sz="8" w:color="auto"/>
              <w:right w:val="single" w:sz="8" w:color="auto"/>
            </w:tcBorders>
            <w:gridSpan w:val="2"/>
            <w:shd w:val="clear" w:color="auto" w:fill="99CCFF"/>
          </w:tcPr>
          <w:p>
            <w:pPr>
              <w:spacing w:after="0"/>
              <w:rPr>
                <w:sz w:val="18"/>
                <w:szCs w:val="18"/>
                <w:color w:val="auto"/>
              </w:rPr>
            </w:pPr>
          </w:p>
        </w:tc>
        <w:tc>
          <w:tcPr>
            <w:tcW w:w="40" w:type="dxa"/>
            <w:vAlign w:val="bottom"/>
            <w:tcBorders>
              <w:top w:val="single" w:sz="8" w:color="99CCFF"/>
              <w:bottom w:val="single" w:sz="8" w:color="auto"/>
            </w:tcBorders>
            <w:shd w:val="clear" w:color="auto" w:fill="99CCFF"/>
          </w:tcPr>
          <w:p>
            <w:pPr>
              <w:spacing w:after="0"/>
              <w:rPr>
                <w:sz w:val="18"/>
                <w:szCs w:val="18"/>
                <w:color w:val="auto"/>
              </w:rPr>
            </w:pPr>
          </w:p>
        </w:tc>
        <w:tc>
          <w:tcPr>
            <w:tcW w:w="12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40" w:type="dxa"/>
            <w:vAlign w:val="bottom"/>
            <w:tcBorders>
              <w:top w:val="single" w:sz="8" w:color="0000FF"/>
              <w:bottom w:val="single" w:sz="8" w:color="auto"/>
            </w:tcBorders>
            <w:shd w:val="clear" w:color="auto" w:fill="99CCFF"/>
          </w:tcPr>
          <w:p>
            <w:pPr>
              <w:spacing w:after="0"/>
              <w:rPr>
                <w:sz w:val="18"/>
                <w:szCs w:val="18"/>
                <w:color w:val="auto"/>
              </w:rPr>
            </w:pPr>
          </w:p>
        </w:tc>
        <w:tc>
          <w:tcPr>
            <w:tcW w:w="380" w:type="dxa"/>
            <w:vAlign w:val="bottom"/>
            <w:tcBorders>
              <w:top w:val="single" w:sz="8" w:color="0000FF"/>
              <w:bottom w:val="single" w:sz="8" w:color="auto"/>
            </w:tcBorders>
            <w:shd w:val="clear" w:color="auto" w:fill="99CCFF"/>
          </w:tcPr>
          <w:p>
            <w:pPr>
              <w:spacing w:after="0"/>
              <w:rPr>
                <w:sz w:val="18"/>
                <w:szCs w:val="18"/>
                <w:color w:val="auto"/>
              </w:rPr>
            </w:pPr>
          </w:p>
        </w:tc>
        <w:tc>
          <w:tcPr>
            <w:tcW w:w="40" w:type="dxa"/>
            <w:vAlign w:val="bottom"/>
            <w:tcBorders>
              <w:top w:val="single" w:sz="8" w:color="0000FF"/>
              <w:bottom w:val="single" w:sz="8" w:color="auto"/>
            </w:tcBorders>
            <w:shd w:val="clear" w:color="auto" w:fill="99CCFF"/>
          </w:tcPr>
          <w:p>
            <w:pPr>
              <w:spacing w:after="0"/>
              <w:rPr>
                <w:sz w:val="18"/>
                <w:szCs w:val="18"/>
                <w:color w:val="auto"/>
              </w:rPr>
            </w:pPr>
          </w:p>
        </w:tc>
        <w:tc>
          <w:tcPr>
            <w:tcW w:w="220" w:type="dxa"/>
            <w:vAlign w:val="bottom"/>
            <w:tcBorders>
              <w:top w:val="single" w:sz="8" w:color="99CCFF"/>
              <w:bottom w:val="single" w:sz="8" w:color="auto"/>
            </w:tcBorders>
            <w:shd w:val="clear" w:color="auto" w:fill="99CCFF"/>
          </w:tcPr>
          <w:p>
            <w:pPr>
              <w:spacing w:after="0"/>
              <w:rPr>
                <w:sz w:val="18"/>
                <w:szCs w:val="18"/>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c>
          <w:tcPr>
            <w:tcW w:w="180" w:type="dxa"/>
            <w:vAlign w:val="bottom"/>
            <w:tcBorders>
              <w:top w:val="single" w:sz="8" w:color="99CCFF"/>
              <w:bottom w:val="single" w:sz="8" w:color="auto"/>
            </w:tcBorders>
            <w:shd w:val="clear" w:color="auto" w:fill="99CCFF"/>
          </w:tcPr>
          <w:p>
            <w:pPr>
              <w:spacing w:after="0"/>
              <w:rPr>
                <w:sz w:val="18"/>
                <w:szCs w:val="18"/>
                <w:color w:val="auto"/>
              </w:rPr>
            </w:pPr>
          </w:p>
        </w:tc>
        <w:tc>
          <w:tcPr>
            <w:tcW w:w="260" w:type="dxa"/>
            <w:vAlign w:val="bottom"/>
            <w:tcBorders>
              <w:top w:val="single" w:sz="8" w:color="99CCFF"/>
              <w:bottom w:val="single" w:sz="8" w:color="auto"/>
            </w:tcBorders>
            <w:shd w:val="clear" w:color="auto" w:fill="99CCFF"/>
          </w:tcPr>
          <w:p>
            <w:pPr>
              <w:spacing w:after="0"/>
              <w:rPr>
                <w:sz w:val="18"/>
                <w:szCs w:val="18"/>
                <w:color w:val="auto"/>
              </w:rPr>
            </w:pPr>
          </w:p>
        </w:tc>
        <w:tc>
          <w:tcPr>
            <w:tcW w:w="60" w:type="dxa"/>
            <w:vAlign w:val="bottom"/>
            <w:tcBorders>
              <w:top w:val="single" w:sz="8" w:color="99CCFF"/>
              <w:bottom w:val="single" w:sz="8" w:color="auto"/>
            </w:tcBorders>
            <w:shd w:val="clear" w:color="auto" w:fill="99CCFF"/>
          </w:tcPr>
          <w:p>
            <w:pPr>
              <w:spacing w:after="0"/>
              <w:rPr>
                <w:sz w:val="18"/>
                <w:szCs w:val="18"/>
                <w:color w:val="auto"/>
              </w:rPr>
            </w:pPr>
          </w:p>
        </w:tc>
        <w:tc>
          <w:tcPr>
            <w:tcW w:w="220" w:type="dxa"/>
            <w:vAlign w:val="bottom"/>
            <w:tcBorders>
              <w:top w:val="single" w:sz="8" w:color="0000FF"/>
              <w:bottom w:val="single" w:sz="8" w:color="auto"/>
            </w:tcBorders>
            <w:shd w:val="clear" w:color="auto" w:fill="99CCFF"/>
          </w:tcPr>
          <w:p>
            <w:pPr>
              <w:spacing w:after="0"/>
              <w:rPr>
                <w:sz w:val="18"/>
                <w:szCs w:val="18"/>
                <w:color w:val="auto"/>
              </w:rPr>
            </w:pPr>
          </w:p>
        </w:tc>
        <w:tc>
          <w:tcPr>
            <w:tcW w:w="80" w:type="dxa"/>
            <w:vAlign w:val="bottom"/>
            <w:tcBorders>
              <w:top w:val="single" w:sz="8" w:color="99CCFF"/>
              <w:bottom w:val="single" w:sz="8" w:color="auto"/>
            </w:tcBorders>
            <w:shd w:val="clear" w:color="auto" w:fill="99CCFF"/>
          </w:tcPr>
          <w:p>
            <w:pPr>
              <w:spacing w:after="0"/>
              <w:rPr>
                <w:sz w:val="18"/>
                <w:szCs w:val="18"/>
                <w:color w:val="auto"/>
              </w:rPr>
            </w:pPr>
          </w:p>
        </w:tc>
        <w:tc>
          <w:tcPr>
            <w:tcW w:w="280" w:type="dxa"/>
            <w:vAlign w:val="bottom"/>
            <w:tcBorders>
              <w:top w:val="single" w:sz="8" w:color="99CCFF"/>
              <w:bottom w:val="single" w:sz="8" w:color="auto"/>
            </w:tcBorders>
            <w:shd w:val="clear" w:color="auto" w:fill="99CCFF"/>
          </w:tcPr>
          <w:p>
            <w:pPr>
              <w:spacing w:after="0"/>
              <w:rPr>
                <w:sz w:val="18"/>
                <w:szCs w:val="18"/>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18"/>
                <w:szCs w:val="18"/>
                <w:color w:val="auto"/>
              </w:rPr>
            </w:pPr>
          </w:p>
        </w:tc>
      </w:tr>
      <w:tr>
        <w:trPr>
          <w:trHeight w:val="189"/>
        </w:trPr>
        <w:tc>
          <w:tcPr>
            <w:tcW w:w="160" w:type="dxa"/>
            <w:vAlign w:val="bottom"/>
            <w:tcBorders>
              <w:top w:val="single" w:sz="8" w:color="auto"/>
              <w:left w:val="single" w:sz="8" w:color="auto"/>
              <w:bottom w:val="single" w:sz="8" w:color="auto"/>
            </w:tcBorders>
            <w:shd w:val="clear" w:color="auto" w:fill="99CCFF"/>
          </w:tcPr>
          <w:p>
            <w:pPr>
              <w:spacing w:after="0"/>
              <w:rPr>
                <w:sz w:val="16"/>
                <w:szCs w:val="16"/>
                <w:color w:val="auto"/>
              </w:rPr>
            </w:pPr>
          </w:p>
        </w:tc>
        <w:tc>
          <w:tcPr>
            <w:tcW w:w="60" w:type="dxa"/>
            <w:vAlign w:val="bottom"/>
            <w:tcBorders>
              <w:top w:val="single" w:sz="8" w:color="auto"/>
              <w:bottom w:val="single" w:sz="8" w:color="auto"/>
            </w:tcBorders>
            <w:shd w:val="clear" w:color="auto" w:fill="99CCFF"/>
          </w:tcPr>
          <w:p>
            <w:pPr>
              <w:spacing w:after="0"/>
              <w:rPr>
                <w:sz w:val="16"/>
                <w:szCs w:val="16"/>
                <w:color w:val="auto"/>
              </w:rPr>
            </w:pPr>
          </w:p>
        </w:tc>
        <w:tc>
          <w:tcPr>
            <w:tcW w:w="100" w:type="dxa"/>
            <w:vAlign w:val="bottom"/>
            <w:tcBorders>
              <w:top w:val="single" w:sz="8" w:color="auto"/>
              <w:bottom w:val="single" w:sz="8" w:color="auto"/>
            </w:tcBorders>
            <w:shd w:val="clear" w:color="auto" w:fill="99CCFF"/>
          </w:tcPr>
          <w:p>
            <w:pPr>
              <w:spacing w:after="0"/>
              <w:rPr>
                <w:sz w:val="16"/>
                <w:szCs w:val="16"/>
                <w:color w:val="auto"/>
              </w:rPr>
            </w:pPr>
          </w:p>
        </w:tc>
        <w:tc>
          <w:tcPr>
            <w:tcW w:w="20" w:type="dxa"/>
            <w:vAlign w:val="bottom"/>
            <w:tcBorders>
              <w:top w:val="single" w:sz="8" w:color="auto"/>
              <w:bottom w:val="single" w:sz="8" w:color="auto"/>
            </w:tcBorders>
            <w:shd w:val="clear" w:color="auto" w:fill="99CCFF"/>
          </w:tcPr>
          <w:p>
            <w:pPr>
              <w:spacing w:after="0"/>
              <w:rPr>
                <w:sz w:val="16"/>
                <w:szCs w:val="16"/>
                <w:color w:val="auto"/>
              </w:rPr>
            </w:pPr>
          </w:p>
        </w:tc>
        <w:tc>
          <w:tcPr>
            <w:tcW w:w="480" w:type="dxa"/>
            <w:vAlign w:val="bottom"/>
            <w:tcBorders>
              <w:top w:val="single" w:sz="8" w:color="auto"/>
              <w:bottom w:val="single" w:sz="8" w:color="auto"/>
              <w:right w:val="single" w:sz="8" w:color="auto"/>
            </w:tcBorders>
            <w:gridSpan w:val="5"/>
            <w:shd w:val="clear" w:color="auto" w:fill="99CCFF"/>
          </w:tcPr>
          <w:p>
            <w:pPr>
              <w:jc w:val="center"/>
              <w:ind w:right="380"/>
              <w:spacing w:after="0" w:line="135" w:lineRule="exact"/>
              <w:rPr>
                <w:sz w:val="20"/>
                <w:szCs w:val="20"/>
                <w:color w:val="auto"/>
              </w:rPr>
            </w:pPr>
            <w:r>
              <w:rPr>
                <w:rFonts w:ascii="Times New Roman" w:cs="Times New Roman" w:eastAsia="Times New Roman" w:hAnsi="Times New Roman"/>
                <w:sz w:val="14"/>
                <w:szCs w:val="14"/>
                <w:u w:val="single" w:color="auto"/>
                <w:color w:val="0000FF"/>
              </w:rPr>
              <w:t>I</w:t>
            </w:r>
          </w:p>
        </w:tc>
        <w:tc>
          <w:tcPr>
            <w:tcW w:w="1280" w:type="dxa"/>
            <w:vAlign w:val="bottom"/>
            <w:tcBorders>
              <w:top w:val="single" w:sz="8" w:color="99CCFF"/>
              <w:bottom w:val="single" w:sz="8" w:color="auto"/>
            </w:tcBorders>
            <w:gridSpan w:val="9"/>
            <w:shd w:val="clear" w:color="auto" w:fill="99CCFF"/>
          </w:tcPr>
          <w:p>
            <w:pPr>
              <w:jc w:val="center"/>
              <w:ind w:left="188"/>
              <w:spacing w:after="0" w:line="135" w:lineRule="exact"/>
              <w:rPr>
                <w:sz w:val="20"/>
                <w:szCs w:val="20"/>
                <w:color w:val="auto"/>
              </w:rPr>
            </w:pPr>
            <w:r>
              <w:rPr>
                <w:rFonts w:ascii="Times New Roman" w:cs="Times New Roman" w:eastAsia="Times New Roman" w:hAnsi="Times New Roman"/>
                <w:sz w:val="14"/>
                <w:szCs w:val="14"/>
                <w:color w:val="0000FF"/>
              </w:rPr>
              <w:t>&gt; 4.00:1.00</w:t>
            </w:r>
          </w:p>
        </w:tc>
        <w:tc>
          <w:tcPr>
            <w:tcW w:w="140" w:type="dxa"/>
            <w:vAlign w:val="bottom"/>
            <w:tcBorders>
              <w:top w:val="single" w:sz="8" w:color="99CCFF"/>
              <w:bottom w:val="single" w:sz="8" w:color="auto"/>
            </w:tcBorders>
            <w:shd w:val="clear" w:color="auto" w:fill="99CCFF"/>
          </w:tcPr>
          <w:p>
            <w:pPr>
              <w:spacing w:after="0"/>
              <w:rPr>
                <w:sz w:val="16"/>
                <w:szCs w:val="16"/>
                <w:color w:val="auto"/>
              </w:rPr>
            </w:pPr>
          </w:p>
        </w:tc>
        <w:tc>
          <w:tcPr>
            <w:tcW w:w="60" w:type="dxa"/>
            <w:vAlign w:val="bottom"/>
            <w:tcBorders>
              <w:top w:val="single" w:sz="8" w:color="99CCFF"/>
              <w:bottom w:val="single" w:sz="8" w:color="auto"/>
            </w:tcBorders>
            <w:shd w:val="clear" w:color="auto" w:fill="99CCFF"/>
          </w:tcPr>
          <w:p>
            <w:pPr>
              <w:spacing w:after="0"/>
              <w:rPr>
                <w:sz w:val="16"/>
                <w:szCs w:val="16"/>
                <w:color w:val="auto"/>
              </w:rPr>
            </w:pPr>
          </w:p>
        </w:tc>
        <w:tc>
          <w:tcPr>
            <w:tcW w:w="40" w:type="dxa"/>
            <w:vAlign w:val="bottom"/>
            <w:tcBorders>
              <w:top w:val="single" w:sz="8" w:color="99CCFF"/>
              <w:bottom w:val="single" w:sz="8" w:color="auto"/>
            </w:tcBorders>
            <w:shd w:val="clear" w:color="auto" w:fill="99CCFF"/>
          </w:tcPr>
          <w:p>
            <w:pPr>
              <w:spacing w:after="0"/>
              <w:rPr>
                <w:sz w:val="16"/>
                <w:szCs w:val="16"/>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16"/>
                <w:szCs w:val="16"/>
                <w:color w:val="auto"/>
              </w:rPr>
            </w:pPr>
          </w:p>
        </w:tc>
        <w:tc>
          <w:tcPr>
            <w:tcW w:w="840" w:type="dxa"/>
            <w:vAlign w:val="bottom"/>
            <w:tcBorders>
              <w:top w:val="single" w:sz="8" w:color="99CCFF"/>
              <w:bottom w:val="single" w:sz="8" w:color="auto"/>
            </w:tcBorders>
            <w:gridSpan w:val="6"/>
            <w:shd w:val="clear" w:color="auto" w:fill="99CCFF"/>
          </w:tcPr>
          <w:p>
            <w:pPr>
              <w:jc w:val="center"/>
              <w:ind w:left="308"/>
              <w:spacing w:after="0" w:line="135" w:lineRule="exact"/>
              <w:rPr>
                <w:sz w:val="20"/>
                <w:szCs w:val="20"/>
                <w:color w:val="auto"/>
              </w:rPr>
            </w:pPr>
            <w:r>
              <w:rPr>
                <w:rFonts w:ascii="Times New Roman" w:cs="Times New Roman" w:eastAsia="Times New Roman" w:hAnsi="Times New Roman"/>
                <w:sz w:val="14"/>
                <w:szCs w:val="14"/>
                <w:color w:val="0000FF"/>
              </w:rPr>
              <w:t>3.75%</w:t>
            </w:r>
          </w:p>
        </w:tc>
        <w:tc>
          <w:tcPr>
            <w:tcW w:w="220" w:type="dxa"/>
            <w:vAlign w:val="bottom"/>
            <w:tcBorders>
              <w:top w:val="single" w:sz="8" w:color="99CCFF"/>
              <w:bottom w:val="single" w:sz="8" w:color="auto"/>
            </w:tcBorders>
            <w:shd w:val="clear" w:color="auto" w:fill="99CCFF"/>
          </w:tcPr>
          <w:p>
            <w:pPr>
              <w:spacing w:after="0"/>
              <w:rPr>
                <w:sz w:val="16"/>
                <w:szCs w:val="16"/>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16"/>
                <w:szCs w:val="16"/>
                <w:color w:val="auto"/>
              </w:rPr>
            </w:pPr>
          </w:p>
        </w:tc>
        <w:tc>
          <w:tcPr>
            <w:tcW w:w="1080" w:type="dxa"/>
            <w:vAlign w:val="bottom"/>
            <w:tcBorders>
              <w:top w:val="single" w:sz="8" w:color="99CCFF"/>
              <w:bottom w:val="single" w:sz="8" w:color="auto"/>
            </w:tcBorders>
            <w:gridSpan w:val="6"/>
            <w:shd w:val="clear" w:color="auto" w:fill="99CCFF"/>
          </w:tcPr>
          <w:p>
            <w:pPr>
              <w:jc w:val="center"/>
              <w:ind w:left="88"/>
              <w:spacing w:after="0" w:line="135" w:lineRule="exact"/>
              <w:rPr>
                <w:sz w:val="20"/>
                <w:szCs w:val="20"/>
                <w:color w:val="auto"/>
              </w:rPr>
            </w:pPr>
            <w:r>
              <w:rPr>
                <w:rFonts w:ascii="Times New Roman" w:cs="Times New Roman" w:eastAsia="Times New Roman" w:hAnsi="Times New Roman"/>
                <w:sz w:val="14"/>
                <w:szCs w:val="14"/>
                <w:color w:val="0000FF"/>
                <w:w w:val="99"/>
              </w:rPr>
              <w:t>0.50%</w:t>
            </w:r>
          </w:p>
        </w:tc>
        <w:tc>
          <w:tcPr>
            <w:tcW w:w="200" w:type="dxa"/>
            <w:vAlign w:val="bottom"/>
            <w:tcBorders>
              <w:top w:val="single" w:sz="8" w:color="99CCFF"/>
              <w:bottom w:val="single" w:sz="8" w:color="auto"/>
              <w:right w:val="single" w:sz="8" w:color="auto"/>
            </w:tcBorders>
            <w:shd w:val="clear" w:color="auto" w:fill="99CCFF"/>
          </w:tcPr>
          <w:p>
            <w:pPr>
              <w:spacing w:after="0"/>
              <w:rPr>
                <w:sz w:val="16"/>
                <w:szCs w:val="16"/>
                <w:color w:val="auto"/>
              </w:rPr>
            </w:pPr>
          </w:p>
        </w:tc>
      </w:tr>
      <w:tr>
        <w:trPr>
          <w:trHeight w:val="174"/>
        </w:trPr>
        <w:tc>
          <w:tcPr>
            <w:tcW w:w="160" w:type="dxa"/>
            <w:vAlign w:val="bottom"/>
            <w:tcBorders>
              <w:left w:val="single" w:sz="8" w:color="auto"/>
            </w:tcBorders>
            <w:shd w:val="clear" w:color="auto" w:fill="99CCFF"/>
          </w:tcPr>
          <w:p>
            <w:pPr>
              <w:spacing w:after="0"/>
              <w:rPr>
                <w:sz w:val="15"/>
                <w:szCs w:val="15"/>
                <w:color w:val="auto"/>
              </w:rPr>
            </w:pPr>
          </w:p>
        </w:tc>
        <w:tc>
          <w:tcPr>
            <w:tcW w:w="60" w:type="dxa"/>
            <w:vAlign w:val="bottom"/>
            <w:shd w:val="clear" w:color="auto" w:fill="99CCFF"/>
          </w:tcPr>
          <w:p>
            <w:pPr>
              <w:spacing w:after="0"/>
              <w:rPr>
                <w:sz w:val="15"/>
                <w:szCs w:val="15"/>
                <w:color w:val="auto"/>
              </w:rPr>
            </w:pPr>
          </w:p>
        </w:tc>
        <w:tc>
          <w:tcPr>
            <w:tcW w:w="100" w:type="dxa"/>
            <w:vAlign w:val="bottom"/>
            <w:shd w:val="clear" w:color="auto" w:fill="99CCFF"/>
          </w:tcPr>
          <w:p>
            <w:pPr>
              <w:spacing w:after="0"/>
              <w:rPr>
                <w:sz w:val="15"/>
                <w:szCs w:val="15"/>
                <w:color w:val="auto"/>
              </w:rPr>
            </w:pPr>
          </w:p>
        </w:tc>
        <w:tc>
          <w:tcPr>
            <w:tcW w:w="20" w:type="dxa"/>
            <w:vAlign w:val="bottom"/>
            <w:shd w:val="clear" w:color="auto" w:fill="99CCFF"/>
          </w:tcPr>
          <w:p>
            <w:pPr>
              <w:spacing w:after="0"/>
              <w:rPr>
                <w:sz w:val="15"/>
                <w:szCs w:val="15"/>
                <w:color w:val="auto"/>
              </w:rPr>
            </w:pPr>
          </w:p>
        </w:tc>
        <w:tc>
          <w:tcPr>
            <w:tcW w:w="480" w:type="dxa"/>
            <w:vAlign w:val="bottom"/>
            <w:tcBorders>
              <w:right w:val="single" w:sz="8" w:color="auto"/>
            </w:tcBorders>
            <w:gridSpan w:val="5"/>
            <w:shd w:val="clear" w:color="auto" w:fill="99CCFF"/>
          </w:tcPr>
          <w:p>
            <w:pPr>
              <w:jc w:val="center"/>
              <w:ind w:right="380"/>
              <w:spacing w:after="0"/>
              <w:rPr>
                <w:sz w:val="20"/>
                <w:szCs w:val="20"/>
                <w:color w:val="auto"/>
              </w:rPr>
            </w:pPr>
            <w:r>
              <w:rPr>
                <w:rFonts w:ascii="Times New Roman" w:cs="Times New Roman" w:eastAsia="Times New Roman" w:hAnsi="Times New Roman"/>
                <w:sz w:val="14"/>
                <w:szCs w:val="14"/>
                <w:color w:val="0000FF"/>
              </w:rPr>
              <w:t>II</w:t>
            </w:r>
          </w:p>
        </w:tc>
        <w:tc>
          <w:tcPr>
            <w:tcW w:w="40" w:type="dxa"/>
            <w:vAlign w:val="bottom"/>
            <w:shd w:val="clear" w:color="auto" w:fill="99CCFF"/>
          </w:tcPr>
          <w:p>
            <w:pPr>
              <w:spacing w:after="0"/>
              <w:rPr>
                <w:sz w:val="15"/>
                <w:szCs w:val="15"/>
                <w:color w:val="auto"/>
              </w:rPr>
            </w:pPr>
          </w:p>
        </w:tc>
        <w:tc>
          <w:tcPr>
            <w:tcW w:w="20" w:type="dxa"/>
            <w:vAlign w:val="bottom"/>
            <w:shd w:val="clear" w:color="auto" w:fill="99CCFF"/>
          </w:tcPr>
          <w:p>
            <w:pPr>
              <w:spacing w:after="0"/>
              <w:rPr>
                <w:sz w:val="15"/>
                <w:szCs w:val="15"/>
                <w:color w:val="auto"/>
              </w:rPr>
            </w:pPr>
          </w:p>
        </w:tc>
        <w:tc>
          <w:tcPr>
            <w:tcW w:w="1560" w:type="dxa"/>
            <w:vAlign w:val="bottom"/>
            <w:tcBorders>
              <w:right w:val="single" w:sz="8" w:color="auto"/>
            </w:tcBorders>
            <w:gridSpan w:val="11"/>
            <w:shd w:val="clear" w:color="auto" w:fill="99CCFF"/>
          </w:tcPr>
          <w:p>
            <w:pPr>
              <w:jc w:val="center"/>
              <w:ind w:right="120"/>
              <w:spacing w:after="0"/>
              <w:rPr>
                <w:sz w:val="20"/>
                <w:szCs w:val="20"/>
                <w:color w:val="auto"/>
              </w:rPr>
            </w:pPr>
            <w:r>
              <w:rPr>
                <w:rFonts w:ascii="Times New Roman" w:cs="Times New Roman" w:eastAsia="Times New Roman" w:hAnsi="Times New Roman"/>
                <w:sz w:val="14"/>
                <w:szCs w:val="14"/>
                <w:color w:val="0000FF"/>
              </w:rPr>
              <w:t>&lt; 4.00:1.00 but &gt; 3.50</w:t>
            </w:r>
          </w:p>
        </w:tc>
        <w:tc>
          <w:tcPr>
            <w:tcW w:w="840" w:type="dxa"/>
            <w:vAlign w:val="bottom"/>
            <w:gridSpan w:val="6"/>
            <w:shd w:val="clear" w:color="auto" w:fill="99CCFF"/>
          </w:tcPr>
          <w:p>
            <w:pPr>
              <w:jc w:val="center"/>
              <w:ind w:left="308"/>
              <w:spacing w:after="0"/>
              <w:rPr>
                <w:sz w:val="20"/>
                <w:szCs w:val="20"/>
                <w:color w:val="auto"/>
              </w:rPr>
            </w:pPr>
            <w:r>
              <w:rPr>
                <w:rFonts w:ascii="Times New Roman" w:cs="Times New Roman" w:eastAsia="Times New Roman" w:hAnsi="Times New Roman"/>
                <w:sz w:val="14"/>
                <w:szCs w:val="14"/>
                <w:color w:val="0000FF"/>
              </w:rPr>
              <w:t>3.50%</w:t>
            </w:r>
          </w:p>
        </w:tc>
        <w:tc>
          <w:tcPr>
            <w:tcW w:w="220" w:type="dxa"/>
            <w:vAlign w:val="bottom"/>
            <w:shd w:val="clear" w:color="auto" w:fill="99CCFF"/>
          </w:tcPr>
          <w:p>
            <w:pPr>
              <w:spacing w:after="0"/>
              <w:rPr>
                <w:sz w:val="15"/>
                <w:szCs w:val="15"/>
                <w:color w:val="auto"/>
              </w:rPr>
            </w:pPr>
          </w:p>
        </w:tc>
        <w:tc>
          <w:tcPr>
            <w:tcW w:w="200" w:type="dxa"/>
            <w:vAlign w:val="bottom"/>
            <w:tcBorders>
              <w:right w:val="single" w:sz="8" w:color="auto"/>
            </w:tcBorders>
            <w:shd w:val="clear" w:color="auto" w:fill="99CCFF"/>
          </w:tcPr>
          <w:p>
            <w:pPr>
              <w:spacing w:after="0"/>
              <w:rPr>
                <w:sz w:val="15"/>
                <w:szCs w:val="15"/>
                <w:color w:val="auto"/>
              </w:rPr>
            </w:pPr>
          </w:p>
        </w:tc>
        <w:tc>
          <w:tcPr>
            <w:tcW w:w="1080" w:type="dxa"/>
            <w:vAlign w:val="bottom"/>
            <w:gridSpan w:val="6"/>
            <w:shd w:val="clear" w:color="auto" w:fill="99CCFF"/>
          </w:tcPr>
          <w:p>
            <w:pPr>
              <w:jc w:val="center"/>
              <w:ind w:left="88"/>
              <w:spacing w:after="0"/>
              <w:rPr>
                <w:sz w:val="20"/>
                <w:szCs w:val="20"/>
                <w:color w:val="auto"/>
              </w:rPr>
            </w:pPr>
            <w:r>
              <w:rPr>
                <w:rFonts w:ascii="Times New Roman" w:cs="Times New Roman" w:eastAsia="Times New Roman" w:hAnsi="Times New Roman"/>
                <w:sz w:val="14"/>
                <w:szCs w:val="14"/>
                <w:color w:val="0000FF"/>
                <w:w w:val="99"/>
              </w:rPr>
              <w:t>0.37%</w:t>
            </w:r>
          </w:p>
        </w:tc>
        <w:tc>
          <w:tcPr>
            <w:tcW w:w="200" w:type="dxa"/>
            <w:vAlign w:val="bottom"/>
            <w:tcBorders>
              <w:right w:val="single" w:sz="8" w:color="auto"/>
            </w:tcBorders>
            <w:shd w:val="clear" w:color="auto" w:fill="99CCFF"/>
          </w:tcPr>
          <w:p>
            <w:pPr>
              <w:spacing w:after="0"/>
              <w:rPr>
                <w:sz w:val="15"/>
                <w:szCs w:val="15"/>
                <w:color w:val="auto"/>
              </w:rPr>
            </w:pPr>
          </w:p>
        </w:tc>
      </w:tr>
      <w:tr>
        <w:trPr>
          <w:trHeight w:val="66"/>
        </w:trPr>
        <w:tc>
          <w:tcPr>
            <w:tcW w:w="160" w:type="dxa"/>
            <w:vAlign w:val="bottom"/>
            <w:tcBorders>
              <w:top w:val="single" w:sz="8" w:color="99CCFF"/>
              <w:left w:val="single" w:sz="8" w:color="auto"/>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0000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20" w:type="dxa"/>
            <w:vAlign w:val="bottom"/>
            <w:tcBorders>
              <w:top w:val="single" w:sz="8" w:color="99CCFF"/>
              <w:bottom w:val="single" w:sz="8" w:color="auto"/>
            </w:tcBorders>
            <w:shd w:val="clear" w:color="auto" w:fill="99CCFF"/>
          </w:tcPr>
          <w:p>
            <w:pPr>
              <w:spacing w:after="0"/>
              <w:rPr>
                <w:sz w:val="5"/>
                <w:szCs w:val="5"/>
                <w:color w:val="auto"/>
              </w:rPr>
            </w:pPr>
          </w:p>
        </w:tc>
        <w:tc>
          <w:tcPr>
            <w:tcW w:w="8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0000FF"/>
              <w:bottom w:val="single" w:sz="8" w:color="auto"/>
            </w:tcBorders>
            <w:shd w:val="clear" w:color="auto" w:fill="99CCFF"/>
          </w:tcPr>
          <w:p>
            <w:pPr>
              <w:spacing w:after="0"/>
              <w:rPr>
                <w:sz w:val="5"/>
                <w:szCs w:val="5"/>
                <w:color w:val="auto"/>
              </w:rPr>
            </w:pPr>
          </w:p>
        </w:tc>
        <w:tc>
          <w:tcPr>
            <w:tcW w:w="18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0000FF"/>
              <w:bottom w:val="single" w:sz="8" w:color="auto"/>
            </w:tcBorders>
            <w:shd w:val="clear" w:color="auto" w:fill="99CCFF"/>
          </w:tcPr>
          <w:p>
            <w:pPr>
              <w:spacing w:after="0"/>
              <w:rPr>
                <w:sz w:val="5"/>
                <w:szCs w:val="5"/>
                <w:color w:val="auto"/>
              </w:rPr>
            </w:pPr>
          </w:p>
        </w:tc>
        <w:tc>
          <w:tcPr>
            <w:tcW w:w="340" w:type="dxa"/>
            <w:vAlign w:val="bottom"/>
            <w:tcBorders>
              <w:top w:val="single" w:sz="8" w:color="0000FF"/>
              <w:bottom w:val="single" w:sz="8" w:color="auto"/>
            </w:tcBorders>
            <w:shd w:val="clear" w:color="auto" w:fill="99CCFF"/>
          </w:tcPr>
          <w:p>
            <w:pPr>
              <w:spacing w:after="0"/>
              <w:rPr>
                <w:sz w:val="5"/>
                <w:szCs w:val="5"/>
                <w:color w:val="auto"/>
              </w:rPr>
            </w:pPr>
          </w:p>
        </w:tc>
        <w:tc>
          <w:tcPr>
            <w:tcW w:w="160" w:type="dxa"/>
            <w:vAlign w:val="bottom"/>
            <w:tcBorders>
              <w:top w:val="single" w:sz="8" w:color="0000FF"/>
              <w:bottom w:val="single" w:sz="8" w:color="auto"/>
            </w:tcBorders>
            <w:shd w:val="clear" w:color="auto" w:fill="99CCFF"/>
          </w:tcPr>
          <w:p>
            <w:pPr>
              <w:spacing w:after="0"/>
              <w:rPr>
                <w:sz w:val="5"/>
                <w:szCs w:val="5"/>
                <w:color w:val="auto"/>
              </w:rPr>
            </w:pPr>
          </w:p>
        </w:tc>
        <w:tc>
          <w:tcPr>
            <w:tcW w:w="180" w:type="dxa"/>
            <w:vAlign w:val="bottom"/>
            <w:tcBorders>
              <w:top w:val="single" w:sz="8" w:color="0000FF"/>
              <w:bottom w:val="single" w:sz="8" w:color="auto"/>
            </w:tcBorders>
            <w:shd w:val="clear" w:color="auto" w:fill="99CCFF"/>
          </w:tcPr>
          <w:p>
            <w:pPr>
              <w:spacing w:after="0"/>
              <w:rPr>
                <w:sz w:val="5"/>
                <w:szCs w:val="5"/>
                <w:color w:val="auto"/>
              </w:rPr>
            </w:pPr>
          </w:p>
        </w:tc>
        <w:tc>
          <w:tcPr>
            <w:tcW w:w="140" w:type="dxa"/>
            <w:vAlign w:val="bottom"/>
            <w:tcBorders>
              <w:top w:val="single" w:sz="8" w:color="0000FF"/>
              <w:bottom w:val="single" w:sz="8" w:color="auto"/>
            </w:tcBorders>
            <w:shd w:val="clear" w:color="auto" w:fill="99CCFF"/>
          </w:tcPr>
          <w:p>
            <w:pPr>
              <w:spacing w:after="0"/>
              <w:rPr>
                <w:sz w:val="5"/>
                <w:szCs w:val="5"/>
                <w:color w:val="auto"/>
              </w:rPr>
            </w:pPr>
          </w:p>
        </w:tc>
        <w:tc>
          <w:tcPr>
            <w:tcW w:w="6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1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12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380" w:type="dxa"/>
            <w:vAlign w:val="bottom"/>
            <w:tcBorders>
              <w:top w:val="single" w:sz="8" w:color="0000FF"/>
              <w:bottom w:val="single" w:sz="8" w:color="auto"/>
            </w:tcBorders>
            <w:shd w:val="clear" w:color="auto" w:fill="99CCFF"/>
          </w:tcPr>
          <w:p>
            <w:pPr>
              <w:spacing w:after="0"/>
              <w:rPr>
                <w:sz w:val="5"/>
                <w:szCs w:val="5"/>
                <w:color w:val="auto"/>
              </w:rPr>
            </w:pPr>
          </w:p>
        </w:tc>
        <w:tc>
          <w:tcPr>
            <w:tcW w:w="40" w:type="dxa"/>
            <w:vAlign w:val="bottom"/>
            <w:tcBorders>
              <w:top w:val="single" w:sz="8" w:color="99CCFF"/>
              <w:bottom w:val="single" w:sz="8" w:color="auto"/>
            </w:tcBorders>
            <w:shd w:val="clear" w:color="auto" w:fill="99CCFF"/>
          </w:tcPr>
          <w:p>
            <w:pPr>
              <w:spacing w:after="0"/>
              <w:rPr>
                <w:sz w:val="5"/>
                <w:szCs w:val="5"/>
                <w:color w:val="auto"/>
              </w:rPr>
            </w:pPr>
          </w:p>
        </w:tc>
        <w:tc>
          <w:tcPr>
            <w:tcW w:w="22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c>
          <w:tcPr>
            <w:tcW w:w="180" w:type="dxa"/>
            <w:vAlign w:val="bottom"/>
            <w:tcBorders>
              <w:top w:val="single" w:sz="8" w:color="99CCFF"/>
              <w:bottom w:val="single" w:sz="8" w:color="auto"/>
            </w:tcBorders>
            <w:shd w:val="clear" w:color="auto" w:fill="99CCFF"/>
          </w:tcPr>
          <w:p>
            <w:pPr>
              <w:spacing w:after="0"/>
              <w:rPr>
                <w:sz w:val="5"/>
                <w:szCs w:val="5"/>
                <w:color w:val="auto"/>
              </w:rPr>
            </w:pPr>
          </w:p>
        </w:tc>
        <w:tc>
          <w:tcPr>
            <w:tcW w:w="260" w:type="dxa"/>
            <w:vAlign w:val="bottom"/>
            <w:tcBorders>
              <w:top w:val="single" w:sz="8" w:color="99CCFF"/>
              <w:bottom w:val="single" w:sz="8" w:color="auto"/>
            </w:tcBorders>
            <w:shd w:val="clear" w:color="auto" w:fill="99CCFF"/>
          </w:tcPr>
          <w:p>
            <w:pPr>
              <w:spacing w:after="0"/>
              <w:rPr>
                <w:sz w:val="5"/>
                <w:szCs w:val="5"/>
                <w:color w:val="auto"/>
              </w:rPr>
            </w:pPr>
          </w:p>
        </w:tc>
        <w:tc>
          <w:tcPr>
            <w:tcW w:w="60" w:type="dxa"/>
            <w:vAlign w:val="bottom"/>
            <w:tcBorders>
              <w:top w:val="single" w:sz="8" w:color="0000FF"/>
              <w:bottom w:val="single" w:sz="8" w:color="auto"/>
            </w:tcBorders>
            <w:shd w:val="clear" w:color="auto" w:fill="99CCFF"/>
          </w:tcPr>
          <w:p>
            <w:pPr>
              <w:spacing w:after="0"/>
              <w:rPr>
                <w:sz w:val="5"/>
                <w:szCs w:val="5"/>
                <w:color w:val="auto"/>
              </w:rPr>
            </w:pPr>
          </w:p>
        </w:tc>
        <w:tc>
          <w:tcPr>
            <w:tcW w:w="220" w:type="dxa"/>
            <w:vAlign w:val="bottom"/>
            <w:tcBorders>
              <w:top w:val="single" w:sz="8" w:color="0000FF"/>
              <w:bottom w:val="single" w:sz="8" w:color="auto"/>
            </w:tcBorders>
            <w:shd w:val="clear" w:color="auto" w:fill="99CCFF"/>
          </w:tcPr>
          <w:p>
            <w:pPr>
              <w:spacing w:after="0"/>
              <w:rPr>
                <w:sz w:val="5"/>
                <w:szCs w:val="5"/>
                <w:color w:val="auto"/>
              </w:rPr>
            </w:pPr>
          </w:p>
        </w:tc>
        <w:tc>
          <w:tcPr>
            <w:tcW w:w="80" w:type="dxa"/>
            <w:vAlign w:val="bottom"/>
            <w:tcBorders>
              <w:top w:val="single" w:sz="8" w:color="0000FF"/>
              <w:bottom w:val="single" w:sz="8" w:color="auto"/>
            </w:tcBorders>
            <w:shd w:val="clear" w:color="auto" w:fill="99CCFF"/>
          </w:tcPr>
          <w:p>
            <w:pPr>
              <w:spacing w:after="0"/>
              <w:rPr>
                <w:sz w:val="5"/>
                <w:szCs w:val="5"/>
                <w:color w:val="auto"/>
              </w:rPr>
            </w:pPr>
          </w:p>
        </w:tc>
        <w:tc>
          <w:tcPr>
            <w:tcW w:w="280" w:type="dxa"/>
            <w:vAlign w:val="bottom"/>
            <w:tcBorders>
              <w:top w:val="single" w:sz="8" w:color="99CCFF"/>
              <w:bottom w:val="single" w:sz="8" w:color="auto"/>
            </w:tcBorders>
            <w:shd w:val="clear" w:color="auto" w:fill="99CCFF"/>
          </w:tcPr>
          <w:p>
            <w:pPr>
              <w:spacing w:after="0"/>
              <w:rPr>
                <w:sz w:val="5"/>
                <w:szCs w:val="5"/>
                <w:color w:val="auto"/>
              </w:rPr>
            </w:pPr>
          </w:p>
        </w:tc>
        <w:tc>
          <w:tcPr>
            <w:tcW w:w="200" w:type="dxa"/>
            <w:vAlign w:val="bottom"/>
            <w:tcBorders>
              <w:top w:val="single" w:sz="8" w:color="99CCFF"/>
              <w:bottom w:val="single" w:sz="8" w:color="auto"/>
              <w:right w:val="single" w:sz="8" w:color="auto"/>
            </w:tcBorders>
            <w:shd w:val="clear" w:color="auto" w:fill="99CCFF"/>
          </w:tcPr>
          <w:p>
            <w:pPr>
              <w:spacing w:after="0"/>
              <w:rPr>
                <w:sz w:val="5"/>
                <w:szCs w:val="5"/>
                <w:color w:val="auto"/>
              </w:rPr>
            </w:pPr>
          </w:p>
        </w:tc>
      </w:tr>
      <w:tr>
        <w:trPr>
          <w:trHeight w:val="227"/>
        </w:trPr>
        <w:tc>
          <w:tcPr>
            <w:tcW w:w="160" w:type="dxa"/>
            <w:vAlign w:val="bottom"/>
            <w:tcBorders>
              <w:left w:val="single" w:sz="8" w:color="auto"/>
              <w:bottom w:val="single" w:sz="8" w:color="auto"/>
            </w:tcBorders>
            <w:shd w:val="clear" w:color="auto" w:fill="99CCFF"/>
          </w:tcPr>
          <w:p>
            <w:pPr>
              <w:spacing w:after="0"/>
              <w:rPr>
                <w:sz w:val="19"/>
                <w:szCs w:val="19"/>
                <w:color w:val="auto"/>
              </w:rPr>
            </w:pPr>
          </w:p>
        </w:tc>
        <w:tc>
          <w:tcPr>
            <w:tcW w:w="60" w:type="dxa"/>
            <w:vAlign w:val="bottom"/>
            <w:tcBorders>
              <w:bottom w:val="single" w:sz="8" w:color="auto"/>
            </w:tcBorders>
            <w:shd w:val="clear" w:color="auto" w:fill="99CCFF"/>
          </w:tcPr>
          <w:p>
            <w:pPr>
              <w:spacing w:after="0"/>
              <w:rPr>
                <w:sz w:val="19"/>
                <w:szCs w:val="19"/>
                <w:color w:val="auto"/>
              </w:rPr>
            </w:pPr>
          </w:p>
        </w:tc>
        <w:tc>
          <w:tcPr>
            <w:tcW w:w="600" w:type="dxa"/>
            <w:vAlign w:val="bottom"/>
            <w:tcBorders>
              <w:bottom w:val="single" w:sz="8" w:color="auto"/>
              <w:right w:val="single" w:sz="8" w:color="auto"/>
            </w:tcBorders>
            <w:gridSpan w:val="7"/>
            <w:shd w:val="clear" w:color="auto" w:fill="99CCFF"/>
          </w:tcPr>
          <w:p>
            <w:pPr>
              <w:jc w:val="center"/>
              <w:ind w:right="260"/>
              <w:spacing w:after="0"/>
              <w:rPr>
                <w:sz w:val="20"/>
                <w:szCs w:val="20"/>
                <w:color w:val="auto"/>
              </w:rPr>
            </w:pPr>
            <w:r>
              <w:rPr>
                <w:rFonts w:ascii="Times New Roman" w:cs="Times New Roman" w:eastAsia="Times New Roman" w:hAnsi="Times New Roman"/>
                <w:sz w:val="14"/>
                <w:szCs w:val="14"/>
                <w:color w:val="0000FF"/>
                <w:w w:val="99"/>
              </w:rPr>
              <w:t>III</w:t>
            </w:r>
          </w:p>
        </w:tc>
        <w:tc>
          <w:tcPr>
            <w:tcW w:w="1280" w:type="dxa"/>
            <w:vAlign w:val="bottom"/>
            <w:tcBorders>
              <w:bottom w:val="single" w:sz="8" w:color="auto"/>
            </w:tcBorders>
            <w:gridSpan w:val="9"/>
            <w:shd w:val="clear" w:color="auto" w:fill="99CCFF"/>
          </w:tcPr>
          <w:p>
            <w:pPr>
              <w:jc w:val="center"/>
              <w:ind w:left="188"/>
              <w:spacing w:after="0"/>
              <w:rPr>
                <w:sz w:val="20"/>
                <w:szCs w:val="20"/>
                <w:color w:val="auto"/>
              </w:rPr>
            </w:pPr>
            <w:r>
              <w:rPr>
                <w:rFonts w:ascii="Times New Roman" w:cs="Times New Roman" w:eastAsia="Times New Roman" w:hAnsi="Times New Roman"/>
                <w:sz w:val="14"/>
                <w:szCs w:val="14"/>
                <w:color w:val="0000FF"/>
              </w:rPr>
              <w:t>&lt; 3.50:1.00</w:t>
            </w:r>
          </w:p>
        </w:tc>
        <w:tc>
          <w:tcPr>
            <w:tcW w:w="140" w:type="dxa"/>
            <w:vAlign w:val="bottom"/>
            <w:tcBorders>
              <w:bottom w:val="single" w:sz="8" w:color="auto"/>
            </w:tcBorders>
            <w:shd w:val="clear" w:color="auto" w:fill="99CCFF"/>
          </w:tcPr>
          <w:p>
            <w:pPr>
              <w:spacing w:after="0"/>
              <w:rPr>
                <w:sz w:val="19"/>
                <w:szCs w:val="19"/>
                <w:color w:val="auto"/>
              </w:rPr>
            </w:pPr>
          </w:p>
        </w:tc>
        <w:tc>
          <w:tcPr>
            <w:tcW w:w="60" w:type="dxa"/>
            <w:vAlign w:val="bottom"/>
            <w:tcBorders>
              <w:bottom w:val="single" w:sz="8" w:color="auto"/>
            </w:tcBorders>
            <w:shd w:val="clear" w:color="auto" w:fill="99CCFF"/>
          </w:tcPr>
          <w:p>
            <w:pPr>
              <w:spacing w:after="0"/>
              <w:rPr>
                <w:sz w:val="19"/>
                <w:szCs w:val="19"/>
                <w:color w:val="auto"/>
              </w:rPr>
            </w:pPr>
          </w:p>
        </w:tc>
        <w:tc>
          <w:tcPr>
            <w:tcW w:w="40" w:type="dxa"/>
            <w:vAlign w:val="bottom"/>
            <w:tcBorders>
              <w:bottom w:val="single" w:sz="8" w:color="auto"/>
            </w:tcBorders>
            <w:shd w:val="clear" w:color="auto" w:fill="99CCFF"/>
          </w:tcPr>
          <w:p>
            <w:pPr>
              <w:spacing w:after="0"/>
              <w:rPr>
                <w:sz w:val="19"/>
                <w:szCs w:val="19"/>
                <w:color w:val="auto"/>
              </w:rPr>
            </w:pPr>
          </w:p>
        </w:tc>
        <w:tc>
          <w:tcPr>
            <w:tcW w:w="100" w:type="dxa"/>
            <w:vAlign w:val="bottom"/>
            <w:tcBorders>
              <w:bottom w:val="single" w:sz="8" w:color="auto"/>
              <w:right w:val="single" w:sz="8" w:color="auto"/>
            </w:tcBorders>
            <w:shd w:val="clear" w:color="auto" w:fill="99CCFF"/>
          </w:tcPr>
          <w:p>
            <w:pPr>
              <w:spacing w:after="0"/>
              <w:rPr>
                <w:sz w:val="19"/>
                <w:szCs w:val="19"/>
                <w:color w:val="auto"/>
              </w:rPr>
            </w:pPr>
          </w:p>
        </w:tc>
        <w:tc>
          <w:tcPr>
            <w:tcW w:w="840" w:type="dxa"/>
            <w:vAlign w:val="bottom"/>
            <w:tcBorders>
              <w:bottom w:val="single" w:sz="8" w:color="auto"/>
            </w:tcBorders>
            <w:gridSpan w:val="6"/>
            <w:shd w:val="clear" w:color="auto" w:fill="99CCFF"/>
          </w:tcPr>
          <w:p>
            <w:pPr>
              <w:jc w:val="center"/>
              <w:ind w:left="308"/>
              <w:spacing w:after="0"/>
              <w:rPr>
                <w:sz w:val="20"/>
                <w:szCs w:val="20"/>
                <w:color w:val="auto"/>
              </w:rPr>
            </w:pPr>
            <w:r>
              <w:rPr>
                <w:rFonts w:ascii="Times New Roman" w:cs="Times New Roman" w:eastAsia="Times New Roman" w:hAnsi="Times New Roman"/>
                <w:sz w:val="14"/>
                <w:szCs w:val="14"/>
                <w:color w:val="0000FF"/>
              </w:rPr>
              <w:t>3.25%</w:t>
            </w:r>
          </w:p>
        </w:tc>
        <w:tc>
          <w:tcPr>
            <w:tcW w:w="220" w:type="dxa"/>
            <w:vAlign w:val="bottom"/>
            <w:tcBorders>
              <w:bottom w:val="single" w:sz="8" w:color="auto"/>
            </w:tcBorders>
            <w:shd w:val="clear" w:color="auto" w:fill="99CCFF"/>
          </w:tcPr>
          <w:p>
            <w:pPr>
              <w:spacing w:after="0"/>
              <w:rPr>
                <w:sz w:val="19"/>
                <w:szCs w:val="19"/>
                <w:color w:val="auto"/>
              </w:rPr>
            </w:pPr>
          </w:p>
        </w:tc>
        <w:tc>
          <w:tcPr>
            <w:tcW w:w="200" w:type="dxa"/>
            <w:vAlign w:val="bottom"/>
            <w:tcBorders>
              <w:bottom w:val="single" w:sz="8" w:color="auto"/>
              <w:right w:val="single" w:sz="8" w:color="auto"/>
            </w:tcBorders>
            <w:shd w:val="clear" w:color="auto" w:fill="99CCFF"/>
          </w:tcPr>
          <w:p>
            <w:pPr>
              <w:spacing w:after="0"/>
              <w:rPr>
                <w:sz w:val="19"/>
                <w:szCs w:val="19"/>
                <w:color w:val="auto"/>
              </w:rPr>
            </w:pPr>
          </w:p>
        </w:tc>
        <w:tc>
          <w:tcPr>
            <w:tcW w:w="1080" w:type="dxa"/>
            <w:vAlign w:val="bottom"/>
            <w:tcBorders>
              <w:bottom w:val="single" w:sz="8" w:color="auto"/>
            </w:tcBorders>
            <w:gridSpan w:val="6"/>
            <w:shd w:val="clear" w:color="auto" w:fill="99CCFF"/>
          </w:tcPr>
          <w:p>
            <w:pPr>
              <w:jc w:val="center"/>
              <w:ind w:left="88"/>
              <w:spacing w:after="0"/>
              <w:rPr>
                <w:sz w:val="20"/>
                <w:szCs w:val="20"/>
                <w:color w:val="auto"/>
              </w:rPr>
            </w:pPr>
            <w:r>
              <w:rPr>
                <w:rFonts w:ascii="Times New Roman" w:cs="Times New Roman" w:eastAsia="Times New Roman" w:hAnsi="Times New Roman"/>
                <w:sz w:val="14"/>
                <w:szCs w:val="14"/>
                <w:color w:val="0000FF"/>
                <w:w w:val="99"/>
              </w:rPr>
              <w:t>0.25%</w:t>
            </w:r>
          </w:p>
        </w:tc>
        <w:tc>
          <w:tcPr>
            <w:tcW w:w="200" w:type="dxa"/>
            <w:vAlign w:val="bottom"/>
            <w:tcBorders>
              <w:bottom w:val="single" w:sz="8" w:color="auto"/>
              <w:right w:val="single" w:sz="8" w:color="auto"/>
            </w:tcBorders>
            <w:shd w:val="clear" w:color="auto" w:fill="99CCFF"/>
          </w:tcPr>
          <w:p>
            <w:pPr>
              <w:spacing w:after="0"/>
              <w:rPr>
                <w:sz w:val="19"/>
                <w:szCs w:val="19"/>
                <w:color w:val="auto"/>
              </w:rPr>
            </w:pPr>
          </w:p>
        </w:tc>
      </w:tr>
    </w:tbl>
    <w:p>
      <w:pPr>
        <w:spacing w:after="0" w:line="2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78" w:name="page79"/>
    <w:bookmarkEnd w:id="78"/>
    <w:p>
      <w:pPr>
        <w:ind w:left="1140" w:right="1159" w:firstLine="1040"/>
        <w:spacing w:after="0" w:line="275" w:lineRule="auto"/>
        <w:tabs>
          <w:tab w:leader="none" w:pos="2384" w:val="left"/>
        </w:tabs>
        <w:numPr>
          <w:ilvl w:val="0"/>
          <w:numId w:val="31"/>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from and after the Amendment No. 7 Effective Date, the percentages per annum set forth in the table below based upon the Consolidated First Lien Secured Debt to Consolidated EBITDA Ratio as set forth in the most recent Compliance Certificate received by the Administrative Agent pursuant to Section 9.1:</w:t>
      </w:r>
    </w:p>
    <w:p>
      <w:pPr>
        <w:spacing w:after="0" w:line="20" w:lineRule="exact"/>
        <w:rPr>
          <w:sz w:val="20"/>
          <w:szCs w:val="20"/>
          <w:color w:val="auto"/>
        </w:rPr>
      </w:pPr>
    </w:p>
    <w:p>
      <w:pPr>
        <w:spacing w:after="0" w:line="105" w:lineRule="exact"/>
        <w:rPr>
          <w:sz w:val="20"/>
          <w:szCs w:val="20"/>
          <w:color w:val="auto"/>
        </w:rPr>
      </w:pPr>
    </w:p>
    <w:tbl>
      <w:tblPr>
        <w:tblLayout w:type="fixed"/>
        <w:tblInd w:w="2030" w:type="dxa"/>
        <w:tblCellMar>
          <w:top w:w="0" w:type="dxa"/>
          <w:left w:w="0" w:type="dxa"/>
          <w:bottom w:w="0" w:type="dxa"/>
          <w:right w:w="0" w:type="dxa"/>
        </w:tblCellMar>
      </w:tblPr>
      <w:tr>
        <w:trPr>
          <w:trHeight w:val="182"/>
        </w:trPr>
        <w:tc>
          <w:tcPr>
            <w:tcW w:w="800" w:type="dxa"/>
            <w:vAlign w:val="bottom"/>
            <w:tcBorders>
              <w:top w:val="single" w:sz="8" w:color="auto"/>
              <w:left w:val="single" w:sz="8" w:color="auto"/>
              <w:right w:val="single" w:sz="8" w:color="auto"/>
            </w:tcBorders>
          </w:tcPr>
          <w:p>
            <w:pPr>
              <w:spacing w:after="0"/>
              <w:rPr>
                <w:sz w:val="15"/>
                <w:szCs w:val="15"/>
                <w:color w:val="auto"/>
              </w:rPr>
            </w:pPr>
          </w:p>
        </w:tc>
        <w:tc>
          <w:tcPr>
            <w:tcW w:w="1640" w:type="dxa"/>
            <w:vAlign w:val="bottom"/>
            <w:tcBorders>
              <w:top w:val="single" w:sz="8" w:color="auto"/>
              <w:right w:val="single" w:sz="8" w:color="auto"/>
            </w:tcBorders>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Consolidated First Lien</w:t>
            </w:r>
          </w:p>
        </w:tc>
        <w:tc>
          <w:tcPr>
            <w:tcW w:w="1260" w:type="dxa"/>
            <w:vAlign w:val="bottom"/>
            <w:tcBorders>
              <w:top w:val="single" w:sz="8" w:color="auto"/>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2020 Letter of</w:t>
            </w:r>
          </w:p>
        </w:tc>
        <w:tc>
          <w:tcPr>
            <w:tcW w:w="1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 Letter of</w:t>
            </w: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Borders>
              <w:right w:val="single" w:sz="8" w:color="auto"/>
            </w:tcBorders>
            <w:gridSpan w:val="3"/>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Secured Debt to</w:t>
            </w:r>
          </w:p>
        </w:tc>
        <w:tc>
          <w:tcPr>
            <w:tcW w:w="126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Credit Applicable</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Commitment</w:t>
            </w:r>
          </w:p>
        </w:tc>
      </w:tr>
      <w:tr>
        <w:trPr>
          <w:trHeight w:val="172"/>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1640" w:type="dxa"/>
            <w:vAlign w:val="bottom"/>
            <w:tcBorders>
              <w:right w:val="single" w:sz="8" w:color="auto"/>
            </w:tcBorders>
            <w:gridSpan w:val="5"/>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Consolidated EBITDA</w:t>
            </w:r>
          </w:p>
        </w:tc>
        <w:tc>
          <w:tcPr>
            <w:tcW w:w="126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w:t>
            </w:r>
          </w:p>
        </w:tc>
      </w:tr>
      <w:tr>
        <w:trPr>
          <w:trHeight w:val="195"/>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Ratio</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r>
      <w:tr>
        <w:trPr>
          <w:trHeight w:val="157"/>
        </w:trPr>
        <w:tc>
          <w:tcPr>
            <w:tcW w:w="80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I</w:t>
            </w:r>
          </w:p>
        </w:tc>
        <w:tc>
          <w:tcPr>
            <w:tcW w:w="1640" w:type="dxa"/>
            <w:vAlign w:val="bottom"/>
            <w:tcBorders>
              <w:right w:val="single" w:sz="8" w:color="auto"/>
            </w:tcBorders>
            <w:gridSpan w:val="5"/>
          </w:tcPr>
          <w:p>
            <w:pPr>
              <w:jc w:val="center"/>
              <w:spacing w:after="0" w:line="157" w:lineRule="exact"/>
              <w:rPr>
                <w:sz w:val="20"/>
                <w:szCs w:val="20"/>
                <w:color w:val="auto"/>
              </w:rPr>
            </w:pPr>
            <w:r>
              <w:rPr>
                <w:rFonts w:ascii="Times New Roman" w:cs="Times New Roman" w:eastAsia="Times New Roman" w:hAnsi="Times New Roman"/>
                <w:sz w:val="14"/>
                <w:szCs w:val="14"/>
                <w:color w:val="auto"/>
              </w:rPr>
              <w:t>&gt; 4.00:1.00</w:t>
            </w: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FF0000"/>
                <w:strike w:val="1"/>
              </w:rPr>
              <w:t>3.75</w:t>
            </w:r>
          </w:p>
        </w:tc>
        <w:tc>
          <w:tcPr>
            <w:tcW w:w="700" w:type="dxa"/>
            <w:vAlign w:val="bottom"/>
            <w:tcBorders>
              <w:right w:val="single" w:sz="8" w:color="auto"/>
            </w:tcBorders>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color w:val="0000FF"/>
                <w:w w:val="93"/>
              </w:rPr>
              <w:t>3.25</w:t>
            </w:r>
            <w:r>
              <w:rPr>
                <w:rFonts w:ascii="Times New Roman" w:cs="Times New Roman" w:eastAsia="Times New Roman" w:hAnsi="Times New Roman"/>
                <w:sz w:val="14"/>
                <w:szCs w:val="14"/>
                <w:color w:val="000000"/>
                <w:w w:val="93"/>
              </w:rPr>
              <w:t>%</w:t>
            </w:r>
          </w:p>
        </w:tc>
        <w:tc>
          <w:tcPr>
            <w:tcW w:w="1280" w:type="dxa"/>
            <w:vAlign w:val="bottom"/>
            <w:tcBorders>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w w:val="99"/>
              </w:rPr>
              <w:t>0.50%</w:t>
            </w:r>
          </w:p>
        </w:tc>
      </w:tr>
      <w:tr>
        <w:trPr>
          <w:trHeight w:val="34"/>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r>
      <w:tr>
        <w:trPr>
          <w:trHeight w:val="174"/>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6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&lt; 4.00:1.00 but &gt; 3.50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rPr>
              <w:t>3.50</w:t>
            </w:r>
          </w:p>
        </w:tc>
        <w:tc>
          <w:tcPr>
            <w:tcW w:w="70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0000FF"/>
                <w:w w:val="93"/>
              </w:rPr>
              <w:t>3.00</w:t>
            </w:r>
            <w:r>
              <w:rPr>
                <w:rFonts w:ascii="Times New Roman" w:cs="Times New Roman" w:eastAsia="Times New Roman" w:hAnsi="Times New Roman"/>
                <w:sz w:val="14"/>
                <w:szCs w:val="14"/>
                <w:color w:val="000000"/>
                <w:w w:val="93"/>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0.37%</w:t>
            </w:r>
          </w:p>
        </w:tc>
      </w:tr>
      <w:tr>
        <w:trPr>
          <w:trHeight w:val="66"/>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r>
      <w:tr>
        <w:trPr>
          <w:trHeight w:val="163"/>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III</w:t>
            </w:r>
          </w:p>
        </w:tc>
        <w:tc>
          <w:tcPr>
            <w:tcW w:w="164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&lt; 3.50:1.00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rPr>
              <w:t>3.25</w:t>
            </w:r>
          </w:p>
        </w:tc>
        <w:tc>
          <w:tcPr>
            <w:tcW w:w="70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0000FF"/>
                <w:w w:val="93"/>
              </w:rPr>
              <w:t>2.75</w:t>
            </w:r>
            <w:r>
              <w:rPr>
                <w:rFonts w:ascii="Times New Roman" w:cs="Times New Roman" w:eastAsia="Times New Roman" w:hAnsi="Times New Roman"/>
                <w:sz w:val="14"/>
                <w:szCs w:val="14"/>
                <w:color w:val="000000"/>
                <w:w w:val="93"/>
              </w:rPr>
              <w:t>%</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0.25%</w:t>
            </w:r>
          </w:p>
        </w:tc>
      </w:tr>
      <w:tr>
        <w:trPr>
          <w:trHeight w:val="45"/>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40" w:type="dxa"/>
            <w:vAlign w:val="bottom"/>
            <w:tcBorders>
              <w:top w:val="single" w:sz="8" w:color="0000FF"/>
              <w:bottom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r>
    </w:tbl>
    <w:p>
      <w:pPr>
        <w:spacing w:after="0" w:line="340" w:lineRule="exact"/>
        <w:rPr>
          <w:sz w:val="20"/>
          <w:szCs w:val="20"/>
          <w:color w:val="auto"/>
        </w:rPr>
      </w:pPr>
    </w:p>
    <w:p>
      <w:pPr>
        <w:ind w:left="1140" w:right="1239" w:firstLine="1033"/>
        <w:spacing w:after="0" w:line="272" w:lineRule="auto"/>
        <w:rPr>
          <w:sz w:val="20"/>
          <w:szCs w:val="20"/>
          <w:color w:val="auto"/>
        </w:rPr>
      </w:pPr>
      <w:r>
        <w:rPr>
          <w:rFonts w:ascii="Times New Roman" w:cs="Times New Roman" w:eastAsia="Times New Roman" w:hAnsi="Times New Roman"/>
          <w:sz w:val="14"/>
          <w:szCs w:val="14"/>
          <w:color w:val="auto"/>
        </w:rPr>
        <w:t xml:space="preserve">Any increase or decrease in the 2020 Letter of Credit Applicable Margin for Loans resulting from a change in the Consolidated First Lien Secured Debt to Consolidated EBITDA Ratio shall become effective as of the first Business Day immediately following the date a Compliance Certificate is delivered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9.1(d)</w:t>
      </w:r>
      <w:r>
        <w:rPr>
          <w:rFonts w:ascii="Times New Roman" w:cs="Times New Roman" w:eastAsia="Times New Roman" w:hAnsi="Times New Roman"/>
          <w:sz w:val="14"/>
          <w:szCs w:val="14"/>
          <w:color w:val="auto"/>
        </w:rPr>
        <w:t>.</w:t>
      </w:r>
    </w:p>
    <w:p>
      <w:pPr>
        <w:spacing w:after="0" w:line="313" w:lineRule="exact"/>
        <w:rPr>
          <w:sz w:val="20"/>
          <w:szCs w:val="20"/>
          <w:color w:val="auto"/>
        </w:rPr>
      </w:pPr>
    </w:p>
    <w:p>
      <w:pPr>
        <w:ind w:left="1140" w:right="1199" w:firstLine="1033"/>
        <w:spacing w:after="0" w:line="173" w:lineRule="exact"/>
        <w:rPr>
          <w:sz w:val="20"/>
          <w:szCs w:val="20"/>
          <w:color w:val="auto"/>
        </w:rPr>
      </w:pPr>
      <w:r>
        <w:rPr>
          <w:rFonts w:ascii="Times New Roman" w:cs="Times New Roman" w:eastAsia="Times New Roman" w:hAnsi="Times New Roman"/>
          <w:sz w:val="14"/>
          <w:szCs w:val="14"/>
          <w:color w:val="auto"/>
        </w:rPr>
        <w:t xml:space="preserve">Notwithstanding anything to the contrary contained above in this definition or elsewhere in this Agreement, if it is subsequently determined that the Consolidated First Lien Secured Debt to Consolidated EBITDA Ratio set forth in any Compliance Certificate delivered to the Administrative Agent is inaccurate for any reason and the result thereof is that the Lenders received interest or fees for any period based on a 2020 Letter of Credit Applicable Margin that is less than that which would have been applicable had the Consolidated First Lien Secured Debt to Consolidated EBITDA Ratio been accurately determined, then, for all purposes of this Agreement, the 2020 Letter of Credit Applicable Margin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the Borrower for the relevant period as a result of the miscalculation of the Consolidated First Lien Secured Debt to Consolidated EBITDA Ratio shall be deemed to be (and shall be) due and payable at the time the interest or fees for such period were required to be paid;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so long as an Event of Default described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has not occurred with respect to the Borrower, such shortfall shall be due and payable within five Business Days following the written demand thereof by the Administrative Agent and no Default shall be deemed to have occurred as a result of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payment until the expiration of such five Business Day period. In addition, at the option of the Required 2020 Additional Revolving Credit Lenders, at any time during which the Borrower shall have failed to deliver any of the Section 9.1 Financials by the applicable date required under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then the Consolidated First Lien Secured Debt to Consolidated EBITDA Ratio shall be deemed to be in Pricing Level I for the purposes of determining the 2020 Letter of Credit Applicable Margin (but only for so long as such failure continues, after which such ratio and Pricing Level and shall be determined based on the then existing Consolidated First Lien Secured Debt to Consolidated EBITDA Ratio).</w:t>
      </w:r>
    </w:p>
    <w:p>
      <w:pPr>
        <w:spacing w:after="0" w:line="165" w:lineRule="exact"/>
        <w:rPr>
          <w:sz w:val="20"/>
          <w:szCs w:val="20"/>
          <w:color w:val="auto"/>
        </w:rPr>
      </w:pPr>
    </w:p>
    <w:p>
      <w:pPr>
        <w:ind w:left="1140" w:right="119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Commitment</w:t>
      </w:r>
      <w:r>
        <w:rPr>
          <w:rFonts w:ascii="Times New Roman" w:cs="Times New Roman" w:eastAsia="Times New Roman" w:hAnsi="Times New Roman"/>
          <w:sz w:val="14"/>
          <w:szCs w:val="14"/>
          <w:color w:val="auto"/>
        </w:rPr>
        <w:t>” shall mean, (a) as to each Lender that is a 2020 Additional Revolving Credit Lender on the Amendment No. 2 Effective Date, the amount of such Lender’s “Additional Revolving Credit Commitment” under Amendment No. 2, (b) in the case of any Lender that becomes a 2020 Additional Revolving Credit Lender after the Amendment No. 2 Effective Date, the amount specified as such Lender’s “2020 Letter of Credit Commitment” in the Assignment and Acceptance pursuant to which such Lender assumed a portion of the Total 2020 Letter of Credit Commitment and becomes a party hereto and (c) in the case of any Lender that increases its 2020 Letter of Credit Commitment or becomes an Incremental Revolving Credit Commitment Increase Lender in respect of the 2020 Letter of Credit Commitments, in each case pursuant to Section 2.14, the amount specified in the applicable Joinder Agreement, in each case as the same may be changed from time to time pursuant to terms hereof. The aggregate amount of 2020 Letter of Credit Commitments of all 2020 Additional Revolving Credit Lenders as of the Amendment No. 2 Effective Date is $55,000,000, as such amount may be adjusted from time to time in accordance with the terms of this Agreement.</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Commitment Fee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4.1(i)</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30" w:right="1440" w:bottom="1440" w:gutter="0" w:footer="0" w:header="0"/>
        </w:sectPr>
      </w:pPr>
    </w:p>
    <w:bookmarkStart w:id="79" w:name="page80"/>
    <w:bookmarkEnd w:id="79"/>
    <w:p>
      <w:pPr>
        <w:ind w:left="1140" w:right="119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Commitment Percentage</w:t>
      </w:r>
      <w:r>
        <w:rPr>
          <w:rFonts w:ascii="Times New Roman" w:cs="Times New Roman" w:eastAsia="Times New Roman" w:hAnsi="Times New Roman"/>
          <w:sz w:val="14"/>
          <w:szCs w:val="14"/>
          <w:color w:val="auto"/>
        </w:rPr>
        <w:t xml:space="preserve">” shall mean at any time, for each 2020 Additional Revolving Credit Lender, the percentage obtained by dividing (i) such 2020 Additional Revolving Credit Lender’s 2020 Letter of Credit Commitment at such time by (ii) the amount of the Total 2020 Letter of Credit Commitment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any time when the 2020 Letter of Credit Commitment shall have been terminated, each 2020 Additional Revolving Credit Lender’s 2020 Letter of Credit Commitment Percentage shall be its 2020 Letter of Credit Commitment Percentage as in effect immediately prior to such termination.</w:t>
      </w:r>
    </w:p>
    <w:p>
      <w:pPr>
        <w:spacing w:after="0" w:line="143" w:lineRule="exact"/>
        <w:rPr>
          <w:sz w:val="20"/>
          <w:szCs w:val="20"/>
          <w:color w:val="auto"/>
        </w:rPr>
      </w:pPr>
    </w:p>
    <w:p>
      <w:pPr>
        <w:ind w:left="1140" w:right="13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Disbursement</w:t>
      </w:r>
      <w:r>
        <w:rPr>
          <w:rFonts w:ascii="Times New Roman" w:cs="Times New Roman" w:eastAsia="Times New Roman" w:hAnsi="Times New Roman"/>
          <w:sz w:val="14"/>
          <w:szCs w:val="14"/>
          <w:color w:val="auto"/>
        </w:rPr>
        <w:t>” shall mean a payment made by a 2020 Letter of Credit Issuer pursuant to a 2020 Letter of Credit.</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Exposure</w:t>
      </w:r>
      <w:r>
        <w:rPr>
          <w:rFonts w:ascii="Times New Roman" w:cs="Times New Roman" w:eastAsia="Times New Roman" w:hAnsi="Times New Roman"/>
          <w:sz w:val="14"/>
          <w:szCs w:val="14"/>
          <w:color w:val="auto"/>
        </w:rPr>
        <w:t>” shall mean, with respect to any Lender, at any time, the sum of</w:t>
      </w:r>
    </w:p>
    <w:p>
      <w:pPr>
        <w:spacing w:after="0" w:line="27" w:lineRule="exact"/>
        <w:rPr>
          <w:sz w:val="20"/>
          <w:szCs w:val="20"/>
          <w:color w:val="auto"/>
        </w:rPr>
      </w:pPr>
    </w:p>
    <w:p>
      <w:pPr>
        <w:ind w:left="1140" w:right="1479" w:firstLine="7"/>
        <w:spacing w:after="0" w:line="262" w:lineRule="auto"/>
        <w:tabs>
          <w:tab w:leader="none" w:pos="131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the principal amount of any 2020 Letter of Credit Unpaid Drawings in respect of which such Lender has made (or is required to have made) payments to the 2020 Letter of Credit Issuer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3A.4(a)</w:t>
      </w:r>
      <w:r>
        <w:rPr>
          <w:rFonts w:ascii="Times New Roman" w:cs="Times New Roman" w:eastAsia="Times New Roman" w:hAnsi="Times New Roman"/>
          <w:sz w:val="14"/>
          <w:szCs w:val="14"/>
          <w:color w:val="auto"/>
        </w:rPr>
        <w:t xml:space="preserve"> at such time and (ii) such Lender’s 2020 Letter of Credit Commitment Percentage of the 2020 L/C Obligations at such time.</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Fee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4.1(f)</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Fee Letter</w:t>
      </w:r>
      <w:r>
        <w:rPr>
          <w:rFonts w:ascii="Times New Roman" w:cs="Times New Roman" w:eastAsia="Times New Roman" w:hAnsi="Times New Roman"/>
          <w:sz w:val="14"/>
          <w:szCs w:val="14"/>
          <w:color w:val="auto"/>
        </w:rPr>
        <w:t>” shall mean the Fee Letter, dated as of the Amendment No. 2 Effective Date, among Crédit Agricole Corporate and Investment Bank, Holdings and the Borrower.</w:t>
      </w:r>
    </w:p>
    <w:p>
      <w:pPr>
        <w:spacing w:after="0" w:line="119" w:lineRule="exact"/>
        <w:rPr>
          <w:sz w:val="20"/>
          <w:szCs w:val="20"/>
          <w:color w:val="auto"/>
        </w:rPr>
      </w:pPr>
    </w:p>
    <w:p>
      <w:pPr>
        <w:ind w:left="1140" w:right="119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Issuer</w:t>
      </w:r>
      <w:r>
        <w:rPr>
          <w:rFonts w:ascii="Times New Roman" w:cs="Times New Roman" w:eastAsia="Times New Roman" w:hAnsi="Times New Roman"/>
          <w:sz w:val="14"/>
          <w:szCs w:val="14"/>
          <w:color w:val="auto"/>
        </w:rPr>
        <w:t xml:space="preserve">” shall mean the initial 2020 Additional Revolving Credit Lenders listed on </w:t>
      </w:r>
      <w:r>
        <w:rPr>
          <w:rFonts w:ascii="Times New Roman" w:cs="Times New Roman" w:eastAsia="Times New Roman" w:hAnsi="Times New Roman"/>
          <w:sz w:val="14"/>
          <w:szCs w:val="14"/>
          <w:u w:val="single" w:color="auto"/>
          <w:color w:val="auto"/>
        </w:rPr>
        <w:t>Schedule A</w:t>
      </w:r>
      <w:r>
        <w:rPr>
          <w:rFonts w:ascii="Times New Roman" w:cs="Times New Roman" w:eastAsia="Times New Roman" w:hAnsi="Times New Roman"/>
          <w:sz w:val="14"/>
          <w:szCs w:val="14"/>
          <w:color w:val="auto"/>
        </w:rPr>
        <w:t xml:space="preserve"> to Amendment No. 2 as of the Amendment No. 2 Effective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initial 2020 Letter of Credit Issuers shall only be required to issue standby 2020 Letters of Credit and the initial 2020 Additional Revolving Credit Lenders will cause 2020 Letters of Credit to be issued by unaffiliated financial institutions and such 2020 Letters of Credit shall be treated as issued by the initial 2020 Additional Revolving Credit Lenders for all purposes under the Credit Documents. In the event that there is more than one 2020 Letter of Credit Issuer at any time, references herein and in the other Credit Documents to the 2020 Letter of Credit Issuer shall be deemed to refer to the 2020 Letter of Credit Issuer in respect of the applicable 2020 Letter of Credit or to all 2020 Letter of Credit Issuers, as the context requires.</w:t>
      </w:r>
    </w:p>
    <w:p>
      <w:pPr>
        <w:spacing w:after="0" w:line="14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Reimbursement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3A.4(a)</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 of Credit Unpaid Drawing</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3A.4(a)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Letters of Credit Outstanding</w:t>
      </w:r>
      <w:r>
        <w:rPr>
          <w:rFonts w:ascii="Times New Roman" w:cs="Times New Roman" w:eastAsia="Times New Roman" w:hAnsi="Times New Roman"/>
          <w:sz w:val="14"/>
          <w:szCs w:val="14"/>
          <w:color w:val="auto"/>
        </w:rPr>
        <w:t>” shall mean, at any time the sum of, without duplication, (i) the aggregate Stated Amount of all outstanding 2020 Letters of Credit and (ii) the aggregate amount of the principal amount of all 2020 Letter of Credit Unpaid Drawings.</w:t>
      </w:r>
    </w:p>
    <w:p>
      <w:pPr>
        <w:spacing w:after="0" w:line="133" w:lineRule="exact"/>
        <w:rPr>
          <w:sz w:val="20"/>
          <w:szCs w:val="20"/>
          <w:color w:val="auto"/>
        </w:rPr>
      </w:pPr>
    </w:p>
    <w:p>
      <w:pPr>
        <w:ind w:left="1140" w:right="13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2020 Letters of Credit Termination Date</w:t>
      </w:r>
      <w:r>
        <w:rPr>
          <w:rFonts w:ascii="Times New Roman" w:cs="Times New Roman" w:eastAsia="Times New Roman" w:hAnsi="Times New Roman"/>
          <w:sz w:val="14"/>
          <w:szCs w:val="14"/>
          <w:color w:val="auto"/>
        </w:rPr>
        <w:t>” shall mean the date on which the 2020 Letter of Credit Commitments shall have terminated and the 2020 Letters of Credit Outstanding shall have been reduced to zero or Cash Collateralized.</w:t>
      </w:r>
    </w:p>
    <w:p>
      <w:pPr>
        <w:spacing w:after="0" w:line="133" w:lineRule="exact"/>
        <w:rPr>
          <w:sz w:val="20"/>
          <w:szCs w:val="20"/>
          <w:color w:val="auto"/>
        </w:rPr>
      </w:pPr>
    </w:p>
    <w:p>
      <w:pPr>
        <w:jc w:val="both"/>
        <w:ind w:left="1140" w:right="12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Abode Acquisition</w:t>
      </w:r>
      <w:r>
        <w:rPr>
          <w:rFonts w:ascii="Times New Roman" w:cs="Times New Roman" w:eastAsia="Times New Roman" w:hAnsi="Times New Roman"/>
          <w:sz w:val="14"/>
          <w:szCs w:val="14"/>
          <w:color w:val="auto"/>
        </w:rPr>
        <w:t>” shall mean the acquisition by the Borrower in accordance with the Abode Acquisition Agreement, directly or indirectly, of all the Equity Interests of Abode Target, pursuant to which Abode Target shall become a Wholly Owned Restricted Subsidiary of the Borrower.</w:t>
      </w:r>
    </w:p>
    <w:p>
      <w:pPr>
        <w:spacing w:after="0" w:line="133" w:lineRule="exact"/>
        <w:rPr>
          <w:sz w:val="20"/>
          <w:szCs w:val="20"/>
          <w:color w:val="auto"/>
        </w:rPr>
      </w:pPr>
    </w:p>
    <w:p>
      <w:pPr>
        <w:ind w:left="1140" w:right="125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Abode Acquisition Agreement</w:t>
      </w:r>
      <w:r>
        <w:rPr>
          <w:rFonts w:ascii="Times New Roman" w:cs="Times New Roman" w:eastAsia="Times New Roman" w:hAnsi="Times New Roman"/>
          <w:sz w:val="14"/>
          <w:szCs w:val="14"/>
          <w:color w:val="auto"/>
        </w:rPr>
        <w:t>” shall mean that certain Agreement and Plan of Merger, by and among Silverton Group Holdings, LLC, Silverton Holdings, Inc. (“</w:t>
      </w:r>
      <w:r>
        <w:rPr>
          <w:rFonts w:ascii="Times New Roman" w:cs="Times New Roman" w:eastAsia="Times New Roman" w:hAnsi="Times New Roman"/>
          <w:sz w:val="14"/>
          <w:szCs w:val="14"/>
          <w:b w:val="1"/>
          <w:bCs w:val="1"/>
          <w:color w:val="auto"/>
        </w:rPr>
        <w:t>Abode Target</w:t>
      </w:r>
      <w:r>
        <w:rPr>
          <w:rFonts w:ascii="Times New Roman" w:cs="Times New Roman" w:eastAsia="Times New Roman" w:hAnsi="Times New Roman"/>
          <w:sz w:val="14"/>
          <w:szCs w:val="14"/>
          <w:color w:val="auto"/>
        </w:rPr>
        <w:t>”), Phoenix Parent Holdings Inc., Holdings, the Borrower and Overland Merger Sub Inc., dated as of February 10, 2021, together with all exhibits, annexes, schedules and disclosure letters thereto, collectively, as modified, amended, supplemented or waived.</w:t>
      </w:r>
    </w:p>
    <w:p>
      <w:pPr>
        <w:spacing w:after="0" w:line="139" w:lineRule="exact"/>
        <w:rPr>
          <w:sz w:val="20"/>
          <w:szCs w:val="20"/>
          <w:color w:val="auto"/>
        </w:rPr>
      </w:pPr>
    </w:p>
    <w:p>
      <w:pPr>
        <w:ind w:left="1140" w:right="11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Abode Refinancing</w:t>
      </w:r>
      <w:r>
        <w:rPr>
          <w:rFonts w:ascii="Times New Roman" w:cs="Times New Roman" w:eastAsia="Times New Roman" w:hAnsi="Times New Roman"/>
          <w:sz w:val="14"/>
          <w:szCs w:val="14"/>
          <w:color w:val="auto"/>
        </w:rPr>
        <w:t>” shall mean the repayment of all amounts outstanding (other than contingent obligations) under (i) that certain Credit Agreement, dated as of August 28, 2019, by and among Abode Healthcare,</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0" w:name="page81"/>
    <w:bookmarkEnd w:id="80"/>
    <w:p>
      <w:pPr>
        <w:ind w:left="1140" w:right="1179"/>
        <w:spacing w:after="0" w:line="262" w:lineRule="auto"/>
        <w:rPr>
          <w:sz w:val="20"/>
          <w:szCs w:val="20"/>
          <w:color w:val="auto"/>
        </w:rPr>
      </w:pPr>
      <w:r>
        <w:rPr>
          <w:rFonts w:ascii="Times New Roman" w:cs="Times New Roman" w:eastAsia="Times New Roman" w:hAnsi="Times New Roman"/>
          <w:sz w:val="14"/>
          <w:szCs w:val="14"/>
          <w:color w:val="auto"/>
        </w:rPr>
        <w:t>Inc., as the borrower, Silverton Abode, LLC, as Holdings, Crescent Agency Services LLC, as administrative agent and collateral agent, and the lenders party thereto and (ii) that certain Note Purchase Agreement, dated as of August 28, 2019, by and among Abode Healthcare, Inc., the guarantors party thereto, the purchasers identified therein and Summit Partners Subordinated Debt Fund V-A, L.P., as the purchaser representative, and the Notes (as defined therein) issued to the purchasers pursuant thereto and, in each case, the termination of all commitments and obligations in respect thereof (other than obligations that expressly survive termination thereof) and the release of all Liens in respect of the foregoing.</w:t>
      </w:r>
    </w:p>
    <w:p>
      <w:pPr>
        <w:spacing w:after="0" w:line="14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Abode Target</w:t>
      </w:r>
      <w:r>
        <w:rPr>
          <w:rFonts w:ascii="Times New Roman" w:cs="Times New Roman" w:eastAsia="Times New Roman" w:hAnsi="Times New Roman"/>
          <w:sz w:val="14"/>
          <w:szCs w:val="14"/>
          <w:color w:val="auto"/>
        </w:rPr>
        <w:t>” shall have the meaning provided in the definition of “Abode Acquisition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Agreement”.</w:t>
      </w:r>
    </w:p>
    <w:p>
      <w:pPr>
        <w:spacing w:after="0" w:line="168" w:lineRule="exact"/>
        <w:rPr>
          <w:sz w:val="20"/>
          <w:szCs w:val="20"/>
          <w:color w:val="auto"/>
        </w:rPr>
      </w:pPr>
    </w:p>
    <w:p>
      <w:pPr>
        <w:ind w:left="1140" w:right="115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ABR</w:t>
      </w:r>
      <w:r>
        <w:rPr>
          <w:rFonts w:ascii="Times New Roman" w:cs="Times New Roman" w:eastAsia="Times New Roman" w:hAnsi="Times New Roman"/>
          <w:sz w:val="14"/>
          <w:szCs w:val="14"/>
          <w:color w:val="auto"/>
        </w:rPr>
        <w:t xml:space="preserve">” shall mean, for any day a fluctuating rate per annum equal to the highest of (i) the Federal Funds Effective Rate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1/2 of 1%, (ii) the rate of interest in effect for such day as determined from time to time by the Administrative Agent as its “prime rate” at its principal office in New York City, and (iii) the Adjusted Term SOFR Rate for a one-month Interest Period in effect on such date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1%; provided that, for the avoidance of doubt, the Adjusted Term SOFR Rate for any day shall be the Adjusted Term SOFR Rate for a one-month Interest Period on the day that is two (2) Business Days prior to such day, as such rate is published by the Term SOFR Administrator; provided, further, that the ABR shall not be less than 1.00% per annum with respect to the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Any change in the ABR due to a change in such rate determined by the Administrative Agent, in the Federal Funds Effective Rate or the Adjusted Term SOFR Rate shall be effective from and including the effective date of such change in the Federal Funds Effective Rate or the Adjusted Term SOFR Rate, respectively.</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ABR Loan</w:t>
      </w:r>
      <w:r>
        <w:rPr>
          <w:rFonts w:ascii="Times New Roman" w:cs="Times New Roman" w:eastAsia="Times New Roman" w:hAnsi="Times New Roman"/>
          <w:sz w:val="14"/>
          <w:szCs w:val="14"/>
          <w:color w:val="auto"/>
        </w:rPr>
        <w:t>” shall mean each Loan bearing interest based on the ABR.</w:t>
      </w:r>
    </w:p>
    <w:p>
      <w:pPr>
        <w:spacing w:after="0" w:line="183" w:lineRule="exact"/>
        <w:rPr>
          <w:sz w:val="20"/>
          <w:szCs w:val="20"/>
          <w:color w:val="auto"/>
        </w:rPr>
      </w:pPr>
    </w:p>
    <w:p>
      <w:pPr>
        <w:ind w:left="1140" w:right="121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EBITDA</w:t>
      </w:r>
      <w:r>
        <w:rPr>
          <w:rFonts w:ascii="Times New Roman" w:cs="Times New Roman" w:eastAsia="Times New Roman" w:hAnsi="Times New Roman"/>
          <w:sz w:val="14"/>
          <w:szCs w:val="14"/>
          <w:color w:val="auto"/>
        </w:rPr>
        <w:t>” shall mean, with respect to any Acquired Entity or Business or any Converted Restricted Subsidiary (any of the foregoing, a “</w:t>
      </w:r>
      <w:r>
        <w:rPr>
          <w:rFonts w:ascii="Times New Roman" w:cs="Times New Roman" w:eastAsia="Times New Roman" w:hAnsi="Times New Roman"/>
          <w:sz w:val="14"/>
          <w:szCs w:val="14"/>
          <w:b w:val="1"/>
          <w:bCs w:val="1"/>
          <w:color w:val="auto"/>
        </w:rPr>
        <w:t>Pro Forma Entity</w:t>
      </w:r>
      <w:r>
        <w:rPr>
          <w:rFonts w:ascii="Times New Roman" w:cs="Times New Roman" w:eastAsia="Times New Roman" w:hAnsi="Times New Roman"/>
          <w:sz w:val="14"/>
          <w:szCs w:val="14"/>
          <w:color w:val="auto"/>
        </w:rPr>
        <w:t>”) for any period, the amount for such period of Consolidated EBITDA of such Pro Forma Entity (determined using such definitions as if references to the Borrower and the Restricted Subsidiaries therein were to such Pro Forma Entity and its Restricted Subsidiaries), all as determined on a consolidated basis for such Pro Forma Entity in accordance with GAAP.</w:t>
      </w:r>
    </w:p>
    <w:p>
      <w:pPr>
        <w:spacing w:after="0" w:line="141" w:lineRule="exact"/>
        <w:rPr>
          <w:sz w:val="20"/>
          <w:szCs w:val="20"/>
          <w:color w:val="auto"/>
        </w:rPr>
      </w:pPr>
    </w:p>
    <w:p>
      <w:pPr>
        <w:ind w:left="1140" w:right="14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Entity or Business</w:t>
      </w:r>
      <w:r>
        <w:rPr>
          <w:rFonts w:ascii="Times New Roman" w:cs="Times New Roman" w:eastAsia="Times New Roman" w:hAnsi="Times New Roman"/>
          <w:sz w:val="14"/>
          <w:szCs w:val="14"/>
          <w:color w:val="auto"/>
        </w:rPr>
        <w:t>” shall have the meaning provided in the definition of the term “Consolidated EBITDA.”</w:t>
      </w:r>
    </w:p>
    <w:p>
      <w:pPr>
        <w:spacing w:after="0" w:line="119" w:lineRule="exact"/>
        <w:rPr>
          <w:sz w:val="20"/>
          <w:szCs w:val="20"/>
          <w:color w:val="auto"/>
        </w:rPr>
      </w:pPr>
    </w:p>
    <w:p>
      <w:pPr>
        <w:ind w:left="1140" w:right="123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Acquired Indebtedness</w:t>
      </w:r>
      <w:r>
        <w:rPr>
          <w:rFonts w:ascii="Times New Roman" w:cs="Times New Roman" w:eastAsia="Times New Roman" w:hAnsi="Times New Roman"/>
          <w:sz w:val="14"/>
          <w:szCs w:val="14"/>
          <w:color w:val="auto"/>
        </w:rPr>
        <w:t>” shall mean, with respect to any specified Person, (i) Indebtedness of any other Person existing at the time such other Person is merged, consolidated, or amalgamated with or into or became a Restricted Subsidiary of such specified Person, including Indebtedness incurred in connection with, or in contemplation of, such other Person merging, consolidating, or amalgamating with or into or becoming a Restricted Subsidiary of such specified Person, and (ii) Indebtedness secured by a Lien encumbering any asset acquired by such specified Person.</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shall have the meaning provided in the recitals to this Agreement.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Agreement</w:t>
      </w:r>
      <w:r>
        <w:rPr>
          <w:rFonts w:ascii="Times New Roman" w:cs="Times New Roman" w:eastAsia="Times New Roman" w:hAnsi="Times New Roman"/>
          <w:sz w:val="14"/>
          <w:szCs w:val="14"/>
          <w:color w:val="auto"/>
        </w:rPr>
        <w:t>” shall have the meaning provided in the recitals to this Agreement.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 Model</w:t>
      </w:r>
      <w:r>
        <w:rPr>
          <w:rFonts w:ascii="Times New Roman" w:cs="Times New Roman" w:eastAsia="Times New Roman" w:hAnsi="Times New Roman"/>
          <w:sz w:val="14"/>
          <w:szCs w:val="14"/>
          <w:color w:val="auto"/>
        </w:rPr>
        <w:t>” shall mean the Sponsors’ financial model dated as of December 3, 2018.</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Revolving Credit Commitments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2.14(a)</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Revolving Credit Loan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Revolving Loan Lender</w:t>
      </w:r>
      <w:r>
        <w:rPr>
          <w:rFonts w:ascii="Times New Roman" w:cs="Times New Roman" w:eastAsia="Times New Roman" w:hAnsi="Times New Roman"/>
          <w:sz w:val="14"/>
          <w:szCs w:val="14"/>
          <w:color w:val="auto"/>
        </w:rPr>
        <w:t xml:space="preserve">” shall have the meaning provided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Tranche B-1 Term Loan</w:t>
      </w:r>
      <w:r>
        <w:rPr>
          <w:rFonts w:ascii="Times New Roman" w:cs="Times New Roman" w:eastAsia="Times New Roman" w:hAnsi="Times New Roman"/>
          <w:sz w:val="14"/>
          <w:szCs w:val="14"/>
          <w:color w:val="auto"/>
        </w:rPr>
        <w:t xml:space="preserve">” shall mean a Term Loan in Dollars that is made pursuant to </w:t>
      </w:r>
      <w:r>
        <w:rPr>
          <w:rFonts w:ascii="Times New Roman" w:cs="Times New Roman" w:eastAsia="Times New Roman" w:hAnsi="Times New Roman"/>
          <w:sz w:val="14"/>
          <w:szCs w:val="14"/>
          <w:u w:val="single" w:color="auto"/>
          <w:color w:val="auto"/>
        </w:rPr>
        <w:t>Section 2.1(d)(ii)</w:t>
      </w:r>
      <w:r>
        <w:rPr>
          <w:rFonts w:ascii="Times New Roman" w:cs="Times New Roman" w:eastAsia="Times New Roman" w:hAnsi="Times New Roman"/>
          <w:sz w:val="14"/>
          <w:szCs w:val="14"/>
          <w:color w:val="auto"/>
        </w:rPr>
        <w:t xml:space="preserve"> on the Amendment No. 1 Effective Date.</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81" w:name="page82"/>
    <w:bookmarkEnd w:id="81"/>
    <w:p>
      <w:pPr>
        <w:ind w:left="1140" w:right="127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Tranche B-1 Term Loan Commitment</w:t>
      </w:r>
      <w:r>
        <w:rPr>
          <w:rFonts w:ascii="Times New Roman" w:cs="Times New Roman" w:eastAsia="Times New Roman" w:hAnsi="Times New Roman"/>
          <w:sz w:val="14"/>
          <w:szCs w:val="14"/>
          <w:color w:val="auto"/>
        </w:rPr>
        <w:t>” shall mean, with respect to an Additional Tranche B-1 Term Loan Lender, the commitment of such Additional Tranche B-1 Term Loan Lender to make Additional Tranche B-1 Term Loans on the Amendment No. 1 Effective Date, in an amount set forth on Schedule I to Amendment No. 1. The aggregate amount of the Additional Tranche B-1 Term Loan Commitments shall equal the outstanding principal amount of Existing Term Loans of Non-Consenting Existing Term Loan Lenders and Existing Term Loans of Post-Closing Option Lenders.</w:t>
      </w:r>
    </w:p>
    <w:p>
      <w:pPr>
        <w:spacing w:after="0" w:line="143"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Tranche B-1 Term Loan Lender</w:t>
      </w:r>
      <w:r>
        <w:rPr>
          <w:rFonts w:ascii="Times New Roman" w:cs="Times New Roman" w:eastAsia="Times New Roman" w:hAnsi="Times New Roman"/>
          <w:sz w:val="14"/>
          <w:szCs w:val="14"/>
          <w:color w:val="auto"/>
        </w:rPr>
        <w:t>” shall mean a Person with an Additional Tranche B-1 Term Loan Commitment on the Amendment No. 1 Effective Date.</w:t>
      </w:r>
    </w:p>
    <w:p>
      <w:pPr>
        <w:spacing w:after="0" w:line="119"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Tranche B-3 Term Loan</w:t>
      </w:r>
      <w:r>
        <w:rPr>
          <w:rFonts w:ascii="Times New Roman" w:cs="Times New Roman" w:eastAsia="Times New Roman" w:hAnsi="Times New Roman"/>
          <w:sz w:val="14"/>
          <w:szCs w:val="14"/>
          <w:color w:val="auto"/>
        </w:rPr>
        <w:t xml:space="preserve">” shall mean a Term Loan in Dollars that is made pursuant to </w:t>
      </w:r>
      <w:r>
        <w:rPr>
          <w:rFonts w:ascii="Times New Roman" w:cs="Times New Roman" w:eastAsia="Times New Roman" w:hAnsi="Times New Roman"/>
          <w:sz w:val="14"/>
          <w:szCs w:val="14"/>
          <w:u w:val="single" w:color="auto"/>
          <w:color w:val="auto"/>
        </w:rPr>
        <w:t>Section 2.1(f)(ii)</w:t>
      </w:r>
      <w:r>
        <w:rPr>
          <w:rFonts w:ascii="Times New Roman" w:cs="Times New Roman" w:eastAsia="Times New Roman" w:hAnsi="Times New Roman"/>
          <w:sz w:val="14"/>
          <w:szCs w:val="14"/>
          <w:color w:val="auto"/>
        </w:rPr>
        <w:t xml:space="preserve"> on the Amendment No. 4 Effective Date.</w:t>
      </w:r>
    </w:p>
    <w:p>
      <w:pPr>
        <w:spacing w:after="0" w:line="119" w:lineRule="exact"/>
        <w:rPr>
          <w:sz w:val="20"/>
          <w:szCs w:val="20"/>
          <w:color w:val="auto"/>
        </w:rPr>
      </w:pPr>
    </w:p>
    <w:p>
      <w:pPr>
        <w:ind w:left="1140" w:right="115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Tranche B-3 Term Loan Commitment</w:t>
      </w:r>
      <w:r>
        <w:rPr>
          <w:rFonts w:ascii="Times New Roman" w:cs="Times New Roman" w:eastAsia="Times New Roman" w:hAnsi="Times New Roman"/>
          <w:sz w:val="14"/>
          <w:szCs w:val="14"/>
          <w:color w:val="auto"/>
        </w:rPr>
        <w:t>” shall mean, with respect to an Additional Tranche B-3 Term Loan Lender, the commitment of such Additional Tranche B-3 Term Loan Lender to make Additional Tranche B-3 Term Loans on the Amendment No. 4 Effective Date, in an amount set forth on Schedule I to Amendment No. 4. The aggregate amount of the Additional Tranche B-3 Term Loan Commitments shall equal the outstanding principal amount of Existing Tranche B-2 Term Loans of Non-Consenting Existing Tranche B-2 Term Loan Lenders and Existing Tranche B-2 Term Loans of Post-Closing Option Tranche B-2 Lenders.</w:t>
      </w:r>
    </w:p>
    <w:p>
      <w:pPr>
        <w:spacing w:after="0" w:line="143"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Tranche B-3 Term Loan Lender</w:t>
      </w:r>
      <w:r>
        <w:rPr>
          <w:rFonts w:ascii="Times New Roman" w:cs="Times New Roman" w:eastAsia="Times New Roman" w:hAnsi="Times New Roman"/>
          <w:sz w:val="14"/>
          <w:szCs w:val="14"/>
          <w:color w:val="auto"/>
        </w:rPr>
        <w:t>” shall mean a Person with an Additional Tranche B-3 Term Loan Commitment or an Additional Tranche B-3 Term Loan.</w:t>
      </w:r>
    </w:p>
    <w:p>
      <w:pPr>
        <w:spacing w:after="0" w:line="119"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Additional Tranche B-4 Term Loan</w:t>
      </w:r>
      <w:r>
        <w:rPr>
          <w:rFonts w:ascii="Times New Roman" w:cs="Times New Roman" w:eastAsia="Times New Roman" w:hAnsi="Times New Roman"/>
          <w:sz w:val="14"/>
          <w:szCs w:val="14"/>
          <w:u w:val="single" w:color="auto"/>
          <w:color w:val="0000FF"/>
        </w:rPr>
        <w:t>” shall mean a Term Loan in Dollars that is made pursuant to Section 2.1(h)(ii) on the Amendment No. 7 Effective Date.</w:t>
      </w:r>
    </w:p>
    <w:p>
      <w:pPr>
        <w:spacing w:after="0" w:line="119" w:lineRule="exact"/>
        <w:rPr>
          <w:sz w:val="20"/>
          <w:szCs w:val="20"/>
          <w:color w:val="auto"/>
        </w:rPr>
      </w:pPr>
    </w:p>
    <w:p>
      <w:pPr>
        <w:ind w:left="1140" w:right="1279" w:firstLine="1033"/>
        <w:spacing w:after="0" w:line="269"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Additional Tranche B-4</w:t>
      </w:r>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b w:val="1"/>
          <w:bCs w:val="1"/>
          <w:u w:val="single" w:color="auto"/>
          <w:color w:val="008000"/>
        </w:rPr>
        <w:t>Term Loan Commitment</w:t>
      </w:r>
      <w:r>
        <w:rPr>
          <w:rFonts w:ascii="Times New Roman" w:cs="Times New Roman" w:eastAsia="Times New Roman" w:hAnsi="Times New Roman"/>
          <w:sz w:val="14"/>
          <w:szCs w:val="14"/>
          <w:u w:val="single" w:color="auto"/>
          <w:color w:val="008000"/>
        </w:rPr>
        <w:t>” shall mean</w:t>
      </w:r>
      <w:r>
        <w:rPr>
          <w:rFonts w:ascii="Times New Roman" w:cs="Times New Roman" w:eastAsia="Times New Roman" w:hAnsi="Times New Roman"/>
          <w:sz w:val="14"/>
          <w:szCs w:val="14"/>
          <w:u w:val="single" w:color="auto"/>
          <w:color w:val="0000FF"/>
        </w:rPr>
        <w:t>, with respect to an Additional Tranche B-4 Term Loan Lender, the commitment of such Additional Tranche B-4 Term Loan Lender to make Additional Tranche B-4 Term Loans on the Amendment No. 7 Effective Date, in an amount set forth on Schedule I to Amendment No. 7.</w:t>
      </w:r>
    </w:p>
    <w:p>
      <w:pPr>
        <w:spacing w:after="0" w:line="139"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Additional Tranche B-4 Term Loan Lender</w:t>
      </w:r>
      <w:r>
        <w:rPr>
          <w:rFonts w:ascii="Times New Roman" w:cs="Times New Roman" w:eastAsia="Times New Roman" w:hAnsi="Times New Roman"/>
          <w:sz w:val="14"/>
          <w:szCs w:val="14"/>
          <w:u w:val="single" w:color="auto"/>
          <w:color w:val="0000FF"/>
        </w:rPr>
        <w:t>” shall mean a Person with an Additional Tranche B-4 Term Loan Commitment or an Additional Tranche B-4 Term Loan.</w:t>
      </w:r>
    </w:p>
    <w:p>
      <w:pPr>
        <w:spacing w:after="0" w:line="119" w:lineRule="exact"/>
        <w:rPr>
          <w:sz w:val="20"/>
          <w:szCs w:val="20"/>
          <w:color w:val="auto"/>
        </w:rPr>
      </w:pPr>
    </w:p>
    <w:p>
      <w:pPr>
        <w:jc w:val="both"/>
        <w:ind w:left="1140" w:right="1159" w:firstLine="552"/>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Adjusted Term SOFR Rate</w:t>
      </w:r>
      <w:r>
        <w:rPr>
          <w:rFonts w:ascii="Times New Roman" w:cs="Times New Roman" w:eastAsia="Times New Roman" w:hAnsi="Times New Roman"/>
          <w:sz w:val="14"/>
          <w:szCs w:val="14"/>
          <w:color w:val="auto"/>
        </w:rPr>
        <w:t>” shall mean, with respect to any SOFR Loan denominated in Dollars for any Interest Period, an interest rate per annum equal to (a) Term SOFR for such Interest Period plus (b) the Term SOFR Adjustment; provided that the Adjusted Term SOFR Rate shall not be less than 0.00% per annum.</w:t>
      </w:r>
    </w:p>
    <w:p>
      <w:pPr>
        <w:spacing w:after="0" w:line="133" w:lineRule="exact"/>
        <w:rPr>
          <w:sz w:val="20"/>
          <w:szCs w:val="20"/>
          <w:color w:val="auto"/>
        </w:rPr>
      </w:pPr>
    </w:p>
    <w:p>
      <w:pPr>
        <w:ind w:left="1140" w:right="13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Adjusted Total 2020 Letter of Credit Commitment</w:t>
      </w:r>
      <w:r>
        <w:rPr>
          <w:rFonts w:ascii="Times New Roman" w:cs="Times New Roman" w:eastAsia="Times New Roman" w:hAnsi="Times New Roman"/>
          <w:sz w:val="14"/>
          <w:szCs w:val="14"/>
          <w:color w:val="auto"/>
        </w:rPr>
        <w:t>” shall mean, at any time, the Total 2020 Letter of Credit Commitment less the aggregate 2020 Letter of Credit Commitments of all Defaulting Lenders.</w:t>
      </w:r>
    </w:p>
    <w:p>
      <w:pPr>
        <w:spacing w:after="0" w:line="119" w:lineRule="exact"/>
        <w:rPr>
          <w:sz w:val="20"/>
          <w:szCs w:val="20"/>
          <w:color w:val="auto"/>
        </w:rPr>
      </w:pPr>
    </w:p>
    <w:p>
      <w:pPr>
        <w:ind w:left="1140" w:right="13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Adjusted Total Revolving Credit Commitment</w:t>
      </w:r>
      <w:r>
        <w:rPr>
          <w:rFonts w:ascii="Times New Roman" w:cs="Times New Roman" w:eastAsia="Times New Roman" w:hAnsi="Times New Roman"/>
          <w:sz w:val="14"/>
          <w:szCs w:val="14"/>
          <w:color w:val="auto"/>
        </w:rPr>
        <w:t>” shall mean at any time the Total Revolving Credit Commitment less the aggregate Revolving Credit Commitment of all Defaulting Lenders.</w:t>
      </w:r>
    </w:p>
    <w:p>
      <w:pPr>
        <w:spacing w:after="0" w:line="119" w:lineRule="exact"/>
        <w:rPr>
          <w:sz w:val="20"/>
          <w:szCs w:val="20"/>
          <w:color w:val="auto"/>
        </w:rPr>
      </w:pPr>
    </w:p>
    <w:p>
      <w:pPr>
        <w:ind w:left="1140" w:right="16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Adjusted Total Term Loan Commitment</w:t>
      </w:r>
      <w:r>
        <w:rPr>
          <w:rFonts w:ascii="Times New Roman" w:cs="Times New Roman" w:eastAsia="Times New Roman" w:hAnsi="Times New Roman"/>
          <w:sz w:val="14"/>
          <w:szCs w:val="14"/>
          <w:color w:val="auto"/>
        </w:rPr>
        <w:t>” shall mean at any time the Total Term Loan Commitment less the Term Loan Commitments of all Defaulting Lenders.</w:t>
      </w:r>
    </w:p>
    <w:p>
      <w:pPr>
        <w:spacing w:after="0" w:line="119" w:lineRule="exact"/>
        <w:rPr>
          <w:sz w:val="20"/>
          <w:szCs w:val="20"/>
          <w:color w:val="auto"/>
        </w:rPr>
      </w:pPr>
    </w:p>
    <w:p>
      <w:pPr>
        <w:ind w:left="1140" w:right="12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Administrative Agent</w:t>
      </w:r>
      <w:r>
        <w:rPr>
          <w:rFonts w:ascii="Times New Roman" w:cs="Times New Roman" w:eastAsia="Times New Roman" w:hAnsi="Times New Roman"/>
          <w:sz w:val="14"/>
          <w:szCs w:val="14"/>
          <w:color w:val="auto"/>
        </w:rPr>
        <w:t xml:space="preserve">” shall mean MSSF, as the administrative agent for the Lenders under this Agreement and the other Credit Documents, or any successor administrative agent pursuant to </w:t>
      </w:r>
      <w:r>
        <w:rPr>
          <w:rFonts w:ascii="Times New Roman" w:cs="Times New Roman" w:eastAsia="Times New Roman" w:hAnsi="Times New Roman"/>
          <w:sz w:val="14"/>
          <w:szCs w:val="14"/>
          <w:u w:val="single" w:color="auto"/>
          <w:color w:val="auto"/>
        </w:rPr>
        <w:t>Section 12.9</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left="1140" w:right="11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Administrative Agent’s Office</w:t>
      </w:r>
      <w:r>
        <w:rPr>
          <w:rFonts w:ascii="Times New Roman" w:cs="Times New Roman" w:eastAsia="Times New Roman" w:hAnsi="Times New Roman"/>
          <w:sz w:val="14"/>
          <w:szCs w:val="14"/>
          <w:color w:val="auto"/>
        </w:rPr>
        <w:t xml:space="preserve">” shall mean the Administrative Agent’s address and, as appropriate, account as set forth on </w:t>
      </w:r>
      <w:r>
        <w:rPr>
          <w:rFonts w:ascii="Times New Roman" w:cs="Times New Roman" w:eastAsia="Times New Roman" w:hAnsi="Times New Roman"/>
          <w:sz w:val="14"/>
          <w:szCs w:val="14"/>
          <w:u w:val="single" w:color="auto"/>
          <w:color w:val="auto"/>
        </w:rPr>
        <w:t>Schedule 13.2</w:t>
      </w:r>
      <w:r>
        <w:rPr>
          <w:rFonts w:ascii="Times New Roman" w:cs="Times New Roman" w:eastAsia="Times New Roman" w:hAnsi="Times New Roman"/>
          <w:sz w:val="14"/>
          <w:szCs w:val="14"/>
          <w:color w:val="auto"/>
        </w:rPr>
        <w:t xml:space="preserve"> or such other address or account as the Administrative Agent may from time to time notify the Borrower and the Lenders.</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Administrative Questionnaire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13.6(b)(ii)(D)</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2" w:name="page83"/>
    <w:bookmarkEnd w:id="82"/>
    <w:p>
      <w:pPr>
        <w:ind w:left="1140" w:right="171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Affected Financial Institution</w:t>
      </w:r>
      <w:r>
        <w:rPr>
          <w:rFonts w:ascii="Times New Roman" w:cs="Times New Roman" w:eastAsia="Times New Roman" w:hAnsi="Times New Roman"/>
          <w:sz w:val="14"/>
          <w:szCs w:val="14"/>
          <w:u w:val="single" w:color="auto"/>
          <w:color w:val="0000FF"/>
        </w:rPr>
        <w:t>” means (a) any EEA Financial Institution or (b) any UK Financial Institution.</w:t>
      </w:r>
    </w:p>
    <w:p>
      <w:pPr>
        <w:spacing w:after="0" w:line="119" w:lineRule="exact"/>
        <w:rPr>
          <w:sz w:val="20"/>
          <w:szCs w:val="20"/>
          <w:color w:val="auto"/>
        </w:rPr>
      </w:pPr>
    </w:p>
    <w:p>
      <w:pPr>
        <w:ind w:left="1140" w:right="117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 For purposes of this Agreement and the other Credit Documents, Jefferies LLC and its Affiliates shall be deemed to be Affiliates of Jefferies Finance LLC and its Affiliates.</w:t>
      </w:r>
    </w:p>
    <w:p>
      <w:pPr>
        <w:spacing w:after="0" w:line="143" w:lineRule="exact"/>
        <w:rPr>
          <w:sz w:val="20"/>
          <w:szCs w:val="20"/>
          <w:color w:val="auto"/>
        </w:rPr>
      </w:pPr>
    </w:p>
    <w:p>
      <w:pPr>
        <w:ind w:left="1140" w:right="1199" w:firstLine="1033"/>
        <w:spacing w:after="0" w:line="27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Affiliated Institutional Lender</w:t>
      </w:r>
      <w:r>
        <w:rPr>
          <w:rFonts w:ascii="Times New Roman" w:cs="Times New Roman" w:eastAsia="Times New Roman" w:hAnsi="Times New Roman"/>
          <w:sz w:val="14"/>
          <w:szCs w:val="14"/>
          <w:color w:val="auto"/>
        </w:rPr>
        <w:t xml:space="preserve">” shall mean (i) any Affiliate of any Sponsor that is either a bona fide debt fund or such Affiliate extends credit or buys loans in the ordinary course of business, (ii) KKR Corporate Lending </w:t>
      </w:r>
      <w:r>
        <w:rPr>
          <w:rFonts w:ascii="Times New Roman" w:cs="Times New Roman" w:eastAsia="Times New Roman" w:hAnsi="Times New Roman"/>
          <w:sz w:val="14"/>
          <w:szCs w:val="14"/>
          <w:u w:val="single" w:color="auto"/>
          <w:color w:val="0000FF"/>
        </w:rPr>
        <w:t>(DE)</w:t>
      </w:r>
      <w:r>
        <w:rPr>
          <w:rFonts w:ascii="Times New Roman" w:cs="Times New Roman" w:eastAsia="Times New Roman" w:hAnsi="Times New Roman"/>
          <w:sz w:val="14"/>
          <w:szCs w:val="14"/>
          <w:color w:val="auto"/>
        </w:rPr>
        <w:t xml:space="preserve"> LLC </w:t>
      </w:r>
      <w:r>
        <w:rPr>
          <w:rFonts w:ascii="Times New Roman" w:cs="Times New Roman" w:eastAsia="Times New Roman" w:hAnsi="Times New Roman"/>
          <w:sz w:val="14"/>
          <w:szCs w:val="14"/>
          <w:color w:val="FF0000"/>
        </w:rPr>
        <w:t>and</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KKR Capital Markets LLC </w:t>
      </w:r>
      <w:r>
        <w:rPr>
          <w:rFonts w:ascii="Times New Roman" w:cs="Times New Roman" w:eastAsia="Times New Roman" w:hAnsi="Times New Roman"/>
          <w:sz w:val="14"/>
          <w:szCs w:val="14"/>
          <w:color w:val="FF0000"/>
        </w:rPr>
        <w:t>and</w:t>
      </w:r>
      <w:r>
        <w:rPr>
          <w:rFonts w:ascii="Times New Roman" w:cs="Times New Roman" w:eastAsia="Times New Roman" w:hAnsi="Times New Roman"/>
          <w:sz w:val="14"/>
          <w:szCs w:val="14"/>
          <w:u w:val="single" w:color="auto"/>
          <w:color w:val="0000FF"/>
        </w:rPr>
        <w:t>, KKR Corporate Lending (CA) LLC, and KKR Corporate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Lending LLC,</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(iii) MCS Corporate Lending LLC and MCS Capital Markets LLC</w:t>
      </w:r>
      <w:r>
        <w:rPr>
          <w:rFonts w:ascii="Times New Roman" w:cs="Times New Roman" w:eastAsia="Times New Roman" w:hAnsi="Times New Roman"/>
          <w:sz w:val="14"/>
          <w:szCs w:val="14"/>
          <w:color w:val="0000FF"/>
        </w:rPr>
        <w:t xml:space="preserve"> and (iv) any successor of each of </w:t>
      </w:r>
      <w:r>
        <w:rPr>
          <w:rFonts w:ascii="Times New Roman" w:cs="Times New Roman" w:eastAsia="Times New Roman" w:hAnsi="Times New Roman"/>
          <w:sz w:val="14"/>
          <w:szCs w:val="14"/>
          <w:u w:val="single" w:color="auto"/>
          <w:color w:val="0000FF"/>
        </w:rPr>
        <w:t>the Persons set forth in clauses (ii) and (iii)</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-292100</wp:posOffset>
            </wp:positionV>
            <wp:extent cx="154305" cy="69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0">
                      <a:extLst>
                        <a:ext uri="{28A0092B-C50C-407E-A947-70E740481C1C}"/>
                      </a:extLst>
                    </a:blip>
                    <a:srcRect/>
                    <a:stretch>
                      <a:fillRect/>
                    </a:stretch>
                  </pic:blipFill>
                  <pic:spPr bwMode="auto">
                    <a:xfrm>
                      <a:off x="0" y="0"/>
                      <a:ext cx="154305" cy="6985"/>
                    </a:xfrm>
                    <a:prstGeom prst="rect">
                      <a:avLst/>
                    </a:prstGeom>
                    <a:noFill/>
                  </pic:spPr>
                </pic:pic>
              </a:graphicData>
            </a:graphic>
          </wp:anchor>
        </w:drawing>
        <w:drawing>
          <wp:anchor simplePos="0" relativeHeight="251657728" behindDoc="1" locked="0" layoutInCell="0" allowOverlap="1">
            <wp:simplePos x="0" y="0"/>
            <wp:positionH relativeFrom="column">
              <wp:posOffset>2624455</wp:posOffset>
            </wp:positionH>
            <wp:positionV relativeFrom="paragraph">
              <wp:posOffset>-292100</wp:posOffset>
            </wp:positionV>
            <wp:extent cx="154305"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1">
                      <a:extLst>
                        <a:ext uri="{28A0092B-C50C-407E-A947-70E740481C1C}"/>
                      </a:extLst>
                    </a:blip>
                    <a:srcRect/>
                    <a:stretch>
                      <a:fillRect/>
                    </a:stretch>
                  </pic:blipFill>
                  <pic:spPr bwMode="auto">
                    <a:xfrm>
                      <a:off x="0" y="0"/>
                      <a:ext cx="154305" cy="6985"/>
                    </a:xfrm>
                    <a:prstGeom prst="rect">
                      <a:avLst/>
                    </a:prstGeom>
                    <a:noFill/>
                  </pic:spPr>
                </pic:pic>
              </a:graphicData>
            </a:graphic>
          </wp:anchor>
        </w:drawing>
        <w:drawing>
          <wp:anchor simplePos="0" relativeHeight="251657728" behindDoc="1" locked="0" layoutInCell="0" allowOverlap="1">
            <wp:simplePos x="0" y="0"/>
            <wp:positionH relativeFrom="column">
              <wp:posOffset>3702685</wp:posOffset>
            </wp:positionH>
            <wp:positionV relativeFrom="paragraph">
              <wp:posOffset>-141605</wp:posOffset>
            </wp:positionV>
            <wp:extent cx="1243965" cy="698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2">
                      <a:extLst>
                        <a:ext uri="{28A0092B-C50C-407E-A947-70E740481C1C}"/>
                      </a:extLst>
                    </a:blip>
                    <a:srcRect/>
                    <a:stretch>
                      <a:fillRect/>
                    </a:stretch>
                  </pic:blipFill>
                  <pic:spPr bwMode="auto">
                    <a:xfrm>
                      <a:off x="0" y="0"/>
                      <a:ext cx="1243965" cy="6985"/>
                    </a:xfrm>
                    <a:prstGeom prst="rect">
                      <a:avLst/>
                    </a:prstGeom>
                    <a:noFill/>
                  </pic:spPr>
                </pic:pic>
              </a:graphicData>
            </a:graphic>
          </wp:anchor>
        </w:drawing>
      </w:r>
    </w:p>
    <w:p>
      <w:pPr>
        <w:spacing w:after="0" w:line="115" w:lineRule="exact"/>
        <w:rPr>
          <w:sz w:val="20"/>
          <w:szCs w:val="20"/>
          <w:color w:val="auto"/>
        </w:rPr>
      </w:pPr>
    </w:p>
    <w:p>
      <w:pPr>
        <w:ind w:left="1140" w:right="14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Affiliated Lender</w:t>
      </w:r>
      <w:r>
        <w:rPr>
          <w:rFonts w:ascii="Times New Roman" w:cs="Times New Roman" w:eastAsia="Times New Roman" w:hAnsi="Times New Roman"/>
          <w:sz w:val="14"/>
          <w:szCs w:val="14"/>
          <w:color w:val="auto"/>
        </w:rPr>
        <w:t>” shall mean a Lender that is a Sponsor or any Affiliate thereof (other than Holdings, the Borrower, any other Subsidiary of the Borrower or any Affiliated Institutional Lender).</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Agent Parties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Agent Party</w:t>
      </w:r>
      <w:r>
        <w:rPr>
          <w:rFonts w:ascii="Times New Roman" w:cs="Times New Roman" w:eastAsia="Times New Roman" w:hAnsi="Times New Roman"/>
          <w:sz w:val="14"/>
          <w:szCs w:val="14"/>
          <w:color w:val="auto"/>
        </w:rPr>
        <w:t xml:space="preserve">” shall have the meanings provided in </w:t>
      </w:r>
      <w:r>
        <w:rPr>
          <w:rFonts w:ascii="Times New Roman" w:cs="Times New Roman" w:eastAsia="Times New Roman" w:hAnsi="Times New Roman"/>
          <w:sz w:val="14"/>
          <w:szCs w:val="14"/>
          <w:u w:val="single" w:color="auto"/>
          <w:color w:val="auto"/>
        </w:rPr>
        <w:t>Section 13.17(b)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Agents</w:t>
      </w:r>
      <w:r>
        <w:rPr>
          <w:rFonts w:ascii="Times New Roman" w:cs="Times New Roman" w:eastAsia="Times New Roman" w:hAnsi="Times New Roman"/>
          <w:sz w:val="14"/>
          <w:szCs w:val="14"/>
          <w:color w:val="auto"/>
        </w:rPr>
        <w:t xml:space="preserve">” shall mean the Administrative Agent, the Collateral Agent, each Joint Lead Arranger and Bookrunner, each Amendment No. 4 Arranger, each Amendment No. 5 Arranger </w:t>
      </w:r>
      <w:r>
        <w:rPr>
          <w:rFonts w:ascii="Times New Roman" w:cs="Times New Roman" w:eastAsia="Times New Roman" w:hAnsi="Times New Roman"/>
          <w:sz w:val="14"/>
          <w:szCs w:val="14"/>
          <w:color w:val="FF0000"/>
        </w:rPr>
        <w:t>and</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each Amendment No. 6 Arranger </w:t>
      </w:r>
      <w:r>
        <w:rPr>
          <w:rFonts w:ascii="Times New Roman" w:cs="Times New Roman" w:eastAsia="Times New Roman" w:hAnsi="Times New Roman"/>
          <w:sz w:val="14"/>
          <w:szCs w:val="14"/>
          <w:color w:val="0000FF"/>
        </w:rPr>
        <w:t>and each Amendment No. 7 Arranger</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3833495</wp:posOffset>
            </wp:positionH>
            <wp:positionV relativeFrom="paragraph">
              <wp:posOffset>-184150</wp:posOffset>
            </wp:positionV>
            <wp:extent cx="154305"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3">
                      <a:extLst>
                        <a:ext uri="{28A0092B-C50C-407E-A947-70E740481C1C}"/>
                      </a:extLst>
                    </a:blip>
                    <a:srcRect/>
                    <a:stretch>
                      <a:fillRect/>
                    </a:stretch>
                  </pic:blipFill>
                  <pic:spPr bwMode="auto">
                    <a:xfrm>
                      <a:off x="0" y="0"/>
                      <a:ext cx="154305" cy="6985"/>
                    </a:xfrm>
                    <a:prstGeom prst="rect">
                      <a:avLst/>
                    </a:prstGeom>
                    <a:noFill/>
                  </pic:spPr>
                </pic:pic>
              </a:graphicData>
            </a:graphic>
          </wp:anchor>
        </w:drawing>
        <w:drawing>
          <wp:anchor simplePos="0" relativeHeight="251657728" behindDoc="1" locked="0" layoutInCell="0" allowOverlap="1">
            <wp:simplePos x="0" y="0"/>
            <wp:positionH relativeFrom="column">
              <wp:posOffset>1057275</wp:posOffset>
            </wp:positionH>
            <wp:positionV relativeFrom="paragraph">
              <wp:posOffset>-34290</wp:posOffset>
            </wp:positionV>
            <wp:extent cx="1393190"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4">
                      <a:extLst>
                        <a:ext uri="{28A0092B-C50C-407E-A947-70E740481C1C}"/>
                      </a:extLst>
                    </a:blip>
                    <a:srcRect/>
                    <a:stretch>
                      <a:fillRect/>
                    </a:stretch>
                  </pic:blipFill>
                  <pic:spPr bwMode="auto">
                    <a:xfrm>
                      <a:off x="0" y="0"/>
                      <a:ext cx="1393190" cy="6985"/>
                    </a:xfrm>
                    <a:prstGeom prst="rect">
                      <a:avLst/>
                    </a:prstGeom>
                    <a:noFill/>
                  </pic:spPr>
                </pic:pic>
              </a:graphicData>
            </a:graphic>
          </wp:anchor>
        </w:drawing>
      </w:r>
    </w:p>
    <w:p>
      <w:pPr>
        <w:spacing w:after="0" w:line="1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14"/>
          <w:szCs w:val="14"/>
          <w:color w:val="auto"/>
        </w:rPr>
        <w:t>” shall mean this First Lien Credit Agreement.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AHYDO</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1</w:t>
      </w:r>
      <w:r>
        <w:rPr>
          <w:rFonts w:ascii="Times New Roman" w:cs="Times New Roman" w:eastAsia="Times New Roman" w:hAnsi="Times New Roman"/>
          <w:sz w:val="14"/>
          <w:szCs w:val="14"/>
          <w:color w:val="auto"/>
        </w:rPr>
        <w:t>” shall mean Amendment No. 1 to this Agreement dated as of the Amendment No. 1 Effective Date.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1 Arrangers</w:t>
      </w:r>
      <w:r>
        <w:rPr>
          <w:rFonts w:ascii="Times New Roman" w:cs="Times New Roman" w:eastAsia="Times New Roman" w:hAnsi="Times New Roman"/>
          <w:sz w:val="14"/>
          <w:szCs w:val="14"/>
          <w:color w:val="auto"/>
        </w:rPr>
        <w:t>” shall have the meaning provided in Amendment No. 1.</w:t>
      </w:r>
    </w:p>
    <w:p>
      <w:pPr>
        <w:spacing w:after="0" w:line="183" w:lineRule="exact"/>
        <w:rPr>
          <w:sz w:val="20"/>
          <w:szCs w:val="20"/>
          <w:color w:val="auto"/>
        </w:rPr>
      </w:pPr>
    </w:p>
    <w:p>
      <w:pPr>
        <w:ind w:left="1140" w:right="15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1 Effective Date</w:t>
      </w:r>
      <w:r>
        <w:rPr>
          <w:rFonts w:ascii="Times New Roman" w:cs="Times New Roman" w:eastAsia="Times New Roman" w:hAnsi="Times New Roman"/>
          <w:sz w:val="14"/>
          <w:szCs w:val="14"/>
          <w:color w:val="auto"/>
        </w:rPr>
        <w:t>” shall mean January 30, 2020, the first Business Day on which all conditions precedent set forth in Section 3 of Amendment No. 1 are satisfied.</w:t>
      </w:r>
    </w:p>
    <w:p>
      <w:pPr>
        <w:spacing w:after="0" w:line="119" w:lineRule="exact"/>
        <w:rPr>
          <w:sz w:val="20"/>
          <w:szCs w:val="20"/>
          <w:color w:val="auto"/>
        </w:rPr>
      </w:pPr>
    </w:p>
    <w:p>
      <w:pPr>
        <w:ind w:left="1140" w:right="12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2</w:t>
      </w:r>
      <w:r>
        <w:rPr>
          <w:rFonts w:ascii="Times New Roman" w:cs="Times New Roman" w:eastAsia="Times New Roman" w:hAnsi="Times New Roman"/>
          <w:sz w:val="14"/>
          <w:szCs w:val="14"/>
          <w:color w:val="auto"/>
        </w:rPr>
        <w:t>” shall mean that certain Joinder Agreement and Amendment No. 2 dated as of the Amendment No. 2 Effective Date.</w:t>
      </w:r>
    </w:p>
    <w:p>
      <w:pPr>
        <w:spacing w:after="0" w:line="119"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2 Effective Date</w:t>
      </w:r>
      <w:r>
        <w:rPr>
          <w:rFonts w:ascii="Times New Roman" w:cs="Times New Roman" w:eastAsia="Times New Roman" w:hAnsi="Times New Roman"/>
          <w:sz w:val="14"/>
          <w:szCs w:val="14"/>
          <w:color w:val="auto"/>
        </w:rPr>
        <w:t>” shall mean June 30, 2020, the first Business Day on which all conditions precedent set forth in Article III, Section 3 of Amendment No. 2 are satisfied.</w:t>
      </w:r>
    </w:p>
    <w:p>
      <w:pPr>
        <w:spacing w:after="0" w:line="119" w:lineRule="exact"/>
        <w:rPr>
          <w:sz w:val="20"/>
          <w:szCs w:val="20"/>
          <w:color w:val="auto"/>
        </w:rPr>
      </w:pPr>
    </w:p>
    <w:p>
      <w:pPr>
        <w:ind w:left="1140" w:right="14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3</w:t>
      </w:r>
      <w:r>
        <w:rPr>
          <w:rFonts w:ascii="Times New Roman" w:cs="Times New Roman" w:eastAsia="Times New Roman" w:hAnsi="Times New Roman"/>
          <w:sz w:val="14"/>
          <w:szCs w:val="14"/>
          <w:color w:val="auto"/>
        </w:rPr>
        <w:t>” shall mean Joinder Agreement and Amendment No. 3 to this Agreement dated as of the Amendment No. 3 Effective Date.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3 Arrangers</w:t>
      </w:r>
      <w:r>
        <w:rPr>
          <w:rFonts w:ascii="Times New Roman" w:cs="Times New Roman" w:eastAsia="Times New Roman" w:hAnsi="Times New Roman"/>
          <w:sz w:val="14"/>
          <w:szCs w:val="14"/>
          <w:color w:val="auto"/>
        </w:rPr>
        <w:t>” shall have the meaning provided in Amendment No. 3.</w:t>
      </w:r>
    </w:p>
    <w:p>
      <w:pPr>
        <w:spacing w:after="0" w:line="183"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3 Effective Date</w:t>
      </w:r>
      <w:r>
        <w:rPr>
          <w:rFonts w:ascii="Times New Roman" w:cs="Times New Roman" w:eastAsia="Times New Roman" w:hAnsi="Times New Roman"/>
          <w:sz w:val="14"/>
          <w:szCs w:val="14"/>
          <w:color w:val="auto"/>
        </w:rPr>
        <w:t>” shall mean October 7, 2020, the first Business Day on which all conditions precedent set forth in Section 3 of Amendment No. 3 are satisfied.</w:t>
      </w:r>
    </w:p>
    <w:p>
      <w:pPr>
        <w:spacing w:after="0" w:line="119"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4</w:t>
      </w:r>
      <w:r>
        <w:rPr>
          <w:rFonts w:ascii="Times New Roman" w:cs="Times New Roman" w:eastAsia="Times New Roman" w:hAnsi="Times New Roman"/>
          <w:sz w:val="14"/>
          <w:szCs w:val="14"/>
          <w:color w:val="auto"/>
        </w:rPr>
        <w:t>” shall mean Amendment No. 4 to this Agreement dated as of the Amendment No. 4 Effective Date.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4 Arrangers</w:t>
      </w:r>
      <w:r>
        <w:rPr>
          <w:rFonts w:ascii="Times New Roman" w:cs="Times New Roman" w:eastAsia="Times New Roman" w:hAnsi="Times New Roman"/>
          <w:sz w:val="14"/>
          <w:szCs w:val="14"/>
          <w:color w:val="auto"/>
        </w:rPr>
        <w:t>” shall have the meaning provided in Amendment No. 4.</w:t>
      </w:r>
    </w:p>
    <w:p>
      <w:pPr>
        <w:spacing w:after="0" w:line="2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3" w:name="page84"/>
    <w:bookmarkEnd w:id="83"/>
    <w:p>
      <w:pPr>
        <w:ind w:left="1140" w:right="11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4 Effective Date</w:t>
      </w:r>
      <w:r>
        <w:rPr>
          <w:rFonts w:ascii="Times New Roman" w:cs="Times New Roman" w:eastAsia="Times New Roman" w:hAnsi="Times New Roman"/>
          <w:sz w:val="14"/>
          <w:szCs w:val="14"/>
          <w:color w:val="auto"/>
        </w:rPr>
        <w:t>” shall mean April 8, 2021, the first Business Day on which all conditions precedent set forth in Section 3 of Amendment No. 4 are satisfied.</w:t>
      </w:r>
    </w:p>
    <w:p>
      <w:pPr>
        <w:spacing w:after="0" w:line="119" w:lineRule="exact"/>
        <w:rPr>
          <w:sz w:val="20"/>
          <w:szCs w:val="20"/>
          <w:color w:val="auto"/>
        </w:rPr>
      </w:pPr>
    </w:p>
    <w:p>
      <w:pPr>
        <w:ind w:left="1140" w:right="14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4 Transactions</w:t>
      </w:r>
      <w:r>
        <w:rPr>
          <w:rFonts w:ascii="Times New Roman" w:cs="Times New Roman" w:eastAsia="Times New Roman" w:hAnsi="Times New Roman"/>
          <w:sz w:val="14"/>
          <w:szCs w:val="14"/>
          <w:color w:val="auto"/>
        </w:rPr>
        <w:t>” shall mean, collectively, the transactions contemplated by Amendment No. 4, including the establishment and funding of the Tranche B-3 Term Loans and including the payment of the fees and expenses incurred in connection with any of the foregoing.</w:t>
      </w:r>
    </w:p>
    <w:p>
      <w:pPr>
        <w:spacing w:after="0" w:line="133" w:lineRule="exact"/>
        <w:rPr>
          <w:sz w:val="20"/>
          <w:szCs w:val="20"/>
          <w:color w:val="auto"/>
        </w:rPr>
      </w:pPr>
    </w:p>
    <w:p>
      <w:pPr>
        <w:ind w:left="1140" w:right="14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w:t>
      </w:r>
      <w:r>
        <w:rPr>
          <w:rFonts w:ascii="Times New Roman" w:cs="Times New Roman" w:eastAsia="Times New Roman" w:hAnsi="Times New Roman"/>
          <w:sz w:val="14"/>
          <w:szCs w:val="14"/>
          <w:color w:val="auto"/>
        </w:rPr>
        <w:t>” shall mean Joinder Agreement and Amendment No. 5 to this Agreement dated as of the Amendment No. 5 Effective Date.</w:t>
      </w:r>
    </w:p>
    <w:p>
      <w:pPr>
        <w:spacing w:after="0" w:line="119" w:lineRule="exact"/>
        <w:rPr>
          <w:sz w:val="20"/>
          <w:szCs w:val="20"/>
          <w:color w:val="auto"/>
        </w:rPr>
      </w:pPr>
    </w:p>
    <w:p>
      <w:pPr>
        <w:ind w:left="1140" w:right="117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 Arrangers</w:t>
      </w:r>
      <w:r>
        <w:rPr>
          <w:rFonts w:ascii="Times New Roman" w:cs="Times New Roman" w:eastAsia="Times New Roman" w:hAnsi="Times New Roman"/>
          <w:sz w:val="14"/>
          <w:szCs w:val="14"/>
          <w:color w:val="auto"/>
        </w:rPr>
        <w:t>” shall mean each of Jefferies Finance LLC, KKR Capital Markets LLC, Morgan Stanley Senior Funding, Inc., Credit Suisse Loan Funding LLC, BMO Capital Markets Corp., Deutsche Bank Securities Inc., BofA Securities, Inc., HSBC Securities (USA) Inc., Crédit Agricole Corporate and Investment Bank and Natixis, New York Branch in their capacities as lead arrangers and joint bookrunners in connection with Amendment No. 5.</w:t>
      </w:r>
    </w:p>
    <w:p>
      <w:pPr>
        <w:spacing w:after="0" w:line="141"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 Effective Date</w:t>
      </w:r>
      <w:r>
        <w:rPr>
          <w:rFonts w:ascii="Times New Roman" w:cs="Times New Roman" w:eastAsia="Times New Roman" w:hAnsi="Times New Roman"/>
          <w:sz w:val="14"/>
          <w:szCs w:val="14"/>
          <w:color w:val="auto"/>
        </w:rPr>
        <w:t>” shall mean April 16, 2021, the first Business Day on which all conditions precedent set forth in Section 3 of Amendment No. 5 are satisfied.</w:t>
      </w:r>
    </w:p>
    <w:p>
      <w:pPr>
        <w:spacing w:after="0" w:line="119" w:lineRule="exact"/>
        <w:rPr>
          <w:sz w:val="20"/>
          <w:szCs w:val="20"/>
          <w:color w:val="auto"/>
        </w:rPr>
      </w:pPr>
    </w:p>
    <w:p>
      <w:pPr>
        <w:ind w:left="1140" w:right="14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 Incremental Term Loan</w:t>
      </w:r>
      <w:r>
        <w:rPr>
          <w:rFonts w:ascii="Times New Roman" w:cs="Times New Roman" w:eastAsia="Times New Roman" w:hAnsi="Times New Roman"/>
          <w:sz w:val="14"/>
          <w:szCs w:val="14"/>
          <w:color w:val="auto"/>
        </w:rPr>
        <w:t xml:space="preserve">” shall mean the Tranche B-3 Term Loans made pursuant to </w:t>
      </w:r>
      <w:r>
        <w:rPr>
          <w:rFonts w:ascii="Times New Roman" w:cs="Times New Roman" w:eastAsia="Times New Roman" w:hAnsi="Times New Roman"/>
          <w:sz w:val="14"/>
          <w:szCs w:val="14"/>
          <w:u w:val="single" w:color="auto"/>
          <w:color w:val="auto"/>
        </w:rPr>
        <w:t>Section 2.1(g)</w:t>
      </w:r>
      <w:r>
        <w:rPr>
          <w:rFonts w:ascii="Times New Roman" w:cs="Times New Roman" w:eastAsia="Times New Roman" w:hAnsi="Times New Roman"/>
          <w:sz w:val="14"/>
          <w:szCs w:val="14"/>
          <w:color w:val="auto"/>
        </w:rPr>
        <w:t xml:space="preserve"> on the Amendment No. 5 Effective Date.</w:t>
      </w:r>
    </w:p>
    <w:p>
      <w:pPr>
        <w:spacing w:after="0" w:line="119" w:lineRule="exact"/>
        <w:rPr>
          <w:sz w:val="20"/>
          <w:szCs w:val="20"/>
          <w:color w:val="auto"/>
        </w:rPr>
      </w:pPr>
    </w:p>
    <w:p>
      <w:pPr>
        <w:ind w:left="1140" w:right="133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 Incremental Term Loan Commitment</w:t>
      </w:r>
      <w:r>
        <w:rPr>
          <w:rFonts w:ascii="Times New Roman" w:cs="Times New Roman" w:eastAsia="Times New Roman" w:hAnsi="Times New Roman"/>
          <w:sz w:val="14"/>
          <w:szCs w:val="14"/>
          <w:color w:val="auto"/>
        </w:rPr>
        <w:t>” shall mean, in the case of each Tranche B-3 Term Loan Lender, the amount set forth opposite such Lender’s name on Schedule A to Amendment No. 5 as such Lender’s Amendment No. 5 Incremental Term Loan Commitment. The aggregate amount of the Amendment No. 5 Incremental Term Loan Commitments as of the Amendment No. 5 Effective Date is $675,000,000.</w:t>
      </w:r>
    </w:p>
    <w:p>
      <w:pPr>
        <w:spacing w:after="0" w:line="141"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 Incremental Term Loan Lender</w:t>
      </w:r>
      <w:r>
        <w:rPr>
          <w:rFonts w:ascii="Times New Roman" w:cs="Times New Roman" w:eastAsia="Times New Roman" w:hAnsi="Times New Roman"/>
          <w:sz w:val="14"/>
          <w:szCs w:val="14"/>
          <w:color w:val="auto"/>
        </w:rPr>
        <w:t>” shall mean a Person with an Amendment No. 5 Incremental Term Loan Commitment or an Amendment No. 5 Incremental Term Loan.</w:t>
      </w:r>
    </w:p>
    <w:p>
      <w:pPr>
        <w:spacing w:after="0" w:line="119" w:lineRule="exact"/>
        <w:rPr>
          <w:sz w:val="20"/>
          <w:szCs w:val="20"/>
          <w:color w:val="auto"/>
        </w:rPr>
      </w:pPr>
    </w:p>
    <w:p>
      <w:pPr>
        <w:ind w:left="1140" w:right="125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5 Transactions</w:t>
      </w:r>
      <w:r>
        <w:rPr>
          <w:rFonts w:ascii="Times New Roman" w:cs="Times New Roman" w:eastAsia="Times New Roman" w:hAnsi="Times New Roman"/>
          <w:sz w:val="14"/>
          <w:szCs w:val="14"/>
          <w:color w:val="auto"/>
        </w:rPr>
        <w:t>” shall mean, collectively, the transactions contemplated by Amendment No. 5, the Abode Acquisition, the Abode Refinancing and the consummation of any other transactions in connection with the foregoing (including (x) in connection with the Abode Acquisition Agreement and the payment of the fees and expenses incurred in connection with any of the foregoing and (y) any restructuring or rollover of Equity Interests in connection with Abode Acquisition).</w:t>
      </w:r>
    </w:p>
    <w:p>
      <w:pPr>
        <w:spacing w:after="0" w:line="141" w:lineRule="exact"/>
        <w:rPr>
          <w:sz w:val="20"/>
          <w:szCs w:val="20"/>
          <w:color w:val="auto"/>
        </w:rPr>
      </w:pPr>
    </w:p>
    <w:p>
      <w:pPr>
        <w:ind w:left="1140" w:right="14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6</w:t>
      </w:r>
      <w:r>
        <w:rPr>
          <w:rFonts w:ascii="Times New Roman" w:cs="Times New Roman" w:eastAsia="Times New Roman" w:hAnsi="Times New Roman"/>
          <w:sz w:val="14"/>
          <w:szCs w:val="14"/>
          <w:color w:val="auto"/>
        </w:rPr>
        <w:t>” shall mean Joinder Agreement and Amendment No. 6 to this Agreement dated as of June 30, 2023.</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6 Arranger</w:t>
      </w:r>
      <w:r>
        <w:rPr>
          <w:rFonts w:ascii="Times New Roman" w:cs="Times New Roman" w:eastAsia="Times New Roman" w:hAnsi="Times New Roman"/>
          <w:sz w:val="14"/>
          <w:szCs w:val="14"/>
          <w:color w:val="auto"/>
        </w:rPr>
        <w:t>” shall have the meaning provided in Amendment No. 6.</w:t>
      </w:r>
    </w:p>
    <w:p>
      <w:pPr>
        <w:spacing w:after="0" w:line="183"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6 Effective Date</w:t>
      </w:r>
      <w:r>
        <w:rPr>
          <w:rFonts w:ascii="Times New Roman" w:cs="Times New Roman" w:eastAsia="Times New Roman" w:hAnsi="Times New Roman"/>
          <w:sz w:val="14"/>
          <w:szCs w:val="14"/>
          <w:color w:val="auto"/>
        </w:rPr>
        <w:t>” shall mean June 30, 2023, the first Business Day on which all Amendment Effective Date No. 1 Conditions (as defined in Amendment No. 6) are satisfied.</w:t>
      </w:r>
    </w:p>
    <w:p>
      <w:pPr>
        <w:spacing w:after="0" w:line="119" w:lineRule="exact"/>
        <w:rPr>
          <w:sz w:val="20"/>
          <w:szCs w:val="20"/>
          <w:color w:val="auto"/>
        </w:rPr>
      </w:pPr>
    </w:p>
    <w:p>
      <w:pPr>
        <w:ind w:left="1140" w:right="14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Amendment No. 6 Transactions</w:t>
      </w:r>
      <w:r>
        <w:rPr>
          <w:rFonts w:ascii="Times New Roman" w:cs="Times New Roman" w:eastAsia="Times New Roman" w:hAnsi="Times New Roman"/>
          <w:sz w:val="14"/>
          <w:szCs w:val="14"/>
          <w:color w:val="auto"/>
        </w:rPr>
        <w:t>” shall mean, collectively, the transactions contemplated by Amendment No. 6, including the establishment of Additional Revolving Credit Commitments thereunder and including the payment of the fees and expenses incurred in connection with any of the foregoing.</w:t>
      </w:r>
    </w:p>
    <w:p>
      <w:pPr>
        <w:spacing w:after="0" w:line="133" w:lineRule="exact"/>
        <w:rPr>
          <w:sz w:val="20"/>
          <w:szCs w:val="20"/>
          <w:color w:val="auto"/>
        </w:rPr>
      </w:pPr>
    </w:p>
    <w:p>
      <w:pPr>
        <w:ind w:left="1140" w:right="1479" w:firstLine="1033"/>
        <w:spacing w:after="0" w:line="296" w:lineRule="auto"/>
        <w:rPr>
          <w:sz w:val="20"/>
          <w:szCs w:val="20"/>
          <w:color w:val="auto"/>
        </w:rPr>
      </w:pPr>
      <w:r>
        <w:rPr>
          <w:rFonts w:ascii="Times New Roman" w:cs="Times New Roman" w:eastAsia="Times New Roman" w:hAnsi="Times New Roman"/>
          <w:sz w:val="14"/>
          <w:szCs w:val="14"/>
          <w:b w:val="1"/>
          <w:bCs w:val="1"/>
          <w:u w:val="single" w:color="auto"/>
          <w:color w:val="0000FF"/>
        </w:rPr>
        <w:t>Amendment No. 7</w:t>
      </w:r>
      <w:r>
        <w:rPr>
          <w:rFonts w:ascii="Times New Roman" w:cs="Times New Roman" w:eastAsia="Times New Roman" w:hAnsi="Times New Roman"/>
          <w:sz w:val="14"/>
          <w:szCs w:val="14"/>
          <w:u w:val="single" w:color="auto"/>
          <w:color w:val="0000FF"/>
        </w:rPr>
        <w:t>” shall mean Joinder Agreement and Amendment No. 7 to this Agreement</w:t>
      </w:r>
      <w:r>
        <w:rPr>
          <w:rFonts w:ascii="Times New Roman" w:cs="Times New Roman" w:eastAsia="Times New Roman" w:hAnsi="Times New Roman"/>
          <w:sz w:val="14"/>
          <w:szCs w:val="14"/>
          <w:b w:val="1"/>
          <w:bCs w:val="1"/>
          <w:u w:val="single" w:color="auto"/>
          <w:color w:val="0000FF"/>
        </w:rPr>
        <w:t xml:space="preserve"> </w:t>
      </w:r>
      <w:r>
        <w:rPr>
          <w:rFonts w:ascii="Times New Roman" w:cs="Times New Roman" w:eastAsia="Times New Roman" w:hAnsi="Times New Roman"/>
          <w:sz w:val="14"/>
          <w:szCs w:val="14"/>
          <w:u w:val="single" w:color="auto"/>
          <w:color w:val="0000FF"/>
        </w:rPr>
        <w:t>dated as of the Amendment No. 7 Effective Date.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Amendment No. 7 Arrangers</w:t>
      </w:r>
      <w:r>
        <w:rPr>
          <w:rFonts w:ascii="Times New Roman" w:cs="Times New Roman" w:eastAsia="Times New Roman" w:hAnsi="Times New Roman"/>
          <w:sz w:val="14"/>
          <w:szCs w:val="14"/>
          <w:u w:val="single" w:color="auto"/>
          <w:color w:val="0000FF"/>
        </w:rPr>
        <w:t>” shall have the meaning provided in Amendment No. 7.</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4" w:name="page85"/>
    <w:bookmarkEnd w:id="84"/>
    <w:p>
      <w:pPr>
        <w:ind w:left="1140" w:right="143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Amendment No. 7 Effective Date</w:t>
      </w:r>
      <w:r>
        <w:rPr>
          <w:rFonts w:ascii="Times New Roman" w:cs="Times New Roman" w:eastAsia="Times New Roman" w:hAnsi="Times New Roman"/>
          <w:sz w:val="14"/>
          <w:szCs w:val="14"/>
          <w:u w:val="single" w:color="auto"/>
          <w:color w:val="0000FF"/>
        </w:rPr>
        <w:t>” shall mean February 21, 2024, the first Business Day on which all conditions precedent set forth in Section 4 of Amendment No. 7 are satisfied.</w:t>
      </w:r>
    </w:p>
    <w:p>
      <w:pPr>
        <w:spacing w:after="0" w:line="119" w:lineRule="exact"/>
        <w:rPr>
          <w:sz w:val="20"/>
          <w:szCs w:val="20"/>
          <w:color w:val="auto"/>
        </w:rPr>
      </w:pPr>
    </w:p>
    <w:p>
      <w:pPr>
        <w:ind w:left="1140" w:right="1439" w:firstLine="1033"/>
        <w:spacing w:after="0" w:line="27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Amendment No. 7 Transactions</w:t>
      </w:r>
      <w:r>
        <w:rPr>
          <w:rFonts w:ascii="Times New Roman" w:cs="Times New Roman" w:eastAsia="Times New Roman" w:hAnsi="Times New Roman"/>
          <w:sz w:val="14"/>
          <w:szCs w:val="14"/>
          <w:u w:val="single" w:color="auto"/>
          <w:color w:val="0000FF"/>
        </w:rPr>
        <w:t xml:space="preserve">” shall mean, collectively, </w:t>
      </w:r>
      <w:r>
        <w:rPr>
          <w:rFonts w:ascii="Times New Roman" w:cs="Times New Roman" w:eastAsia="Times New Roman" w:hAnsi="Times New Roman"/>
          <w:sz w:val="14"/>
          <w:szCs w:val="14"/>
          <w:u w:val="single" w:color="auto"/>
          <w:color w:val="008000"/>
        </w:rPr>
        <w:t>the transactions contemplated by</w:t>
      </w:r>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u w:val="single" w:color="auto"/>
          <w:color w:val="008000"/>
        </w:rPr>
        <w:t xml:space="preserve">Amendment No. </w:t>
      </w:r>
      <w:r>
        <w:rPr>
          <w:rFonts w:ascii="Times New Roman" w:cs="Times New Roman" w:eastAsia="Times New Roman" w:hAnsi="Times New Roman"/>
          <w:sz w:val="14"/>
          <w:szCs w:val="14"/>
          <w:u w:val="single" w:color="auto"/>
          <w:color w:val="0000FF"/>
        </w:rPr>
        <w:t>7, including the establishment and funding of the Tranche B-4 Term Loans and including the</w:t>
      </w:r>
      <w:r>
        <w:rPr>
          <w:rFonts w:ascii="Times New Roman" w:cs="Times New Roman" w:eastAsia="Times New Roman" w:hAnsi="Times New Roman"/>
          <w:sz w:val="14"/>
          <w:szCs w:val="14"/>
          <w:u w:val="single" w:color="auto"/>
          <w:color w:val="008000"/>
        </w:rPr>
        <w:t xml:space="preserve"> </w:t>
      </w:r>
      <w:r>
        <w:rPr>
          <w:rFonts w:ascii="Times New Roman" w:cs="Times New Roman" w:eastAsia="Times New Roman" w:hAnsi="Times New Roman"/>
          <w:sz w:val="14"/>
          <w:szCs w:val="14"/>
          <w:u w:val="single" w:color="auto"/>
          <w:color w:val="0000FF"/>
        </w:rPr>
        <w:t>payment of the fees and expenses incurred in connection with any of the foregoing.</w:t>
      </w:r>
    </w:p>
    <w:p>
      <w:pPr>
        <w:spacing w:after="0" w:line="13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8.10(c)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Anti-Money Laundering Laws</w:t>
      </w:r>
      <w:r>
        <w:rPr>
          <w:rFonts w:ascii="Times New Roman" w:cs="Times New Roman" w:eastAsia="Times New Roman" w:hAnsi="Times New Roman"/>
          <w:sz w:val="14"/>
          <w:szCs w:val="14"/>
          <w:color w:val="auto"/>
        </w:rPr>
        <w:t>” shall mean the Bank Secrecy Act, as amended by the Patriot Act, the Beneficial Ownership Regulation and any other similar laws or regulations concerning or relating to terrorism financing or money laundering.</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Applicable Margin</w:t>
      </w:r>
      <w:r>
        <w:rPr>
          <w:rFonts w:ascii="Times New Roman" w:cs="Times New Roman" w:eastAsia="Times New Roman" w:hAnsi="Times New Roman"/>
          <w:sz w:val="14"/>
          <w:szCs w:val="14"/>
          <w:color w:val="auto"/>
        </w:rPr>
        <w:t>” shall mean a percentage per annum equal to:</w:t>
      </w:r>
    </w:p>
    <w:p>
      <w:pPr>
        <w:spacing w:after="0" w:line="196" w:lineRule="exact"/>
        <w:rPr>
          <w:sz w:val="20"/>
          <w:szCs w:val="20"/>
          <w:color w:val="auto"/>
        </w:rPr>
      </w:pPr>
    </w:p>
    <w:p>
      <w:pPr>
        <w:jc w:val="both"/>
        <w:ind w:left="1140" w:right="1159" w:firstLine="524"/>
        <w:spacing w:after="0" w:line="267" w:lineRule="auto"/>
        <w:tabs>
          <w:tab w:leader="none" w:pos="2015" w:val="left"/>
        </w:tabs>
        <w:numPr>
          <w:ilvl w:val="0"/>
          <w:numId w:val="3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0000FF"/>
        </w:rPr>
        <w:t>(a) prior to the Amendment No. 7 Effective Date,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for SOFR Loans that are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Tranche B-1</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Term</w:t>
      </w:r>
      <w:r>
        <w:rPr>
          <w:rFonts w:ascii="Times New Roman" w:cs="Times New Roman" w:eastAsia="Times New Roman" w:hAnsi="Times New Roman"/>
          <w:sz w:val="14"/>
          <w:szCs w:val="14"/>
          <w:u w:val="single" w:color="auto"/>
          <w:color w:val="0000FF"/>
        </w:rPr>
        <w:t>Revolving Credit</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Loans and ABR Loans that are</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Tranche B-1 Term</w:t>
      </w:r>
      <w:r>
        <w:rPr>
          <w:rFonts w:ascii="Times New Roman" w:cs="Times New Roman" w:eastAsia="Times New Roman" w:hAnsi="Times New Roman"/>
          <w:sz w:val="14"/>
          <w:szCs w:val="14"/>
          <w:u w:val="single" w:color="auto"/>
          <w:color w:val="0000FF"/>
        </w:rPr>
        <w:t>Revolving Credit</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Loans, the percentages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 xml:space="preserve">per annum set forth in the table below based upon the Consolidated First Lien Secured Debt to Consolidated EBITDA Ratio as set forth in the most recent Compliance Certificate received by the Administrative Agent pursuant to </w:t>
      </w:r>
      <w:r>
        <w:rPr>
          <w:rFonts w:ascii="Times New Roman" w:cs="Times New Roman" w:eastAsia="Times New Roman" w:hAnsi="Times New Roman"/>
          <w:sz w:val="14"/>
          <w:szCs w:val="14"/>
          <w:u w:val="single" w:color="auto"/>
          <w:color w:val="000000"/>
        </w:rPr>
        <w:t>Section 9.1</w:t>
      </w:r>
      <w:r>
        <w:rPr>
          <w:rFonts w:ascii="Times New Roman" w:cs="Times New Roman" w:eastAsia="Times New Roman" w:hAnsi="Times New Roman"/>
          <w:sz w:val="14"/>
          <w:szCs w:val="14"/>
          <w:color w:val="000000"/>
        </w:rPr>
        <w:t>:</w:t>
      </w:r>
    </w:p>
    <w:p>
      <w:pPr>
        <w:spacing w:after="0" w:line="307" w:lineRule="exact"/>
        <w:rPr>
          <w:sz w:val="20"/>
          <w:szCs w:val="20"/>
          <w:color w:val="auto"/>
        </w:rPr>
      </w:pPr>
    </w:p>
    <w:tbl>
      <w:tblPr>
        <w:tblLayout w:type="fixed"/>
        <w:tblInd w:w="2030" w:type="dxa"/>
        <w:tblCellMar>
          <w:top w:w="0" w:type="dxa"/>
          <w:left w:w="0" w:type="dxa"/>
          <w:bottom w:w="0" w:type="dxa"/>
          <w:right w:w="0" w:type="dxa"/>
        </w:tblCellMar>
      </w:tblPr>
      <w:tr>
        <w:trPr>
          <w:trHeight w:val="182"/>
        </w:trPr>
        <w:tc>
          <w:tcPr>
            <w:tcW w:w="320" w:type="dxa"/>
            <w:vAlign w:val="bottom"/>
            <w:tcBorders>
              <w:top w:val="single" w:sz="8" w:color="auto"/>
              <w:left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right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ABR Rate</w:t>
            </w:r>
          </w:p>
        </w:tc>
        <w:tc>
          <w:tcPr>
            <w:tcW w:w="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FF0000"/>
                <w:strike w:val="1"/>
              </w:rPr>
              <w:t>Tranche</w:t>
            </w:r>
          </w:p>
        </w:tc>
        <w:tc>
          <w:tcPr>
            <w:tcW w:w="4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Adjusted Term</w:t>
            </w:r>
          </w:p>
        </w:tc>
      </w:tr>
      <w:tr>
        <w:trPr>
          <w:trHeight w:val="157"/>
        </w:trPr>
        <w:tc>
          <w:tcPr>
            <w:tcW w:w="32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660" w:type="dxa"/>
            <w:vAlign w:val="bottom"/>
            <w:tcBorders>
              <w:right w:val="single" w:sz="8" w:color="auto"/>
            </w:tcBorders>
            <w:gridSpan w:val="7"/>
          </w:tcPr>
          <w:p>
            <w:pPr>
              <w:jc w:val="center"/>
              <w:ind w:right="100"/>
              <w:spacing w:after="0" w:line="157" w:lineRule="exact"/>
              <w:rPr>
                <w:sz w:val="20"/>
                <w:szCs w:val="20"/>
                <w:color w:val="auto"/>
              </w:rPr>
            </w:pPr>
            <w:r>
              <w:rPr>
                <w:rFonts w:ascii="Times New Roman" w:cs="Times New Roman" w:eastAsia="Times New Roman" w:hAnsi="Times New Roman"/>
                <w:sz w:val="14"/>
                <w:szCs w:val="14"/>
                <w:b w:val="1"/>
                <w:bCs w:val="1"/>
                <w:color w:val="auto"/>
              </w:rPr>
              <w:t>Consolidated First Lien</w:t>
            </w:r>
          </w:p>
        </w:tc>
        <w:tc>
          <w:tcPr>
            <w:tcW w:w="58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FF0000"/>
                <w:strike w:val="1"/>
                <w:w w:val="96"/>
              </w:rPr>
              <w:t>B-1 Term</w:t>
            </w:r>
          </w:p>
        </w:tc>
        <w:tc>
          <w:tcPr>
            <w:tcW w:w="680" w:type="dxa"/>
            <w:vAlign w:val="bottom"/>
            <w:tcBorders>
              <w:right w:val="single" w:sz="8" w:color="auto"/>
            </w:tcBorders>
            <w:gridSpan w:val="4"/>
          </w:tcPr>
          <w:p>
            <w:pPr>
              <w:spacing w:after="0" w:line="157" w:lineRule="exact"/>
              <w:rPr>
                <w:sz w:val="20"/>
                <w:szCs w:val="20"/>
                <w:color w:val="auto"/>
              </w:rPr>
            </w:pPr>
            <w:r>
              <w:rPr>
                <w:rFonts w:ascii="Times New Roman" w:cs="Times New Roman" w:eastAsia="Times New Roman" w:hAnsi="Times New Roman"/>
                <w:sz w:val="14"/>
                <w:szCs w:val="14"/>
                <w:b w:val="1"/>
                <w:bCs w:val="1"/>
                <w:color w:val="0000FF"/>
              </w:rPr>
              <w:t>Revolving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right w:val="single" w:sz="8" w:color="auto"/>
            </w:tcBorders>
            <w:gridSpan w:val="7"/>
          </w:tcPr>
          <w:p>
            <w:pPr>
              <w:jc w:val="center"/>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SOFR Rate</w:t>
            </w:r>
          </w:p>
        </w:tc>
      </w:tr>
      <w:tr>
        <w:trPr>
          <w:trHeight w:val="20"/>
        </w:trPr>
        <w:tc>
          <w:tcPr>
            <w:tcW w:w="3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r>
      <w:tr>
        <w:trPr>
          <w:trHeight w:val="152"/>
        </w:trPr>
        <w:tc>
          <w:tcPr>
            <w:tcW w:w="320" w:type="dxa"/>
            <w:vAlign w:val="bottom"/>
            <w:tcBorders>
              <w:lef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right w:val="single" w:sz="8" w:color="auto"/>
            </w:tcBorders>
            <w:gridSpan w:val="5"/>
          </w:tcPr>
          <w:p>
            <w:pPr>
              <w:jc w:val="center"/>
              <w:ind w:right="320"/>
              <w:spacing w:after="0" w:line="152" w:lineRule="exact"/>
              <w:rPr>
                <w:sz w:val="20"/>
                <w:szCs w:val="20"/>
                <w:color w:val="auto"/>
              </w:rPr>
            </w:pPr>
            <w:r>
              <w:rPr>
                <w:rFonts w:ascii="Times New Roman" w:cs="Times New Roman" w:eastAsia="Times New Roman" w:hAnsi="Times New Roman"/>
                <w:sz w:val="14"/>
                <w:szCs w:val="14"/>
                <w:b w:val="1"/>
                <w:bCs w:val="1"/>
                <w:color w:val="auto"/>
              </w:rPr>
              <w:t>Secured Debt to</w:t>
            </w:r>
          </w:p>
        </w:tc>
        <w:tc>
          <w:tcPr>
            <w:tcW w:w="1260" w:type="dxa"/>
            <w:vAlign w:val="bottom"/>
            <w:tcBorders>
              <w:right w:val="single" w:sz="8" w:color="auto"/>
            </w:tcBorders>
            <w:gridSpan w:val="7"/>
          </w:tcPr>
          <w:p>
            <w:pPr>
              <w:jc w:val="center"/>
              <w:ind w:right="80"/>
              <w:spacing w:after="0" w:line="152" w:lineRule="exact"/>
              <w:rPr>
                <w:sz w:val="20"/>
                <w:szCs w:val="20"/>
                <w:color w:val="auto"/>
              </w:rPr>
            </w:pPr>
            <w:r>
              <w:rPr>
                <w:rFonts w:ascii="Times New Roman" w:cs="Times New Roman" w:eastAsia="Times New Roman" w:hAnsi="Times New Roman"/>
                <w:sz w:val="14"/>
                <w:szCs w:val="14"/>
                <w:b w:val="1"/>
                <w:bCs w:val="1"/>
                <w:color w:val="0000FF"/>
              </w:rPr>
              <w:t xml:space="preserve">Credit </w:t>
            </w:r>
            <w:r>
              <w:rPr>
                <w:rFonts w:ascii="Times New Roman" w:cs="Times New Roman" w:eastAsia="Times New Roman" w:hAnsi="Times New Roman"/>
                <w:sz w:val="14"/>
                <w:szCs w:val="14"/>
                <w:b w:val="1"/>
                <w:bCs w:val="1"/>
                <w:color w:val="000000"/>
              </w:rPr>
              <w:t>Loans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6"/>
          </w:tcPr>
          <w:p>
            <w:pPr>
              <w:jc w:val="center"/>
              <w:ind w:right="120"/>
              <w:spacing w:after="0" w:line="152" w:lineRule="exact"/>
              <w:rPr>
                <w:sz w:val="20"/>
                <w:szCs w:val="20"/>
                <w:color w:val="auto"/>
              </w:rPr>
            </w:pPr>
            <w:r>
              <w:rPr>
                <w:rFonts w:ascii="Times New Roman" w:cs="Times New Roman" w:eastAsia="Times New Roman" w:hAnsi="Times New Roman"/>
                <w:sz w:val="14"/>
                <w:szCs w:val="14"/>
                <w:b w:val="1"/>
                <w:bCs w:val="1"/>
                <w:color w:val="FF0000"/>
                <w:strike w:val="1"/>
              </w:rPr>
              <w:t>Tranche B-1</w:t>
            </w:r>
          </w:p>
        </w:tc>
        <w:tc>
          <w:tcPr>
            <w:tcW w:w="160" w:type="dxa"/>
            <w:vAlign w:val="bottom"/>
            <w:tcBorders>
              <w:right w:val="single" w:sz="8" w:color="auto"/>
            </w:tcBorders>
          </w:tcPr>
          <w:p>
            <w:pPr>
              <w:spacing w:after="0"/>
              <w:rPr>
                <w:sz w:val="13"/>
                <w:szCs w:val="13"/>
                <w:color w:val="auto"/>
              </w:rPr>
            </w:pPr>
          </w:p>
        </w:tc>
      </w:tr>
      <w:tr>
        <w:trPr>
          <w:trHeight w:val="152"/>
        </w:trPr>
        <w:tc>
          <w:tcPr>
            <w:tcW w:w="800" w:type="dxa"/>
            <w:vAlign w:val="bottom"/>
            <w:tcBorders>
              <w:left w:val="single" w:sz="8" w:color="auto"/>
              <w:right w:val="single" w:sz="8" w:color="auto"/>
            </w:tcBorders>
            <w:gridSpan w:val="3"/>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rPr>
              <w:t>Pricing</w:t>
            </w:r>
          </w:p>
        </w:tc>
        <w:tc>
          <w:tcPr>
            <w:tcW w:w="1660" w:type="dxa"/>
            <w:vAlign w:val="bottom"/>
            <w:tcBorders>
              <w:right w:val="single" w:sz="8" w:color="auto"/>
            </w:tcBorders>
            <w:gridSpan w:val="7"/>
          </w:tcPr>
          <w:p>
            <w:pPr>
              <w:jc w:val="center"/>
              <w:ind w:right="100"/>
              <w:spacing w:after="0" w:line="152" w:lineRule="exact"/>
              <w:rPr>
                <w:sz w:val="20"/>
                <w:szCs w:val="20"/>
                <w:color w:val="auto"/>
              </w:rPr>
            </w:pPr>
            <w:r>
              <w:rPr>
                <w:rFonts w:ascii="Times New Roman" w:cs="Times New Roman" w:eastAsia="Times New Roman" w:hAnsi="Times New Roman"/>
                <w:sz w:val="14"/>
                <w:szCs w:val="14"/>
                <w:b w:val="1"/>
                <w:bCs w:val="1"/>
                <w:color w:val="auto"/>
              </w:rPr>
              <w:t>Consolidated EBITDA</w:t>
            </w:r>
          </w:p>
        </w:tc>
        <w:tc>
          <w:tcPr>
            <w:tcW w:w="18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gridSpan w:val="3"/>
          </w:tcPr>
          <w:p>
            <w:pPr>
              <w:spacing w:after="0" w:line="152" w:lineRule="exact"/>
              <w:rPr>
                <w:sz w:val="20"/>
                <w:szCs w:val="20"/>
                <w:color w:val="auto"/>
              </w:rPr>
            </w:pPr>
            <w:r>
              <w:rPr>
                <w:rFonts w:ascii="Times New Roman" w:cs="Times New Roman" w:eastAsia="Times New Roman" w:hAnsi="Times New Roman"/>
                <w:sz w:val="14"/>
                <w:szCs w:val="14"/>
                <w:b w:val="1"/>
                <w:bCs w:val="1"/>
                <w:color w:val="FF0000"/>
                <w:strike w:val="1"/>
                <w:w w:val="95"/>
              </w:rPr>
              <w:t>Term</w:t>
            </w:r>
          </w:p>
        </w:tc>
        <w:tc>
          <w:tcPr>
            <w:tcW w:w="640" w:type="dxa"/>
            <w:vAlign w:val="bottom"/>
            <w:tcBorders>
              <w:bottom w:val="single" w:sz="8" w:color="0000FF"/>
            </w:tcBorders>
            <w:gridSpan w:val="4"/>
          </w:tcPr>
          <w:p>
            <w:pPr>
              <w:jc w:val="right"/>
              <w:ind w:right="40"/>
              <w:spacing w:after="0" w:line="152" w:lineRule="exact"/>
              <w:rPr>
                <w:sz w:val="20"/>
                <w:szCs w:val="20"/>
                <w:color w:val="auto"/>
              </w:rPr>
            </w:pPr>
            <w:r>
              <w:rPr>
                <w:rFonts w:ascii="Times New Roman" w:cs="Times New Roman" w:eastAsia="Times New Roman" w:hAnsi="Times New Roman"/>
                <w:sz w:val="14"/>
                <w:szCs w:val="14"/>
                <w:b w:val="1"/>
                <w:bCs w:val="1"/>
                <w:color w:val="0000FF"/>
                <w:w w:val="96"/>
              </w:rPr>
              <w:t>Revolving</w:t>
            </w:r>
          </w:p>
        </w:tc>
        <w:tc>
          <w:tcPr>
            <w:tcW w:w="160" w:type="dxa"/>
            <w:vAlign w:val="bottom"/>
            <w:tcBorders>
              <w:right w:val="single" w:sz="8" w:color="auto"/>
            </w:tcBorders>
          </w:tcPr>
          <w:p>
            <w:pPr>
              <w:spacing w:after="0"/>
              <w:rPr>
                <w:sz w:val="13"/>
                <w:szCs w:val="13"/>
                <w:color w:val="auto"/>
              </w:rPr>
            </w:pPr>
          </w:p>
        </w:tc>
      </w:tr>
      <w:tr>
        <w:trPr>
          <w:trHeight w:val="152"/>
        </w:trPr>
        <w:tc>
          <w:tcPr>
            <w:tcW w:w="800" w:type="dxa"/>
            <w:vAlign w:val="bottom"/>
            <w:tcBorders>
              <w:left w:val="single" w:sz="8" w:color="auto"/>
              <w:right w:val="single" w:sz="8" w:color="auto"/>
            </w:tcBorders>
            <w:gridSpan w:val="3"/>
          </w:tcPr>
          <w:p>
            <w:pPr>
              <w:jc w:val="center"/>
              <w:ind w:right="20"/>
              <w:spacing w:after="0" w:line="152" w:lineRule="exact"/>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Borders>
              <w:right w:val="single" w:sz="8" w:color="auto"/>
            </w:tcBorders>
            <w:gridSpan w:val="4"/>
          </w:tcPr>
          <w:p>
            <w:pPr>
              <w:jc w:val="center"/>
              <w:ind w:right="540"/>
              <w:spacing w:after="0" w:line="152" w:lineRule="exact"/>
              <w:rPr>
                <w:sz w:val="20"/>
                <w:szCs w:val="20"/>
                <w:color w:val="auto"/>
              </w:rPr>
            </w:pPr>
            <w:r>
              <w:rPr>
                <w:rFonts w:ascii="Times New Roman" w:cs="Times New Roman" w:eastAsia="Times New Roman" w:hAnsi="Times New Roman"/>
                <w:sz w:val="14"/>
                <w:szCs w:val="14"/>
                <w:b w:val="1"/>
                <w:bCs w:val="1"/>
                <w:color w:val="auto"/>
                <w:w w:val="97"/>
              </w:rPr>
              <w:t>Ratio</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Borders>
              <w:right w:val="single" w:sz="8" w:color="auto"/>
            </w:tcBorders>
            <w:gridSpan w:val="8"/>
          </w:tcPr>
          <w:p>
            <w:pPr>
              <w:jc w:val="center"/>
              <w:ind w:right="140"/>
              <w:spacing w:after="0" w:line="152" w:lineRule="exact"/>
              <w:rPr>
                <w:sz w:val="20"/>
                <w:szCs w:val="20"/>
                <w:color w:val="auto"/>
              </w:rPr>
            </w:pPr>
            <w:r>
              <w:rPr>
                <w:rFonts w:ascii="Times New Roman" w:cs="Times New Roman" w:eastAsia="Times New Roman" w:hAnsi="Times New Roman"/>
                <w:sz w:val="14"/>
                <w:szCs w:val="14"/>
                <w:b w:val="1"/>
                <w:bCs w:val="1"/>
                <w:color w:val="0000FF"/>
              </w:rPr>
              <w:t xml:space="preserve">Credit </w:t>
            </w:r>
            <w:r>
              <w:rPr>
                <w:rFonts w:ascii="Times New Roman" w:cs="Times New Roman" w:eastAsia="Times New Roman" w:hAnsi="Times New Roman"/>
                <w:sz w:val="14"/>
                <w:szCs w:val="14"/>
                <w:b w:val="1"/>
                <w:bCs w:val="1"/>
                <w:color w:val="000000"/>
              </w:rPr>
              <w:t>Loans</w:t>
            </w:r>
          </w:p>
        </w:tc>
      </w:tr>
      <w:tr>
        <w:trPr>
          <w:trHeight w:val="20"/>
        </w:trPr>
        <w:tc>
          <w:tcPr>
            <w:tcW w:w="32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r>
      <w:tr>
        <w:trPr>
          <w:trHeight w:val="155"/>
        </w:trPr>
        <w:tc>
          <w:tcPr>
            <w:tcW w:w="320" w:type="dxa"/>
            <w:vAlign w:val="bottom"/>
            <w:tcBorders>
              <w:left w:val="single" w:sz="8" w:color="auto"/>
            </w:tcBorders>
          </w:tcPr>
          <w:p>
            <w:pPr>
              <w:spacing w:after="0"/>
              <w:rPr>
                <w:sz w:val="13"/>
                <w:szCs w:val="13"/>
                <w:color w:val="auto"/>
              </w:rPr>
            </w:pPr>
          </w:p>
        </w:tc>
        <w:tc>
          <w:tcPr>
            <w:tcW w:w="480" w:type="dxa"/>
            <w:vAlign w:val="bottom"/>
            <w:tcBorders>
              <w:right w:val="single" w:sz="8" w:color="auto"/>
            </w:tcBorders>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color w:val="auto"/>
              </w:rPr>
              <w:t>I</w:t>
            </w:r>
          </w:p>
        </w:tc>
        <w:tc>
          <w:tcPr>
            <w:tcW w:w="1440" w:type="dxa"/>
            <w:vAlign w:val="bottom"/>
            <w:gridSpan w:val="6"/>
          </w:tcPr>
          <w:p>
            <w:pPr>
              <w:jc w:val="center"/>
              <w:ind w:left="108"/>
              <w:spacing w:after="0" w:line="155" w:lineRule="exact"/>
              <w:rPr>
                <w:sz w:val="20"/>
                <w:szCs w:val="20"/>
                <w:color w:val="auto"/>
              </w:rPr>
            </w:pPr>
            <w:r>
              <w:rPr>
                <w:rFonts w:ascii="Times New Roman" w:cs="Times New Roman" w:eastAsia="Times New Roman" w:hAnsi="Times New Roman"/>
                <w:sz w:val="14"/>
                <w:szCs w:val="14"/>
                <w:color w:val="auto"/>
              </w:rPr>
              <w:t>&gt; 4.00:1.00</w:t>
            </w:r>
          </w:p>
        </w:tc>
        <w:tc>
          <w:tcPr>
            <w:tcW w:w="2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FF0000"/>
                <w:strike w:val="1"/>
              </w:rPr>
              <w:t>2.25</w:t>
            </w:r>
          </w:p>
        </w:tc>
        <w:tc>
          <w:tcPr>
            <w:tcW w:w="64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color w:val="0000FF"/>
              </w:rPr>
              <w:t>3.25</w:t>
            </w:r>
            <w:r>
              <w:rPr>
                <w:rFonts w:ascii="Times New Roman" w:cs="Times New Roman" w:eastAsia="Times New Roman" w:hAnsi="Times New Roman"/>
                <w:sz w:val="14"/>
                <w:szCs w:val="14"/>
                <w:color w:val="000000"/>
              </w:rPr>
              <w:t>%</w:t>
            </w:r>
          </w:p>
        </w:tc>
        <w:tc>
          <w:tcPr>
            <w:tcW w:w="40" w:type="dxa"/>
            <w:vAlign w:val="bottom"/>
            <w:tcBorders>
              <w:right w:val="single" w:sz="8" w:color="auto"/>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3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FF0000"/>
                <w:strike w:val="1"/>
              </w:rPr>
              <w:t>3.25</w:t>
            </w:r>
          </w:p>
        </w:tc>
        <w:tc>
          <w:tcPr>
            <w:tcW w:w="540" w:type="dxa"/>
            <w:vAlign w:val="bottom"/>
            <w:gridSpan w:val="3"/>
          </w:tcPr>
          <w:p>
            <w:pPr>
              <w:jc w:val="right"/>
              <w:ind w:right="180"/>
              <w:spacing w:after="0" w:line="155" w:lineRule="exact"/>
              <w:rPr>
                <w:sz w:val="20"/>
                <w:szCs w:val="20"/>
                <w:color w:val="auto"/>
              </w:rPr>
            </w:pPr>
            <w:r>
              <w:rPr>
                <w:rFonts w:ascii="Times New Roman" w:cs="Times New Roman" w:eastAsia="Times New Roman" w:hAnsi="Times New Roman"/>
                <w:sz w:val="14"/>
                <w:szCs w:val="14"/>
                <w:color w:val="0000FF"/>
                <w:w w:val="93"/>
              </w:rPr>
              <w:t>4.25</w:t>
            </w:r>
            <w:r>
              <w:rPr>
                <w:rFonts w:ascii="Times New Roman" w:cs="Times New Roman" w:eastAsia="Times New Roman" w:hAnsi="Times New Roman"/>
                <w:sz w:val="14"/>
                <w:szCs w:val="14"/>
                <w:color w:val="000000"/>
                <w:w w:val="93"/>
              </w:rPr>
              <w:t>%</w:t>
            </w:r>
          </w:p>
        </w:tc>
        <w:tc>
          <w:tcPr>
            <w:tcW w:w="160" w:type="dxa"/>
            <w:vAlign w:val="bottom"/>
            <w:tcBorders>
              <w:right w:val="single" w:sz="8" w:color="auto"/>
            </w:tcBorders>
          </w:tcPr>
          <w:p>
            <w:pPr>
              <w:spacing w:after="0"/>
              <w:rPr>
                <w:sz w:val="13"/>
                <w:szCs w:val="13"/>
                <w:color w:val="auto"/>
              </w:rPr>
            </w:pPr>
          </w:p>
        </w:tc>
      </w:tr>
      <w:tr>
        <w:trPr>
          <w:trHeight w:val="34"/>
        </w:trPr>
        <w:tc>
          <w:tcPr>
            <w:tcW w:w="32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top w:val="single" w:sz="8" w:color="0000FF"/>
              <w:bottom w:val="single" w:sz="8" w:color="auto"/>
            </w:tcBorders>
          </w:tcPr>
          <w:p>
            <w:pPr>
              <w:spacing w:after="0"/>
              <w:rPr>
                <w:sz w:val="2"/>
                <w:szCs w:val="2"/>
                <w:color w:val="auto"/>
              </w:rPr>
            </w:pPr>
          </w:p>
        </w:tc>
        <w:tc>
          <w:tcPr>
            <w:tcW w:w="140" w:type="dxa"/>
            <w:vAlign w:val="bottom"/>
            <w:tcBorders>
              <w:top w:val="single" w:sz="8" w:color="0000FF"/>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200" w:type="dxa"/>
            <w:vAlign w:val="bottom"/>
            <w:tcBorders>
              <w:top w:val="single" w:sz="8" w:color="0000FF"/>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r>
      <w:tr>
        <w:trPr>
          <w:trHeight w:val="174"/>
        </w:trPr>
        <w:tc>
          <w:tcPr>
            <w:tcW w:w="320" w:type="dxa"/>
            <w:vAlign w:val="bottom"/>
            <w:tcBorders>
              <w:left w:val="single" w:sz="8" w:color="auto"/>
            </w:tcBorders>
          </w:tcPr>
          <w:p>
            <w:pPr>
              <w:spacing w:after="0"/>
              <w:rPr>
                <w:sz w:val="15"/>
                <w:szCs w:val="15"/>
                <w:color w:val="auto"/>
              </w:rPr>
            </w:pPr>
          </w:p>
        </w:tc>
        <w:tc>
          <w:tcPr>
            <w:tcW w:w="480" w:type="dxa"/>
            <w:vAlign w:val="bottom"/>
            <w:tcBorders>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II</w:t>
            </w:r>
          </w:p>
        </w:tc>
        <w:tc>
          <w:tcPr>
            <w:tcW w:w="1660" w:type="dxa"/>
            <w:vAlign w:val="bottom"/>
            <w:tcBorders>
              <w:right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4"/>
                <w:szCs w:val="14"/>
                <w:color w:val="auto"/>
              </w:rPr>
              <w:t xml:space="preserve">&lt; 4.00:1.00 </w:t>
            </w:r>
            <w:r>
              <w:rPr>
                <w:rFonts w:ascii="Times New Roman" w:cs="Times New Roman" w:eastAsia="Times New Roman" w:hAnsi="Times New Roman"/>
                <w:sz w:val="14"/>
                <w:szCs w:val="14"/>
                <w:color w:val="0000FF"/>
              </w:rPr>
              <w:t>but &gt; 3.50</w:t>
            </w:r>
          </w:p>
        </w:tc>
        <w:tc>
          <w:tcPr>
            <w:tcW w:w="18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FF0000"/>
                <w:strike w:val="1"/>
              </w:rPr>
              <w:t>2.00</w:t>
            </w:r>
          </w:p>
        </w:tc>
        <w:tc>
          <w:tcPr>
            <w:tcW w:w="64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3.00</w:t>
            </w:r>
            <w:r>
              <w:rPr>
                <w:rFonts w:ascii="Times New Roman" w:cs="Times New Roman" w:eastAsia="Times New Roman" w:hAnsi="Times New Roman"/>
                <w:sz w:val="14"/>
                <w:szCs w:val="14"/>
                <w:color w:val="000000"/>
              </w:rPr>
              <w:t>%</w:t>
            </w:r>
          </w:p>
        </w:tc>
        <w:tc>
          <w:tcPr>
            <w:tcW w:w="40" w:type="dxa"/>
            <w:vAlign w:val="bottom"/>
            <w:tcBorders>
              <w:right w:val="single" w:sz="8" w:color="auto"/>
            </w:tcBorders>
          </w:tcPr>
          <w:p>
            <w:pPr>
              <w:spacing w:after="0"/>
              <w:rPr>
                <w:sz w:val="15"/>
                <w:szCs w:val="15"/>
                <w:color w:val="auto"/>
              </w:rPr>
            </w:pPr>
          </w:p>
        </w:tc>
        <w:tc>
          <w:tcPr>
            <w:tcW w:w="220" w:type="dxa"/>
            <w:vAlign w:val="bottom"/>
            <w:gridSpan w:val="2"/>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FF0000"/>
                <w:strike w:val="1"/>
              </w:rPr>
              <w:t>3.00</w:t>
            </w: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0000FF"/>
                <w:w w:val="93"/>
              </w:rPr>
              <w:t>4.00</w:t>
            </w:r>
            <w:r>
              <w:rPr>
                <w:rFonts w:ascii="Times New Roman" w:cs="Times New Roman" w:eastAsia="Times New Roman" w:hAnsi="Times New Roman"/>
                <w:sz w:val="14"/>
                <w:szCs w:val="14"/>
                <w:color w:val="000000"/>
                <w:w w:val="93"/>
              </w:rPr>
              <w:t>%</w:t>
            </w:r>
          </w:p>
        </w:tc>
        <w:tc>
          <w:tcPr>
            <w:tcW w:w="160" w:type="dxa"/>
            <w:vAlign w:val="bottom"/>
            <w:tcBorders>
              <w:right w:val="single" w:sz="8" w:color="auto"/>
            </w:tcBorders>
          </w:tcPr>
          <w:p>
            <w:pPr>
              <w:spacing w:after="0"/>
              <w:rPr>
                <w:sz w:val="15"/>
                <w:szCs w:val="15"/>
                <w:color w:val="auto"/>
              </w:rPr>
            </w:pPr>
          </w:p>
        </w:tc>
      </w:tr>
      <w:tr>
        <w:trPr>
          <w:trHeight w:val="66"/>
        </w:trPr>
        <w:tc>
          <w:tcPr>
            <w:tcW w:w="320" w:type="dxa"/>
            <w:vAlign w:val="bottom"/>
            <w:tcBorders>
              <w:left w:val="single" w:sz="8" w:color="auto"/>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20" w:type="dxa"/>
            <w:vAlign w:val="bottom"/>
            <w:tcBorders>
              <w:top w:val="single" w:sz="8" w:color="0000FF"/>
              <w:bottom w:val="single" w:sz="8" w:color="auto"/>
            </w:tcBorders>
          </w:tcPr>
          <w:p>
            <w:pPr>
              <w:spacing w:after="0"/>
              <w:rPr>
                <w:sz w:val="5"/>
                <w:szCs w:val="5"/>
                <w:color w:val="auto"/>
              </w:rPr>
            </w:pPr>
          </w:p>
        </w:tc>
        <w:tc>
          <w:tcPr>
            <w:tcW w:w="300" w:type="dxa"/>
            <w:vAlign w:val="bottom"/>
            <w:tcBorders>
              <w:top w:val="single" w:sz="8" w:color="0000FF"/>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top w:val="single" w:sz="8" w:color="0000FF"/>
              <w:bottom w:val="single" w:sz="8" w:color="auto"/>
            </w:tcBorders>
          </w:tcPr>
          <w:p>
            <w:pPr>
              <w:spacing w:after="0"/>
              <w:rPr>
                <w:sz w:val="5"/>
                <w:szCs w:val="5"/>
                <w:color w:val="auto"/>
              </w:rPr>
            </w:pPr>
          </w:p>
        </w:tc>
        <w:tc>
          <w:tcPr>
            <w:tcW w:w="140" w:type="dxa"/>
            <w:vAlign w:val="bottom"/>
            <w:tcBorders>
              <w:top w:val="single" w:sz="8" w:color="0000FF"/>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0" w:type="dxa"/>
            <w:vAlign w:val="bottom"/>
            <w:tcBorders>
              <w:bottom w:val="single" w:sz="8" w:color="auto"/>
              <w:right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Borders>
              <w:top w:val="single" w:sz="8" w:color="0000FF"/>
              <w:bottom w:val="single" w:sz="8" w:color="auto"/>
            </w:tcBorders>
          </w:tcPr>
          <w:p>
            <w:pPr>
              <w:spacing w:after="0"/>
              <w:rPr>
                <w:sz w:val="5"/>
                <w:szCs w:val="5"/>
                <w:color w:val="auto"/>
              </w:rPr>
            </w:pPr>
          </w:p>
        </w:tc>
        <w:tc>
          <w:tcPr>
            <w:tcW w:w="200" w:type="dxa"/>
            <w:vAlign w:val="bottom"/>
            <w:tcBorders>
              <w:top w:val="single" w:sz="8" w:color="0000FF"/>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r>
      <w:tr>
        <w:trPr>
          <w:trHeight w:val="184"/>
        </w:trPr>
        <w:tc>
          <w:tcPr>
            <w:tcW w:w="800" w:type="dxa"/>
            <w:vAlign w:val="bottom"/>
            <w:tcBorders>
              <w:left w:val="single" w:sz="8" w:color="auto"/>
              <w:right w:val="single" w:sz="8" w:color="auto"/>
            </w:tcBorders>
            <w:gridSpan w:val="3"/>
            <w:shd w:val="clear" w:color="auto" w:fill="99CCFF"/>
          </w:tcPr>
          <w:p>
            <w:pPr>
              <w:jc w:val="center"/>
              <w:ind w:right="20"/>
              <w:spacing w:after="0"/>
              <w:rPr>
                <w:sz w:val="20"/>
                <w:szCs w:val="20"/>
                <w:color w:val="auto"/>
              </w:rPr>
            </w:pPr>
            <w:r>
              <w:rPr>
                <w:rFonts w:ascii="Times New Roman" w:cs="Times New Roman" w:eastAsia="Times New Roman" w:hAnsi="Times New Roman"/>
                <w:sz w:val="14"/>
                <w:szCs w:val="14"/>
                <w:color w:val="0000FF"/>
                <w:w w:val="99"/>
              </w:rPr>
              <w:t>III</w:t>
            </w:r>
          </w:p>
        </w:tc>
        <w:tc>
          <w:tcPr>
            <w:tcW w:w="1440" w:type="dxa"/>
            <w:vAlign w:val="bottom"/>
            <w:gridSpan w:val="6"/>
            <w:shd w:val="clear" w:color="auto" w:fill="99CCFF"/>
          </w:tcPr>
          <w:p>
            <w:pPr>
              <w:jc w:val="center"/>
              <w:ind w:left="108"/>
              <w:spacing w:after="0"/>
              <w:rPr>
                <w:sz w:val="20"/>
                <w:szCs w:val="20"/>
                <w:color w:val="auto"/>
              </w:rPr>
            </w:pPr>
            <w:r>
              <w:rPr>
                <w:rFonts w:ascii="Times New Roman" w:cs="Times New Roman" w:eastAsia="Times New Roman" w:hAnsi="Times New Roman"/>
                <w:sz w:val="14"/>
                <w:szCs w:val="14"/>
                <w:color w:val="0000FF"/>
              </w:rPr>
              <w:t>&lt; 3.50:1.00</w:t>
            </w:r>
          </w:p>
        </w:tc>
        <w:tc>
          <w:tcPr>
            <w:tcW w:w="220" w:type="dxa"/>
            <w:vAlign w:val="bottom"/>
            <w:tcBorders>
              <w:right w:val="single" w:sz="8" w:color="auto"/>
            </w:tcBorders>
            <w:shd w:val="clear" w:color="auto" w:fill="99CCFF"/>
          </w:tcPr>
          <w:p>
            <w:pPr>
              <w:spacing w:after="0"/>
              <w:rPr>
                <w:sz w:val="16"/>
                <w:szCs w:val="16"/>
                <w:color w:val="auto"/>
              </w:rPr>
            </w:pPr>
          </w:p>
        </w:tc>
        <w:tc>
          <w:tcPr>
            <w:tcW w:w="800" w:type="dxa"/>
            <w:vAlign w:val="bottom"/>
            <w:gridSpan w:val="5"/>
            <w:shd w:val="clear" w:color="auto" w:fill="99CCFF"/>
          </w:tcPr>
          <w:p>
            <w:pPr>
              <w:jc w:val="right"/>
              <w:spacing w:after="0"/>
              <w:rPr>
                <w:sz w:val="20"/>
                <w:szCs w:val="20"/>
                <w:color w:val="auto"/>
              </w:rPr>
            </w:pPr>
            <w:r>
              <w:rPr>
                <w:rFonts w:ascii="Times New Roman" w:cs="Times New Roman" w:eastAsia="Times New Roman" w:hAnsi="Times New Roman"/>
                <w:sz w:val="14"/>
                <w:szCs w:val="14"/>
                <w:color w:val="0000FF"/>
              </w:rPr>
              <w:t>2.75%</w:t>
            </w:r>
          </w:p>
        </w:tc>
        <w:tc>
          <w:tcPr>
            <w:tcW w:w="420" w:type="dxa"/>
            <w:vAlign w:val="bottom"/>
            <w:shd w:val="clear" w:color="auto" w:fill="99CCFF"/>
          </w:tcPr>
          <w:p>
            <w:pPr>
              <w:spacing w:after="0"/>
              <w:rPr>
                <w:sz w:val="16"/>
                <w:szCs w:val="16"/>
                <w:color w:val="auto"/>
              </w:rPr>
            </w:pPr>
          </w:p>
        </w:tc>
        <w:tc>
          <w:tcPr>
            <w:tcW w:w="40" w:type="dxa"/>
            <w:vAlign w:val="bottom"/>
            <w:tcBorders>
              <w:right w:val="single" w:sz="8" w:color="auto"/>
            </w:tcBorders>
            <w:shd w:val="clear" w:color="auto" w:fill="99CCFF"/>
          </w:tcPr>
          <w:p>
            <w:pPr>
              <w:spacing w:after="0"/>
              <w:rPr>
                <w:sz w:val="16"/>
                <w:szCs w:val="16"/>
                <w:color w:val="auto"/>
              </w:rPr>
            </w:pPr>
          </w:p>
        </w:tc>
        <w:tc>
          <w:tcPr>
            <w:tcW w:w="800" w:type="dxa"/>
            <w:vAlign w:val="bottom"/>
            <w:gridSpan w:val="7"/>
            <w:shd w:val="clear" w:color="auto" w:fill="99CCFF"/>
          </w:tcPr>
          <w:p>
            <w:pPr>
              <w:jc w:val="center"/>
              <w:ind w:left="348"/>
              <w:spacing w:after="0"/>
              <w:rPr>
                <w:sz w:val="20"/>
                <w:szCs w:val="20"/>
                <w:color w:val="auto"/>
              </w:rPr>
            </w:pPr>
            <w:r>
              <w:rPr>
                <w:rFonts w:ascii="Times New Roman" w:cs="Times New Roman" w:eastAsia="Times New Roman" w:hAnsi="Times New Roman"/>
                <w:sz w:val="14"/>
                <w:szCs w:val="14"/>
                <w:color w:val="0000FF"/>
              </w:rPr>
              <w:t>3.75%</w:t>
            </w:r>
          </w:p>
        </w:tc>
        <w:tc>
          <w:tcPr>
            <w:tcW w:w="300" w:type="dxa"/>
            <w:vAlign w:val="bottom"/>
            <w:shd w:val="clear" w:color="auto" w:fill="99CCFF"/>
          </w:tcPr>
          <w:p>
            <w:pPr>
              <w:spacing w:after="0"/>
              <w:rPr>
                <w:sz w:val="16"/>
                <w:szCs w:val="16"/>
                <w:color w:val="auto"/>
              </w:rPr>
            </w:pPr>
          </w:p>
        </w:tc>
        <w:tc>
          <w:tcPr>
            <w:tcW w:w="160" w:type="dxa"/>
            <w:vAlign w:val="bottom"/>
            <w:tcBorders>
              <w:right w:val="single" w:sz="8" w:color="auto"/>
            </w:tcBorders>
            <w:shd w:val="clear" w:color="auto" w:fill="99CCFF"/>
          </w:tcPr>
          <w:p>
            <w:pPr>
              <w:spacing w:after="0"/>
              <w:rPr>
                <w:sz w:val="16"/>
                <w:szCs w:val="16"/>
                <w:color w:val="auto"/>
              </w:rPr>
            </w:pPr>
          </w:p>
        </w:tc>
      </w:tr>
      <w:tr>
        <w:trPr>
          <w:trHeight w:val="77"/>
        </w:trPr>
        <w:tc>
          <w:tcPr>
            <w:tcW w:w="320" w:type="dxa"/>
            <w:vAlign w:val="bottom"/>
            <w:tcBorders>
              <w:top w:val="single" w:sz="8" w:color="99CCFF"/>
              <w:left w:val="single" w:sz="8" w:color="auto"/>
              <w:bottom w:val="single" w:sz="8" w:color="auto"/>
            </w:tcBorders>
            <w:shd w:val="clear" w:color="auto" w:fill="99CCFF"/>
          </w:tcPr>
          <w:p>
            <w:pPr>
              <w:spacing w:after="0"/>
              <w:rPr>
                <w:sz w:val="6"/>
                <w:szCs w:val="6"/>
                <w:color w:val="auto"/>
              </w:rPr>
            </w:pPr>
          </w:p>
        </w:tc>
        <w:tc>
          <w:tcPr>
            <w:tcW w:w="140" w:type="dxa"/>
            <w:vAlign w:val="bottom"/>
            <w:tcBorders>
              <w:top w:val="single" w:sz="8" w:color="0000FF"/>
              <w:bottom w:val="single" w:sz="8" w:color="auto"/>
            </w:tcBorders>
            <w:shd w:val="clear" w:color="auto" w:fill="99CCFF"/>
          </w:tcPr>
          <w:p>
            <w:pPr>
              <w:spacing w:after="0"/>
              <w:rPr>
                <w:sz w:val="6"/>
                <w:szCs w:val="6"/>
                <w:color w:val="auto"/>
              </w:rPr>
            </w:pPr>
          </w:p>
        </w:tc>
        <w:tc>
          <w:tcPr>
            <w:tcW w:w="340" w:type="dxa"/>
            <w:vAlign w:val="bottom"/>
            <w:tcBorders>
              <w:top w:val="single" w:sz="8" w:color="99CCFF"/>
              <w:bottom w:val="single" w:sz="8" w:color="auto"/>
              <w:right w:val="single" w:sz="8" w:color="auto"/>
            </w:tcBorders>
            <w:shd w:val="clear" w:color="auto" w:fill="99CCFF"/>
          </w:tcPr>
          <w:p>
            <w:pPr>
              <w:spacing w:after="0"/>
              <w:rPr>
                <w:sz w:val="6"/>
                <w:szCs w:val="6"/>
                <w:color w:val="auto"/>
              </w:rPr>
            </w:pPr>
          </w:p>
        </w:tc>
        <w:tc>
          <w:tcPr>
            <w:tcW w:w="160" w:type="dxa"/>
            <w:vAlign w:val="bottom"/>
            <w:tcBorders>
              <w:top w:val="single" w:sz="8" w:color="99CCFF"/>
              <w:bottom w:val="single" w:sz="8" w:color="auto"/>
            </w:tcBorders>
            <w:shd w:val="clear" w:color="auto" w:fill="99CCFF"/>
          </w:tcPr>
          <w:p>
            <w:pPr>
              <w:spacing w:after="0"/>
              <w:rPr>
                <w:sz w:val="6"/>
                <w:szCs w:val="6"/>
                <w:color w:val="auto"/>
              </w:rPr>
            </w:pPr>
          </w:p>
        </w:tc>
        <w:tc>
          <w:tcPr>
            <w:tcW w:w="80" w:type="dxa"/>
            <w:vAlign w:val="bottom"/>
            <w:tcBorders>
              <w:top w:val="single" w:sz="8" w:color="99CCFF"/>
              <w:bottom w:val="single" w:sz="8" w:color="auto"/>
            </w:tcBorders>
            <w:shd w:val="clear" w:color="auto" w:fill="99CCFF"/>
          </w:tcPr>
          <w:p>
            <w:pPr>
              <w:spacing w:after="0"/>
              <w:rPr>
                <w:sz w:val="6"/>
                <w:szCs w:val="6"/>
                <w:color w:val="auto"/>
              </w:rPr>
            </w:pPr>
          </w:p>
        </w:tc>
        <w:tc>
          <w:tcPr>
            <w:tcW w:w="240" w:type="dxa"/>
            <w:vAlign w:val="bottom"/>
            <w:tcBorders>
              <w:top w:val="single" w:sz="8" w:color="99CCFF"/>
              <w:bottom w:val="single" w:sz="8" w:color="auto"/>
            </w:tcBorders>
            <w:shd w:val="clear" w:color="auto" w:fill="99CCFF"/>
          </w:tcPr>
          <w:p>
            <w:pPr>
              <w:spacing w:after="0"/>
              <w:rPr>
                <w:sz w:val="6"/>
                <w:szCs w:val="6"/>
                <w:color w:val="auto"/>
              </w:rPr>
            </w:pPr>
          </w:p>
        </w:tc>
        <w:tc>
          <w:tcPr>
            <w:tcW w:w="340" w:type="dxa"/>
            <w:vAlign w:val="bottom"/>
            <w:tcBorders>
              <w:top w:val="single" w:sz="8" w:color="0000FF"/>
              <w:bottom w:val="single" w:sz="8" w:color="auto"/>
            </w:tcBorders>
            <w:shd w:val="clear" w:color="auto" w:fill="99CCFF"/>
          </w:tcPr>
          <w:p>
            <w:pPr>
              <w:spacing w:after="0"/>
              <w:rPr>
                <w:sz w:val="6"/>
                <w:szCs w:val="6"/>
                <w:color w:val="auto"/>
              </w:rPr>
            </w:pPr>
          </w:p>
        </w:tc>
        <w:tc>
          <w:tcPr>
            <w:tcW w:w="320" w:type="dxa"/>
            <w:vAlign w:val="bottom"/>
            <w:tcBorders>
              <w:top w:val="single" w:sz="8" w:color="0000FF"/>
              <w:bottom w:val="single" w:sz="8" w:color="auto"/>
            </w:tcBorders>
            <w:shd w:val="clear" w:color="auto" w:fill="99CCFF"/>
          </w:tcPr>
          <w:p>
            <w:pPr>
              <w:spacing w:after="0"/>
              <w:rPr>
                <w:sz w:val="6"/>
                <w:szCs w:val="6"/>
                <w:color w:val="auto"/>
              </w:rPr>
            </w:pPr>
          </w:p>
        </w:tc>
        <w:tc>
          <w:tcPr>
            <w:tcW w:w="300" w:type="dxa"/>
            <w:vAlign w:val="bottom"/>
            <w:tcBorders>
              <w:top w:val="single" w:sz="8" w:color="99CCFF"/>
              <w:bottom w:val="single" w:sz="8" w:color="auto"/>
            </w:tcBorders>
            <w:shd w:val="clear" w:color="auto" w:fill="99CCFF"/>
          </w:tcPr>
          <w:p>
            <w:pPr>
              <w:spacing w:after="0"/>
              <w:rPr>
                <w:sz w:val="6"/>
                <w:szCs w:val="6"/>
                <w:color w:val="auto"/>
              </w:rPr>
            </w:pPr>
          </w:p>
        </w:tc>
        <w:tc>
          <w:tcPr>
            <w:tcW w:w="220" w:type="dxa"/>
            <w:vAlign w:val="bottom"/>
            <w:tcBorders>
              <w:top w:val="single" w:sz="8" w:color="99CCFF"/>
              <w:bottom w:val="single" w:sz="8" w:color="auto"/>
              <w:right w:val="single" w:sz="8" w:color="auto"/>
            </w:tcBorders>
            <w:shd w:val="clear" w:color="auto" w:fill="99CCFF"/>
          </w:tcPr>
          <w:p>
            <w:pPr>
              <w:spacing w:after="0"/>
              <w:rPr>
                <w:sz w:val="6"/>
                <w:szCs w:val="6"/>
                <w:color w:val="auto"/>
              </w:rPr>
            </w:pPr>
          </w:p>
        </w:tc>
        <w:tc>
          <w:tcPr>
            <w:tcW w:w="180" w:type="dxa"/>
            <w:vAlign w:val="bottom"/>
            <w:tcBorders>
              <w:top w:val="single" w:sz="8" w:color="99CCFF"/>
              <w:bottom w:val="single" w:sz="8" w:color="auto"/>
            </w:tcBorders>
            <w:shd w:val="clear" w:color="auto" w:fill="99CCFF"/>
          </w:tcPr>
          <w:p>
            <w:pPr>
              <w:spacing w:after="0"/>
              <w:rPr>
                <w:sz w:val="6"/>
                <w:szCs w:val="6"/>
                <w:color w:val="auto"/>
              </w:rPr>
            </w:pPr>
          </w:p>
        </w:tc>
        <w:tc>
          <w:tcPr>
            <w:tcW w:w="240" w:type="dxa"/>
            <w:vAlign w:val="bottom"/>
            <w:tcBorders>
              <w:top w:val="single" w:sz="8" w:color="99CCFF"/>
              <w:bottom w:val="single" w:sz="8" w:color="auto"/>
            </w:tcBorders>
            <w:shd w:val="clear" w:color="auto" w:fill="99CCFF"/>
          </w:tcPr>
          <w:p>
            <w:pPr>
              <w:spacing w:after="0"/>
              <w:rPr>
                <w:sz w:val="6"/>
                <w:szCs w:val="6"/>
                <w:color w:val="auto"/>
              </w:rPr>
            </w:pPr>
          </w:p>
        </w:tc>
        <w:tc>
          <w:tcPr>
            <w:tcW w:w="160" w:type="dxa"/>
            <w:vAlign w:val="bottom"/>
            <w:tcBorders>
              <w:top w:val="single" w:sz="8" w:color="0000FF"/>
              <w:bottom w:val="single" w:sz="8" w:color="auto"/>
              <w:right w:val="single" w:sz="8" w:color="99CCFF"/>
            </w:tcBorders>
            <w:shd w:val="clear" w:color="auto" w:fill="99CCFF"/>
          </w:tcPr>
          <w:p>
            <w:pPr>
              <w:spacing w:after="0"/>
              <w:rPr>
                <w:sz w:val="6"/>
                <w:szCs w:val="6"/>
                <w:color w:val="auto"/>
              </w:rPr>
            </w:pPr>
          </w:p>
        </w:tc>
        <w:tc>
          <w:tcPr>
            <w:tcW w:w="80" w:type="dxa"/>
            <w:vAlign w:val="bottom"/>
            <w:tcBorders>
              <w:top w:val="single" w:sz="8" w:color="0000FF"/>
              <w:bottom w:val="single" w:sz="8" w:color="auto"/>
            </w:tcBorders>
            <w:shd w:val="clear" w:color="auto" w:fill="99CCFF"/>
          </w:tcPr>
          <w:p>
            <w:pPr>
              <w:spacing w:after="0"/>
              <w:rPr>
                <w:sz w:val="6"/>
                <w:szCs w:val="6"/>
                <w:color w:val="auto"/>
              </w:rPr>
            </w:pPr>
          </w:p>
        </w:tc>
        <w:tc>
          <w:tcPr>
            <w:tcW w:w="140" w:type="dxa"/>
            <w:vAlign w:val="bottom"/>
            <w:tcBorders>
              <w:top w:val="single" w:sz="8" w:color="0000FF"/>
              <w:bottom w:val="single" w:sz="8" w:color="auto"/>
            </w:tcBorders>
            <w:shd w:val="clear" w:color="auto" w:fill="99CCFF"/>
          </w:tcPr>
          <w:p>
            <w:pPr>
              <w:spacing w:after="0"/>
              <w:rPr>
                <w:sz w:val="6"/>
                <w:szCs w:val="6"/>
                <w:color w:val="auto"/>
              </w:rPr>
            </w:pPr>
          </w:p>
        </w:tc>
        <w:tc>
          <w:tcPr>
            <w:tcW w:w="420" w:type="dxa"/>
            <w:vAlign w:val="bottom"/>
            <w:tcBorders>
              <w:top w:val="single" w:sz="8" w:color="99CCFF"/>
              <w:bottom w:val="single" w:sz="8" w:color="auto"/>
            </w:tcBorders>
            <w:shd w:val="clear" w:color="auto" w:fill="99CCFF"/>
          </w:tcPr>
          <w:p>
            <w:pPr>
              <w:spacing w:after="0"/>
              <w:rPr>
                <w:sz w:val="6"/>
                <w:szCs w:val="6"/>
                <w:color w:val="auto"/>
              </w:rPr>
            </w:pPr>
          </w:p>
        </w:tc>
        <w:tc>
          <w:tcPr>
            <w:tcW w:w="40" w:type="dxa"/>
            <w:vAlign w:val="bottom"/>
            <w:tcBorders>
              <w:top w:val="single" w:sz="8" w:color="99CCFF"/>
              <w:bottom w:val="single" w:sz="8" w:color="auto"/>
              <w:right w:val="single" w:sz="8" w:color="auto"/>
            </w:tcBorders>
            <w:shd w:val="clear" w:color="auto" w:fill="99CCFF"/>
          </w:tcPr>
          <w:p>
            <w:pPr>
              <w:spacing w:after="0"/>
              <w:rPr>
                <w:sz w:val="6"/>
                <w:szCs w:val="6"/>
                <w:color w:val="auto"/>
              </w:rPr>
            </w:pPr>
          </w:p>
        </w:tc>
        <w:tc>
          <w:tcPr>
            <w:tcW w:w="120" w:type="dxa"/>
            <w:vAlign w:val="bottom"/>
            <w:tcBorders>
              <w:top w:val="single" w:sz="8" w:color="99CCFF"/>
              <w:bottom w:val="single" w:sz="8" w:color="auto"/>
            </w:tcBorders>
            <w:shd w:val="clear" w:color="auto" w:fill="99CCFF"/>
          </w:tcPr>
          <w:p>
            <w:pPr>
              <w:spacing w:after="0"/>
              <w:rPr>
                <w:sz w:val="6"/>
                <w:szCs w:val="6"/>
                <w:color w:val="auto"/>
              </w:rPr>
            </w:pPr>
          </w:p>
        </w:tc>
        <w:tc>
          <w:tcPr>
            <w:tcW w:w="100" w:type="dxa"/>
            <w:vAlign w:val="bottom"/>
            <w:tcBorders>
              <w:top w:val="single" w:sz="8" w:color="99CCFF"/>
              <w:bottom w:val="single" w:sz="8" w:color="auto"/>
            </w:tcBorders>
            <w:shd w:val="clear" w:color="auto" w:fill="99CCFF"/>
          </w:tcPr>
          <w:p>
            <w:pPr>
              <w:spacing w:after="0"/>
              <w:rPr>
                <w:sz w:val="6"/>
                <w:szCs w:val="6"/>
                <w:color w:val="auto"/>
              </w:rPr>
            </w:pPr>
          </w:p>
        </w:tc>
        <w:tc>
          <w:tcPr>
            <w:tcW w:w="200" w:type="dxa"/>
            <w:vAlign w:val="bottom"/>
            <w:tcBorders>
              <w:top w:val="single" w:sz="8" w:color="99CCFF"/>
              <w:bottom w:val="single" w:sz="8" w:color="auto"/>
            </w:tcBorders>
            <w:shd w:val="clear" w:color="auto" w:fill="99CCFF"/>
          </w:tcPr>
          <w:p>
            <w:pPr>
              <w:spacing w:after="0"/>
              <w:rPr>
                <w:sz w:val="6"/>
                <w:szCs w:val="6"/>
                <w:color w:val="auto"/>
              </w:rPr>
            </w:pPr>
          </w:p>
        </w:tc>
        <w:tc>
          <w:tcPr>
            <w:tcW w:w="40" w:type="dxa"/>
            <w:vAlign w:val="bottom"/>
            <w:tcBorders>
              <w:top w:val="single" w:sz="8" w:color="0000FF"/>
              <w:bottom w:val="single" w:sz="8" w:color="auto"/>
            </w:tcBorders>
            <w:shd w:val="clear" w:color="auto" w:fill="99CCFF"/>
          </w:tcPr>
          <w:p>
            <w:pPr>
              <w:spacing w:after="0"/>
              <w:rPr>
                <w:sz w:val="6"/>
                <w:szCs w:val="6"/>
                <w:color w:val="auto"/>
              </w:rPr>
            </w:pPr>
          </w:p>
        </w:tc>
        <w:tc>
          <w:tcPr>
            <w:tcW w:w="100" w:type="dxa"/>
            <w:vAlign w:val="bottom"/>
            <w:tcBorders>
              <w:top w:val="single" w:sz="8" w:color="0000FF"/>
              <w:bottom w:val="single" w:sz="8" w:color="auto"/>
            </w:tcBorders>
            <w:shd w:val="clear" w:color="auto" w:fill="99CCFF"/>
          </w:tcPr>
          <w:p>
            <w:pPr>
              <w:spacing w:after="0"/>
              <w:rPr>
                <w:sz w:val="6"/>
                <w:szCs w:val="6"/>
                <w:color w:val="auto"/>
              </w:rPr>
            </w:pPr>
          </w:p>
        </w:tc>
        <w:tc>
          <w:tcPr>
            <w:tcW w:w="40" w:type="dxa"/>
            <w:vAlign w:val="bottom"/>
            <w:tcBorders>
              <w:top w:val="single" w:sz="8" w:color="0000FF"/>
              <w:bottom w:val="single" w:sz="8" w:color="auto"/>
            </w:tcBorders>
            <w:shd w:val="clear" w:color="auto" w:fill="99CCFF"/>
          </w:tcPr>
          <w:p>
            <w:pPr>
              <w:spacing w:after="0"/>
              <w:rPr>
                <w:sz w:val="6"/>
                <w:szCs w:val="6"/>
                <w:color w:val="auto"/>
              </w:rPr>
            </w:pPr>
          </w:p>
        </w:tc>
        <w:tc>
          <w:tcPr>
            <w:tcW w:w="200" w:type="dxa"/>
            <w:vAlign w:val="bottom"/>
            <w:tcBorders>
              <w:top w:val="single" w:sz="8" w:color="0000FF"/>
              <w:bottom w:val="single" w:sz="8" w:color="auto"/>
            </w:tcBorders>
            <w:shd w:val="clear" w:color="auto" w:fill="99CCFF"/>
          </w:tcPr>
          <w:p>
            <w:pPr>
              <w:spacing w:after="0"/>
              <w:rPr>
                <w:sz w:val="6"/>
                <w:szCs w:val="6"/>
                <w:color w:val="auto"/>
              </w:rPr>
            </w:pPr>
          </w:p>
        </w:tc>
        <w:tc>
          <w:tcPr>
            <w:tcW w:w="300" w:type="dxa"/>
            <w:vAlign w:val="bottom"/>
            <w:tcBorders>
              <w:top w:val="single" w:sz="8" w:color="99CCFF"/>
              <w:bottom w:val="single" w:sz="8" w:color="auto"/>
            </w:tcBorders>
            <w:shd w:val="clear" w:color="auto" w:fill="99CCFF"/>
          </w:tcPr>
          <w:p>
            <w:pPr>
              <w:spacing w:after="0"/>
              <w:rPr>
                <w:sz w:val="6"/>
                <w:szCs w:val="6"/>
                <w:color w:val="auto"/>
              </w:rPr>
            </w:pPr>
          </w:p>
        </w:tc>
        <w:tc>
          <w:tcPr>
            <w:tcW w:w="160" w:type="dxa"/>
            <w:vAlign w:val="bottom"/>
            <w:tcBorders>
              <w:top w:val="single" w:sz="8" w:color="99CCFF"/>
              <w:bottom w:val="single" w:sz="8" w:color="auto"/>
              <w:right w:val="single" w:sz="8" w:color="auto"/>
            </w:tcBorders>
            <w:shd w:val="clear" w:color="auto" w:fill="99CCFF"/>
          </w:tcPr>
          <w:p>
            <w:pPr>
              <w:spacing w:after="0"/>
              <w:rPr>
                <w:sz w:val="6"/>
                <w:szCs w:val="6"/>
                <w:color w:val="auto"/>
              </w:rPr>
            </w:pPr>
          </w:p>
        </w:tc>
      </w:tr>
    </w:tbl>
    <w:p>
      <w:pPr>
        <w:spacing w:after="0" w:line="334" w:lineRule="exact"/>
        <w:rPr>
          <w:sz w:val="20"/>
          <w:szCs w:val="20"/>
          <w:color w:val="auto"/>
        </w:rPr>
      </w:pPr>
    </w:p>
    <w:p>
      <w:pPr>
        <w:ind w:left="1660" w:right="1219" w:firstLine="103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FF0000"/>
          <w:strike w:val="1"/>
        </w:rPr>
        <w:t>ii</w:t>
      </w:r>
      <w:r>
        <w:rPr>
          <w:rFonts w:ascii="Times New Roman" w:cs="Times New Roman" w:eastAsia="Times New Roman" w:hAnsi="Times New Roman"/>
          <w:sz w:val="14"/>
          <w:szCs w:val="14"/>
          <w:u w:val="single" w:color="auto"/>
          <w:color w:val="0000FF"/>
        </w:rPr>
        <w:t>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from and after the Amendment No. 7 Effective Date,</w:t>
      </w:r>
      <w:r>
        <w:rPr>
          <w:rFonts w:ascii="Times New Roman" w:cs="Times New Roman" w:eastAsia="Times New Roman" w:hAnsi="Times New Roman"/>
          <w:sz w:val="14"/>
          <w:szCs w:val="14"/>
          <w:color w:val="auto"/>
        </w:rPr>
        <w:t xml:space="preserve"> for SOFR Loans that are Revolving Credit Loans and ABR Loans that are Revolving Credit Loans,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w:t>
      </w:r>
    </w:p>
    <w:p>
      <w:pPr>
        <w:spacing w:after="0" w:line="134" w:lineRule="exact"/>
        <w:rPr>
          <w:sz w:val="20"/>
          <w:szCs w:val="20"/>
          <w:color w:val="auto"/>
        </w:rPr>
      </w:pPr>
    </w:p>
    <w:tbl>
      <w:tblPr>
        <w:tblLayout w:type="fixed"/>
        <w:tblInd w:w="2030" w:type="dxa"/>
        <w:tblCellMar>
          <w:top w:w="0" w:type="dxa"/>
          <w:left w:w="0" w:type="dxa"/>
          <w:bottom w:w="0" w:type="dxa"/>
          <w:right w:w="0" w:type="dxa"/>
        </w:tblCellMar>
      </w:tblPr>
      <w:tr>
        <w:trPr>
          <w:trHeight w:val="182"/>
        </w:trPr>
        <w:tc>
          <w:tcPr>
            <w:tcW w:w="800" w:type="dxa"/>
            <w:vAlign w:val="bottom"/>
            <w:tcBorders>
              <w:top w:val="single" w:sz="8" w:color="auto"/>
              <w:left w:val="single" w:sz="8" w:color="auto"/>
              <w:right w:val="single" w:sz="8" w:color="auto"/>
            </w:tcBorders>
          </w:tcPr>
          <w:p>
            <w:pPr>
              <w:spacing w:after="0"/>
              <w:rPr>
                <w:sz w:val="15"/>
                <w:szCs w:val="15"/>
                <w:color w:val="auto"/>
              </w:rPr>
            </w:pPr>
          </w:p>
        </w:tc>
        <w:tc>
          <w:tcPr>
            <w:tcW w:w="1660" w:type="dxa"/>
            <w:vAlign w:val="bottom"/>
            <w:tcBorders>
              <w:top w:val="single" w:sz="8" w:color="auto"/>
              <w:right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Consolidated First Lien</w:t>
            </w:r>
          </w:p>
        </w:tc>
        <w:tc>
          <w:tcPr>
            <w:tcW w:w="1260" w:type="dxa"/>
            <w:vAlign w:val="bottom"/>
            <w:tcBorders>
              <w:top w:val="single" w:sz="8" w:color="auto"/>
              <w:right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ABR Rate</w:t>
            </w:r>
          </w:p>
        </w:tc>
        <w:tc>
          <w:tcPr>
            <w:tcW w:w="1260" w:type="dxa"/>
            <w:vAlign w:val="bottom"/>
            <w:tcBorders>
              <w:top w:val="single" w:sz="8" w:color="auto"/>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Adjusted Term</w:t>
            </w:r>
          </w:p>
        </w:tc>
      </w:tr>
      <w:tr>
        <w:trPr>
          <w:trHeight w:val="172"/>
        </w:trPr>
        <w:tc>
          <w:tcPr>
            <w:tcW w:w="800" w:type="dxa"/>
            <w:vAlign w:val="bottom"/>
            <w:tcBorders>
              <w:left w:val="single" w:sz="8" w:color="auto"/>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right w:val="single" w:sz="8" w:color="auto"/>
            </w:tcBorders>
            <w:gridSpan w:val="3"/>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Secured Debt to</w:t>
            </w:r>
          </w:p>
        </w:tc>
        <w:tc>
          <w:tcPr>
            <w:tcW w:w="126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Revolving Credit</w:t>
            </w:r>
          </w:p>
        </w:tc>
        <w:tc>
          <w:tcPr>
            <w:tcW w:w="126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SOFR Rate</w:t>
            </w:r>
          </w:p>
        </w:tc>
      </w:tr>
      <w:tr>
        <w:trPr>
          <w:trHeight w:val="172"/>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1660" w:type="dxa"/>
            <w:vAlign w:val="bottom"/>
            <w:tcBorders>
              <w:right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Consolidated EBITDA</w:t>
            </w:r>
          </w:p>
        </w:tc>
        <w:tc>
          <w:tcPr>
            <w:tcW w:w="126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6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Revolving Credit</w:t>
            </w:r>
          </w:p>
        </w:tc>
      </w:tr>
      <w:tr>
        <w:trPr>
          <w:trHeight w:val="195"/>
        </w:trPr>
        <w:tc>
          <w:tcPr>
            <w:tcW w:w="8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jc w:val="center"/>
              <w:ind w:right="548"/>
              <w:spacing w:after="0"/>
              <w:rPr>
                <w:sz w:val="20"/>
                <w:szCs w:val="20"/>
                <w:color w:val="auto"/>
              </w:rPr>
            </w:pPr>
            <w:r>
              <w:rPr>
                <w:rFonts w:ascii="Times New Roman" w:cs="Times New Roman" w:eastAsia="Times New Roman" w:hAnsi="Times New Roman"/>
                <w:sz w:val="14"/>
                <w:szCs w:val="14"/>
                <w:b w:val="1"/>
                <w:bCs w:val="1"/>
                <w:color w:val="auto"/>
                <w:w w:val="97"/>
              </w:rPr>
              <w:t>Ratio</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Loans</w:t>
            </w:r>
          </w:p>
        </w:tc>
      </w:tr>
      <w:tr>
        <w:trPr>
          <w:trHeight w:val="157"/>
        </w:trPr>
        <w:tc>
          <w:tcPr>
            <w:tcW w:w="800" w:type="dxa"/>
            <w:vAlign w:val="bottom"/>
            <w:tcBorders>
              <w:left w:val="single" w:sz="8" w:color="auto"/>
              <w:right w:val="single" w:sz="8" w:color="auto"/>
            </w:tcBorders>
          </w:tcPr>
          <w:p>
            <w:pPr>
              <w:jc w:val="center"/>
              <w:spacing w:after="0" w:line="157" w:lineRule="exact"/>
              <w:rPr>
                <w:sz w:val="20"/>
                <w:szCs w:val="20"/>
                <w:color w:val="auto"/>
              </w:rPr>
            </w:pPr>
            <w:r>
              <w:rPr>
                <w:rFonts w:ascii="Times New Roman" w:cs="Times New Roman" w:eastAsia="Times New Roman" w:hAnsi="Times New Roman"/>
                <w:sz w:val="14"/>
                <w:szCs w:val="14"/>
                <w:color w:val="auto"/>
              </w:rPr>
              <w:t>I</w:t>
            </w:r>
          </w:p>
        </w:tc>
        <w:tc>
          <w:tcPr>
            <w:tcW w:w="1660" w:type="dxa"/>
            <w:vAlign w:val="bottom"/>
            <w:tcBorders>
              <w:right w:val="single" w:sz="8" w:color="auto"/>
            </w:tcBorders>
            <w:gridSpan w:val="5"/>
          </w:tcPr>
          <w:p>
            <w:pPr>
              <w:jc w:val="center"/>
              <w:spacing w:after="0" w:line="157" w:lineRule="exact"/>
              <w:rPr>
                <w:sz w:val="20"/>
                <w:szCs w:val="20"/>
                <w:color w:val="auto"/>
              </w:rPr>
            </w:pPr>
            <w:r>
              <w:rPr>
                <w:rFonts w:ascii="Times New Roman" w:cs="Times New Roman" w:eastAsia="Times New Roman" w:hAnsi="Times New Roman"/>
                <w:sz w:val="14"/>
                <w:szCs w:val="14"/>
                <w:color w:val="auto"/>
              </w:rPr>
              <w:t>&gt; 4.00:1.00</w:t>
            </w:r>
          </w:p>
        </w:tc>
        <w:tc>
          <w:tcPr>
            <w:tcW w:w="560" w:type="dxa"/>
            <w:vAlign w:val="bottom"/>
          </w:tcPr>
          <w:p>
            <w:pPr>
              <w:ind w:left="300"/>
              <w:spacing w:after="0" w:line="157" w:lineRule="exact"/>
              <w:rPr>
                <w:sz w:val="20"/>
                <w:szCs w:val="20"/>
                <w:color w:val="auto"/>
              </w:rPr>
            </w:pPr>
            <w:r>
              <w:rPr>
                <w:rFonts w:ascii="Times New Roman" w:cs="Times New Roman" w:eastAsia="Times New Roman" w:hAnsi="Times New Roman"/>
                <w:sz w:val="14"/>
                <w:szCs w:val="14"/>
                <w:color w:val="FF0000"/>
                <w:strike w:val="1"/>
                <w:w w:val="97"/>
              </w:rPr>
              <w:t>3.25</w:t>
            </w:r>
          </w:p>
        </w:tc>
        <w:tc>
          <w:tcPr>
            <w:tcW w:w="700" w:type="dxa"/>
            <w:vAlign w:val="bottom"/>
            <w:tcBorders>
              <w:right w:val="single" w:sz="8" w:color="auto"/>
            </w:tcBorders>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color w:val="0000FF"/>
                <w:w w:val="93"/>
              </w:rPr>
              <w:t>2.25</w:t>
            </w:r>
            <w:r>
              <w:rPr>
                <w:rFonts w:ascii="Times New Roman" w:cs="Times New Roman" w:eastAsia="Times New Roman" w:hAnsi="Times New Roman"/>
                <w:sz w:val="14"/>
                <w:szCs w:val="14"/>
                <w:color w:val="000000"/>
                <w:w w:val="93"/>
              </w:rPr>
              <w:t>%</w:t>
            </w:r>
          </w:p>
        </w:tc>
        <w:tc>
          <w:tcPr>
            <w:tcW w:w="56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FF0000"/>
                <w:strike w:val="1"/>
              </w:rPr>
              <w:t>4.25</w:t>
            </w:r>
          </w:p>
        </w:tc>
        <w:tc>
          <w:tcPr>
            <w:tcW w:w="700" w:type="dxa"/>
            <w:vAlign w:val="bottom"/>
            <w:tcBorders>
              <w:right w:val="single" w:sz="8" w:color="auto"/>
            </w:tcBorders>
            <w:gridSpan w:val="2"/>
          </w:tcPr>
          <w:p>
            <w:pPr>
              <w:jc w:val="right"/>
              <w:ind w:right="340"/>
              <w:spacing w:after="0" w:line="157" w:lineRule="exact"/>
              <w:rPr>
                <w:sz w:val="20"/>
                <w:szCs w:val="20"/>
                <w:color w:val="auto"/>
              </w:rPr>
            </w:pPr>
            <w:r>
              <w:rPr>
                <w:rFonts w:ascii="Times New Roman" w:cs="Times New Roman" w:eastAsia="Times New Roman" w:hAnsi="Times New Roman"/>
                <w:sz w:val="14"/>
                <w:szCs w:val="14"/>
                <w:color w:val="0000FF"/>
                <w:w w:val="93"/>
              </w:rPr>
              <w:t>3.25</w:t>
            </w:r>
            <w:r>
              <w:rPr>
                <w:rFonts w:ascii="Times New Roman" w:cs="Times New Roman" w:eastAsia="Times New Roman" w:hAnsi="Times New Roman"/>
                <w:sz w:val="14"/>
                <w:szCs w:val="14"/>
                <w:color w:val="000000"/>
                <w:w w:val="93"/>
              </w:rPr>
              <w:t>%</w:t>
            </w:r>
          </w:p>
        </w:tc>
      </w:tr>
      <w:tr>
        <w:trPr>
          <w:trHeight w:val="34"/>
        </w:trPr>
        <w:tc>
          <w:tcPr>
            <w:tcW w:w="800" w:type="dxa"/>
            <w:vAlign w:val="bottom"/>
            <w:tcBorders>
              <w:left w:val="single" w:sz="8" w:color="auto"/>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top w:val="single" w:sz="8" w:color="0000FF"/>
              <w:bottom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r>
      <w:tr>
        <w:trPr>
          <w:trHeight w:val="174"/>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16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&lt; 4.00:1.00 but &gt; 3.50</w:t>
            </w:r>
          </w:p>
        </w:tc>
        <w:tc>
          <w:tcPr>
            <w:tcW w:w="560" w:type="dxa"/>
            <w:vAlign w:val="bottom"/>
          </w:tcPr>
          <w:p>
            <w:pPr>
              <w:ind w:left="300"/>
              <w:spacing w:after="0"/>
              <w:rPr>
                <w:sz w:val="20"/>
                <w:szCs w:val="20"/>
                <w:color w:val="auto"/>
              </w:rPr>
            </w:pPr>
            <w:r>
              <w:rPr>
                <w:rFonts w:ascii="Times New Roman" w:cs="Times New Roman" w:eastAsia="Times New Roman" w:hAnsi="Times New Roman"/>
                <w:sz w:val="14"/>
                <w:szCs w:val="14"/>
                <w:color w:val="FF0000"/>
                <w:strike w:val="1"/>
                <w:w w:val="97"/>
              </w:rPr>
              <w:t>3.00</w:t>
            </w:r>
          </w:p>
        </w:tc>
        <w:tc>
          <w:tcPr>
            <w:tcW w:w="70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0000FF"/>
                <w:w w:val="93"/>
              </w:rPr>
              <w:t>2.00</w:t>
            </w:r>
            <w:r>
              <w:rPr>
                <w:rFonts w:ascii="Times New Roman" w:cs="Times New Roman" w:eastAsia="Times New Roman" w:hAnsi="Times New Roman"/>
                <w:sz w:val="14"/>
                <w:szCs w:val="14"/>
                <w:color w:val="000000"/>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rPr>
              <w:t>4.00</w:t>
            </w:r>
          </w:p>
        </w:tc>
        <w:tc>
          <w:tcPr>
            <w:tcW w:w="70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0000FF"/>
                <w:w w:val="93"/>
              </w:rPr>
              <w:t>3.00</w:t>
            </w:r>
            <w:r>
              <w:rPr>
                <w:rFonts w:ascii="Times New Roman" w:cs="Times New Roman" w:eastAsia="Times New Roman" w:hAnsi="Times New Roman"/>
                <w:sz w:val="14"/>
                <w:szCs w:val="14"/>
                <w:color w:val="000000"/>
                <w:w w:val="93"/>
              </w:rPr>
              <w:t>%</w:t>
            </w:r>
          </w:p>
        </w:tc>
      </w:tr>
      <w:tr>
        <w:trPr>
          <w:trHeight w:val="66"/>
        </w:trPr>
        <w:tc>
          <w:tcPr>
            <w:tcW w:w="80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0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40" w:type="dxa"/>
            <w:vAlign w:val="bottom"/>
            <w:tcBorders>
              <w:top w:val="single" w:sz="8" w:color="0000FF"/>
              <w:bottom w:val="single" w:sz="8" w:color="auto"/>
            </w:tcBorders>
          </w:tcPr>
          <w:p>
            <w:pPr>
              <w:spacing w:after="0"/>
              <w:rPr>
                <w:sz w:val="5"/>
                <w:szCs w:val="5"/>
                <w:color w:val="auto"/>
              </w:rPr>
            </w:pPr>
          </w:p>
        </w:tc>
        <w:tc>
          <w:tcPr>
            <w:tcW w:w="460" w:type="dxa"/>
            <w:vAlign w:val="bottom"/>
            <w:tcBorders>
              <w:bottom w:val="single" w:sz="8" w:color="auto"/>
              <w:right w:val="single" w:sz="8" w:color="auto"/>
            </w:tcBorders>
          </w:tcPr>
          <w:p>
            <w:pPr>
              <w:spacing w:after="0"/>
              <w:rPr>
                <w:sz w:val="5"/>
                <w:szCs w:val="5"/>
                <w:color w:val="auto"/>
              </w:rPr>
            </w:pPr>
          </w:p>
        </w:tc>
      </w:tr>
      <w:tr>
        <w:trPr>
          <w:trHeight w:val="184"/>
        </w:trPr>
        <w:tc>
          <w:tcPr>
            <w:tcW w:w="8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III</w:t>
            </w:r>
          </w:p>
        </w:tc>
        <w:tc>
          <w:tcPr>
            <w:tcW w:w="1660" w:type="dxa"/>
            <w:vAlign w:val="bottom"/>
            <w:tcBorders>
              <w:right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color w:val="auto"/>
              </w:rPr>
              <w:t>&lt; 3.50:1.00</w:t>
            </w:r>
          </w:p>
        </w:tc>
        <w:tc>
          <w:tcPr>
            <w:tcW w:w="560" w:type="dxa"/>
            <w:vAlign w:val="bottom"/>
          </w:tcPr>
          <w:p>
            <w:pPr>
              <w:ind w:left="300"/>
              <w:spacing w:after="0"/>
              <w:rPr>
                <w:sz w:val="20"/>
                <w:szCs w:val="20"/>
                <w:color w:val="auto"/>
              </w:rPr>
            </w:pPr>
            <w:r>
              <w:rPr>
                <w:rFonts w:ascii="Times New Roman" w:cs="Times New Roman" w:eastAsia="Times New Roman" w:hAnsi="Times New Roman"/>
                <w:sz w:val="14"/>
                <w:szCs w:val="14"/>
                <w:color w:val="FF0000"/>
                <w:strike w:val="1"/>
                <w:w w:val="97"/>
              </w:rPr>
              <w:t>2.75</w:t>
            </w:r>
          </w:p>
        </w:tc>
        <w:tc>
          <w:tcPr>
            <w:tcW w:w="70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0000FF"/>
                <w:w w:val="93"/>
              </w:rPr>
              <w:t>1.75</w:t>
            </w:r>
            <w:r>
              <w:rPr>
                <w:rFonts w:ascii="Times New Roman" w:cs="Times New Roman" w:eastAsia="Times New Roman" w:hAnsi="Times New Roman"/>
                <w:sz w:val="14"/>
                <w:szCs w:val="14"/>
                <w:color w:val="000000"/>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FF0000"/>
                <w:strike w:val="1"/>
              </w:rPr>
              <w:t>3.75</w:t>
            </w:r>
          </w:p>
        </w:tc>
        <w:tc>
          <w:tcPr>
            <w:tcW w:w="700" w:type="dxa"/>
            <w:vAlign w:val="bottom"/>
            <w:tcBorders>
              <w:right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color w:val="0000FF"/>
                <w:w w:val="93"/>
              </w:rPr>
              <w:t>2.75</w:t>
            </w:r>
            <w:r>
              <w:rPr>
                <w:rFonts w:ascii="Times New Roman" w:cs="Times New Roman" w:eastAsia="Times New Roman" w:hAnsi="Times New Roman"/>
                <w:sz w:val="14"/>
                <w:szCs w:val="14"/>
                <w:color w:val="000000"/>
                <w:w w:val="93"/>
              </w:rPr>
              <w:t>%</w:t>
            </w:r>
          </w:p>
        </w:tc>
      </w:tr>
      <w:tr>
        <w:trPr>
          <w:trHeight w:val="77"/>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40" w:type="dxa"/>
            <w:vAlign w:val="bottom"/>
            <w:tcBorders>
              <w:top w:val="single" w:sz="8" w:color="0000FF"/>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40" w:type="dxa"/>
            <w:vAlign w:val="bottom"/>
            <w:tcBorders>
              <w:top w:val="single" w:sz="8" w:color="0000FF"/>
              <w:bottom w:val="single" w:sz="8" w:color="auto"/>
            </w:tcBorders>
          </w:tcPr>
          <w:p>
            <w:pPr>
              <w:spacing w:after="0"/>
              <w:rPr>
                <w:sz w:val="6"/>
                <w:szCs w:val="6"/>
                <w:color w:val="auto"/>
              </w:rPr>
            </w:pPr>
          </w:p>
        </w:tc>
        <w:tc>
          <w:tcPr>
            <w:tcW w:w="460" w:type="dxa"/>
            <w:vAlign w:val="bottom"/>
            <w:tcBorders>
              <w:bottom w:val="single" w:sz="8" w:color="auto"/>
              <w:right w:val="single" w:sz="8" w:color="auto"/>
            </w:tcBorders>
          </w:tcPr>
          <w:p>
            <w:pPr>
              <w:spacing w:after="0"/>
              <w:rPr>
                <w:sz w:val="6"/>
                <w:szCs w:val="6"/>
                <w:color w:val="auto"/>
              </w:rPr>
            </w:pPr>
          </w:p>
        </w:tc>
      </w:tr>
    </w:tbl>
    <w:p>
      <w:pPr>
        <w:spacing w:after="0" w:line="351" w:lineRule="exact"/>
        <w:rPr>
          <w:sz w:val="20"/>
          <w:szCs w:val="20"/>
          <w:color w:val="auto"/>
        </w:rPr>
      </w:pPr>
    </w:p>
    <w:p>
      <w:pPr>
        <w:ind w:left="1140" w:right="1159" w:firstLine="517"/>
        <w:spacing w:after="0" w:line="293" w:lineRule="auto"/>
        <w:rPr>
          <w:sz w:val="20"/>
          <w:szCs w:val="20"/>
          <w:color w:val="auto"/>
        </w:rPr>
      </w:pPr>
      <w:r>
        <w:rPr>
          <w:rFonts w:ascii="Times New Roman" w:cs="Times New Roman" w:eastAsia="Times New Roman" w:hAnsi="Times New Roman"/>
          <w:sz w:val="14"/>
          <w:szCs w:val="14"/>
          <w:color w:val="010000"/>
        </w:rPr>
        <w:t>(ii</w:t>
      </w:r>
      <w:r>
        <w:rPr>
          <w:rFonts w:ascii="Times New Roman" w:cs="Times New Roman" w:eastAsia="Times New Roman" w:hAnsi="Times New Roman"/>
          <w:sz w:val="14"/>
          <w:szCs w:val="14"/>
          <w:color w:val="FF0000"/>
          <w:strike w:val="1"/>
        </w:rPr>
        <w:t>i</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u w:val="single" w:color="auto"/>
          <w:color w:val="0000FF"/>
        </w:rPr>
        <w:t>(a)</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for SOFR Loans that are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Term Loans,</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FF0000"/>
          <w:strike w:val="1"/>
        </w:rPr>
        <w:t>3.50</w:t>
      </w:r>
      <w:r>
        <w:rPr>
          <w:rFonts w:ascii="Times New Roman" w:cs="Times New Roman" w:eastAsia="Times New Roman" w:hAnsi="Times New Roman"/>
          <w:sz w:val="14"/>
          <w:szCs w:val="14"/>
          <w:u w:val="single" w:color="auto"/>
          <w:color w:val="0000FF"/>
        </w:rPr>
        <w:t>3.25</w:t>
      </w:r>
      <w:r>
        <w:rPr>
          <w:rFonts w:ascii="Times New Roman" w:cs="Times New Roman" w:eastAsia="Times New Roman" w:hAnsi="Times New Roman"/>
          <w:sz w:val="14"/>
          <w:szCs w:val="14"/>
          <w:color w:val="000000"/>
        </w:rPr>
        <w:t>% per annum and (</w:t>
      </w:r>
      <w:r>
        <w:rPr>
          <w:rFonts w:ascii="Times New Roman" w:cs="Times New Roman" w:eastAsia="Times New Roman" w:hAnsi="Times New Roman"/>
          <w:sz w:val="14"/>
          <w:szCs w:val="14"/>
          <w:color w:val="FF0000"/>
          <w:strike w:val="1"/>
        </w:rPr>
        <w:t>2</w:t>
      </w:r>
      <w:r>
        <w:rPr>
          <w:rFonts w:ascii="Times New Roman" w:cs="Times New Roman" w:eastAsia="Times New Roman" w:hAnsi="Times New Roman"/>
          <w:sz w:val="14"/>
          <w:szCs w:val="14"/>
          <w:u w:val="single" w:color="auto"/>
          <w:color w:val="0000FF"/>
        </w:rPr>
        <w:t>b</w:t>
      </w:r>
      <w:r>
        <w:rPr>
          <w:rFonts w:ascii="Times New Roman" w:cs="Times New Roman" w:eastAsia="Times New Roman" w:hAnsi="Times New Roman"/>
          <w:sz w:val="14"/>
          <w:szCs w:val="14"/>
          <w:color w:val="000000"/>
        </w:rPr>
        <w:t>) for ABR</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Loans that are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w:t>
      </w:r>
      <w:r>
        <w:rPr>
          <w:rFonts w:ascii="Times New Roman" w:cs="Times New Roman" w:eastAsia="Times New Roman" w:hAnsi="Times New Roman"/>
          <w:sz w:val="14"/>
          <w:szCs w:val="14"/>
          <w:color w:val="FF0000"/>
          <w:strike w:val="1"/>
        </w:rPr>
        <w:t>2.50</w:t>
      </w:r>
      <w:r>
        <w:rPr>
          <w:rFonts w:ascii="Times New Roman" w:cs="Times New Roman" w:eastAsia="Times New Roman" w:hAnsi="Times New Roman"/>
          <w:sz w:val="14"/>
          <w:szCs w:val="14"/>
          <w:u w:val="single" w:color="auto"/>
          <w:color w:val="0000FF"/>
        </w:rPr>
        <w:t>2.25</w:t>
      </w:r>
      <w:r>
        <w:rPr>
          <w:rFonts w:ascii="Times New Roman" w:cs="Times New Roman" w:eastAsia="Times New Roman" w:hAnsi="Times New Roman"/>
          <w:sz w:val="14"/>
          <w:szCs w:val="14"/>
          <w:color w:val="000000"/>
        </w:rPr>
        <w:t>% per annum.</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85" w:name="page86"/>
    <w:bookmarkEnd w:id="85"/>
    <w:p>
      <w:pPr>
        <w:ind w:left="1140" w:right="1199" w:firstLine="1033"/>
        <w:spacing w:after="0" w:line="275" w:lineRule="auto"/>
        <w:rPr>
          <w:sz w:val="20"/>
          <w:szCs w:val="20"/>
          <w:color w:val="auto"/>
        </w:rPr>
      </w:pPr>
      <w:r>
        <w:rPr>
          <w:rFonts w:ascii="Times New Roman" w:cs="Times New Roman" w:eastAsia="Times New Roman" w:hAnsi="Times New Roman"/>
          <w:sz w:val="14"/>
          <w:szCs w:val="14"/>
          <w:color w:val="auto"/>
        </w:rPr>
        <w:t xml:space="preserve">Any increase or decrease in the Applicable Margin for Loans resulting from a change in the Consolidated First Lien Secured Debt to Consolidated EBITDA Ratio shall become effective as of the first Business Day immediately following the date a Compliance Certificate is delivered pursuant to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140" w:right="1179" w:firstLine="1033"/>
        <w:spacing w:after="0" w:line="260" w:lineRule="auto"/>
        <w:rPr>
          <w:sz w:val="20"/>
          <w:szCs w:val="20"/>
          <w:color w:val="auto"/>
        </w:rPr>
      </w:pPr>
      <w:r>
        <w:rPr>
          <w:rFonts w:ascii="Times New Roman" w:cs="Times New Roman" w:eastAsia="Times New Roman" w:hAnsi="Times New Roman"/>
          <w:sz w:val="14"/>
          <w:szCs w:val="14"/>
          <w:color w:val="auto"/>
        </w:rPr>
        <w:t xml:space="preserve">Notwithstanding the foregoing, (a) the Applicable Margin in respect of any Class of Extended Revolving Credit Commitments, any Extended Revolving Credit Loans or any Extended Term Loans shall be the applicable percentages per annum set forth in the relevant Extension Amendment, (b) the Applicable Margin in respect of any Class of Additional Revolving Credit Commitments, any Additional Revolving Credit Loans or any Incremental Loans shall be the applicable percentages per annum set forth in the relevant Joinder Agreement, (c) the Applicable Margin in respect of any Class of Replacement Term Loans shall be the applicable percentages per annum set forth in the relevant agreement, (d) the Applicable Margin in respect of any Class of Refinancing Indebtedness that would constitute Revolving Credit Commitments shall be the applicable percentages per annum set forth in the relevant agreement and (e) in the case of any Loans, the Applicable Margin shall be increased as, and to the extent, necessary to comply with the provisions of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ind w:left="1140" w:right="1179" w:firstLine="1033"/>
        <w:spacing w:after="0" w:line="173" w:lineRule="exact"/>
        <w:rPr>
          <w:sz w:val="20"/>
          <w:szCs w:val="20"/>
          <w:color w:val="auto"/>
        </w:rPr>
      </w:pPr>
      <w:r>
        <w:rPr>
          <w:rFonts w:ascii="Times New Roman" w:cs="Times New Roman" w:eastAsia="Times New Roman" w:hAnsi="Times New Roman"/>
          <w:sz w:val="14"/>
          <w:szCs w:val="14"/>
          <w:color w:val="auto"/>
        </w:rPr>
        <w:t xml:space="preserve">Notwithstanding anything to the contrary contained above in this definition or elsewhere in this Agreement, if it is subsequently determined that the Consolidated First Lien Secured Debt to Consolidated EBITDA Ratio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the Consolidated First Lien Secured Debt to Consolidated EBITDA Ratio been accurately determined, then, for all purposes of this Agreement, the Applicable Margin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the Borrower for the relevant period as a result of the miscalculation of the Consolidated First Lien Secured Debt to Consolidated EBITDA Ratio shall be deemed to be (and shall be) due and payable at the time the interest or fees for such period were required to be paid;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so long as an Event of Default described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has not occurred with respect to the Borrower, such shortfall shall be due and payable within five Business Days following the written demand thereof by the Administrative Agent and no Default shall be deemed to have occurred as a result of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payment until the expiration of such five Business Day period. In addition, at the option of the Required Revolving Credit Lenders or Required Term Loan Lenders, as applicable, at any time during which the Borrower shall have failed to deliver any of the Section 9.1 Financials by the applicable date required under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then the Consolidated First Lien Secured Debt to Consolidated EBITDA Ratio shall be deemed to be in Pricing Level I for the purposes of determining the Applicable Margin (but only for so long as such failure continues, after which such ratio and Pricing Level and shall be determined based on the then existing Consolidated First Lien Secured Debt to Consolidated EBITDA Ratio).</w:t>
      </w:r>
    </w:p>
    <w:p>
      <w:pPr>
        <w:spacing w:after="0" w:line="16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Approved Foreign Bank</w:t>
      </w:r>
      <w:r>
        <w:rPr>
          <w:rFonts w:ascii="Times New Roman" w:cs="Times New Roman" w:eastAsia="Times New Roman" w:hAnsi="Times New Roman"/>
          <w:sz w:val="14"/>
          <w:szCs w:val="14"/>
          <w:color w:val="auto"/>
        </w:rPr>
        <w:t>” shall have the meaning provided in the definition of the term “Cash</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Equivalents.”</w:t>
      </w:r>
    </w:p>
    <w:p>
      <w:pPr>
        <w:spacing w:after="0" w:line="168"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Approved Fund</w:t>
      </w:r>
      <w:r>
        <w:rPr>
          <w:rFonts w:ascii="Times New Roman" w:cs="Times New Roman" w:eastAsia="Times New Roman" w:hAnsi="Times New Roman"/>
          <w:sz w:val="14"/>
          <w:szCs w:val="14"/>
          <w:color w:val="auto"/>
        </w:rPr>
        <w:t>” shall mean any Fund that is administered or managed by (i) a Lender, (ii) an Affiliate of a Lender, or (iii) an entity or an Affiliate of an entity that administers, advises or manages a Lender.</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Asset Sale</w:t>
      </w:r>
      <w:r>
        <w:rPr>
          <w:rFonts w:ascii="Times New Roman" w:cs="Times New Roman" w:eastAsia="Times New Roman" w:hAnsi="Times New Roman"/>
          <w:sz w:val="14"/>
          <w:szCs w:val="14"/>
          <w:color w:val="auto"/>
        </w:rPr>
        <w:t>” shall mean:</w:t>
      </w:r>
    </w:p>
    <w:p>
      <w:pPr>
        <w:spacing w:after="0" w:line="185" w:lineRule="exact"/>
        <w:rPr>
          <w:sz w:val="20"/>
          <w:szCs w:val="20"/>
          <w:color w:val="auto"/>
        </w:rPr>
      </w:pPr>
    </w:p>
    <w:p>
      <w:pPr>
        <w:ind w:left="1660" w:right="1159" w:firstLine="520"/>
        <w:spacing w:after="0" w:line="268" w:lineRule="auto"/>
        <w:tabs>
          <w:tab w:leader="none" w:pos="246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conveyance, transfer, or other disposition (including any disposition of property to a Delaware Divided LLC pursuant to a Delaware LLC Division), whether in a single transaction or a series of related transactions, of property or assets (including by way of a Sale Leaseback) (each, a “</w:t>
      </w:r>
      <w:r>
        <w:rPr>
          <w:rFonts w:ascii="Times New Roman" w:cs="Times New Roman" w:eastAsia="Times New Roman" w:hAnsi="Times New Roman"/>
          <w:sz w:val="14"/>
          <w:szCs w:val="14"/>
          <w:b w:val="1"/>
          <w:bCs w:val="1"/>
          <w:color w:val="auto"/>
        </w:rPr>
        <w:t>disposition</w:t>
      </w:r>
      <w:r>
        <w:rPr>
          <w:rFonts w:ascii="Times New Roman" w:cs="Times New Roman" w:eastAsia="Times New Roman" w:hAnsi="Times New Roman"/>
          <w:sz w:val="14"/>
          <w:szCs w:val="14"/>
          <w:color w:val="auto"/>
        </w:rPr>
        <w:t>”) of the Borrower or any Restricted Subsidiary, or</w:t>
      </w:r>
    </w:p>
    <w:p>
      <w:pPr>
        <w:spacing w:after="0" w:line="141" w:lineRule="exact"/>
        <w:rPr>
          <w:rFonts w:ascii="Times New Roman" w:cs="Times New Roman" w:eastAsia="Times New Roman" w:hAnsi="Times New Roman"/>
          <w:sz w:val="14"/>
          <w:szCs w:val="14"/>
          <w:color w:val="auto"/>
        </w:rPr>
      </w:pPr>
    </w:p>
    <w:p>
      <w:pPr>
        <w:ind w:left="1660" w:right="1239" w:firstLine="520"/>
        <w:spacing w:after="0" w:line="275" w:lineRule="auto"/>
        <w:tabs>
          <w:tab w:leader="none" w:pos="2463"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issuance or sale of Equity Interests of any Restricted Subsidiary (other than preferred stock of Restricted Subsidiaries issued in compliance with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whether in a single transaction or a series of related transactions, in each case, other than:</w:t>
      </w:r>
    </w:p>
    <w:p>
      <w:pPr>
        <w:spacing w:after="0" w:line="135" w:lineRule="exact"/>
        <w:rPr>
          <w:sz w:val="20"/>
          <w:szCs w:val="20"/>
          <w:color w:val="auto"/>
        </w:rPr>
      </w:pPr>
    </w:p>
    <w:p>
      <w:pPr>
        <w:ind w:left="1660" w:right="1259" w:firstLine="520"/>
        <w:spacing w:after="0" w:line="293" w:lineRule="auto"/>
        <w:tabs>
          <w:tab w:leader="none" w:pos="2463"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Cash Equivalents or Investment Grade Securities or obsolete, worn out or surplus property or property (including leasehold property interests) that is no longer economically</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86" w:name="page87"/>
    <w:bookmarkEnd w:id="86"/>
    <w:p>
      <w:pPr>
        <w:jc w:val="both"/>
        <w:ind w:left="1660" w:right="1219"/>
        <w:spacing w:after="0" w:line="275" w:lineRule="auto"/>
        <w:rPr>
          <w:sz w:val="20"/>
          <w:szCs w:val="20"/>
          <w:color w:val="auto"/>
        </w:rPr>
      </w:pPr>
      <w:r>
        <w:rPr>
          <w:rFonts w:ascii="Times New Roman" w:cs="Times New Roman" w:eastAsia="Times New Roman" w:hAnsi="Times New Roman"/>
          <w:sz w:val="14"/>
          <w:szCs w:val="14"/>
          <w:color w:val="auto"/>
        </w:rPr>
        <w:t>practical in its business or commercially desirable to maintain or no longer used or useful equipment in the ordinary course of business or any disposition of inventory, immaterial assets, or goods (or other assets) in the ordinary course of business;</w:t>
      </w:r>
    </w:p>
    <w:p>
      <w:pPr>
        <w:spacing w:after="0" w:line="135" w:lineRule="exact"/>
        <w:rPr>
          <w:sz w:val="20"/>
          <w:szCs w:val="20"/>
          <w:color w:val="auto"/>
        </w:rPr>
      </w:pPr>
    </w:p>
    <w:p>
      <w:pPr>
        <w:ind w:left="1660" w:right="1299" w:firstLine="520"/>
        <w:spacing w:after="0" w:line="293"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disposition of all or substantially all of the assets of the Borrower in a manner permitted pursuant to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ind w:left="1660" w:right="1559" w:firstLine="520"/>
        <w:spacing w:after="0" w:line="275"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incurrence of Liens that are permitted to be incurred pursuant to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or the making of any Restricted Payment or Permitted Investment (other than pursuant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of the definition thereof) that is permitted to be made, and is made, pursuant to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1660" w:right="1219" w:firstLine="520"/>
        <w:spacing w:after="0" w:line="268"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or disposition of assets (whether tangible or intangible) or issuance or sale of Equity Interests of any Restricted Subsidiary in any transaction or series of related transactions with an aggregate Fair Market Value of less than the greater of (a) $</w:t>
      </w:r>
      <w:r>
        <w:rPr>
          <w:rFonts w:ascii="Times New Roman" w:cs="Times New Roman" w:eastAsia="Times New Roman" w:hAnsi="Times New Roman"/>
          <w:sz w:val="14"/>
          <w:szCs w:val="14"/>
          <w:color w:val="FF0000"/>
          <w:strike w:val="1"/>
        </w:rPr>
        <w:t>40</w:t>
      </w:r>
      <w:r>
        <w:rPr>
          <w:rFonts w:ascii="Times New Roman" w:cs="Times New Roman" w:eastAsia="Times New Roman" w:hAnsi="Times New Roman"/>
          <w:sz w:val="14"/>
          <w:szCs w:val="14"/>
          <w:u w:val="single" w:color="auto"/>
          <w:color w:val="0000FF"/>
        </w:rPr>
        <w:t>60</w:t>
      </w:r>
      <w:r>
        <w:rPr>
          <w:rFonts w:ascii="Times New Roman" w:cs="Times New Roman" w:eastAsia="Times New Roman" w:hAnsi="Times New Roman"/>
          <w:sz w:val="14"/>
          <w:szCs w:val="14"/>
          <w:color w:val="auto"/>
        </w:rPr>
        <w:t xml:space="preserve"> million and (b) 10% of Consolidated EBITDA for the most recently ended Test Period (calculated on a Pro Forma Basis) at the time of such disposition;</w:t>
      </w:r>
    </w:p>
    <w:p>
      <w:pPr>
        <w:spacing w:after="0" w:line="141" w:lineRule="exact"/>
        <w:rPr>
          <w:rFonts w:ascii="Times New Roman" w:cs="Times New Roman" w:eastAsia="Times New Roman" w:hAnsi="Times New Roman"/>
          <w:sz w:val="14"/>
          <w:szCs w:val="14"/>
          <w:color w:val="auto"/>
        </w:rPr>
      </w:pPr>
    </w:p>
    <w:p>
      <w:pPr>
        <w:ind w:left="1660" w:right="1179" w:firstLine="520"/>
        <w:spacing w:after="0" w:line="293"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disposition of property or assets or issuance of securities by (1) a Restricted Subsidiary to the Borrower or (2) the Borrower or a Restricted Subsidiary to another Restricted Subsidiary;</w:t>
      </w:r>
    </w:p>
    <w:p>
      <w:pPr>
        <w:spacing w:after="0" w:line="123" w:lineRule="exact"/>
        <w:rPr>
          <w:rFonts w:ascii="Times New Roman" w:cs="Times New Roman" w:eastAsia="Times New Roman" w:hAnsi="Times New Roman"/>
          <w:sz w:val="14"/>
          <w:szCs w:val="14"/>
          <w:color w:val="auto"/>
        </w:rPr>
      </w:pPr>
    </w:p>
    <w:p>
      <w:pPr>
        <w:ind w:left="1660" w:right="1519" w:firstLine="520"/>
        <w:spacing w:after="0" w:line="293"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allowable under Section 1031 of the Code, or any comparable or successor provision, any exchange of like property (excluding any boot thereon) for use in a Similar Business;</w:t>
      </w:r>
    </w:p>
    <w:p>
      <w:pPr>
        <w:spacing w:after="0" w:line="123" w:lineRule="exact"/>
        <w:rPr>
          <w:rFonts w:ascii="Times New Roman" w:cs="Times New Roman" w:eastAsia="Times New Roman" w:hAnsi="Times New Roman"/>
          <w:sz w:val="14"/>
          <w:szCs w:val="14"/>
          <w:color w:val="auto"/>
        </w:rPr>
      </w:pPr>
    </w:p>
    <w:p>
      <w:pPr>
        <w:jc w:val="both"/>
        <w:ind w:left="1660" w:right="1279" w:firstLine="520"/>
        <w:spacing w:after="0" w:line="275"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issuance, sale or pledge of Equity Interests in, or Indebtedness, or other securities of, an Unrestricted Subsidiary (other than Unrestricted Subsidiaries, the primary assets of which are cash and/or Cash Equivalents);</w:t>
      </w:r>
    </w:p>
    <w:p>
      <w:pPr>
        <w:spacing w:after="0" w:line="135" w:lineRule="exact"/>
        <w:rPr>
          <w:rFonts w:ascii="Times New Roman" w:cs="Times New Roman" w:eastAsia="Times New Roman" w:hAnsi="Times New Roman"/>
          <w:sz w:val="14"/>
          <w:szCs w:val="14"/>
          <w:color w:val="auto"/>
        </w:rPr>
      </w:pPr>
    </w:p>
    <w:p>
      <w:pPr>
        <w:ind w:left="1660" w:right="1159" w:firstLine="520"/>
        <w:spacing w:after="0" w:line="293"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foreclosures, condemnation, casualty or any similar action on assets (including dispositions in connection therewith);</w:t>
      </w:r>
    </w:p>
    <w:p>
      <w:pPr>
        <w:spacing w:after="0" w:line="123" w:lineRule="exact"/>
        <w:rPr>
          <w:rFonts w:ascii="Times New Roman" w:cs="Times New Roman" w:eastAsia="Times New Roman" w:hAnsi="Times New Roman"/>
          <w:sz w:val="14"/>
          <w:szCs w:val="14"/>
          <w:color w:val="auto"/>
        </w:rPr>
      </w:pPr>
    </w:p>
    <w:p>
      <w:pPr>
        <w:ind w:left="1660" w:right="1339" w:firstLine="520"/>
        <w:spacing w:after="0" w:line="293"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accounts receivable, or participations therein, and related assets in connection with any Receivables Facility;</w:t>
      </w:r>
    </w:p>
    <w:p>
      <w:pPr>
        <w:spacing w:after="0" w:line="123" w:lineRule="exact"/>
        <w:rPr>
          <w:rFonts w:ascii="Times New Roman" w:cs="Times New Roman" w:eastAsia="Times New Roman" w:hAnsi="Times New Roman"/>
          <w:sz w:val="14"/>
          <w:szCs w:val="14"/>
          <w:color w:val="auto"/>
        </w:rPr>
      </w:pPr>
    </w:p>
    <w:p>
      <w:pPr>
        <w:jc w:val="both"/>
        <w:ind w:left="1660" w:right="1699" w:firstLine="520"/>
        <w:spacing w:after="0" w:line="275"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financing transaction with respect to property built or acquired by Holdings, the Borrower or any Restricted Subsidiary after the Closing Date, including Sale Leasebacks and asset securitizations permitted by this Agreement;</w:t>
      </w:r>
    </w:p>
    <w:p>
      <w:pPr>
        <w:spacing w:after="0" w:line="135" w:lineRule="exact"/>
        <w:rPr>
          <w:rFonts w:ascii="Times New Roman" w:cs="Times New Roman" w:eastAsia="Times New Roman" w:hAnsi="Times New Roman"/>
          <w:sz w:val="14"/>
          <w:szCs w:val="14"/>
          <w:color w:val="auto"/>
        </w:rPr>
      </w:pPr>
    </w:p>
    <w:p>
      <w:pPr>
        <w:ind w:left="1660" w:right="1179" w:firstLine="520"/>
        <w:spacing w:after="0" w:line="264"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any surrender or waiver of contractual rights or the settlement, release, or surrender of contractual rights or other litigation claims, (2) the termination or collapse of cost sharing agreements with the Borrower or any Subsidiary and the settlement of any crossing payments in connection therewith, or (3) the settlement, discount, write off, forgiveness, or cancellation of any Indebtedness owing by any present or former consultants, directors, officers, or employees of the Borrower (or any direct or indirect parent company of the Borrower) or any Subsidiary or any of their successors or assigns;</w:t>
      </w:r>
    </w:p>
    <w:p>
      <w:pPr>
        <w:spacing w:after="0" w:line="142" w:lineRule="exact"/>
        <w:rPr>
          <w:rFonts w:ascii="Times New Roman" w:cs="Times New Roman" w:eastAsia="Times New Roman" w:hAnsi="Times New Roman"/>
          <w:sz w:val="14"/>
          <w:szCs w:val="14"/>
          <w:color w:val="auto"/>
        </w:rPr>
      </w:pPr>
    </w:p>
    <w:p>
      <w:pPr>
        <w:ind w:left="1660" w:right="1599" w:firstLine="520"/>
        <w:spacing w:after="0" w:line="293" w:lineRule="auto"/>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disposition or discount of inventory, accounts receivable, or notes receivable in the ordinary course of business or the conversion of accounts receivable to notes receivable;</w:t>
      </w:r>
    </w:p>
    <w:p>
      <w:pPr>
        <w:spacing w:after="0" w:line="92" w:lineRule="exact"/>
        <w:rPr>
          <w:rFonts w:ascii="Times New Roman" w:cs="Times New Roman" w:eastAsia="Times New Roman" w:hAnsi="Times New Roman"/>
          <w:sz w:val="14"/>
          <w:szCs w:val="14"/>
          <w:color w:val="auto"/>
        </w:rPr>
      </w:pPr>
    </w:p>
    <w:p>
      <w:pPr>
        <w:ind w:left="1660" w:right="1459" w:firstLine="520"/>
        <w:spacing w:after="0" w:line="195" w:lineRule="exact"/>
        <w:tabs>
          <w:tab w:leader="none" w:pos="2463"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licensing,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licensing or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licensing of Intellectual Property or other general intangibles (whether pursuant to franchise agreements or otherwise) in the ordinary course of business;</w:t>
      </w:r>
    </w:p>
    <w:p>
      <w:pPr>
        <w:spacing w:after="0" w:line="158" w:lineRule="exact"/>
        <w:rPr>
          <w:rFonts w:ascii="Times New Roman" w:cs="Times New Roman" w:eastAsia="Times New Roman" w:hAnsi="Times New Roman"/>
          <w:sz w:val="14"/>
          <w:szCs w:val="14"/>
          <w:color w:val="auto"/>
        </w:rPr>
      </w:pPr>
    </w:p>
    <w:p>
      <w:pPr>
        <w:ind w:left="2460" w:hanging="280"/>
        <w:spacing w:after="0"/>
        <w:tabs>
          <w:tab w:leader="none" w:pos="24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unwinding of any Hedging Obligations or obligations in respect of Cash Management</w:t>
      </w:r>
    </w:p>
    <w:p>
      <w:pPr>
        <w:spacing w:after="0" w:line="24" w:lineRule="exact"/>
        <w:rPr>
          <w:rFonts w:ascii="Times New Roman" w:cs="Times New Roman" w:eastAsia="Times New Roman" w:hAnsi="Times New Roman"/>
          <w:sz w:val="14"/>
          <w:szCs w:val="14"/>
          <w:color w:val="auto"/>
        </w:rPr>
      </w:pPr>
    </w:p>
    <w:p>
      <w:pPr>
        <w:ind w:left="1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Services;</w:t>
      </w:r>
    </w:p>
    <w:p>
      <w:pPr>
        <w:spacing w:after="0" w:line="25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87" w:name="page88"/>
    <w:bookmarkEnd w:id="87"/>
    <w:p>
      <w:pPr>
        <w:ind w:left="1660" w:right="1179" w:firstLine="520"/>
        <w:spacing w:after="0" w:line="275" w:lineRule="auto"/>
        <w:tabs>
          <w:tab w:leader="none" w:pos="24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35" w:lineRule="exact"/>
        <w:rPr>
          <w:rFonts w:ascii="Times New Roman" w:cs="Times New Roman" w:eastAsia="Times New Roman" w:hAnsi="Times New Roman"/>
          <w:sz w:val="14"/>
          <w:szCs w:val="14"/>
          <w:color w:val="auto"/>
        </w:rPr>
      </w:pPr>
    </w:p>
    <w:p>
      <w:pPr>
        <w:jc w:val="both"/>
        <w:ind w:left="1660" w:right="1239" w:firstLine="520"/>
        <w:spacing w:after="0" w:line="275" w:lineRule="auto"/>
        <w:tabs>
          <w:tab w:leader="none" w:pos="24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expiration, lapse or abandonment of Intellectual Property rights in the ordinary course of business, which in the reasonable business judgment of the Borrower are not material to the conduct of the business of the Borrower and the Restricted Subsidiaries taken as a whole;</w:t>
      </w:r>
    </w:p>
    <w:p>
      <w:pPr>
        <w:spacing w:after="0" w:line="135" w:lineRule="exact"/>
        <w:rPr>
          <w:rFonts w:ascii="Times New Roman" w:cs="Times New Roman" w:eastAsia="Times New Roman" w:hAnsi="Times New Roman"/>
          <w:sz w:val="14"/>
          <w:szCs w:val="14"/>
          <w:color w:val="auto"/>
        </w:rPr>
      </w:pPr>
    </w:p>
    <w:p>
      <w:pPr>
        <w:ind w:left="1660" w:right="1239" w:firstLine="520"/>
        <w:spacing w:after="0" w:line="293" w:lineRule="auto"/>
        <w:tabs>
          <w:tab w:leader="none" w:pos="24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directors’ qualifying shares and shares issued to foreign nationals as required by applicable law;</w:t>
      </w:r>
    </w:p>
    <w:p>
      <w:pPr>
        <w:spacing w:after="0" w:line="123" w:lineRule="exact"/>
        <w:rPr>
          <w:rFonts w:ascii="Times New Roman" w:cs="Times New Roman" w:eastAsia="Times New Roman" w:hAnsi="Times New Roman"/>
          <w:sz w:val="14"/>
          <w:szCs w:val="14"/>
          <w:color w:val="auto"/>
        </w:rPr>
      </w:pPr>
    </w:p>
    <w:p>
      <w:pPr>
        <w:ind w:left="1660" w:right="1179" w:firstLine="520"/>
        <w:spacing w:after="0" w:line="268" w:lineRule="auto"/>
        <w:tabs>
          <w:tab w:leader="none" w:pos="24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property to the extent that (1) such property is exchanged for credit against the purchase price of similar replacement property that is promptly purchased or (2) the proceeds of such disposition are promptly applied to the purchase price of such replacement property (which replacement property is actually promptly purchased);</w:t>
      </w:r>
    </w:p>
    <w:p>
      <w:pPr>
        <w:spacing w:after="0" w:line="141" w:lineRule="exact"/>
        <w:rPr>
          <w:rFonts w:ascii="Times New Roman" w:cs="Times New Roman" w:eastAsia="Times New Roman" w:hAnsi="Times New Roman"/>
          <w:sz w:val="14"/>
          <w:szCs w:val="14"/>
          <w:color w:val="auto"/>
        </w:rPr>
      </w:pPr>
    </w:p>
    <w:p>
      <w:pPr>
        <w:ind w:left="1660" w:right="1199" w:firstLine="520"/>
        <w:spacing w:after="0" w:line="275" w:lineRule="auto"/>
        <w:tabs>
          <w:tab w:leader="none" w:pos="24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assignments, subleases, licenses, or sublicenses, in each case in the ordinary course of business and which do not materially interfere with the business of the Borrower and the Restricted Subsidiaries, taken as a whole;</w:t>
      </w:r>
    </w:p>
    <w:p>
      <w:pPr>
        <w:spacing w:after="0" w:line="103" w:lineRule="exact"/>
        <w:rPr>
          <w:rFonts w:ascii="Times New Roman" w:cs="Times New Roman" w:eastAsia="Times New Roman" w:hAnsi="Times New Roman"/>
          <w:sz w:val="14"/>
          <w:szCs w:val="14"/>
          <w:color w:val="auto"/>
        </w:rPr>
      </w:pPr>
    </w:p>
    <w:p>
      <w:pPr>
        <w:jc w:val="both"/>
        <w:ind w:left="1660" w:right="1439" w:firstLine="520"/>
        <w:spacing w:after="0" w:line="195" w:lineRule="exact"/>
        <w:tabs>
          <w:tab w:leader="none" w:pos="246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dispositions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core assets acquired in connection with any Permitted Acquisition or Investment permitted hereunder (including to obtain the approval of any applicable antitrust authority);</w:t>
      </w:r>
    </w:p>
    <w:p>
      <w:pPr>
        <w:spacing w:after="0" w:line="158" w:lineRule="exact"/>
        <w:rPr>
          <w:rFonts w:ascii="Times New Roman" w:cs="Times New Roman" w:eastAsia="Times New Roman" w:hAnsi="Times New Roman"/>
          <w:sz w:val="14"/>
          <w:szCs w:val="14"/>
          <w:color w:val="auto"/>
        </w:rPr>
      </w:pPr>
    </w:p>
    <w:p>
      <w:pPr>
        <w:ind w:left="2460" w:hanging="244"/>
        <w:spacing w:after="0"/>
        <w:tabs>
          <w:tab w:leader="none" w:pos="246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Restricted Payments permitted pursuant to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and</w:t>
      </w:r>
    </w:p>
    <w:p>
      <w:pPr>
        <w:spacing w:after="0" w:line="183" w:lineRule="exact"/>
        <w:rPr>
          <w:sz w:val="20"/>
          <w:szCs w:val="20"/>
          <w:color w:val="auto"/>
        </w:rPr>
      </w:pPr>
    </w:p>
    <w:p>
      <w:pPr>
        <w:ind w:left="1660" w:right="1199" w:firstLine="520"/>
        <w:spacing w:after="0" w:line="275" w:lineRule="auto"/>
        <w:tabs>
          <w:tab w:leader="none" w:pos="2463"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disposition in any transaction or series of transactions with an aggregate Fair Market Value of less than the greater of (a) $</w:t>
      </w:r>
      <w:r>
        <w:rPr>
          <w:rFonts w:ascii="Times New Roman" w:cs="Times New Roman" w:eastAsia="Times New Roman" w:hAnsi="Times New Roman"/>
          <w:sz w:val="14"/>
          <w:szCs w:val="14"/>
          <w:color w:val="FF0000"/>
          <w:strike w:val="1"/>
        </w:rPr>
        <w:t>85</w:t>
      </w:r>
      <w:r>
        <w:rPr>
          <w:rFonts w:ascii="Times New Roman" w:cs="Times New Roman" w:eastAsia="Times New Roman" w:hAnsi="Times New Roman"/>
          <w:sz w:val="14"/>
          <w:szCs w:val="14"/>
          <w:u w:val="single" w:color="auto"/>
          <w:color w:val="0000FF"/>
        </w:rPr>
        <w:t>130</w:t>
      </w:r>
      <w:r>
        <w:rPr>
          <w:rFonts w:ascii="Times New Roman" w:cs="Times New Roman" w:eastAsia="Times New Roman" w:hAnsi="Times New Roman"/>
          <w:sz w:val="14"/>
          <w:szCs w:val="14"/>
          <w:color w:val="auto"/>
        </w:rPr>
        <w:t xml:space="preserve"> million and (b) 22.5% of Consolidated EBITDA for the most recently ended Test Period (calculated on a Pro Forma Basis) at the time of such disposition.</w:t>
      </w:r>
    </w:p>
    <w:p>
      <w:pPr>
        <w:spacing w:after="0" w:line="133" w:lineRule="exact"/>
        <w:rPr>
          <w:sz w:val="20"/>
          <w:szCs w:val="20"/>
          <w:color w:val="auto"/>
        </w:rPr>
      </w:pPr>
    </w:p>
    <w:p>
      <w:pPr>
        <w:ind w:left="1140" w:right="123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Asset Sale Prepayment Event</w:t>
      </w:r>
      <w:r>
        <w:rPr>
          <w:rFonts w:ascii="Times New Roman" w:cs="Times New Roman" w:eastAsia="Times New Roman" w:hAnsi="Times New Roman"/>
          <w:sz w:val="14"/>
          <w:szCs w:val="14"/>
          <w:color w:val="auto"/>
        </w:rPr>
        <w:t xml:space="preserve">” shall mean any Asset Sale of Collateral, subject to the Reinvestment Period allowed in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any Asset Sale Prepayment Event, the Borrower shall not be obligated to make any prepayment otherwise required by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unless and until the aggregate amount of Net Cash Proceeds from all such Asset Sale Prepayment Events, after giving effect to the reinvestment rights set forth herein, exceeds $50 million (the “</w:t>
      </w:r>
      <w:r>
        <w:rPr>
          <w:rFonts w:ascii="Times New Roman" w:cs="Times New Roman" w:eastAsia="Times New Roman" w:hAnsi="Times New Roman"/>
          <w:sz w:val="14"/>
          <w:szCs w:val="14"/>
          <w:b w:val="1"/>
          <w:bCs w:val="1"/>
          <w:color w:val="auto"/>
        </w:rPr>
        <w:t>Prepayment Trigger</w:t>
      </w:r>
      <w:r>
        <w:rPr>
          <w:rFonts w:ascii="Times New Roman" w:cs="Times New Roman" w:eastAsia="Times New Roman" w:hAnsi="Times New Roman"/>
          <w:sz w:val="14"/>
          <w:szCs w:val="14"/>
          <w:color w:val="auto"/>
        </w:rPr>
        <w:t>”) in any fiscal year of the Borrower, but then from all such Net Cash Proceeds (excluding amounts below the Prepayment Trigger).</w:t>
      </w:r>
    </w:p>
    <w:p>
      <w:pPr>
        <w:spacing w:after="0" w:line="143" w:lineRule="exact"/>
        <w:rPr>
          <w:sz w:val="20"/>
          <w:szCs w:val="20"/>
          <w:color w:val="auto"/>
        </w:rPr>
      </w:pPr>
    </w:p>
    <w:p>
      <w:pPr>
        <w:ind w:left="1140" w:right="117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Assignment and Acceptance</w:t>
      </w:r>
      <w:r>
        <w:rPr>
          <w:rFonts w:ascii="Times New Roman" w:cs="Times New Roman" w:eastAsia="Times New Roman" w:hAnsi="Times New Roman"/>
          <w:sz w:val="14"/>
          <w:szCs w:val="14"/>
          <w:color w:val="auto"/>
        </w:rPr>
        <w:t xml:space="preserve">” shall mean (i) an assignment and acceptance substantially in the form of </w:t>
      </w:r>
      <w:r>
        <w:rPr>
          <w:rFonts w:ascii="Times New Roman" w:cs="Times New Roman" w:eastAsia="Times New Roman" w:hAnsi="Times New Roman"/>
          <w:sz w:val="14"/>
          <w:szCs w:val="14"/>
          <w:u w:val="single" w:color="auto"/>
          <w:color w:val="auto"/>
        </w:rPr>
        <w:t>Exhibit F</w:t>
      </w:r>
      <w:r>
        <w:rPr>
          <w:rFonts w:ascii="Times New Roman" w:cs="Times New Roman" w:eastAsia="Times New Roman" w:hAnsi="Times New Roman"/>
          <w:sz w:val="14"/>
          <w:szCs w:val="14"/>
          <w:color w:val="auto"/>
        </w:rPr>
        <w:t xml:space="preserve">, or such other form as may be approved by the Administrative Agent and the Borrower and (ii) in the case of any assignment of Term Loans in connection with a Permitted Debt Exchange conducted in accordance with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 xml:space="preserve">, such form of assignment (if any) as may be agreed by the Administrative Agent and the Borrower in accordance with </w:t>
      </w:r>
      <w:r>
        <w:rPr>
          <w:rFonts w:ascii="Times New Roman" w:cs="Times New Roman" w:eastAsia="Times New Roman" w:hAnsi="Times New Roman"/>
          <w:sz w:val="14"/>
          <w:szCs w:val="14"/>
          <w:u w:val="single" w:color="auto"/>
          <w:color w:val="auto"/>
        </w:rPr>
        <w:t>Section 2.15(a)</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1140" w:right="117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Auction Agent</w:t>
      </w:r>
      <w:r>
        <w:rPr>
          <w:rFonts w:ascii="Times New Roman" w:cs="Times New Roman" w:eastAsia="Times New Roman" w:hAnsi="Times New Roman"/>
          <w:sz w:val="14"/>
          <w:szCs w:val="14"/>
          <w:color w:val="auto"/>
        </w:rPr>
        <w:t xml:space="preserve">” shall mean (i) the Administrative Agent or (ii) any other financial institution or advisor employed by Holdings, the Borrower, or any Subsidiary (whether or not an Affiliate of the Administrative Agent) to act as an arranger in connection with any Permitted Debt Exchange pursuant to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 xml:space="preserve"> or Dutch auction pursuant to </w:t>
      </w:r>
      <w:r>
        <w:rPr>
          <w:rFonts w:ascii="Times New Roman" w:cs="Times New Roman" w:eastAsia="Times New Roman" w:hAnsi="Times New Roman"/>
          <w:sz w:val="14"/>
          <w:szCs w:val="14"/>
          <w:u w:val="single" w:color="auto"/>
          <w:color w:val="auto"/>
        </w:rPr>
        <w:t>Section 13.6(h)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neither Holdings nor any of its Subsidiaries may act as the Auction Agent.</w:t>
      </w:r>
    </w:p>
    <w:p>
      <w:pPr>
        <w:spacing w:after="0" w:line="142" w:lineRule="exact"/>
        <w:rPr>
          <w:sz w:val="20"/>
          <w:szCs w:val="20"/>
          <w:color w:val="auto"/>
        </w:rPr>
      </w:pPr>
    </w:p>
    <w:p>
      <w:pPr>
        <w:ind w:left="1140" w:right="1219" w:firstLine="1033"/>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Authorized Officer</w:t>
      </w:r>
      <w:r>
        <w:rPr>
          <w:rFonts w:ascii="Times New Roman" w:cs="Times New Roman" w:eastAsia="Times New Roman" w:hAnsi="Times New Roman"/>
          <w:sz w:val="14"/>
          <w:szCs w:val="14"/>
          <w:color w:val="auto"/>
        </w:rPr>
        <w:t>” shall mean, with respect to any Person, any individual holding the position of chairman of the board (if an officer), the Chief Executive Officer, President, the Chief Financial Officer, the Treasurer, the Controller, the Vice President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Finance, a Senior Vice President, a Director, a Manager, the Secretary, the Assistant Secretary or any other senior officer or agent with express authority to act on behalf of such Person designated as such by the board of directors or other managing authority of such Person, and shall also include,</w:t>
      </w:r>
    </w:p>
    <w:p>
      <w:pPr>
        <w:spacing w:after="0" w:line="24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88" w:name="page89"/>
    <w:bookmarkEnd w:id="88"/>
    <w:p>
      <w:pPr>
        <w:ind w:left="1140" w:right="1399"/>
        <w:spacing w:after="0" w:line="293" w:lineRule="auto"/>
        <w:rPr>
          <w:sz w:val="20"/>
          <w:szCs w:val="20"/>
          <w:color w:val="auto"/>
        </w:rPr>
      </w:pPr>
      <w:r>
        <w:rPr>
          <w:rFonts w:ascii="Times New Roman" w:cs="Times New Roman" w:eastAsia="Times New Roman" w:hAnsi="Times New Roman"/>
          <w:sz w:val="14"/>
          <w:szCs w:val="14"/>
          <w:color w:val="auto"/>
        </w:rPr>
        <w:t xml:space="preserve">solely for purposes of notices given pursuant to </w:t>
      </w:r>
      <w:r>
        <w:rPr>
          <w:rFonts w:ascii="Times New Roman" w:cs="Times New Roman" w:eastAsia="Times New Roman" w:hAnsi="Times New Roman"/>
          <w:sz w:val="14"/>
          <w:szCs w:val="14"/>
          <w:u w:val="single" w:color="auto"/>
          <w:color w:val="auto"/>
        </w:rPr>
        <w:t>Article 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any other officer of the applicable Credit Party so designated by any of the foregoing officers in a notice to the Administrative Agent.</w:t>
      </w:r>
    </w:p>
    <w:p>
      <w:pPr>
        <w:spacing w:after="0" w:line="12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Auto-Extension Letter of Credit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517"/>
        <w:spacing w:after="0" w:line="28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Available 2020 Letter of Credit Commitment</w:t>
      </w:r>
      <w:r>
        <w:rPr>
          <w:rFonts w:ascii="Times New Roman" w:cs="Times New Roman" w:eastAsia="Times New Roman" w:hAnsi="Times New Roman"/>
          <w:sz w:val="14"/>
          <w:szCs w:val="14"/>
          <w:color w:val="auto"/>
        </w:rPr>
        <w:t>” shall mean an amount equal to the excess, if any, of (i) the amount of the Total 2020 Letter of Credit Commitment over (ii) the aggregate 2020 L/C Obligations at such time.</w:t>
      </w:r>
    </w:p>
    <w:p>
      <w:pPr>
        <w:spacing w:after="0" w:line="3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Available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10.5(a)(iii)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Available Revolving Commitment</w:t>
      </w:r>
      <w:r>
        <w:rPr>
          <w:rFonts w:ascii="Times New Roman" w:cs="Times New Roman" w:eastAsia="Times New Roman" w:hAnsi="Times New Roman"/>
          <w:sz w:val="14"/>
          <w:szCs w:val="14"/>
          <w:color w:val="auto"/>
        </w:rPr>
        <w:t>” shall mean an amount equal to the excess, if any, of (i) the amount of the Total Revolving Credit Commitment over (ii) the sum of the aggregate principal amount of, without duplication,</w:t>
      </w:r>
    </w:p>
    <w:p>
      <w:pPr>
        <w:ind w:left="1140" w:right="1159" w:firstLine="7"/>
        <w:spacing w:after="0" w:line="273" w:lineRule="auto"/>
        <w:tabs>
          <w:tab w:leader="none" w:pos="1349"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Revolving Credit Loans then outstanding and (b) the aggregate Revolving Letters of Credit Outstanding at such time.</w:t>
      </w:r>
    </w:p>
    <w:p>
      <w:pPr>
        <w:spacing w:after="0" w:line="135" w:lineRule="exact"/>
        <w:rPr>
          <w:sz w:val="20"/>
          <w:szCs w:val="20"/>
          <w:color w:val="auto"/>
        </w:rPr>
      </w:pPr>
    </w:p>
    <w:p>
      <w:pPr>
        <w:jc w:val="both"/>
        <w:ind w:left="1140" w:right="1159" w:firstLine="517"/>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Available Tenor</w:t>
      </w:r>
      <w:r>
        <w:rPr>
          <w:rFonts w:ascii="Times New Roman" w:cs="Times New Roman" w:eastAsia="Times New Roman" w:hAnsi="Times New Roman"/>
          <w:sz w:val="14"/>
          <w:szCs w:val="14"/>
          <w:color w:val="auto"/>
        </w:rPr>
        <w:t>” shall mean, as of any date of determination and with respect to the then-current Benchmark, as applicable, (x) if any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interests calculated with reference to such Benchmark, in each case, as of such date and not including, for the avoidance of doubt, any tenor for such Benchmark that is then-removed from the definition of “Interest Period” pursuant to Section 1.13(b)(iv).</w:t>
      </w:r>
    </w:p>
    <w:p>
      <w:pPr>
        <w:spacing w:after="0" w:line="142" w:lineRule="exact"/>
        <w:rPr>
          <w:sz w:val="20"/>
          <w:szCs w:val="20"/>
          <w:color w:val="auto"/>
        </w:rPr>
      </w:pPr>
    </w:p>
    <w:p>
      <w:pPr>
        <w:jc w:val="both"/>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Bail-In Action</w:t>
      </w:r>
      <w:r>
        <w:rPr>
          <w:rFonts w:ascii="Times New Roman" w:cs="Times New Roman" w:eastAsia="Times New Roman" w:hAnsi="Times New Roman"/>
          <w:sz w:val="14"/>
          <w:szCs w:val="14"/>
          <w:color w:val="auto"/>
        </w:rPr>
        <w:t xml:space="preserve">” shall mean the exercise of any Write-Down and Conversion Powers by the applicable </w:t>
      </w:r>
      <w:r>
        <w:rPr>
          <w:rFonts w:ascii="Times New Roman" w:cs="Times New Roman" w:eastAsia="Times New Roman" w:hAnsi="Times New Roman"/>
          <w:sz w:val="14"/>
          <w:szCs w:val="14"/>
          <w:color w:val="FF0000"/>
          <w:strike w:val="1"/>
        </w:rPr>
        <w:t>EEA</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Resolution Authority in respect of any liability of an</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EEA</w:t>
      </w:r>
      <w:r>
        <w:rPr>
          <w:rFonts w:ascii="Times New Roman" w:cs="Times New Roman" w:eastAsia="Times New Roman" w:hAnsi="Times New Roman"/>
          <w:sz w:val="14"/>
          <w:szCs w:val="14"/>
          <w:u w:val="single" w:color="auto"/>
          <w:color w:val="0000FF"/>
        </w:rPr>
        <w:t>Affected</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Financial Institution.</w:t>
      </w:r>
    </w:p>
    <w:p>
      <w:pPr>
        <w:spacing w:after="0" w:line="119" w:lineRule="exact"/>
        <w:rPr>
          <w:sz w:val="20"/>
          <w:szCs w:val="20"/>
          <w:color w:val="auto"/>
        </w:rPr>
      </w:pPr>
    </w:p>
    <w:p>
      <w:pPr>
        <w:jc w:val="both"/>
        <w:ind w:left="1140" w:right="1159" w:firstLine="517"/>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Bail-In Legislation</w:t>
      </w:r>
      <w:r>
        <w:rPr>
          <w:rFonts w:ascii="Times New Roman" w:cs="Times New Roman" w:eastAsia="Times New Roman" w:hAnsi="Times New Roman"/>
          <w:sz w:val="14"/>
          <w:szCs w:val="14"/>
          <w:color w:val="auto"/>
        </w:rPr>
        <w:t xml:space="preserve">” shall mean, </w:t>
      </w:r>
      <w:r>
        <w:rPr>
          <w:rFonts w:ascii="Times New Roman" w:cs="Times New Roman" w:eastAsia="Times New Roman" w:hAnsi="Times New Roman"/>
          <w:sz w:val="14"/>
          <w:szCs w:val="14"/>
          <w:u w:val="single" w:color="auto"/>
          <w:color w:val="0000FF"/>
        </w:rPr>
        <w:t>(a)</w:t>
      </w:r>
      <w:r>
        <w:rPr>
          <w:rFonts w:ascii="Times New Roman" w:cs="Times New Roman" w:eastAsia="Times New Roman" w:hAnsi="Times New Roman"/>
          <w:sz w:val="14"/>
          <w:szCs w:val="14"/>
          <w:color w:val="auto"/>
        </w:rPr>
        <w:t xml:space="preserve"> with respect to any EEA Member Country implementing Article 55 of Directive 2014/59/EU of the European Parliament and of the Council of the European Union, the implementing law</w:t>
      </w:r>
      <w:r>
        <w:rPr>
          <w:rFonts w:ascii="Times New Roman" w:cs="Times New Roman" w:eastAsia="Times New Roman" w:hAnsi="Times New Roman"/>
          <w:sz w:val="14"/>
          <w:szCs w:val="14"/>
          <w:u w:val="single" w:color="auto"/>
          <w:color w:val="0000FF"/>
        </w:rPr>
        <w:t>, regulation rule or requirement</w:t>
      </w:r>
      <w:r>
        <w:rPr>
          <w:rFonts w:ascii="Times New Roman" w:cs="Times New Roman" w:eastAsia="Times New Roman" w:hAnsi="Times New Roman"/>
          <w:sz w:val="14"/>
          <w:szCs w:val="14"/>
          <w:color w:val="auto"/>
        </w:rPr>
        <w:t xml:space="preserve"> for such EEA Member Country from time to time which is described in the EU Bail-In Legislation Schedule</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and (b) with respect to the United Kingdom, Part I of the United Kingdom Banking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Bankruptcy Code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517"/>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Benchmark</w:t>
      </w:r>
      <w:r>
        <w:rPr>
          <w:rFonts w:ascii="Times New Roman" w:cs="Times New Roman" w:eastAsia="Times New Roman" w:hAnsi="Times New Roman"/>
          <w:sz w:val="14"/>
          <w:szCs w:val="14"/>
          <w:color w:val="auto"/>
        </w:rPr>
        <w:t xml:space="preserve">” shall mean, initially, the Term SOFR Reference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4"/>
          <w:szCs w:val="14"/>
          <w:u w:val="single" w:color="auto"/>
          <w:color w:val="auto"/>
        </w:rPr>
        <w:t>Section 1.13(b)</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jc w:val="both"/>
        <w:ind w:left="1140" w:right="1159" w:firstLine="517"/>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Benchmark Replacement</w:t>
      </w:r>
      <w:r>
        <w:rPr>
          <w:rFonts w:ascii="Times New Roman" w:cs="Times New Roman" w:eastAsia="Times New Roman" w:hAnsi="Times New Roman"/>
          <w:sz w:val="14"/>
          <w:szCs w:val="14"/>
          <w:color w:val="auto"/>
        </w:rPr>
        <w:t>” shall mean, with respect to any Benchmark Transition Event, the first alternative set forth in the order below that can be determined by the Administrative Agent for the applicable Benchmark Replacement Date:</w:t>
      </w:r>
    </w:p>
    <w:p>
      <w:pPr>
        <w:spacing w:after="0" w:line="135" w:lineRule="exact"/>
        <w:rPr>
          <w:sz w:val="20"/>
          <w:szCs w:val="20"/>
          <w:color w:val="auto"/>
        </w:rPr>
      </w:pPr>
    </w:p>
    <w:p>
      <w:pPr>
        <w:ind w:left="1960" w:hanging="296"/>
        <w:spacing w:after="0"/>
        <w:tabs>
          <w:tab w:leader="none" w:pos="19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Daily Simple SOFR; or</w:t>
      </w:r>
    </w:p>
    <w:p>
      <w:pPr>
        <w:spacing w:after="0" w:line="183" w:lineRule="exact"/>
        <w:rPr>
          <w:rFonts w:ascii="Times New Roman" w:cs="Times New Roman" w:eastAsia="Times New Roman" w:hAnsi="Times New Roman"/>
          <w:sz w:val="14"/>
          <w:szCs w:val="14"/>
          <w:color w:val="auto"/>
        </w:rPr>
      </w:pPr>
    </w:p>
    <w:p>
      <w:pPr>
        <w:jc w:val="both"/>
        <w:ind w:left="1140" w:right="1159" w:firstLine="524"/>
        <w:spacing w:after="0" w:line="264" w:lineRule="auto"/>
        <w:tabs>
          <w:tab w:leader="none" w:pos="1943"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of: (a) the alternate benchmark rate that has been selected by the Administrative Agent and the Borrower as the replacement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89" w:name="page90"/>
    <w:bookmarkEnd w:id="89"/>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 xml:space="preserve">If the Benchmark Replacement as determined pursuant to </w:t>
      </w:r>
      <w:r>
        <w:rPr>
          <w:rFonts w:ascii="Times New Roman" w:cs="Times New Roman" w:eastAsia="Times New Roman" w:hAnsi="Times New Roman"/>
          <w:sz w:val="14"/>
          <w:szCs w:val="14"/>
          <w:u w:val="single" w:color="auto"/>
          <w:color w:val="auto"/>
        </w:rPr>
        <w:t>clause (1)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above would be less than the Floor, then the Benchmark Replacement will be deemed to be the Floor for the purposes of this Agreement and the other Credit Documents.</w:t>
      </w:r>
    </w:p>
    <w:p>
      <w:pPr>
        <w:spacing w:after="0" w:line="133"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Benchmark Replacement Adjustment</w:t>
      </w:r>
      <w:r>
        <w:rPr>
          <w:rFonts w:ascii="Times New Roman" w:cs="Times New Roman" w:eastAsia="Times New Roman" w:hAnsi="Times New Roman"/>
          <w:sz w:val="14"/>
          <w:szCs w:val="14"/>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(x) any selection or recommendation of a spread adjustment, or method for calculating or determining such spread adjustment, for the replacement of such Benchmark with the applicable Unadjusted Benchmark Replacement by the Relevant Governmental Body or (y) any evolving or then-prevailing market convention for determining a spread adjustment, or method of calculating or determining such spread adjustment, for the replacement of such Benchmark with the applicable Unadjusted Benchmark Replacement for U.S. Dollar denominated syndicated credit facilities at such time.</w:t>
      </w:r>
    </w:p>
    <w:p>
      <w:pPr>
        <w:spacing w:after="0" w:line="146" w:lineRule="exact"/>
        <w:rPr>
          <w:sz w:val="20"/>
          <w:szCs w:val="20"/>
          <w:color w:val="auto"/>
        </w:rPr>
      </w:pPr>
    </w:p>
    <w:p>
      <w:pPr>
        <w:ind w:left="1140" w:right="129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Benchmark Replacement Date</w:t>
      </w:r>
      <w:r>
        <w:rPr>
          <w:rFonts w:ascii="Times New Roman" w:cs="Times New Roman" w:eastAsia="Times New Roman" w:hAnsi="Times New Roman"/>
          <w:sz w:val="14"/>
          <w:szCs w:val="14"/>
          <w:color w:val="auto"/>
        </w:rPr>
        <w:t>” shall mean the earliest to occur of the following events with respect to the then-current Benchmark:</w:t>
      </w:r>
    </w:p>
    <w:p>
      <w:pPr>
        <w:spacing w:after="0" w:line="121" w:lineRule="exact"/>
        <w:rPr>
          <w:sz w:val="20"/>
          <w:szCs w:val="20"/>
          <w:color w:val="auto"/>
        </w:rPr>
      </w:pPr>
    </w:p>
    <w:p>
      <w:pPr>
        <w:ind w:left="1920" w:right="1219" w:hanging="256"/>
        <w:spacing w:after="0" w:line="265" w:lineRule="auto"/>
        <w:tabs>
          <w:tab w:leader="none" w:pos="194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clause (1) or (2)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58" w:lineRule="exact"/>
        <w:rPr>
          <w:rFonts w:ascii="Times New Roman" w:cs="Times New Roman" w:eastAsia="Times New Roman" w:hAnsi="Times New Roman"/>
          <w:sz w:val="14"/>
          <w:szCs w:val="14"/>
          <w:color w:val="auto"/>
        </w:rPr>
      </w:pPr>
    </w:p>
    <w:p>
      <w:pPr>
        <w:ind w:left="1920" w:right="1179" w:hanging="256"/>
        <w:spacing w:after="0" w:line="262" w:lineRule="auto"/>
        <w:tabs>
          <w:tab w:leader="none" w:pos="1949"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clause (3) of the definition of “Benchmark Transition Event”, the first date on which such Benchmark (or the published component used in the calculation thereof) has been determined and announced by or on behalf of the administrator of such Benchmark (or such component thereof) or the regulatory supervisor for the administrator of such Benchmark (or such component thereof) to be non-representative;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47" w:lineRule="exact"/>
        <w:rPr>
          <w:sz w:val="20"/>
          <w:szCs w:val="20"/>
          <w:color w:val="auto"/>
        </w:rPr>
      </w:pPr>
    </w:p>
    <w:p>
      <w:pPr>
        <w:ind w:left="1140" w:right="1459"/>
        <w:spacing w:after="0" w:line="268" w:lineRule="auto"/>
        <w:rPr>
          <w:sz w:val="20"/>
          <w:szCs w:val="20"/>
          <w:color w:val="auto"/>
        </w:rPr>
      </w:pPr>
      <w:r>
        <w:rPr>
          <w:rFonts w:ascii="Times New Roman" w:cs="Times New Roman" w:eastAsia="Times New Roman" w:hAnsi="Times New Roman"/>
          <w:sz w:val="14"/>
          <w:szCs w:val="14"/>
          <w:color w:val="auto"/>
        </w:rPr>
        <w:t>For the avoidance of doubt, the “Benchmark Replacement Date” will be deemed to have occurred in the case of clause (1) or (2) with respect to any Benchmark upon the occurrence of the applicable event or events set forth therein solely to the extent such event applies to all then-current Available Tenors of such Benchmark (or the published component used in the calculation thereof).</w:t>
      </w:r>
    </w:p>
    <w:p>
      <w:pPr>
        <w:spacing w:after="0" w:line="140" w:lineRule="exact"/>
        <w:rPr>
          <w:sz w:val="20"/>
          <w:szCs w:val="20"/>
          <w:color w:val="auto"/>
        </w:rPr>
      </w:pPr>
    </w:p>
    <w:p>
      <w:pPr>
        <w:ind w:left="1140" w:right="1339" w:firstLine="552"/>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Benchmark Transition Event</w:t>
      </w:r>
      <w:r>
        <w:rPr>
          <w:rFonts w:ascii="Times New Roman" w:cs="Times New Roman" w:eastAsia="Times New Roman" w:hAnsi="Times New Roman"/>
          <w:sz w:val="14"/>
          <w:szCs w:val="14"/>
          <w:color w:val="auto"/>
        </w:rPr>
        <w:t>” shall mean the occurrence of one or more of the following events with respect to the then-current Benchmark:</w:t>
      </w:r>
    </w:p>
    <w:p>
      <w:pPr>
        <w:spacing w:after="0" w:line="121" w:lineRule="exact"/>
        <w:rPr>
          <w:sz w:val="20"/>
          <w:szCs w:val="20"/>
          <w:color w:val="auto"/>
        </w:rPr>
      </w:pPr>
    </w:p>
    <w:p>
      <w:pPr>
        <w:ind w:left="1980" w:right="1319" w:hanging="316"/>
        <w:spacing w:after="0" w:line="264" w:lineRule="auto"/>
        <w:tabs>
          <w:tab w:leader="none" w:pos="194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such statement or publication, there is no successor administrator that will continue to provide any Available Tenor of such Benchmark (or such component thereof);</w:t>
      </w:r>
    </w:p>
    <w:p>
      <w:pPr>
        <w:spacing w:after="0" w:line="56" w:lineRule="exact"/>
        <w:rPr>
          <w:rFonts w:ascii="Times New Roman" w:cs="Times New Roman" w:eastAsia="Times New Roman" w:hAnsi="Times New Roman"/>
          <w:sz w:val="14"/>
          <w:szCs w:val="14"/>
          <w:color w:val="auto"/>
        </w:rPr>
      </w:pPr>
    </w:p>
    <w:p>
      <w:pPr>
        <w:ind w:left="1920" w:right="1199" w:hanging="256"/>
        <w:spacing w:after="0" w:line="260" w:lineRule="auto"/>
        <w:tabs>
          <w:tab w:leader="none" w:pos="1949"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such statement or publication, there is no successor administrator that will continue to provide any Available Tenor of such Benchmark (or such component thereof); or</w:t>
      </w:r>
    </w:p>
    <w:p>
      <w:pPr>
        <w:spacing w:after="0" w:line="3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0" w:name="page91"/>
    <w:bookmarkEnd w:id="90"/>
    <w:p>
      <w:pPr>
        <w:ind w:left="1920" w:right="1179" w:hanging="256"/>
        <w:spacing w:after="0" w:line="265" w:lineRule="auto"/>
        <w:tabs>
          <w:tab w:leader="none" w:pos="1949"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public statement or publication of information by or on behalf of the administrator of such Benchmark (or the published component used in the calculation thereof) or the regulatory supervisor for the administrator of such Benchmark (or such component thereof) announcing that all Available Tenors of such Benchmark (or such component thereof) are not, or as of a specified future date will not be, representative.</w:t>
      </w:r>
    </w:p>
    <w:p>
      <w:pPr>
        <w:spacing w:after="0" w:line="144" w:lineRule="exact"/>
        <w:rPr>
          <w:sz w:val="20"/>
          <w:szCs w:val="20"/>
          <w:color w:val="auto"/>
        </w:rPr>
      </w:pPr>
    </w:p>
    <w:p>
      <w:pPr>
        <w:ind w:left="1140" w:right="1359"/>
        <w:spacing w:after="0" w:line="268" w:lineRule="auto"/>
        <w:rPr>
          <w:sz w:val="20"/>
          <w:szCs w:val="20"/>
          <w:color w:val="auto"/>
        </w:rPr>
      </w:pPr>
      <w:r>
        <w:rPr>
          <w:rFonts w:ascii="Times New Roman" w:cs="Times New Roman" w:eastAsia="Times New Roman" w:hAnsi="Times New Roman"/>
          <w:sz w:val="14"/>
          <w:szCs w:val="14"/>
          <w:color w:val="auto"/>
        </w:rPr>
        <w:t>For the avoidance of doubt, a “Benchmark Transition Event” will be deemed to have occurred with respect to any Benchmark solely to the extent that a public statement or publication of information set forth above has occurred with respect to all then-current Available Tenors of such Benchmark (or the published component used in the calculation thereof).</w:t>
      </w:r>
    </w:p>
    <w:p>
      <w:pPr>
        <w:spacing w:after="0" w:line="140"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Benchmark Unavailability Period</w:t>
      </w:r>
      <w:r>
        <w:rPr>
          <w:rFonts w:ascii="Times New Roman" w:cs="Times New Roman" w:eastAsia="Times New Roman" w:hAnsi="Times New Roman"/>
          <w:sz w:val="14"/>
          <w:szCs w:val="14"/>
          <w:color w:val="auto"/>
        </w:rPr>
        <w:t xml:space="preserve">” shall mean the period (if any) (x) beginning at the time that a Benchmark Replacement Date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 xml:space="preserve"> and</w:t>
      </w:r>
    </w:p>
    <w:p>
      <w:pPr>
        <w:spacing w:after="0" w:line="1" w:lineRule="exact"/>
        <w:rPr>
          <w:sz w:val="20"/>
          <w:szCs w:val="20"/>
          <w:color w:val="auto"/>
        </w:rPr>
      </w:pPr>
    </w:p>
    <w:p>
      <w:pPr>
        <w:ind w:left="1140" w:right="1159" w:firstLine="7"/>
        <w:spacing w:after="0" w:line="273" w:lineRule="auto"/>
        <w:tabs>
          <w:tab w:leader="none" w:pos="1363"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ending at the time that a Benchmark Replacement has replaced the then-current Benchmark for all purposes hereunder and under any Credit Document in accordance with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Beneficial Ownership Certification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6.11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Beneficial Ownership Regulation</w:t>
      </w:r>
      <w:r>
        <w:rPr>
          <w:rFonts w:ascii="Times New Roman" w:cs="Times New Roman" w:eastAsia="Times New Roman" w:hAnsi="Times New Roman"/>
          <w:sz w:val="14"/>
          <w:szCs w:val="14"/>
          <w:color w:val="auto"/>
        </w:rPr>
        <w:t>” shall mean 31 C.F.R. § 1010.230.</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Benefited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13.8(a)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shall mean the Board of Governors of the Federal Reserve System of the United States (or any successor).</w:t>
      </w:r>
    </w:p>
    <w:p>
      <w:pPr>
        <w:spacing w:after="0" w:line="11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Borrower</w:t>
      </w:r>
      <w:r>
        <w:rPr>
          <w:rFonts w:ascii="Times New Roman" w:cs="Times New Roman" w:eastAsia="Times New Roman" w:hAnsi="Times New Roman"/>
          <w:sz w:val="14"/>
          <w:szCs w:val="14"/>
          <w:color w:val="auto"/>
        </w:rPr>
        <w:t>” shall have the meaning set forth in the preamble to this Agreement.</w:t>
      </w:r>
    </w:p>
    <w:p>
      <w:pPr>
        <w:spacing w:after="0" w:line="1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Borrower Materials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13.17(b)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Borrowing</w:t>
      </w:r>
      <w:r>
        <w:rPr>
          <w:rFonts w:ascii="Times New Roman" w:cs="Times New Roman" w:eastAsia="Times New Roman" w:hAnsi="Times New Roman"/>
          <w:sz w:val="14"/>
          <w:szCs w:val="14"/>
          <w:color w:val="auto"/>
        </w:rPr>
        <w:t>” shall mean Loans of the same Class and Type, made, converted, or continued on the same date and, in the case of SOFR Loans as to which a single Interest Period is in effect.</w:t>
      </w:r>
    </w:p>
    <w:p>
      <w:pPr>
        <w:spacing w:after="0" w:line="119" w:lineRule="exact"/>
        <w:rPr>
          <w:sz w:val="20"/>
          <w:szCs w:val="20"/>
          <w:color w:val="auto"/>
        </w:rPr>
      </w:pPr>
    </w:p>
    <w:p>
      <w:pPr>
        <w:ind w:left="1140" w:right="14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Business Day</w:t>
      </w:r>
      <w:r>
        <w:rPr>
          <w:rFonts w:ascii="Times New Roman" w:cs="Times New Roman" w:eastAsia="Times New Roman" w:hAnsi="Times New Roman"/>
          <w:sz w:val="14"/>
          <w:szCs w:val="14"/>
          <w:color w:val="auto"/>
        </w:rPr>
        <w:t>” shall mean any day excluding Saturday, Sunday, and any other day on which banking institutions in New York City are authorized by law or other governmental actions to close.</w:t>
      </w:r>
    </w:p>
    <w:p>
      <w:pPr>
        <w:spacing w:after="0" w:line="119" w:lineRule="exact"/>
        <w:rPr>
          <w:sz w:val="20"/>
          <w:szCs w:val="20"/>
          <w:color w:val="auto"/>
        </w:rPr>
      </w:pPr>
    </w:p>
    <w:p>
      <w:pPr>
        <w:ind w:left="1140" w:right="1319" w:firstLine="106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Expenditures</w:t>
      </w:r>
      <w:r>
        <w:rPr>
          <w:rFonts w:ascii="Times New Roman" w:cs="Times New Roman" w:eastAsia="Times New Roman" w:hAnsi="Times New Roman"/>
          <w:sz w:val="14"/>
          <w:szCs w:val="14"/>
          <w:color w:val="auto"/>
        </w:rPr>
        <w:t>” shall mean, for any period, the aggregate of all expenditures (whether paid in cash or accrued as liabilities and including in all events all amounts expended or capitalized under Capital Leases) by the Borrower and the Restricted Subsidiaries during such period that, in conformity with GAAP, are or are required to be included as additions during such period to property, plant, or equipment reflected in the consolidated balance sheet of the Borrower and the Restricted Subsidiaries (including Capitalized Software Expenditures, website development costs, website content development costs, customer acquisition costs and incentive payments, conversion costs, and contract acquisition costs).</w:t>
      </w:r>
    </w:p>
    <w:p>
      <w:pPr>
        <w:spacing w:after="0" w:line="142"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Lease</w:t>
      </w:r>
      <w:r>
        <w:rPr>
          <w:rFonts w:ascii="Times New Roman" w:cs="Times New Roman" w:eastAsia="Times New Roman" w:hAnsi="Times New Roman"/>
          <w:sz w:val="14"/>
          <w:szCs w:val="14"/>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subject to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140" w:right="127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Stock</w:t>
      </w:r>
      <w:r>
        <w:rPr>
          <w:rFonts w:ascii="Times New Roman" w:cs="Times New Roman" w:eastAsia="Times New Roman" w:hAnsi="Times New Roman"/>
          <w:sz w:val="14"/>
          <w:szCs w:val="14"/>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settled phantom appreciation programs” in connection with employee benefits that do not require a dividend or distribution shall not constitute Capital Stock).</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1" w:name="page92"/>
    <w:bookmarkEnd w:id="91"/>
    <w:p>
      <w:pPr>
        <w:ind w:left="1140" w:right="125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Capitalized Lease Obligation</w:t>
      </w:r>
      <w:r>
        <w:rPr>
          <w:rFonts w:ascii="Times New Roman" w:cs="Times New Roman" w:eastAsia="Times New Roman" w:hAnsi="Times New Roman"/>
          <w:sz w:val="14"/>
          <w:szCs w:val="14"/>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subject to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1140" w:right="127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Capitalized Software Expenditures</w:t>
      </w:r>
      <w:r>
        <w:rPr>
          <w:rFonts w:ascii="Times New Roman" w:cs="Times New Roman" w:eastAsia="Times New Roman" w:hAnsi="Times New Roman"/>
          <w:sz w:val="14"/>
          <w:szCs w:val="14"/>
          <w:color w:val="auto"/>
        </w:rPr>
        <w:t>” shall mean, for any period, the aggregate of all expenditures (whether paid in cash or accrued as liabilities) by the Borrower and the Restricted Subsidiaries during such period in respect of purchased software or internally developed software and software enhancements that, in conformity with GAAP, are or are required to be reflected as capitalized costs on the consolidated balance sheet of the Borrower and the Restricted Subsidiaries.</w:t>
      </w:r>
    </w:p>
    <w:p>
      <w:pPr>
        <w:spacing w:after="0" w:line="141"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Collateral</w:t>
      </w:r>
      <w:r>
        <w:rPr>
          <w:rFonts w:ascii="Times New Roman" w:cs="Times New Roman" w:eastAsia="Times New Roman" w:hAnsi="Times New Roman"/>
          <w:sz w:val="14"/>
          <w:szCs w:val="14"/>
          <w:color w:val="auto"/>
        </w:rPr>
        <w:t>” shall have a meaning correlative to the defined term “Cash Collateralize” and shall include the proceeds of such cash collateral and other credit support.</w:t>
      </w:r>
    </w:p>
    <w:p>
      <w:pPr>
        <w:spacing w:after="0" w:line="119" w:lineRule="exact"/>
        <w:rPr>
          <w:sz w:val="20"/>
          <w:szCs w:val="20"/>
          <w:color w:val="auto"/>
        </w:rPr>
      </w:pPr>
    </w:p>
    <w:p>
      <w:pPr>
        <w:ind w:left="1140" w:right="121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Collateralize</w:t>
      </w:r>
      <w:r>
        <w:rPr>
          <w:rFonts w:ascii="Times New Roman" w:cs="Times New Roman" w:eastAsia="Times New Roman" w:hAnsi="Times New Roman"/>
          <w:sz w:val="14"/>
          <w:szCs w:val="14"/>
          <w:color w:val="auto"/>
        </w:rPr>
        <w:t>” shall mean to pledge and deposit with or deliver to the Administrative Agent, for the benefit of one or more of the Letter of Credit Issuer or the Revolving Credit Lenders, as collateral for L/C Obligations or obligations of the Revolving Credit Lenders or the 2020 Additional Revolving Credit Lenders to fund participations in respect of L/C Obligations, cash or deposit account balances or, if the Administrative Agent and the Letter of Credit Issuer shall agree in their sole discretion, other credit support.</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4"/>
          <w:szCs w:val="14"/>
          <w:color w:val="auto"/>
        </w:rPr>
        <w:t>” shall mean:</w:t>
      </w:r>
    </w:p>
    <w:p>
      <w:pPr>
        <w:spacing w:after="0" w:line="185" w:lineRule="exact"/>
        <w:rPr>
          <w:sz w:val="20"/>
          <w:szCs w:val="20"/>
          <w:color w:val="auto"/>
        </w:rPr>
      </w:pPr>
    </w:p>
    <w:p>
      <w:pPr>
        <w:ind w:left="2460" w:hanging="280"/>
        <w:spacing w:after="0"/>
        <w:tabs>
          <w:tab w:leader="none" w:pos="246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Dollars,</w:t>
      </w:r>
    </w:p>
    <w:p>
      <w:pPr>
        <w:spacing w:after="0" w:line="183" w:lineRule="exact"/>
        <w:rPr>
          <w:rFonts w:ascii="Times New Roman" w:cs="Times New Roman" w:eastAsia="Times New Roman" w:hAnsi="Times New Roman"/>
          <w:sz w:val="14"/>
          <w:szCs w:val="14"/>
          <w:color w:val="auto"/>
        </w:rPr>
      </w:pPr>
    </w:p>
    <w:p>
      <w:pPr>
        <w:ind w:left="1660" w:right="1219" w:firstLine="520"/>
        <w:spacing w:after="0" w:line="275" w:lineRule="auto"/>
        <w:tabs>
          <w:tab w:leader="none" w:pos="246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Euro, Pounds Sterling, Yen, Swiss Francs, Canadian Dollars, or any national currency of any Participating Member State in the European Union or (b) local currencies held from time to time in the ordinary course of business,</w:t>
      </w:r>
    </w:p>
    <w:p>
      <w:pPr>
        <w:spacing w:after="0" w:line="135" w:lineRule="exact"/>
        <w:rPr>
          <w:rFonts w:ascii="Times New Roman" w:cs="Times New Roman" w:eastAsia="Times New Roman" w:hAnsi="Times New Roman"/>
          <w:sz w:val="14"/>
          <w:szCs w:val="14"/>
          <w:color w:val="auto"/>
        </w:rPr>
      </w:pPr>
    </w:p>
    <w:p>
      <w:pPr>
        <w:ind w:left="1660" w:right="1159" w:firstLine="520"/>
        <w:spacing w:after="0" w:line="268" w:lineRule="auto"/>
        <w:tabs>
          <w:tab w:leader="none" w:pos="246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average maturities of 24 months or less from the date of acquisition,</w:t>
      </w:r>
    </w:p>
    <w:p>
      <w:pPr>
        <w:spacing w:after="0" w:line="141" w:lineRule="exact"/>
        <w:rPr>
          <w:rFonts w:ascii="Times New Roman" w:cs="Times New Roman" w:eastAsia="Times New Roman" w:hAnsi="Times New Roman"/>
          <w:sz w:val="14"/>
          <w:szCs w:val="14"/>
          <w:color w:val="auto"/>
        </w:rPr>
      </w:pPr>
    </w:p>
    <w:p>
      <w:pPr>
        <w:ind w:left="1660" w:right="1159" w:firstLine="520"/>
        <w:spacing w:after="0" w:line="268" w:lineRule="auto"/>
        <w:tabs>
          <w:tab w:leader="none" w:pos="246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time deposits, and eurodollar time deposits with average maturities of one year or less from the date of acquisition, bankers’ acceptances with average maturities not exceeding one year, and overnight bank deposits, in each case with any commercial bank having capital and surplus of not less than $100,000,000 (or the foreign currency equivalent thereof),</w:t>
      </w:r>
    </w:p>
    <w:p>
      <w:pPr>
        <w:spacing w:after="0" w:line="141" w:lineRule="exact"/>
        <w:rPr>
          <w:rFonts w:ascii="Times New Roman" w:cs="Times New Roman" w:eastAsia="Times New Roman" w:hAnsi="Times New Roman"/>
          <w:sz w:val="14"/>
          <w:szCs w:val="14"/>
          <w:color w:val="auto"/>
        </w:rPr>
      </w:pPr>
    </w:p>
    <w:p>
      <w:pPr>
        <w:ind w:left="1660" w:right="1259" w:firstLine="520"/>
        <w:spacing w:after="0" w:line="293" w:lineRule="auto"/>
        <w:tabs>
          <w:tab w:leader="none" w:pos="246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repurchase obligations for underlying securities of the types described in </w:t>
      </w:r>
      <w:r>
        <w:rPr>
          <w:rFonts w:ascii="Times New Roman" w:cs="Times New Roman" w:eastAsia="Times New Roman" w:hAnsi="Times New Roman"/>
          <w:sz w:val="14"/>
          <w:szCs w:val="14"/>
          <w:u w:val="single" w:color="auto"/>
          <w:color w:val="auto"/>
        </w:rPr>
        <w:t>clauses (iii)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xml:space="preserve"> entered into with any financial institution meeting the qualifications specified in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above,</w:t>
      </w:r>
    </w:p>
    <w:p>
      <w:pPr>
        <w:spacing w:after="0" w:line="123" w:lineRule="exact"/>
        <w:rPr>
          <w:rFonts w:ascii="Times New Roman" w:cs="Times New Roman" w:eastAsia="Times New Roman" w:hAnsi="Times New Roman"/>
          <w:sz w:val="14"/>
          <w:szCs w:val="14"/>
          <w:color w:val="auto"/>
        </w:rPr>
      </w:pPr>
    </w:p>
    <w:p>
      <w:pPr>
        <w:ind w:left="1660" w:right="1199" w:firstLine="520"/>
        <w:spacing w:after="0" w:line="268" w:lineRule="auto"/>
        <w:tabs>
          <w:tab w:leader="none" w:pos="246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commercial paper rated at least P-2 by Moody’s or at least A-2 by S&amp;P after the date of creation thereof and variable and fixed rate notes issued by a financial institution meeting the qualifications specified in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above, in each case with average maturities of 36 months after the date of creation thereof,</w:t>
      </w:r>
    </w:p>
    <w:p>
      <w:pPr>
        <w:spacing w:after="0" w:line="110" w:lineRule="exact"/>
        <w:rPr>
          <w:rFonts w:ascii="Times New Roman" w:cs="Times New Roman" w:eastAsia="Times New Roman" w:hAnsi="Times New Roman"/>
          <w:sz w:val="14"/>
          <w:szCs w:val="14"/>
          <w:color w:val="auto"/>
        </w:rPr>
      </w:pPr>
    </w:p>
    <w:p>
      <w:pPr>
        <w:jc w:val="both"/>
        <w:ind w:left="1660" w:right="1279" w:firstLine="520"/>
        <w:spacing w:after="0" w:line="187" w:lineRule="exact"/>
        <w:tabs>
          <w:tab w:leader="none" w:pos="2463"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marketable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money market and similar securities having a rating of at least P</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or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from either Moody’s or S&amp;P, respectively (or, if at any time neither Moody’s nor S&amp;P shall be rating such obligations, an equivalent rating from another nationally recognized ratings agency),</w:t>
      </w:r>
    </w:p>
    <w:p>
      <w:pPr>
        <w:spacing w:after="0" w:line="160" w:lineRule="exact"/>
        <w:rPr>
          <w:rFonts w:ascii="Times New Roman" w:cs="Times New Roman" w:eastAsia="Times New Roman" w:hAnsi="Times New Roman"/>
          <w:sz w:val="14"/>
          <w:szCs w:val="14"/>
          <w:color w:val="auto"/>
        </w:rPr>
      </w:pPr>
    </w:p>
    <w:p>
      <w:pPr>
        <w:ind w:left="1660" w:right="1239" w:firstLine="520"/>
        <w:spacing w:after="0" w:line="275" w:lineRule="auto"/>
        <w:tabs>
          <w:tab w:leader="none" w:pos="275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readily marketable direct obligations issued by any state, commonwealth, or territory of the United States or any political subdivision or taxing authority thereof having one of the two highest rating categories obtainable from either Moody’s or S&amp;P (or, if at any time neither Moody’s nor S&amp;P shall</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2" w:name="page93"/>
    <w:bookmarkEnd w:id="92"/>
    <w:p>
      <w:pPr>
        <w:ind w:left="1660" w:right="1319"/>
        <w:spacing w:after="0" w:line="293" w:lineRule="auto"/>
        <w:rPr>
          <w:sz w:val="20"/>
          <w:szCs w:val="20"/>
          <w:color w:val="auto"/>
        </w:rPr>
      </w:pPr>
      <w:r>
        <w:rPr>
          <w:rFonts w:ascii="Times New Roman" w:cs="Times New Roman" w:eastAsia="Times New Roman" w:hAnsi="Times New Roman"/>
          <w:sz w:val="14"/>
          <w:szCs w:val="14"/>
          <w:color w:val="auto"/>
        </w:rPr>
        <w:t>be rating such obligations, an equivalent rating from another rating agency) with average maturities of 36 months or less from the date of acquisition,</w:t>
      </w:r>
    </w:p>
    <w:p>
      <w:pPr>
        <w:spacing w:after="0" w:line="123" w:lineRule="exact"/>
        <w:rPr>
          <w:sz w:val="20"/>
          <w:szCs w:val="20"/>
          <w:color w:val="auto"/>
        </w:rPr>
      </w:pPr>
    </w:p>
    <w:p>
      <w:pPr>
        <w:ind w:left="1660" w:right="1179" w:firstLine="520"/>
        <w:spacing w:after="0" w:line="268" w:lineRule="auto"/>
        <w:tabs>
          <w:tab w:leader="none" w:pos="246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Indebtedness or preferred stock issued by Persons with a rating of “A” or higher from S&amp;P or “A2” or higher from Moody’s (or, if at any time neither Moody’s nor S&amp;P shall be rating such obligations, an equivalent rating from another rating agency) with average maturities of 36 months or less from the date of acquisition,</w:t>
      </w:r>
    </w:p>
    <w:p>
      <w:pPr>
        <w:spacing w:after="0" w:line="141" w:lineRule="exact"/>
        <w:rPr>
          <w:rFonts w:ascii="Times New Roman" w:cs="Times New Roman" w:eastAsia="Times New Roman" w:hAnsi="Times New Roman"/>
          <w:sz w:val="14"/>
          <w:szCs w:val="14"/>
          <w:color w:val="auto"/>
        </w:rPr>
      </w:pPr>
    </w:p>
    <w:p>
      <w:pPr>
        <w:ind w:left="1660" w:right="1179" w:firstLine="520"/>
        <w:spacing w:after="0" w:line="174" w:lineRule="exact"/>
        <w:tabs>
          <w:tab w:leader="none" w:pos="246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with respect to any Foreign Subsidiary: (a)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commercial paper rating from S&amp;P is at least “A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or the equivalent thereof or from Moody’s is at least “P</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or the equivalent thereof (any such bank being an “</w:t>
      </w:r>
      <w:r>
        <w:rPr>
          <w:rFonts w:ascii="Times New Roman" w:cs="Times New Roman" w:eastAsia="Times New Roman" w:hAnsi="Times New Roman"/>
          <w:sz w:val="14"/>
          <w:szCs w:val="14"/>
          <w:b w:val="1"/>
          <w:bCs w:val="1"/>
          <w:color w:val="auto"/>
        </w:rPr>
        <w:t>Approved Foreign Bank</w:t>
      </w:r>
      <w:r>
        <w:rPr>
          <w:rFonts w:ascii="Times New Roman" w:cs="Times New Roman" w:eastAsia="Times New Roman" w:hAnsi="Times New Roman"/>
          <w:sz w:val="14"/>
          <w:szCs w:val="14"/>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59" w:lineRule="exact"/>
        <w:rPr>
          <w:rFonts w:ascii="Times New Roman" w:cs="Times New Roman" w:eastAsia="Times New Roman" w:hAnsi="Times New Roman"/>
          <w:sz w:val="14"/>
          <w:szCs w:val="14"/>
          <w:color w:val="auto"/>
        </w:rPr>
      </w:pPr>
    </w:p>
    <w:p>
      <w:pPr>
        <w:ind w:left="1660" w:right="1179" w:firstLine="520"/>
        <w:spacing w:after="0" w:line="268" w:lineRule="auto"/>
        <w:tabs>
          <w:tab w:leader="none" w:pos="2463"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investments by any Foreign Subsidiary or investments made in a country outside the United States, Cash Equivalents shall also include investments of the type and maturity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above of foreign obligors, which investments have ratings, described in such clauses or equivalent ratings from comparable foreign rating agencies,</w:t>
      </w:r>
    </w:p>
    <w:p>
      <w:pPr>
        <w:spacing w:after="0" w:line="141" w:lineRule="exact"/>
        <w:rPr>
          <w:rFonts w:ascii="Times New Roman" w:cs="Times New Roman" w:eastAsia="Times New Roman" w:hAnsi="Times New Roman"/>
          <w:sz w:val="14"/>
          <w:szCs w:val="14"/>
          <w:color w:val="auto"/>
        </w:rPr>
      </w:pPr>
    </w:p>
    <w:p>
      <w:pPr>
        <w:ind w:left="2460" w:hanging="280"/>
        <w:spacing w:after="0"/>
        <w:tabs>
          <w:tab w:leader="none" w:pos="2460" w:val="left"/>
        </w:tabs>
        <w:numPr>
          <w:ilvl w:val="1"/>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 funds investing 90% of their assets in securities of the types described in </w:t>
      </w:r>
      <w:r>
        <w:rPr>
          <w:rFonts w:ascii="Times New Roman" w:cs="Times New Roman" w:eastAsia="Times New Roman" w:hAnsi="Times New Roman"/>
          <w:sz w:val="14"/>
          <w:szCs w:val="14"/>
          <w:u w:val="single" w:color="auto"/>
          <w:color w:val="auto"/>
        </w:rPr>
        <w:t>clauses</w:t>
      </w:r>
    </w:p>
    <w:p>
      <w:pPr>
        <w:spacing w:after="0" w:line="24" w:lineRule="exact"/>
        <w:rPr>
          <w:rFonts w:ascii="Times New Roman" w:cs="Times New Roman" w:eastAsia="Times New Roman" w:hAnsi="Times New Roman"/>
          <w:sz w:val="14"/>
          <w:szCs w:val="14"/>
          <w:color w:val="auto"/>
        </w:rPr>
      </w:pPr>
    </w:p>
    <w:p>
      <w:pPr>
        <w:ind w:left="1840" w:hanging="176"/>
        <w:spacing w:after="0"/>
        <w:tabs>
          <w:tab w:leader="none" w:pos="1840" w:val="left"/>
        </w:tabs>
        <w:numPr>
          <w:ilvl w:val="0"/>
          <w:numId w:val="47"/>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through </w:t>
      </w:r>
      <w:r>
        <w:rPr>
          <w:rFonts w:ascii="Times New Roman" w:cs="Times New Roman" w:eastAsia="Times New Roman" w:hAnsi="Times New Roman"/>
          <w:sz w:val="14"/>
          <w:szCs w:val="14"/>
          <w:u w:val="single" w:color="auto"/>
          <w:color w:val="auto"/>
        </w:rPr>
        <w:t>(xi)</w:t>
      </w:r>
      <w:r>
        <w:rPr>
          <w:rFonts w:ascii="Times New Roman" w:cs="Times New Roman" w:eastAsia="Times New Roman" w:hAnsi="Times New Roman"/>
          <w:sz w:val="14"/>
          <w:szCs w:val="14"/>
          <w:color w:val="auto"/>
        </w:rPr>
        <w:t xml:space="preserve"> above, and</w:t>
      </w:r>
    </w:p>
    <w:p>
      <w:pPr>
        <w:spacing w:after="0" w:line="169" w:lineRule="exact"/>
        <w:rPr>
          <w:rFonts w:ascii="Times New Roman" w:cs="Times New Roman" w:eastAsia="Times New Roman" w:hAnsi="Times New Roman"/>
          <w:sz w:val="14"/>
          <w:szCs w:val="14"/>
          <w:u w:val="single" w:color="auto"/>
          <w:color w:val="auto"/>
        </w:rPr>
      </w:pPr>
    </w:p>
    <w:p>
      <w:pPr>
        <w:ind w:left="1660" w:right="1159" w:firstLine="520"/>
        <w:spacing w:after="0" w:line="265" w:lineRule="auto"/>
        <w:tabs>
          <w:tab w:leader="none" w:pos="275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classified in accordance with GAAP as current assets, in money market investment programs that are registered under the Investment Company Act of 1940 or that are administered by financial institutions meeting the qualifications specified in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above, and, in either case, the portfolios of which are limited such that substantially all of such Investments are of the character, quality and maturity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(xii)</w:t>
      </w:r>
      <w:r>
        <w:rPr>
          <w:rFonts w:ascii="Times New Roman" w:cs="Times New Roman" w:eastAsia="Times New Roman" w:hAnsi="Times New Roman"/>
          <w:sz w:val="14"/>
          <w:szCs w:val="14"/>
          <w:color w:val="auto"/>
        </w:rPr>
        <w:t xml:space="preserve"> of this definition.</w:t>
      </w:r>
    </w:p>
    <w:p>
      <w:pPr>
        <w:spacing w:after="0" w:line="144" w:lineRule="exact"/>
        <w:rPr>
          <w:rFonts w:ascii="Times New Roman" w:cs="Times New Roman" w:eastAsia="Times New Roman" w:hAnsi="Times New Roman"/>
          <w:sz w:val="14"/>
          <w:szCs w:val="14"/>
          <w:color w:val="auto"/>
        </w:rPr>
      </w:pPr>
    </w:p>
    <w:p>
      <w:pPr>
        <w:ind w:left="2760" w:hanging="580"/>
        <w:spacing w:after="0"/>
        <w:tabs>
          <w:tab w:leader="none" w:pos="2760"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Credit Card Receivables.</w:t>
      </w:r>
    </w:p>
    <w:p>
      <w:pPr>
        <w:spacing w:after="0" w:line="183" w:lineRule="exact"/>
        <w:rPr>
          <w:sz w:val="20"/>
          <w:szCs w:val="20"/>
          <w:color w:val="auto"/>
        </w:rPr>
      </w:pPr>
    </w:p>
    <w:p>
      <w:pPr>
        <w:ind w:left="1140" w:right="1179" w:firstLine="1033"/>
        <w:spacing w:after="0" w:line="268" w:lineRule="auto"/>
        <w:rPr>
          <w:sz w:val="20"/>
          <w:szCs w:val="20"/>
          <w:color w:val="auto"/>
        </w:rPr>
      </w:pPr>
      <w:r>
        <w:rPr>
          <w:rFonts w:ascii="Times New Roman" w:cs="Times New Roman" w:eastAsia="Times New Roman" w:hAnsi="Times New Roman"/>
          <w:sz w:val="14"/>
          <w:szCs w:val="14"/>
          <w:color w:val="auto"/>
        </w:rPr>
        <w:t xml:space="preserve">Notwithstanding the foregoing, Cash Equivalents shall include amounts denominated in currencies other than those set forth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amounts are converted into any currency listed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as promptly as practicable and in any event within ten Business Days following the receipt of such amounts.</w:t>
      </w:r>
    </w:p>
    <w:p>
      <w:pPr>
        <w:spacing w:after="0" w:line="142" w:lineRule="exact"/>
        <w:rPr>
          <w:sz w:val="20"/>
          <w:szCs w:val="20"/>
          <w:color w:val="auto"/>
        </w:rPr>
      </w:pPr>
    </w:p>
    <w:p>
      <w:pPr>
        <w:jc w:val="both"/>
        <w:ind w:left="1140" w:right="1299" w:firstLine="1033"/>
        <w:spacing w:after="0" w:line="275" w:lineRule="auto"/>
        <w:rPr>
          <w:sz w:val="20"/>
          <w:szCs w:val="20"/>
          <w:color w:val="auto"/>
        </w:rPr>
      </w:pPr>
      <w:r>
        <w:rPr>
          <w:rFonts w:ascii="Times New Roman" w:cs="Times New Roman" w:eastAsia="Times New Roman" w:hAnsi="Times New Roman"/>
          <w:sz w:val="14"/>
          <w:szCs w:val="14"/>
          <w:color w:val="auto"/>
        </w:rPr>
        <w:t>For the avoidance of doubt, any items identified as Cash Equivalents under this definition (other than Credit Card Receivables) will be deemed to be Cash Equivalents for all purposes under the Credit Documents regardless of the treatment of such items under GAAP.</w:t>
      </w:r>
    </w:p>
    <w:p>
      <w:pPr>
        <w:spacing w:after="0" w:line="133" w:lineRule="exact"/>
        <w:rPr>
          <w:sz w:val="20"/>
          <w:szCs w:val="20"/>
          <w:color w:val="auto"/>
        </w:rPr>
      </w:pPr>
    </w:p>
    <w:p>
      <w:pPr>
        <w:ind w:left="1140" w:right="14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Management Agreement</w:t>
      </w:r>
      <w:r>
        <w:rPr>
          <w:rFonts w:ascii="Times New Roman" w:cs="Times New Roman" w:eastAsia="Times New Roman" w:hAnsi="Times New Roman"/>
          <w:sz w:val="14"/>
          <w:szCs w:val="14"/>
          <w:color w:val="auto"/>
        </w:rPr>
        <w:t>” shall mean any agreement or arrangement to provide Cash Management Services.</w:t>
      </w:r>
    </w:p>
    <w:p>
      <w:pPr>
        <w:spacing w:after="0" w:line="119" w:lineRule="exact"/>
        <w:rPr>
          <w:sz w:val="20"/>
          <w:szCs w:val="20"/>
          <w:color w:val="auto"/>
        </w:rPr>
      </w:pPr>
    </w:p>
    <w:p>
      <w:pPr>
        <w:ind w:left="1140" w:right="11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Management Bank</w:t>
      </w:r>
      <w:r>
        <w:rPr>
          <w:rFonts w:ascii="Times New Roman" w:cs="Times New Roman" w:eastAsia="Times New Roman" w:hAnsi="Times New Roman"/>
          <w:sz w:val="14"/>
          <w:szCs w:val="14"/>
          <w:color w:val="auto"/>
        </w:rPr>
        <w:t>” shall mean (i) any Person that, at the time it enters into a Cash Management Agreement with the Borrower or any Restricted Subsidiary, is an Agent or a Lender or an Affiliate of an Agent or a Lender or (ii) any Person that is designated by the Borrower as a “Cash Management Bank” by written</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3" w:name="page94"/>
    <w:bookmarkEnd w:id="93"/>
    <w:p>
      <w:pPr>
        <w:ind w:left="1140" w:right="1199"/>
        <w:spacing w:after="0" w:line="293" w:lineRule="auto"/>
        <w:rPr>
          <w:sz w:val="20"/>
          <w:szCs w:val="20"/>
          <w:color w:val="auto"/>
        </w:rPr>
      </w:pPr>
      <w:r>
        <w:rPr>
          <w:rFonts w:ascii="Times New Roman" w:cs="Times New Roman" w:eastAsia="Times New Roman" w:hAnsi="Times New Roman"/>
          <w:sz w:val="14"/>
          <w:szCs w:val="14"/>
          <w:color w:val="auto"/>
        </w:rPr>
        <w:t xml:space="preserve">notice to the Administrative Agent substantially in the form of </w:t>
      </w:r>
      <w:r>
        <w:rPr>
          <w:rFonts w:ascii="Times New Roman" w:cs="Times New Roman" w:eastAsia="Times New Roman" w:hAnsi="Times New Roman"/>
          <w:sz w:val="14"/>
          <w:szCs w:val="14"/>
          <w:u w:val="single" w:color="auto"/>
          <w:color w:val="auto"/>
        </w:rPr>
        <w:t>Exhibit L-2</w:t>
      </w:r>
      <w:r>
        <w:rPr>
          <w:rFonts w:ascii="Times New Roman" w:cs="Times New Roman" w:eastAsia="Times New Roman" w:hAnsi="Times New Roman"/>
          <w:sz w:val="14"/>
          <w:szCs w:val="14"/>
          <w:color w:val="auto"/>
        </w:rPr>
        <w:t xml:space="preserve"> or such other form reasonably acceptable to the Administrative Agent.</w:t>
      </w:r>
    </w:p>
    <w:p>
      <w:pPr>
        <w:spacing w:after="0" w:line="12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 Management Services</w:t>
      </w:r>
      <w:r>
        <w:rPr>
          <w:rFonts w:ascii="Times New Roman" w:cs="Times New Roman" w:eastAsia="Times New Roman" w:hAnsi="Times New Roman"/>
          <w:sz w:val="14"/>
          <w:szCs w:val="14"/>
          <w:color w:val="auto"/>
        </w:rPr>
        <w:t>” shall mean any one or more of the following types of services or</w:t>
      </w:r>
    </w:p>
    <w:p>
      <w:pPr>
        <w:spacing w:after="0" w:line="27"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facilities: (i) commercial credit cards, merchant card services, purchase or debit cards, including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card</w:t>
      </w:r>
    </w:p>
    <w:p>
      <w:pPr>
        <w:spacing w:after="0" w:line="14"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payables services, or electronic funds transfer services, (ii) treasury management services (including controlled</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disbursement, overdraft automatic clearing house fund transfer services, return items, and interstate depository</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network services), (iii) any other demand deposit or operating account relationships or other cash management</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services, including pursuant to any Cash Management Agreements and (iv) and other services related, ancillary or</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complementary to the foregoing.</w:t>
      </w:r>
    </w:p>
    <w:p>
      <w:pPr>
        <w:spacing w:after="0" w:line="168" w:lineRule="exact"/>
        <w:rPr>
          <w:sz w:val="20"/>
          <w:szCs w:val="20"/>
          <w:color w:val="auto"/>
        </w:rPr>
      </w:pPr>
    </w:p>
    <w:p>
      <w:pPr>
        <w:ind w:left="1140" w:right="13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Cashless Option Lender</w:t>
      </w:r>
      <w:r>
        <w:rPr>
          <w:rFonts w:ascii="Times New Roman" w:cs="Times New Roman" w:eastAsia="Times New Roman" w:hAnsi="Times New Roman"/>
          <w:sz w:val="14"/>
          <w:szCs w:val="14"/>
          <w:color w:val="auto"/>
        </w:rPr>
        <w:t>” shall mean each Existing Term Loan Lender that has executed and delivered a Consent to Amendment No. 1 under the “Cashless Settlement Option.”</w:t>
      </w:r>
    </w:p>
    <w:p>
      <w:pPr>
        <w:spacing w:after="0" w:line="119" w:lineRule="exact"/>
        <w:rPr>
          <w:sz w:val="20"/>
          <w:szCs w:val="20"/>
          <w:color w:val="auto"/>
        </w:rPr>
      </w:pPr>
    </w:p>
    <w:p>
      <w:pPr>
        <w:ind w:left="1140" w:right="1159" w:firstLine="1069"/>
        <w:spacing w:after="0" w:line="276" w:lineRule="auto"/>
        <w:rPr>
          <w:sz w:val="20"/>
          <w:szCs w:val="20"/>
          <w:color w:val="auto"/>
        </w:rPr>
      </w:pP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b w:val="1"/>
          <w:bCs w:val="1"/>
          <w:color w:val="0000FF"/>
        </w:rPr>
        <w:t>Cashless Option Tranche B-1 Lender</w:t>
      </w:r>
      <w:r>
        <w:rPr>
          <w:rFonts w:ascii="Times New Roman" w:cs="Times New Roman" w:eastAsia="Times New Roman" w:hAnsi="Times New Roman"/>
          <w:sz w:val="14"/>
          <w:szCs w:val="14"/>
          <w:color w:val="0000FF"/>
        </w:rPr>
        <w:t xml:space="preserve">” shall mean each Existing Tranche B-1 Term Loan </w:t>
      </w:r>
      <w:r>
        <w:rPr>
          <w:rFonts w:ascii="Times New Roman" w:cs="Times New Roman" w:eastAsia="Times New Roman" w:hAnsi="Times New Roman"/>
          <w:sz w:val="14"/>
          <w:szCs w:val="14"/>
          <w:u w:val="single" w:color="auto"/>
          <w:color w:val="0000FF"/>
        </w:rPr>
        <w:t>Lender that has executed and delivered a Consent to Amendment No. 7 under the “Cashless Settlement Option” with respect to its Tranche B-1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-252730</wp:posOffset>
            </wp:positionV>
            <wp:extent cx="3397250" cy="698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6">
                      <a:extLst>
                        <a:ext uri="{28A0092B-C50C-407E-A947-70E740481C1C}"/>
                      </a:extLst>
                    </a:blip>
                    <a:srcRect/>
                    <a:stretch>
                      <a:fillRect/>
                    </a:stretch>
                  </pic:blipFill>
                  <pic:spPr bwMode="auto">
                    <a:xfrm>
                      <a:off x="0" y="0"/>
                      <a:ext cx="3397250" cy="6985"/>
                    </a:xfrm>
                    <a:prstGeom prst="rect">
                      <a:avLst/>
                    </a:prstGeom>
                    <a:noFill/>
                  </pic:spPr>
                </pic:pic>
              </a:graphicData>
            </a:graphic>
          </wp:anchor>
        </w:drawing>
      </w:r>
    </w:p>
    <w:p>
      <w:pPr>
        <w:spacing w:after="0" w:line="113" w:lineRule="exact"/>
        <w:rPr>
          <w:sz w:val="20"/>
          <w:szCs w:val="20"/>
          <w:color w:val="auto"/>
        </w:rPr>
      </w:pPr>
    </w:p>
    <w:p>
      <w:pPr>
        <w:ind w:left="1140" w:right="151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Cashless Option Tranche B-1/B-3 Lender</w:t>
      </w:r>
      <w:r>
        <w:rPr>
          <w:rFonts w:ascii="Times New Roman" w:cs="Times New Roman" w:eastAsia="Times New Roman" w:hAnsi="Times New Roman"/>
          <w:sz w:val="14"/>
          <w:szCs w:val="14"/>
          <w:u w:val="single" w:color="auto"/>
          <w:color w:val="0000FF"/>
        </w:rPr>
        <w:t>” shall mean each Cashless Option Tranche B-1 Lender and Cashless Option Tranche B-3 Lender, as applicable.</w:t>
      </w:r>
    </w:p>
    <w:p>
      <w:pPr>
        <w:spacing w:after="0" w:line="119" w:lineRule="exact"/>
        <w:rPr>
          <w:sz w:val="20"/>
          <w:szCs w:val="20"/>
          <w:color w:val="auto"/>
        </w:rPr>
      </w:pPr>
    </w:p>
    <w:p>
      <w:pPr>
        <w:jc w:val="both"/>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Cashless Option Tranche B-2 Lender</w:t>
      </w:r>
      <w:r>
        <w:rPr>
          <w:rFonts w:ascii="Times New Roman" w:cs="Times New Roman" w:eastAsia="Times New Roman" w:hAnsi="Times New Roman"/>
          <w:sz w:val="14"/>
          <w:szCs w:val="14"/>
          <w:color w:val="auto"/>
        </w:rPr>
        <w:t>” shall mean each Existing Tranche B-2 Term Loan Lender that has executed and delivered a Consent to Amendment No. 4 under the “Cashless Settlement Option.”</w:t>
      </w:r>
    </w:p>
    <w:p>
      <w:pPr>
        <w:spacing w:after="0" w:line="119" w:lineRule="exact"/>
        <w:rPr>
          <w:sz w:val="20"/>
          <w:szCs w:val="20"/>
          <w:color w:val="auto"/>
        </w:rPr>
      </w:pPr>
    </w:p>
    <w:p>
      <w:pPr>
        <w:jc w:val="both"/>
        <w:ind w:left="1140" w:right="1159" w:firstLine="517"/>
        <w:spacing w:after="0" w:line="27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Cashless Option Tranche B-3 Lender</w:t>
      </w:r>
      <w:r>
        <w:rPr>
          <w:rFonts w:ascii="Times New Roman" w:cs="Times New Roman" w:eastAsia="Times New Roman" w:hAnsi="Times New Roman"/>
          <w:sz w:val="14"/>
          <w:szCs w:val="14"/>
          <w:u w:val="single" w:color="auto"/>
          <w:color w:val="0000FF"/>
        </w:rPr>
        <w:t>” shall mean each Existing Tranche B-3 Term Loan Lender that has executed and delivered a Consent to Amendment No. 7 under the “Cashless Settlement Option” with respect to its Tranche B-3 Term Loans.</w:t>
      </w:r>
    </w:p>
    <w:p>
      <w:pPr>
        <w:spacing w:after="0" w:line="133" w:lineRule="exact"/>
        <w:rPr>
          <w:sz w:val="20"/>
          <w:szCs w:val="20"/>
          <w:color w:val="auto"/>
        </w:rPr>
      </w:pPr>
    </w:p>
    <w:p>
      <w:pPr>
        <w:ind w:left="1140" w:right="121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Casualty Event</w:t>
      </w:r>
      <w:r>
        <w:rPr>
          <w:rFonts w:ascii="Times New Roman" w:cs="Times New Roman" w:eastAsia="Times New Roman" w:hAnsi="Times New Roman"/>
          <w:sz w:val="14"/>
          <w:szCs w:val="14"/>
          <w:color w:val="auto"/>
        </w:rPr>
        <w:t xml:space="preserve">” shall mean, with respect to any property of any Person, any loss of or damage to, or any condemnation or other taking by a Governmental Authority of Collateral,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with respect to any Casualty Event, the Borrower shall not be obligated to make any prepayment otherwise required by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xml:space="preserve"> unless and until the aggregate amount of Net Cash Proceeds from all such Casualty Events, after giving effect to the reinvestment rights set forth herein, exceeds $50 million (the “</w:t>
      </w:r>
      <w:r>
        <w:rPr>
          <w:rFonts w:ascii="Times New Roman" w:cs="Times New Roman" w:eastAsia="Times New Roman" w:hAnsi="Times New Roman"/>
          <w:sz w:val="14"/>
          <w:szCs w:val="14"/>
          <w:b w:val="1"/>
          <w:bCs w:val="1"/>
          <w:color w:val="auto"/>
        </w:rPr>
        <w:t>Casualty Prepayment Trigger</w:t>
      </w:r>
      <w:r>
        <w:rPr>
          <w:rFonts w:ascii="Times New Roman" w:cs="Times New Roman" w:eastAsia="Times New Roman" w:hAnsi="Times New Roman"/>
          <w:sz w:val="14"/>
          <w:szCs w:val="14"/>
          <w:color w:val="auto"/>
        </w:rPr>
        <w:t>”) in any fiscal year of the Borrower, but then from all such Net Cash Proceeds (excluding amounts below the Casualty Prepayment Trigger).</w:t>
      </w:r>
    </w:p>
    <w:p>
      <w:pPr>
        <w:spacing w:after="0" w:line="146" w:lineRule="exact"/>
        <w:rPr>
          <w:sz w:val="20"/>
          <w:szCs w:val="20"/>
          <w:color w:val="auto"/>
        </w:rPr>
      </w:pPr>
    </w:p>
    <w:p>
      <w:pPr>
        <w:ind w:left="1140" w:right="13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Casualty Prepayment Trigger</w:t>
      </w:r>
      <w:r>
        <w:rPr>
          <w:rFonts w:ascii="Times New Roman" w:cs="Times New Roman" w:eastAsia="Times New Roman" w:hAnsi="Times New Roman"/>
          <w:sz w:val="14"/>
          <w:szCs w:val="14"/>
          <w:color w:val="auto"/>
        </w:rPr>
        <w:t>” shall have the meaning provided in the definition of the term “Casualty Event.”</w:t>
      </w:r>
    </w:p>
    <w:p>
      <w:pPr>
        <w:spacing w:after="0" w:line="119" w:lineRule="exact"/>
        <w:rPr>
          <w:sz w:val="20"/>
          <w:szCs w:val="20"/>
          <w:color w:val="auto"/>
        </w:rPr>
      </w:pPr>
    </w:p>
    <w:p>
      <w:pPr>
        <w:ind w:left="1140" w:right="14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CFC</w:t>
      </w:r>
      <w:r>
        <w:rPr>
          <w:rFonts w:ascii="Times New Roman" w:cs="Times New Roman" w:eastAsia="Times New Roman" w:hAnsi="Times New Roman"/>
          <w:sz w:val="14"/>
          <w:szCs w:val="14"/>
          <w:color w:val="auto"/>
        </w:rPr>
        <w:t>” shall mean a direct or indirect Subsidiary of the Borrower that is a “controlled foreign corporation” within the meaning of Section 957 of the Code.</w:t>
      </w:r>
    </w:p>
    <w:p>
      <w:pPr>
        <w:spacing w:after="0" w:line="119" w:lineRule="exact"/>
        <w:rPr>
          <w:sz w:val="20"/>
          <w:szCs w:val="20"/>
          <w:color w:val="auto"/>
        </w:rPr>
      </w:pPr>
    </w:p>
    <w:p>
      <w:pPr>
        <w:ind w:left="1140" w:right="14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CFC Holding Company</w:t>
      </w:r>
      <w:r>
        <w:rPr>
          <w:rFonts w:ascii="Times New Roman" w:cs="Times New Roman" w:eastAsia="Times New Roman" w:hAnsi="Times New Roman"/>
          <w:sz w:val="14"/>
          <w:szCs w:val="14"/>
          <w:color w:val="auto"/>
        </w:rPr>
        <w:t>” shall mean a direct or indirect Subsidiary of the Borrower substantially all of the assets of which consist of Capital Stock, Stock Equivalents and/or Indebtedness of one or more direct or indirect Foreign Subsidiaries that are CFCs.</w:t>
      </w:r>
    </w:p>
    <w:p>
      <w:pPr>
        <w:spacing w:after="0" w:line="133" w:lineRule="exact"/>
        <w:rPr>
          <w:sz w:val="20"/>
          <w:szCs w:val="20"/>
          <w:color w:val="auto"/>
        </w:rPr>
      </w:pPr>
    </w:p>
    <w:p>
      <w:pPr>
        <w:ind w:left="1140" w:right="123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in Law</w:t>
      </w:r>
      <w:r>
        <w:rPr>
          <w:rFonts w:ascii="Times New Roman" w:cs="Times New Roman" w:eastAsia="Times New Roman" w:hAnsi="Times New Roman"/>
          <w:sz w:val="14"/>
          <w:szCs w:val="14"/>
          <w:color w:val="auto"/>
        </w:rPr>
        <w:t>” shall mean (i) the adoption of any law, treaty, order, policy, rule, or regulation after the Closing Date, (ii) any change in any law, treaty, order, policy, rule, or regulation or in the interpretation or application thereof by any Governmental Authority after the Closing Date or (iii) compliance by any Lender, Letter of Credit Issuer, L/C Participant or Swingline Lender with any guideline, request, directive, or order issued or made after the Closing Date (or, in the case of any 2020 Letter of Credit Issuer or 2020 L/C Participant, the Amendment No. 2 Effective Date) by any central bank or other governmental or quasi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governmental authority (whether or not having the force of law), including, for avoidance of doubt, any such adoption, change or compliance in respect of</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4" w:name="page95"/>
    <w:bookmarkEnd w:id="94"/>
    <w:p>
      <w:pPr>
        <w:ind w:left="1140" w:right="1199" w:firstLine="7"/>
        <w:spacing w:after="0" w:line="182" w:lineRule="exact"/>
        <w:tabs>
          <w:tab w:leader="none" w:pos="1335"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Dodd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 in each case, after the Closing Date.</w:t>
      </w:r>
    </w:p>
    <w:p>
      <w:pPr>
        <w:spacing w:after="0" w:line="157" w:lineRule="exact"/>
        <w:rPr>
          <w:sz w:val="20"/>
          <w:szCs w:val="20"/>
          <w:color w:val="auto"/>
        </w:rPr>
      </w:pPr>
    </w:p>
    <w:p>
      <w:pPr>
        <w:ind w:left="1140" w:right="1159" w:firstLine="103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xml:space="preserve">” shall mean and be deemed to have occurred if (i) at any time prior to an IPO, the Permitted Holders shall at any time not own, in the aggregate, directly or indirectly, beneficially and of record, at least 35% of the voting power of the outstanding Voting Stock of the Borrower; (ii) at any time after an IPO, any Person, entity, or “group” (within the meaning of Section 13(d) or 14(d) of the Securities Exchange Act), other than the Permitted Holders, shall at any time have acquired direct or indirect beneficial ownership of a percentage of the voting power of the outstanding Voting Stock of the Borrower that exceeds 35% thereof, unless, in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the Permitted Holders have, at such time, the right or the ability by voting power, contract, or otherwise to elect or designate for election at least a majority of the board of directors of Holdings; (iii) at any time, a Change of Control (as defined in the Second Lien Credit Agreement) shall have occurred; or (iv) at any time prior to an IPO, Holdings shall cease to beneficially own, directly or indirectly, 100% of the issued and outstanding equity interests of the Borrower. For the purpose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at any time when a majority of the outstanding Voting Stock of the Borrower is directly or indirectly owned by a Parent Entity or, if applicable, a Parent Entity acts as the manager, managing member or general partner of the Borrower, references in this definition to “Borrower” shall be deemed to refer to the ultimate Parent Entity that directly or indirectly owns such Voting Stock or acts as (or, if applicable, is a Parent Entity that directly or indirectly owns a majority of the outstanding Voting Stock of) such manager, managing member or general partner. For purposes of this definition, (a) “beneficial ownership” shall be as defined in Rules 13(d)-3 and 13(d)-5 under the Securities Exchange Act, (b) the phrase Person or “group” is within the meaning of Section 13(d) or 14(d) of the Securities Exchange Act, but excluding any employee benefit plan of such Person or “group” and its subsidiaries and any Person acting in its capacity as trustee, agent or other fiduciary or administrator of any such plan, (c) if any Person or “group” includes one or more Permitted Holders, the issued and outstanding Equity Interests of the Borrower, the IPO Entity or the Borrower, as applicable, directly or indirectly owned by the Permitted Holders that are part of such Person or “group” shall not be treated as being owned by such Person or “group” for purposes of determining whether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of this definition is triggered and (d)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148" w:lineRule="exact"/>
        <w:rPr>
          <w:sz w:val="20"/>
          <w:szCs w:val="20"/>
          <w:color w:val="auto"/>
        </w:rPr>
      </w:pPr>
    </w:p>
    <w:p>
      <w:pPr>
        <w:ind w:left="1140" w:right="119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4"/>
          <w:szCs w:val="14"/>
          <w:color w:val="auto"/>
        </w:rPr>
        <w:t>” (i) when used in reference to any Loan or Borrowing, shall refer to whether such Loan, or the Loans comprising such Borrowing, are Revolving Credit Loans, Additional Revolving Credit Loans, New Revolving Credit Loans, Extended Revolving Credit Loans (of the same Extension Series), Tranche B</w:t>
      </w:r>
      <w:r>
        <w:rPr>
          <w:rFonts w:ascii="Times New Roman" w:cs="Times New Roman" w:eastAsia="Times New Roman" w:hAnsi="Times New Roman"/>
          <w:sz w:val="14"/>
          <w:szCs w:val="14"/>
          <w:color w:val="FF0000"/>
          <w:strike w:val="1"/>
        </w:rPr>
        <w:t>-1 Term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Loans,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 Loans, New Term Loans (of each Series), Extended Term Loans (of the same Extension</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Series) or Replacement Term Loans (of the same Series) and (ii) when used in reference to any Commitment, refers to whether such Commitment is a Revolving Credit Commitment, a 2020 Letter of Credit Commitment, an Additional Revolving Credit Commitment, a New Revolving Credit Commitment, an Extended Revolving Credit Commitment (of the same Extension Series), a Tranche B</w:t>
      </w:r>
      <w:r>
        <w:rPr>
          <w:rFonts w:ascii="Times New Roman" w:cs="Times New Roman" w:eastAsia="Times New Roman" w:hAnsi="Times New Roman"/>
          <w:sz w:val="14"/>
          <w:szCs w:val="14"/>
          <w:color w:val="FF0000"/>
          <w:strike w:val="1"/>
        </w:rPr>
        <w:t>-1 Term Loan Commitment, a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 Commitment or a New Term Loan Commitment. </w:t>
      </w:r>
      <w:r>
        <w:rPr>
          <w:rFonts w:ascii="Times New Roman" w:cs="Times New Roman" w:eastAsia="Times New Roman" w:hAnsi="Times New Roman"/>
          <w:sz w:val="14"/>
          <w:szCs w:val="14"/>
          <w:color w:val="008000"/>
          <w:strike w:val="1"/>
        </w:rPr>
        <w:t>For the avoidance of doubt, the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FF0000"/>
          <w:strike w:val="1"/>
        </w:rPr>
        <w:t>Initial Tranche B-3 Term Loans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FF0000"/>
          <w:strike w:val="1"/>
        </w:rPr>
        <w:t>and the Amendment No. 5 Incremental Term Loans shall constitute, and shall be treated as, forming parts of the same Class of “Tranche B-3 Term Loans” under the Credit Documents.</w:t>
      </w:r>
    </w:p>
    <w:p>
      <w:pPr>
        <w:spacing w:after="0" w:line="14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w:t>
      </w:r>
      <w:r>
        <w:rPr>
          <w:rFonts w:ascii="Times New Roman" w:cs="Times New Roman" w:eastAsia="Times New Roman" w:hAnsi="Times New Roman"/>
          <w:sz w:val="14"/>
          <w:szCs w:val="14"/>
          <w:color w:val="auto"/>
        </w:rPr>
        <w:t>” shall mean March 5, 2019.</w:t>
      </w:r>
    </w:p>
    <w:p>
      <w:pPr>
        <w:spacing w:after="0" w:line="183" w:lineRule="exact"/>
        <w:rPr>
          <w:sz w:val="20"/>
          <w:szCs w:val="20"/>
          <w:color w:val="auto"/>
        </w:rPr>
      </w:pPr>
    </w:p>
    <w:p>
      <w:pPr>
        <w:ind w:left="1140" w:right="13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Closing Date Refinancing</w:t>
      </w:r>
      <w:r>
        <w:rPr>
          <w:rFonts w:ascii="Times New Roman" w:cs="Times New Roman" w:eastAsia="Times New Roman" w:hAnsi="Times New Roman"/>
          <w:sz w:val="14"/>
          <w:szCs w:val="14"/>
          <w:color w:val="auto"/>
        </w:rPr>
        <w:t>” shall mean the repayment, repurchase, redemption, defeasance or other discharge of the Existing Debt Facilities and the termination and/or release of any security interests and guarantees in connection therewith.</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Code</w:t>
      </w:r>
      <w:r>
        <w:rPr>
          <w:rFonts w:ascii="Times New Roman" w:cs="Times New Roman" w:eastAsia="Times New Roman" w:hAnsi="Times New Roman"/>
          <w:sz w:val="14"/>
          <w:szCs w:val="14"/>
          <w:color w:val="auto"/>
        </w:rPr>
        <w:t>” shall mean the Internal Revenue Code of 1986, as amended from time to time.</w:t>
      </w:r>
    </w:p>
    <w:p>
      <w:pPr>
        <w:spacing w:after="0" w:line="183" w:lineRule="exact"/>
        <w:rPr>
          <w:sz w:val="20"/>
          <w:szCs w:val="20"/>
          <w:color w:val="auto"/>
        </w:rPr>
      </w:pPr>
    </w:p>
    <w:p>
      <w:pPr>
        <w:ind w:left="1140" w:right="17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Collateral</w:t>
      </w:r>
      <w:r>
        <w:rPr>
          <w:rFonts w:ascii="Times New Roman" w:cs="Times New Roman" w:eastAsia="Times New Roman" w:hAnsi="Times New Roman"/>
          <w:sz w:val="14"/>
          <w:szCs w:val="14"/>
          <w:color w:val="auto"/>
        </w:rPr>
        <w:t>” shall mean all property pledged or mortgaged or purported to be pledged or mortgaged pursuant to the Security Documents, excluding in all events Excluded Property.</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95" w:name="page96"/>
    <w:bookmarkEnd w:id="95"/>
    <w:p>
      <w:pPr>
        <w:ind w:left="1140" w:right="11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Collateral Agent</w:t>
      </w:r>
      <w:r>
        <w:rPr>
          <w:rFonts w:ascii="Times New Roman" w:cs="Times New Roman" w:eastAsia="Times New Roman" w:hAnsi="Times New Roman"/>
          <w:sz w:val="14"/>
          <w:szCs w:val="14"/>
          <w:color w:val="auto"/>
        </w:rPr>
        <w:t xml:space="preserve">” shall mean MSSF , as collateral agent under the Security Documents, or any successor collateral agent pursuant to </w:t>
      </w:r>
      <w:r>
        <w:rPr>
          <w:rFonts w:ascii="Times New Roman" w:cs="Times New Roman" w:eastAsia="Times New Roman" w:hAnsi="Times New Roman"/>
          <w:sz w:val="14"/>
          <w:szCs w:val="14"/>
          <w:u w:val="single" w:color="auto"/>
          <w:color w:val="auto"/>
        </w:rPr>
        <w:t>Section 12.9</w:t>
      </w:r>
      <w:r>
        <w:rPr>
          <w:rFonts w:ascii="Times New Roman" w:cs="Times New Roman" w:eastAsia="Times New Roman" w:hAnsi="Times New Roman"/>
          <w:sz w:val="14"/>
          <w:szCs w:val="14"/>
          <w:color w:val="auto"/>
        </w:rPr>
        <w:t>, and any Affiliate or designee of MSSF, may act as the Collateral Agent under any Credit Document.</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Commitment Fee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4.1(a)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Commitment Fee Rate</w:t>
      </w:r>
      <w:r>
        <w:rPr>
          <w:rFonts w:ascii="Times New Roman" w:cs="Times New Roman" w:eastAsia="Times New Roman" w:hAnsi="Times New Roman"/>
          <w:sz w:val="14"/>
          <w:szCs w:val="14"/>
          <w:color w:val="auto"/>
        </w:rPr>
        <w:t>” shall mean:</w:t>
      </w:r>
    </w:p>
    <w:p>
      <w:pPr>
        <w:spacing w:after="0" w:line="185" w:lineRule="exact"/>
        <w:rPr>
          <w:sz w:val="20"/>
          <w:szCs w:val="20"/>
          <w:color w:val="auto"/>
        </w:rPr>
      </w:pPr>
    </w:p>
    <w:p>
      <w:pPr>
        <w:ind w:left="1140" w:right="1319" w:firstLine="1040"/>
        <w:spacing w:after="0" w:line="275" w:lineRule="auto"/>
        <w:tabs>
          <w:tab w:leader="none" w:pos="236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until delivery of financial statements and a related Compliance Certificate for the first full fiscal quarter commencing on or after the Closing Date pursuant to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a rate per annum equal to 0.500%; and</w:t>
      </w:r>
    </w:p>
    <w:p>
      <w:pPr>
        <w:spacing w:after="0" w:line="135" w:lineRule="exact"/>
        <w:rPr>
          <w:rFonts w:ascii="Times New Roman" w:cs="Times New Roman" w:eastAsia="Times New Roman" w:hAnsi="Times New Roman"/>
          <w:sz w:val="14"/>
          <w:szCs w:val="14"/>
          <w:color w:val="auto"/>
        </w:rPr>
      </w:pPr>
    </w:p>
    <w:p>
      <w:pPr>
        <w:ind w:left="1140" w:right="1239" w:firstLine="1040"/>
        <w:spacing w:after="0" w:line="275" w:lineRule="auto"/>
        <w:tabs>
          <w:tab w:leader="none" w:pos="237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thereafter, the percentages per annum set forth in the table below based upon the Consolidated First Lien Secured Debt to Consolidated EBITDA Ratio as set forth in the most recent Compliance Certificate received by the Administrative Agent pursuant to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w:t>
      </w:r>
    </w:p>
    <w:p>
      <w:pPr>
        <w:spacing w:after="0" w:line="125" w:lineRule="exact"/>
        <w:rPr>
          <w:sz w:val="20"/>
          <w:szCs w:val="20"/>
          <w:color w:val="auto"/>
        </w:rPr>
      </w:pPr>
    </w:p>
    <w:tbl>
      <w:tblPr>
        <w:tblLayout w:type="fixed"/>
        <w:tblInd w:w="2330" w:type="dxa"/>
        <w:tblCellMar>
          <w:top w:w="0" w:type="dxa"/>
          <w:left w:w="0" w:type="dxa"/>
          <w:bottom w:w="0" w:type="dxa"/>
          <w:right w:w="0" w:type="dxa"/>
        </w:tblCellMar>
      </w:tblPr>
      <w:tr>
        <w:trPr>
          <w:trHeight w:val="182"/>
        </w:trPr>
        <w:tc>
          <w:tcPr>
            <w:tcW w:w="1420" w:type="dxa"/>
            <w:vAlign w:val="bottom"/>
            <w:tcBorders>
              <w:top w:val="single" w:sz="8" w:color="auto"/>
              <w:left w:val="single" w:sz="8" w:color="auto"/>
              <w:right w:val="single" w:sz="8" w:color="auto"/>
            </w:tcBorders>
          </w:tcPr>
          <w:p>
            <w:pPr>
              <w:spacing w:after="0"/>
              <w:rPr>
                <w:sz w:val="15"/>
                <w:szCs w:val="15"/>
                <w:color w:val="auto"/>
              </w:rPr>
            </w:pPr>
          </w:p>
        </w:tc>
        <w:tc>
          <w:tcPr>
            <w:tcW w:w="1400" w:type="dxa"/>
            <w:vAlign w:val="bottom"/>
            <w:tcBorders>
              <w:top w:val="single" w:sz="8" w:color="auto"/>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Consolidated First</w:t>
            </w:r>
          </w:p>
        </w:tc>
        <w:tc>
          <w:tcPr>
            <w:tcW w:w="156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right w:val="single" w:sz="8" w:color="auto"/>
            </w:tcBorders>
          </w:tcPr>
          <w:p>
            <w:pPr>
              <w:spacing w:after="0"/>
              <w:rPr>
                <w:sz w:val="14"/>
                <w:szCs w:val="14"/>
                <w:color w:val="auto"/>
              </w:rPr>
            </w:pPr>
          </w:p>
        </w:tc>
        <w:tc>
          <w:tcPr>
            <w:tcW w:w="1400" w:type="dxa"/>
            <w:vAlign w:val="bottom"/>
            <w:tcBorders>
              <w:right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Lien Secured Debt</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w:t>
            </w:r>
          </w:p>
        </w:tc>
        <w:tc>
          <w:tcPr>
            <w:tcW w:w="140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Consolidated</w:t>
            </w:r>
          </w:p>
        </w:tc>
        <w:tc>
          <w:tcPr>
            <w:tcW w:w="15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400" w:type="dxa"/>
            <w:vAlign w:val="bottom"/>
            <w:tcBorders>
              <w:bottom w:val="single" w:sz="8" w:color="auto"/>
              <w:right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EBITDA Ratio</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Commitment Fee Rate</w:t>
            </w:r>
          </w:p>
        </w:tc>
        <w:tc>
          <w:tcPr>
            <w:tcW w:w="0" w:type="dxa"/>
            <w:vAlign w:val="bottom"/>
          </w:tcPr>
          <w:p>
            <w:pPr>
              <w:spacing w:after="0"/>
              <w:rPr>
                <w:sz w:val="1"/>
                <w:szCs w:val="1"/>
                <w:color w:val="auto"/>
              </w:rPr>
            </w:pPr>
          </w:p>
        </w:tc>
      </w:tr>
      <w:tr>
        <w:trPr>
          <w:trHeight w:val="172"/>
        </w:trPr>
        <w:tc>
          <w:tcPr>
            <w:tcW w:w="14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4"/>
              </w:rPr>
              <w:t>I</w:t>
            </w:r>
          </w:p>
        </w:tc>
        <w:tc>
          <w:tcPr>
            <w:tcW w:w="1400" w:type="dxa"/>
            <w:vAlign w:val="bottom"/>
            <w:tcBorders>
              <w:right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4"/>
                <w:szCs w:val="14"/>
                <w:color w:val="auto"/>
              </w:rPr>
              <w:t>&gt; 4.00:1.00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0.500%</w:t>
            </w: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5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14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II</w:t>
            </w:r>
          </w:p>
        </w:tc>
        <w:tc>
          <w:tcPr>
            <w:tcW w:w="220" w:type="dxa"/>
            <w:vAlign w:val="bottom"/>
          </w:tcPr>
          <w:p>
            <w:pPr>
              <w:spacing w:after="0"/>
              <w:rPr>
                <w:sz w:val="12"/>
                <w:szCs w:val="12"/>
                <w:color w:val="auto"/>
              </w:rPr>
            </w:pPr>
          </w:p>
        </w:tc>
        <w:tc>
          <w:tcPr>
            <w:tcW w:w="1180" w:type="dxa"/>
            <w:vAlign w:val="bottom"/>
            <w:tcBorders>
              <w:right w:val="single" w:sz="8" w:color="auto"/>
            </w:tcBorders>
            <w:gridSpan w:val="4"/>
          </w:tcPr>
          <w:p>
            <w:pPr>
              <w:jc w:val="center"/>
              <w:ind w:right="320"/>
              <w:spacing w:after="0" w:line="141" w:lineRule="exact"/>
              <w:rPr>
                <w:sz w:val="20"/>
                <w:szCs w:val="20"/>
                <w:color w:val="auto"/>
              </w:rPr>
            </w:pPr>
            <w:r>
              <w:rPr>
                <w:rFonts w:ascii="Times New Roman" w:cs="Times New Roman" w:eastAsia="Times New Roman" w:hAnsi="Times New Roman"/>
                <w:sz w:val="14"/>
                <w:szCs w:val="14"/>
                <w:color w:val="auto"/>
              </w:rPr>
              <w:t>&lt; 4.00:1.00 but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0.375%</w:t>
            </w:r>
          </w:p>
        </w:tc>
        <w:tc>
          <w:tcPr>
            <w:tcW w:w="0" w:type="dxa"/>
            <w:vAlign w:val="bottom"/>
          </w:tcPr>
          <w:p>
            <w:pPr>
              <w:spacing w:after="0"/>
              <w:rPr>
                <w:sz w:val="1"/>
                <w:szCs w:val="1"/>
                <w:color w:val="auto"/>
              </w:rPr>
            </w:pPr>
          </w:p>
        </w:tc>
      </w:tr>
      <w:tr>
        <w:trPr>
          <w:trHeight w:val="97"/>
        </w:trPr>
        <w:tc>
          <w:tcPr>
            <w:tcW w:w="1420" w:type="dxa"/>
            <w:vAlign w:val="bottom"/>
            <w:tcBorders>
              <w:left w:val="single" w:sz="8" w:color="auto"/>
              <w:right w:val="single" w:sz="8" w:color="auto"/>
            </w:tcBorders>
            <w:vMerge w:val="continue"/>
          </w:tcPr>
          <w:p>
            <w:pPr>
              <w:spacing w:after="0"/>
              <w:rPr>
                <w:sz w:val="8"/>
                <w:szCs w:val="8"/>
                <w:color w:val="auto"/>
              </w:rPr>
            </w:pPr>
          </w:p>
        </w:tc>
        <w:tc>
          <w:tcPr>
            <w:tcW w:w="220" w:type="dxa"/>
            <w:vAlign w:val="bottom"/>
            <w:vMerge w:val="restart"/>
          </w:tcPr>
          <w:p>
            <w:pPr>
              <w:spacing w:after="0"/>
              <w:rPr>
                <w:sz w:val="8"/>
                <w:szCs w:val="8"/>
                <w:color w:val="auto"/>
              </w:rPr>
            </w:pPr>
          </w:p>
        </w:tc>
        <w:tc>
          <w:tcPr>
            <w:tcW w:w="80" w:type="dxa"/>
            <w:vAlign w:val="bottom"/>
            <w:tcBorders>
              <w:top w:val="single" w:sz="8" w:color="auto"/>
            </w:tcBorders>
            <w:vMerge w:val="restart"/>
          </w:tcPr>
          <w:p>
            <w:pPr>
              <w:spacing w:after="0"/>
              <w:rPr>
                <w:sz w:val="8"/>
                <w:szCs w:val="8"/>
                <w:color w:val="auto"/>
              </w:rPr>
            </w:pPr>
          </w:p>
        </w:tc>
        <w:tc>
          <w:tcPr>
            <w:tcW w:w="1100" w:type="dxa"/>
            <w:vAlign w:val="bottom"/>
            <w:tcBorders>
              <w:right w:val="single" w:sz="8" w:color="auto"/>
            </w:tcBorders>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color w:val="auto"/>
              </w:rPr>
              <w:t>&gt; 3.50:1.00</w:t>
            </w:r>
          </w:p>
        </w:tc>
        <w:tc>
          <w:tcPr>
            <w:tcW w:w="15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1420" w:type="dxa"/>
            <w:vAlign w:val="bottom"/>
            <w:tcBorders>
              <w:left w:val="single" w:sz="8" w:color="auto"/>
              <w:bottom w:val="single" w:sz="8" w:color="auto"/>
              <w:right w:val="single" w:sz="8" w:color="auto"/>
            </w:tcBorders>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right w:val="single" w:sz="8" w:color="auto"/>
            </w:tcBorders>
            <w:gridSpan w:val="3"/>
            <w:vMerge w:val="continue"/>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420" w:type="dxa"/>
            <w:vAlign w:val="bottom"/>
            <w:tcBorders>
              <w:left w:val="single" w:sz="8" w:color="auto"/>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w w:val="99"/>
              </w:rPr>
              <w:t>III</w:t>
            </w:r>
          </w:p>
        </w:tc>
        <w:tc>
          <w:tcPr>
            <w:tcW w:w="1400" w:type="dxa"/>
            <w:vAlign w:val="bottom"/>
            <w:tcBorders>
              <w:right w:val="single" w:sz="8" w:color="auto"/>
            </w:tcBorders>
            <w:gridSpan w:val="5"/>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&lt; 3.50:1.00</w:t>
            </w:r>
          </w:p>
        </w:tc>
        <w:tc>
          <w:tcPr>
            <w:tcW w:w="1560" w:type="dxa"/>
            <w:vAlign w:val="bottom"/>
            <w:tcBorders>
              <w:right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color w:val="auto"/>
              </w:rPr>
              <w:t>0.250%</w:t>
            </w:r>
          </w:p>
        </w:tc>
        <w:tc>
          <w:tcPr>
            <w:tcW w:w="0" w:type="dxa"/>
            <w:vAlign w:val="bottom"/>
          </w:tcPr>
          <w:p>
            <w:pPr>
              <w:spacing w:after="0"/>
              <w:rPr>
                <w:sz w:val="1"/>
                <w:szCs w:val="1"/>
                <w:color w:val="auto"/>
              </w:rPr>
            </w:pP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1140" w:right="1159" w:firstLine="1033"/>
        <w:spacing w:after="0" w:line="275" w:lineRule="auto"/>
        <w:rPr>
          <w:sz w:val="20"/>
          <w:szCs w:val="20"/>
          <w:color w:val="auto"/>
        </w:rPr>
      </w:pPr>
      <w:r>
        <w:rPr>
          <w:rFonts w:ascii="Times New Roman" w:cs="Times New Roman" w:eastAsia="Times New Roman" w:hAnsi="Times New Roman"/>
          <w:sz w:val="14"/>
          <w:szCs w:val="14"/>
          <w:color w:val="auto"/>
        </w:rPr>
        <w:t xml:space="preserve">Any increase or decrease in the Commitment Fee Rate resulting from a change in the Consolidated First Lien Secured Debt to Consolidated EBITDA Ratio shall become effective as of the first Business Day immediately following the date a Compliance Certificate is delivered pursuant to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140" w:right="1179" w:firstLine="1033"/>
        <w:spacing w:after="0" w:line="262" w:lineRule="auto"/>
        <w:rPr>
          <w:sz w:val="20"/>
          <w:szCs w:val="20"/>
          <w:color w:val="auto"/>
        </w:rPr>
      </w:pPr>
      <w:r>
        <w:rPr>
          <w:rFonts w:ascii="Times New Roman" w:cs="Times New Roman" w:eastAsia="Times New Roman" w:hAnsi="Times New Roman"/>
          <w:sz w:val="14"/>
          <w:szCs w:val="14"/>
          <w:color w:val="auto"/>
        </w:rPr>
        <w:t>Notwithstanding the foregoing, (a) the Commitment Fee Rate in respect of any Class of Extended Revolving Credit Commitments or any Extended Revolving Credit Loans shall be the applicable percentages per annum set forth in the relevant Extension Amendment, (b) the Commitment Fee Rate in respect of any Class of Additional Revolving Credit Commitments, any Additional Revolving Credit Loans or any Incremental Loans shall be the applicable percentages per annum set forth in the relevant Joinder Agreement and (c) the Commitment Fee Rate in respect of any Class of Refinancing Indebtedness that would constitute Revolving Credit Commitments shall be the applicable percentages per annum set forth in the relevant agreement.</w:t>
      </w:r>
    </w:p>
    <w:p>
      <w:pPr>
        <w:spacing w:after="0" w:line="147" w:lineRule="exact"/>
        <w:rPr>
          <w:sz w:val="20"/>
          <w:szCs w:val="20"/>
          <w:color w:val="auto"/>
        </w:rPr>
      </w:pPr>
    </w:p>
    <w:p>
      <w:pPr>
        <w:ind w:left="1140" w:right="1179" w:firstLine="1033"/>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anything to the contrary contained above in this definition or elsewhere in this Agreement, if it is subsequently determined that the Consolidated First Lien Secured Debt to Consolidated EBITDA Ratio set forth in any Compliance Certificate delivered to the Administrative Agent is inaccurate for any reason and the result thereof is that the Lenders received interest or fees for any period based on an Commitment Fee Rate that is less than that which would have been applicable had the Consolidated First Lien Secured Debt to Consolidated EBITDA Ratio been accurately determined, then, for all purposes of this Agreement, the Commitment Fee Rate for any day occurring within the period covered by such Compliance Certificate shall retroactively be deemed to be the relevant percentage as based upon the accurately determined Consolidated First Lien Secured Debt to Consolidated EBITDA Ratio for such period and any shortfall in the interest or fees theretofore paid by any Borrower for the relevant period as a result of the miscalculation of the Consolidated First Lien Secured Debt to Consolidated EBITDA Ratio shall be deemed to be (and shall be) due and payable at the time the interest or fees for such period were required to be paid;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so long as an Event of Default described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at the option of the Required Revolving Credit Lenders, at any time during which the Borrower shall have failed to deliver any of the Section 9.1 Financials by the applicable date required under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then the Consolidated</w:t>
      </w:r>
    </w:p>
    <w:p>
      <w:pPr>
        <w:spacing w:after="0" w:line="2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96" w:name="page97"/>
    <w:bookmarkEnd w:id="96"/>
    <w:p>
      <w:pPr>
        <w:ind w:left="1140" w:right="1219"/>
        <w:spacing w:after="0" w:line="268" w:lineRule="auto"/>
        <w:rPr>
          <w:sz w:val="20"/>
          <w:szCs w:val="20"/>
          <w:color w:val="auto"/>
        </w:rPr>
      </w:pPr>
      <w:r>
        <w:rPr>
          <w:rFonts w:ascii="Times New Roman" w:cs="Times New Roman" w:eastAsia="Times New Roman" w:hAnsi="Times New Roman"/>
          <w:sz w:val="14"/>
          <w:szCs w:val="14"/>
          <w:color w:val="auto"/>
        </w:rPr>
        <w:t>First Lien Secured Debt to Consolidated EBITDA Ratio shall be deemed to be in Pricing Level I for the purposes of determining the Commitment Fee Rate (but only for so long as such failure continues, after which such ratio and Pricing Level and shall be determined based on the then existing Consolidated First Lien Secured Debt to Consolidated EBITDA Ratio).</w:t>
      </w:r>
    </w:p>
    <w:p>
      <w:pPr>
        <w:spacing w:after="0" w:line="140" w:lineRule="exact"/>
        <w:rPr>
          <w:sz w:val="20"/>
          <w:szCs w:val="20"/>
          <w:color w:val="auto"/>
        </w:rPr>
      </w:pPr>
    </w:p>
    <w:p>
      <w:pPr>
        <w:ind w:left="1140" w:right="119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Commitments</w:t>
      </w:r>
      <w:r>
        <w:rPr>
          <w:rFonts w:ascii="Times New Roman" w:cs="Times New Roman" w:eastAsia="Times New Roman" w:hAnsi="Times New Roman"/>
          <w:sz w:val="14"/>
          <w:szCs w:val="14"/>
          <w:color w:val="auto"/>
        </w:rPr>
        <w:t>” shall mean, with respect to each Lender (to the extent applicable), such Lender’s Tranche B</w:t>
      </w:r>
      <w:r>
        <w:rPr>
          <w:rFonts w:ascii="Times New Roman" w:cs="Times New Roman" w:eastAsia="Times New Roman" w:hAnsi="Times New Roman"/>
          <w:sz w:val="14"/>
          <w:szCs w:val="14"/>
          <w:color w:val="FF0000"/>
          <w:strike w:val="1"/>
        </w:rPr>
        <w:t>-1 Term Loan Commitment,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 Commitment, New Term Loan Commitment, Revolving Credit Commitment, New Revolving Credit Commitment, Extended Revolving Credit Commitment, Additional Revolving Credit Commitment, 2020 Letter of Credit Commitment or Incremental Revolving Credit Commitment.</w:t>
      </w:r>
    </w:p>
    <w:p>
      <w:pPr>
        <w:spacing w:after="0" w:line="141"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Commodity Exchange Act</w:t>
      </w:r>
      <w:r>
        <w:rPr>
          <w:rFonts w:ascii="Times New Roman" w:cs="Times New Roman" w:eastAsia="Times New Roman" w:hAnsi="Times New Roman"/>
          <w:sz w:val="14"/>
          <w:szCs w:val="14"/>
          <w:color w:val="auto"/>
        </w:rPr>
        <w:t>” shall mean the Commodity Exchange Act (7 U.S.C. § 1 et seq.), as amended from time to time, and any successor statute.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Communications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13.17</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shall have the meanings provided in the recitals.</w:t>
      </w:r>
    </w:p>
    <w:p>
      <w:pPr>
        <w:spacing w:after="0" w:line="183" w:lineRule="exact"/>
        <w:rPr>
          <w:sz w:val="20"/>
          <w:szCs w:val="20"/>
          <w:color w:val="auto"/>
        </w:rPr>
      </w:pPr>
    </w:p>
    <w:p>
      <w:pPr>
        <w:ind w:left="1140" w:right="14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Material Adverse Effect</w:t>
      </w:r>
      <w:r>
        <w:rPr>
          <w:rFonts w:ascii="Times New Roman" w:cs="Times New Roman" w:eastAsia="Times New Roman" w:hAnsi="Times New Roman"/>
          <w:sz w:val="14"/>
          <w:szCs w:val="14"/>
          <w:color w:val="auto"/>
        </w:rPr>
        <w:t>” shall have the meaning provided to the term “Material Adverse Effect” in the Acquisition Agreement.</w:t>
      </w:r>
    </w:p>
    <w:p>
      <w:pPr>
        <w:spacing w:after="0" w:line="119" w:lineRule="exact"/>
        <w:rPr>
          <w:sz w:val="20"/>
          <w:szCs w:val="20"/>
          <w:color w:val="auto"/>
        </w:rPr>
      </w:pPr>
    </w:p>
    <w:p>
      <w:pPr>
        <w:ind w:left="1140" w:right="117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 Representations</w:t>
      </w:r>
      <w:r>
        <w:rPr>
          <w:rFonts w:ascii="Times New Roman" w:cs="Times New Roman" w:eastAsia="Times New Roman" w:hAnsi="Times New Roman"/>
          <w:sz w:val="14"/>
          <w:szCs w:val="14"/>
          <w:color w:val="auto"/>
        </w:rPr>
        <w:t>” shall mean the representations and warranties made by the Company with respect to the Company, its subsidiaries and their respective businesses in the Acquisition Agreement as are material to the interests of the Lenders, but only to the extent that the Sponsor (or one of its Affiliates) has the right (taking into account any applicable cure provisions) to terminate its (or their) obligations under the Acquisition Agreement (or otherwise decline to consummate the Acquisition without any liability) as a result of a breach of such representations and warranties in the Acquisition Agreement.</w:t>
      </w:r>
    </w:p>
    <w:p>
      <w:pPr>
        <w:spacing w:after="0" w:line="143" w:lineRule="exact"/>
        <w:rPr>
          <w:sz w:val="20"/>
          <w:szCs w:val="20"/>
          <w:color w:val="auto"/>
        </w:rPr>
      </w:pPr>
    </w:p>
    <w:p>
      <w:pPr>
        <w:ind w:left="1140" w:right="12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Compliance Certificate</w:t>
      </w:r>
      <w:r>
        <w:rPr>
          <w:rFonts w:ascii="Times New Roman" w:cs="Times New Roman" w:eastAsia="Times New Roman" w:hAnsi="Times New Roman"/>
          <w:sz w:val="14"/>
          <w:szCs w:val="14"/>
          <w:color w:val="auto"/>
        </w:rPr>
        <w:t xml:space="preserve">” shall mean a certificate of a responsible financial or accounting officer or director of the Borrower delivered pursuant to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 xml:space="preserve"> for the applicable Test Period.</w:t>
      </w:r>
    </w:p>
    <w:p>
      <w:pPr>
        <w:spacing w:after="0" w:line="119" w:lineRule="exact"/>
        <w:rPr>
          <w:sz w:val="20"/>
          <w:szCs w:val="20"/>
          <w:color w:val="auto"/>
        </w:rPr>
      </w:pPr>
    </w:p>
    <w:p>
      <w:pPr>
        <w:ind w:left="1140" w:right="117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Compliance Period</w:t>
      </w:r>
      <w:r>
        <w:rPr>
          <w:rFonts w:ascii="Times New Roman" w:cs="Times New Roman" w:eastAsia="Times New Roman" w:hAnsi="Times New Roman"/>
          <w:sz w:val="14"/>
          <w:szCs w:val="14"/>
          <w:color w:val="auto"/>
        </w:rPr>
        <w:t xml:space="preserve">” shall mean any time at which the sum of (a) the aggregate principal amount of all Revolving Credit Loans at such time and (b) Letters of Credit Outstanding (without giving effect to the proviso in the definition of Stated Amount) (excluding (i) Cash Collateralized Letters of Credit and (ii) non-Cash Collateralized Letters of Credit in an aggregate amount not to exceed $50 million) exceeds 35% of the Total Revolving Credit Commitment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no Compliance Period shall be in effect prior to July 1, 2019.</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8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Confidential Information Memorandum</w:t>
      </w:r>
      <w:r>
        <w:rPr>
          <w:rFonts w:ascii="Times New Roman" w:cs="Times New Roman" w:eastAsia="Times New Roman" w:hAnsi="Times New Roman"/>
          <w:sz w:val="14"/>
          <w:szCs w:val="14"/>
          <w:color w:val="auto"/>
        </w:rPr>
        <w:t>” shall mean the Confidential Information Memorandum of the Borrower dated as of January 2019.</w:t>
      </w:r>
    </w:p>
    <w:p>
      <w:pPr>
        <w:spacing w:after="0" w:line="119" w:lineRule="exact"/>
        <w:rPr>
          <w:sz w:val="20"/>
          <w:szCs w:val="20"/>
          <w:color w:val="auto"/>
        </w:rPr>
      </w:pPr>
    </w:p>
    <w:p>
      <w:pPr>
        <w:jc w:val="both"/>
        <w:ind w:left="1140" w:right="1159" w:firstLine="552"/>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Conforming Changes</w:t>
      </w:r>
      <w:r>
        <w:rPr>
          <w:rFonts w:ascii="Times New Roman" w:cs="Times New Roman" w:eastAsia="Times New Roman" w:hAnsi="Times New Roman"/>
          <w:sz w:val="14"/>
          <w:szCs w:val="14"/>
          <w:color w:val="auto"/>
        </w:rPr>
        <w:t xml:space="preserve">” 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(in consultation with the Borrower) that adoption of any portion of such market practice is not administratively feasible or if the Administrative Agent determines that no market practice for the administration of any such rate exists, in</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7" w:name="page98"/>
    <w:bookmarkEnd w:id="97"/>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such other manner of administration as the Administrative Agent decides (in consultation with the Borrower) is reasonably necessary in connection with the administration of this Agreement and the other Credit Documents).</w:t>
      </w:r>
    </w:p>
    <w:p>
      <w:pPr>
        <w:spacing w:after="0" w:line="121"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Consent to Amendment No. 1</w:t>
      </w:r>
      <w:r>
        <w:rPr>
          <w:rFonts w:ascii="Times New Roman" w:cs="Times New Roman" w:eastAsia="Times New Roman" w:hAnsi="Times New Roman"/>
          <w:sz w:val="14"/>
          <w:szCs w:val="14"/>
          <w:color w:val="auto"/>
        </w:rPr>
        <w:t xml:space="preserve">” shall mean a consent to Amendment No. 1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attached thereto.</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Consent to Amendment No. 4</w:t>
      </w:r>
      <w:r>
        <w:rPr>
          <w:rFonts w:ascii="Times New Roman" w:cs="Times New Roman" w:eastAsia="Times New Roman" w:hAnsi="Times New Roman"/>
          <w:sz w:val="14"/>
          <w:szCs w:val="14"/>
          <w:color w:val="auto"/>
        </w:rPr>
        <w:t>” shall have the meaning provided to such term in Amendment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No. 4.</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Consent to Amendment No. 7</w:t>
      </w:r>
      <w:r>
        <w:rPr>
          <w:rFonts w:ascii="Times New Roman" w:cs="Times New Roman" w:eastAsia="Times New Roman" w:hAnsi="Times New Roman"/>
          <w:sz w:val="14"/>
          <w:szCs w:val="14"/>
          <w:u w:val="single" w:color="auto"/>
          <w:color w:val="0000FF"/>
        </w:rPr>
        <w:t>” shall have the meaning provided to such term in Amendment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0000FF"/>
        </w:rPr>
        <w:t>No. 7.</w:t>
      </w:r>
    </w:p>
    <w:p>
      <w:pPr>
        <w:spacing w:after="0" w:line="168" w:lineRule="exact"/>
        <w:rPr>
          <w:sz w:val="20"/>
          <w:szCs w:val="20"/>
          <w:color w:val="auto"/>
        </w:rPr>
      </w:pPr>
    </w:p>
    <w:p>
      <w:pPr>
        <w:ind w:left="1140" w:right="117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Depreciation and Amortization Expense</w:t>
      </w:r>
      <w:r>
        <w:rPr>
          <w:rFonts w:ascii="Times New Roman" w:cs="Times New Roman" w:eastAsia="Times New Roman" w:hAnsi="Times New Roman"/>
          <w:sz w:val="14"/>
          <w:szCs w:val="14"/>
          <w:color w:val="auto"/>
        </w:rPr>
        <w:t>” shall mean with respect to any Person for any period, the total amount of depreciation and amortization expense, including the amortization of deferred financing fees or costs, debt issuance costs, commissions, fees, and expenses, capitalized expenditures (including Capitalized Software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42"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EBITDA</w:t>
      </w:r>
      <w:r>
        <w:rPr>
          <w:rFonts w:ascii="Times New Roman" w:cs="Times New Roman" w:eastAsia="Times New Roman" w:hAnsi="Times New Roman"/>
          <w:sz w:val="14"/>
          <w:szCs w:val="14"/>
          <w:color w:val="auto"/>
        </w:rPr>
        <w:t>” shall mean, with respect to any Person and its Restricted Subsidiaries on a consolidated basis for any period, the Consolidated Net Income of such Person for such period:</w:t>
      </w:r>
    </w:p>
    <w:p>
      <w:pPr>
        <w:spacing w:after="0" w:line="121" w:lineRule="exact"/>
        <w:rPr>
          <w:sz w:val="20"/>
          <w:szCs w:val="20"/>
          <w:color w:val="auto"/>
        </w:rPr>
      </w:pPr>
    </w:p>
    <w:p>
      <w:pPr>
        <w:ind w:left="2240" w:hanging="290"/>
        <w:spacing w:after="0"/>
        <w:tabs>
          <w:tab w:leader="none" w:pos="22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(without duplication) by:</w:t>
      </w:r>
    </w:p>
    <w:p>
      <w:pPr>
        <w:spacing w:after="0" w:line="183" w:lineRule="exact"/>
        <w:rPr>
          <w:rFonts w:ascii="Times New Roman" w:cs="Times New Roman" w:eastAsia="Times New Roman" w:hAnsi="Times New Roman"/>
          <w:sz w:val="14"/>
          <w:szCs w:val="14"/>
          <w:color w:val="auto"/>
        </w:rPr>
      </w:pPr>
    </w:p>
    <w:p>
      <w:pPr>
        <w:jc w:val="both"/>
        <w:ind w:left="2180" w:right="1159" w:firstLine="516"/>
        <w:spacing w:after="0" w:line="175" w:lineRule="exact"/>
        <w:tabs>
          <w:tab w:leader="none" w:pos="298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taxes based on income or profits or capital, including, without limitation, U.S. federal, state,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U.S., franchise, excise, value added, and similar taxes and foreign withholding taxes of such Person paid or accrued during such period, including any penalties and interest related to such taxes or arising from any tax examinations, in each case to the extent deducted (and not added back) in computing Consolidated Net Income, </w:t>
      </w:r>
      <w:r>
        <w:rPr>
          <w:rFonts w:ascii="Times New Roman" w:cs="Times New Roman" w:eastAsia="Times New Roman" w:hAnsi="Times New Roman"/>
          <w:sz w:val="14"/>
          <w:szCs w:val="14"/>
          <w:i w:val="1"/>
          <w:iCs w:val="1"/>
          <w:color w:val="auto"/>
        </w:rPr>
        <w:t>plus</w:t>
      </w:r>
    </w:p>
    <w:p>
      <w:pPr>
        <w:spacing w:after="0" w:line="160" w:lineRule="exact"/>
        <w:rPr>
          <w:rFonts w:ascii="Times New Roman" w:cs="Times New Roman" w:eastAsia="Times New Roman" w:hAnsi="Times New Roman"/>
          <w:sz w:val="14"/>
          <w:szCs w:val="14"/>
          <w:color w:val="auto"/>
        </w:rPr>
      </w:pPr>
    </w:p>
    <w:p>
      <w:pPr>
        <w:jc w:val="both"/>
        <w:ind w:left="2180" w:right="1159" w:firstLine="516"/>
        <w:spacing w:after="0" w:line="175" w:lineRule="exact"/>
        <w:tabs>
          <w:tab w:leader="none" w:pos="298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interest expense, in each case to the extent the same were deducted (and not added back) in calculating such Consolidated Net Income, </w:t>
      </w:r>
      <w:r>
        <w:rPr>
          <w:rFonts w:ascii="Times New Roman" w:cs="Times New Roman" w:eastAsia="Times New Roman" w:hAnsi="Times New Roman"/>
          <w:sz w:val="14"/>
          <w:szCs w:val="14"/>
          <w:i w:val="1"/>
          <w:iCs w:val="1"/>
          <w:color w:val="auto"/>
        </w:rPr>
        <w:t>plus</w:t>
      </w:r>
    </w:p>
    <w:p>
      <w:pPr>
        <w:spacing w:after="0" w:line="158" w:lineRule="exact"/>
        <w:rPr>
          <w:rFonts w:ascii="Times New Roman" w:cs="Times New Roman" w:eastAsia="Times New Roman" w:hAnsi="Times New Roman"/>
          <w:sz w:val="14"/>
          <w:szCs w:val="14"/>
          <w:color w:val="auto"/>
        </w:rPr>
      </w:pPr>
    </w:p>
    <w:p>
      <w:pPr>
        <w:jc w:val="both"/>
        <w:ind w:left="2180" w:right="1159" w:firstLine="516"/>
        <w:spacing w:after="0" w:line="275" w:lineRule="auto"/>
        <w:tabs>
          <w:tab w:leader="none" w:pos="298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Depreciation and Amortization Expense of such Person for such period to the extent the same were deducted (and not added back) in computing Consolidated Net Income, </w:t>
      </w:r>
      <w:r>
        <w:rPr>
          <w:rFonts w:ascii="Times New Roman" w:cs="Times New Roman" w:eastAsia="Times New Roman" w:hAnsi="Times New Roman"/>
          <w:sz w:val="14"/>
          <w:szCs w:val="14"/>
          <w:i w:val="1"/>
          <w:iCs w:val="1"/>
          <w:color w:val="auto"/>
        </w:rPr>
        <w:t>plus</w:t>
      </w:r>
    </w:p>
    <w:p>
      <w:pPr>
        <w:spacing w:after="0" w:line="135" w:lineRule="exact"/>
        <w:rPr>
          <w:rFonts w:ascii="Times New Roman" w:cs="Times New Roman" w:eastAsia="Times New Roman" w:hAnsi="Times New Roman"/>
          <w:sz w:val="14"/>
          <w:szCs w:val="14"/>
          <w:color w:val="auto"/>
        </w:rPr>
      </w:pPr>
    </w:p>
    <w:p>
      <w:pPr>
        <w:jc w:val="both"/>
        <w:ind w:left="2180" w:right="1159" w:firstLine="516"/>
        <w:spacing w:after="0" w:line="260" w:lineRule="auto"/>
        <w:tabs>
          <w:tab w:leader="none" w:pos="298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Closing Date), including (1) such fees, expenses, or charges related to the incurrence of the Second Lien Loans and the Loans hereunder and all Transaction Expenses, (2) such fees, expenses, or charges related to the offering of the Credit Documents and any other credit facilities, or debt issuances, and (3) any amendment or other modification of the Second Lien Loans, the Loans hereunder or other Indebtedness, and, in each case, deducted (and not added back) in computing Consolidated Net Income, </w:t>
      </w:r>
      <w:r>
        <w:rPr>
          <w:rFonts w:ascii="Times New Roman" w:cs="Times New Roman" w:eastAsia="Times New Roman" w:hAnsi="Times New Roman"/>
          <w:sz w:val="14"/>
          <w:szCs w:val="14"/>
          <w:i w:val="1"/>
          <w:iCs w:val="1"/>
          <w:color w:val="auto"/>
        </w:rPr>
        <w:t>plus</w:t>
      </w:r>
    </w:p>
    <w:p>
      <w:pPr>
        <w:spacing w:after="0" w:line="118" w:lineRule="exact"/>
        <w:rPr>
          <w:rFonts w:ascii="Times New Roman" w:cs="Times New Roman" w:eastAsia="Times New Roman" w:hAnsi="Times New Roman"/>
          <w:sz w:val="14"/>
          <w:szCs w:val="14"/>
          <w:color w:val="auto"/>
        </w:rPr>
      </w:pPr>
    </w:p>
    <w:p>
      <w:pPr>
        <w:ind w:left="2180" w:right="1159" w:firstLine="516"/>
        <w:spacing w:after="0" w:line="195" w:lineRule="exact"/>
        <w:tabs>
          <w:tab w:leader="none" w:pos="2983"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charges, including any write offs, write downs, expenses, losses, any effects of adjustments resulting from the application of purchase accounting, purchase</w:t>
      </w:r>
    </w:p>
    <w:p>
      <w:pPr>
        <w:spacing w:after="0" w:line="2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8" w:name="page99"/>
    <w:bookmarkEnd w:id="98"/>
    <w:p>
      <w:pPr>
        <w:jc w:val="both"/>
        <w:ind w:left="2180" w:right="1159"/>
        <w:spacing w:after="0" w:line="175" w:lineRule="exact"/>
        <w:rPr>
          <w:sz w:val="20"/>
          <w:szCs w:val="20"/>
          <w:color w:val="auto"/>
        </w:rPr>
      </w:pPr>
      <w:r>
        <w:rPr>
          <w:rFonts w:ascii="Times New Roman" w:cs="Times New Roman" w:eastAsia="Times New Roman" w:hAnsi="Times New Roman"/>
          <w:sz w:val="14"/>
          <w:szCs w:val="14"/>
          <w:color w:val="auto"/>
        </w:rPr>
        <w:t>price accounting (including any step-up in inventory and loss of profit on the acquired inventory) or other items to the extent the same were deducted (and not added back) in computing Consolidated Net Income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Times New Roman" w:cs="Times New Roman" w:eastAsia="Times New Roman" w:hAnsi="Times New Roman"/>
          <w:sz w:val="14"/>
          <w:szCs w:val="14"/>
          <w:i w:val="1"/>
          <w:iCs w:val="1"/>
          <w:color w:val="auto"/>
        </w:rPr>
        <w:t>plus</w:t>
      </w:r>
    </w:p>
    <w:p>
      <w:pPr>
        <w:spacing w:after="0" w:line="127" w:lineRule="exact"/>
        <w:rPr>
          <w:sz w:val="20"/>
          <w:szCs w:val="20"/>
          <w:color w:val="auto"/>
        </w:rPr>
      </w:pPr>
    </w:p>
    <w:p>
      <w:pPr>
        <w:jc w:val="both"/>
        <w:ind w:left="2180" w:right="1159" w:firstLine="516"/>
        <w:spacing w:after="0" w:line="187" w:lineRule="exact"/>
        <w:tabs>
          <w:tab w:leader="none" w:pos="298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net income (loss) attributable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interests in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Owned Subsidiary deducted (and not added back) in such period in calculating Consolidated Net Income, </w:t>
      </w:r>
      <w:r>
        <w:rPr>
          <w:rFonts w:ascii="Times New Roman" w:cs="Times New Roman" w:eastAsia="Times New Roman" w:hAnsi="Times New Roman"/>
          <w:sz w:val="14"/>
          <w:szCs w:val="14"/>
          <w:i w:val="1"/>
          <w:iCs w:val="1"/>
          <w:color w:val="auto"/>
        </w:rPr>
        <w:t>plus</w:t>
      </w:r>
    </w:p>
    <w:p>
      <w:pPr>
        <w:spacing w:after="0" w:line="160" w:lineRule="exact"/>
        <w:rPr>
          <w:rFonts w:ascii="Times New Roman" w:cs="Times New Roman" w:eastAsia="Times New Roman" w:hAnsi="Times New Roman"/>
          <w:sz w:val="14"/>
          <w:szCs w:val="14"/>
          <w:color w:val="auto"/>
        </w:rPr>
      </w:pPr>
    </w:p>
    <w:p>
      <w:pPr>
        <w:jc w:val="both"/>
        <w:ind w:left="2180" w:right="1159" w:firstLine="516"/>
        <w:spacing w:after="0" w:line="275" w:lineRule="auto"/>
        <w:tabs>
          <w:tab w:leader="none" w:pos="298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management, monitoring, consulting, and advisory fees (including termination fees) and related indemnities and expenses paid or accrued in such period to the Sponsors, </w:t>
      </w:r>
      <w:r>
        <w:rPr>
          <w:rFonts w:ascii="Times New Roman" w:cs="Times New Roman" w:eastAsia="Times New Roman" w:hAnsi="Times New Roman"/>
          <w:sz w:val="14"/>
          <w:szCs w:val="14"/>
          <w:i w:val="1"/>
          <w:iCs w:val="1"/>
          <w:color w:val="auto"/>
        </w:rPr>
        <w:t>plus</w:t>
      </w:r>
    </w:p>
    <w:p>
      <w:pPr>
        <w:spacing w:after="0" w:line="135" w:lineRule="exact"/>
        <w:rPr>
          <w:rFonts w:ascii="Times New Roman" w:cs="Times New Roman" w:eastAsia="Times New Roman" w:hAnsi="Times New Roman"/>
          <w:sz w:val="14"/>
          <w:szCs w:val="14"/>
          <w:color w:val="auto"/>
        </w:rPr>
      </w:pPr>
    </w:p>
    <w:p>
      <w:pPr>
        <w:ind w:left="2980" w:hanging="284"/>
        <w:spacing w:after="0"/>
        <w:tabs>
          <w:tab w:leader="none" w:pos="29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of surety bonds incurred in such period in connection with financing activities,</w:t>
      </w:r>
    </w:p>
    <w:p>
      <w:pPr>
        <w:spacing w:after="0" w:line="24" w:lineRule="exact"/>
        <w:rPr>
          <w:rFonts w:ascii="Times New Roman" w:cs="Times New Roman" w:eastAsia="Times New Roman" w:hAnsi="Times New Roman"/>
          <w:sz w:val="14"/>
          <w:szCs w:val="14"/>
          <w:color w:val="auto"/>
        </w:rPr>
      </w:pPr>
    </w:p>
    <w:p>
      <w:pPr>
        <w:ind w:left="2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plus</w:t>
      </w:r>
    </w:p>
    <w:p>
      <w:pPr>
        <w:spacing w:after="0" w:line="138" w:lineRule="exact"/>
        <w:rPr>
          <w:rFonts w:ascii="Times New Roman" w:cs="Times New Roman" w:eastAsia="Times New Roman" w:hAnsi="Times New Roman"/>
          <w:sz w:val="14"/>
          <w:szCs w:val="14"/>
          <w:color w:val="auto"/>
        </w:rPr>
      </w:pPr>
    </w:p>
    <w:p>
      <w:pPr>
        <w:jc w:val="both"/>
        <w:ind w:left="2180" w:right="1159" w:firstLine="516"/>
        <w:spacing w:after="0" w:line="176" w:lineRule="exact"/>
        <w:tabs>
          <w:tab w:leader="none" w:pos="298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reasonably identifiable and factually supportable “run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rate” cost savings, operating expense reductions, operating enhancements and other synergies (including in connection with any drug purchasing programs and contracts (including, without limitation, forward buys and rebates and payer reimbursement)) that are projected by the Borrower in good faith to result from actions either taken or expected to be taken within 18 months of the determination to take such action, net of the amount of actual benefits realized prior to or during such period from such actions (which cost savings, operating expense reductions, operating enhancements and synergies shall be calculated on a Pro Forma Basis as though such cost savings, operating expense reductions, operating enhancements or synergies had been realized on the first day of such period); provided that, except with respect to the Transactions and any drug purchasing programs and contracts (including, without limitation, forward buys and rebates and payer reimbursement), the aggregate amount added back pursuant to this clause (i) shall not cumulatively exceed 25% of Consolidated EBITDA for any Test Period (with such calculation being made after giving effect to any increase pursuant to this clause (i) and, for the avoidance of doubt, after giving Pro Forma Effect to any such action or transaction), </w:t>
      </w:r>
      <w:r>
        <w:rPr>
          <w:rFonts w:ascii="Times New Roman" w:cs="Times New Roman" w:eastAsia="Times New Roman" w:hAnsi="Times New Roman"/>
          <w:sz w:val="14"/>
          <w:szCs w:val="14"/>
          <w:i w:val="1"/>
          <w:iCs w:val="1"/>
          <w:color w:val="auto"/>
        </w:rPr>
        <w:t>plus</w:t>
      </w:r>
    </w:p>
    <w:p>
      <w:pPr>
        <w:spacing w:after="0" w:line="159" w:lineRule="exact"/>
        <w:rPr>
          <w:rFonts w:ascii="Times New Roman" w:cs="Times New Roman" w:eastAsia="Times New Roman" w:hAnsi="Times New Roman"/>
          <w:sz w:val="14"/>
          <w:szCs w:val="14"/>
          <w:color w:val="auto"/>
        </w:rPr>
      </w:pPr>
    </w:p>
    <w:p>
      <w:pPr>
        <w:ind w:left="2180" w:right="1199" w:firstLine="516"/>
        <w:spacing w:after="0" w:line="293" w:lineRule="auto"/>
        <w:tabs>
          <w:tab w:leader="none" w:pos="298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loss or discount on sale of receivables and related assets to the Receivables Subsidiary in connection with a Receivables Facility, </w:t>
      </w:r>
      <w:r>
        <w:rPr>
          <w:rFonts w:ascii="Times New Roman" w:cs="Times New Roman" w:eastAsia="Times New Roman" w:hAnsi="Times New Roman"/>
          <w:sz w:val="14"/>
          <w:szCs w:val="14"/>
          <w:i w:val="1"/>
          <w:iCs w:val="1"/>
          <w:color w:val="auto"/>
        </w:rPr>
        <w:t>plus</w:t>
      </w:r>
    </w:p>
    <w:p>
      <w:pPr>
        <w:spacing w:after="0" w:line="123" w:lineRule="exact"/>
        <w:rPr>
          <w:rFonts w:ascii="Times New Roman" w:cs="Times New Roman" w:eastAsia="Times New Roman" w:hAnsi="Times New Roman"/>
          <w:sz w:val="14"/>
          <w:szCs w:val="14"/>
          <w:color w:val="auto"/>
        </w:rPr>
      </w:pPr>
    </w:p>
    <w:p>
      <w:pPr>
        <w:jc w:val="both"/>
        <w:ind w:left="2180" w:right="1159" w:firstLine="516"/>
        <w:spacing w:after="0" w:line="261" w:lineRule="auto"/>
        <w:tabs>
          <w:tab w:leader="none" w:pos="298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costs or expense incurred by the Borrower or a Restricted Subsidiary pursuant to any management equity plan or stock option or phantom equity plan or any other management or employee benefit plan or agreement or any stock subscription or shareholder agreement, to the extent that such cost or expenses are funded with cash proceeds contributed to the capital of the Borrower or net cash proceeds of an issuance of Equity Interests of the Borrower (other than Disqualified Stock) solely to the extent that such net cash proceeds are excluded from the calculation set forth in </w:t>
      </w:r>
      <w:r>
        <w:rPr>
          <w:rFonts w:ascii="Times New Roman" w:cs="Times New Roman" w:eastAsia="Times New Roman" w:hAnsi="Times New Roman"/>
          <w:sz w:val="14"/>
          <w:szCs w:val="14"/>
          <w:u w:val="single" w:color="auto"/>
          <w:color w:val="auto"/>
        </w:rPr>
        <w:t>Section 10.5(a)(iii)</w:t>
      </w:r>
      <w:r>
        <w:rPr>
          <w:rFonts w:ascii="Times New Roman" w:cs="Times New Roman" w:eastAsia="Times New Roman" w:hAnsi="Times New Roman"/>
          <w:sz w:val="14"/>
          <w:szCs w:val="14"/>
          <w:color w:val="auto"/>
        </w:rPr>
        <w:t xml:space="preserve"> and have not been relied on for purposes of any incurrence of Indebtedness pursuant to </w:t>
      </w:r>
      <w:r>
        <w:rPr>
          <w:rFonts w:ascii="Times New Roman" w:cs="Times New Roman" w:eastAsia="Times New Roman" w:hAnsi="Times New Roman"/>
          <w:sz w:val="14"/>
          <w:szCs w:val="14"/>
          <w:u w:val="single" w:color="auto"/>
          <w:color w:val="auto"/>
        </w:rPr>
        <w:t>Section 10.1(l)(i)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plus</w:t>
      </w:r>
    </w:p>
    <w:p>
      <w:pPr>
        <w:spacing w:after="0" w:line="148" w:lineRule="exact"/>
        <w:rPr>
          <w:rFonts w:ascii="Times New Roman" w:cs="Times New Roman" w:eastAsia="Times New Roman" w:hAnsi="Times New Roman"/>
          <w:sz w:val="14"/>
          <w:szCs w:val="14"/>
          <w:color w:val="auto"/>
        </w:rPr>
      </w:pPr>
    </w:p>
    <w:p>
      <w:pPr>
        <w:jc w:val="both"/>
        <w:ind w:left="2180" w:right="1159" w:firstLine="516"/>
        <w:spacing w:after="0" w:line="260" w:lineRule="auto"/>
        <w:tabs>
          <w:tab w:leader="none" w:pos="2983"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expenses relating to payments made to option, phantom equity or profits interest holders of the Borrower or any of its any direct or indirect subsidiaries or parent companies in connection with, or as a result of, any distribution being made to equity holders of such Person or its direct or indirect parent companies, which payments are being made to compensate such option, phantom equity or profits interest holders as though they were equity holders at the time of, and entitled to share in, such distribution, in each case to the extent permitted under this Agreement and expenses relating to distributions made to equity holders of such Person or its direct or indirect parent companies resulting from the application of Financial Accounting Standards Codification Topic 718— Compensation – Stock Compensation (formerly Financial Accounting Standards Board Statement No. 123 (Revised 2004)), </w:t>
      </w:r>
      <w:r>
        <w:rPr>
          <w:rFonts w:ascii="Times New Roman" w:cs="Times New Roman" w:eastAsia="Times New Roman" w:hAnsi="Times New Roman"/>
          <w:sz w:val="14"/>
          <w:szCs w:val="14"/>
          <w:i w:val="1"/>
          <w:iCs w:val="1"/>
          <w:color w:val="auto"/>
        </w:rPr>
        <w:t>plus</w:t>
      </w:r>
    </w:p>
    <w:p>
      <w:pPr>
        <w:spacing w:after="0" w:line="2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99" w:name="page100"/>
    <w:bookmarkEnd w:id="99"/>
    <w:p>
      <w:pPr>
        <w:jc w:val="both"/>
        <w:ind w:left="2180" w:right="1159" w:firstLine="516"/>
        <w:spacing w:after="0" w:line="264" w:lineRule="auto"/>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Person referred to in clause (v) of the definition of “Consolidated Net Income” and solely to the extent relating to the Net Income of such Person referred to in clause (v) of the definition of “Consolidated Net Income,” an amount equal to the proportion of those items described in this definition (other than this subclause (m)) relating to such Person corresponding to the Borrower’s and the Restricted Subsidiaries’ proportionate share of such Person’s Consolidated Net Income (determined as if such Person were a Restricted Subsidiary),</w:t>
      </w:r>
    </w:p>
    <w:p>
      <w:pPr>
        <w:spacing w:after="0" w:line="142" w:lineRule="exact"/>
        <w:rPr>
          <w:rFonts w:ascii="Times New Roman" w:cs="Times New Roman" w:eastAsia="Times New Roman" w:hAnsi="Times New Roman"/>
          <w:sz w:val="14"/>
          <w:szCs w:val="14"/>
          <w:color w:val="auto"/>
        </w:rPr>
      </w:pPr>
    </w:p>
    <w:p>
      <w:pPr>
        <w:jc w:val="both"/>
        <w:ind w:left="2180" w:right="1159" w:firstLine="516"/>
        <w:spacing w:after="0" w:line="176" w:lineRule="exact"/>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receipts (or any netting arrangements resulting in reduced cash expenses) not included in Consolidated EBITDA in any period solely to the extent that the corresponding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gains relating to such receipts were deducted in the calculation of Consolidated EBITDA pursuant to </w:t>
      </w:r>
      <w:r>
        <w:rPr>
          <w:rFonts w:ascii="Times New Roman" w:cs="Times New Roman" w:eastAsia="Times New Roman" w:hAnsi="Times New Roman"/>
          <w:sz w:val="14"/>
          <w:szCs w:val="14"/>
          <w:u w:val="single" w:color="auto"/>
          <w:color w:val="auto"/>
        </w:rPr>
        <w:t>paragraph (ii)</w:t>
      </w:r>
      <w:r>
        <w:rPr>
          <w:rFonts w:ascii="Times New Roman" w:cs="Times New Roman" w:eastAsia="Times New Roman" w:hAnsi="Times New Roman"/>
          <w:sz w:val="14"/>
          <w:szCs w:val="14"/>
          <w:color w:val="auto"/>
        </w:rPr>
        <w:t xml:space="preserve"> below for any previous period and not added back, </w:t>
      </w:r>
      <w:r>
        <w:rPr>
          <w:rFonts w:ascii="Times New Roman" w:cs="Times New Roman" w:eastAsia="Times New Roman" w:hAnsi="Times New Roman"/>
          <w:sz w:val="14"/>
          <w:szCs w:val="14"/>
          <w:i w:val="1"/>
          <w:iCs w:val="1"/>
          <w:color w:val="auto"/>
        </w:rPr>
        <w:t>plus</w:t>
      </w:r>
    </w:p>
    <w:p>
      <w:pPr>
        <w:spacing w:after="0" w:line="160" w:lineRule="exact"/>
        <w:rPr>
          <w:rFonts w:ascii="Times New Roman" w:cs="Times New Roman" w:eastAsia="Times New Roman" w:hAnsi="Times New Roman"/>
          <w:sz w:val="14"/>
          <w:szCs w:val="14"/>
          <w:color w:val="auto"/>
        </w:rPr>
      </w:pPr>
    </w:p>
    <w:p>
      <w:pPr>
        <w:jc w:val="both"/>
        <w:ind w:left="2180" w:right="1159" w:firstLine="516"/>
        <w:spacing w:after="0" w:line="260" w:lineRule="auto"/>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the Borrower that there exists such evidence (with a deduction for any amount so added back to the extent not so reimbursed within such 365 days), expenses with respect to liability or casualty events or business interruption, </w:t>
      </w:r>
      <w:r>
        <w:rPr>
          <w:rFonts w:ascii="Times New Roman" w:cs="Times New Roman" w:eastAsia="Times New Roman" w:hAnsi="Times New Roman"/>
          <w:sz w:val="14"/>
          <w:szCs w:val="14"/>
          <w:i w:val="1"/>
          <w:iCs w:val="1"/>
          <w:color w:val="auto"/>
        </w:rPr>
        <w:t>plus</w:t>
      </w:r>
    </w:p>
    <w:p>
      <w:pPr>
        <w:spacing w:after="0" w:line="149" w:lineRule="exact"/>
        <w:rPr>
          <w:rFonts w:ascii="Times New Roman" w:cs="Times New Roman" w:eastAsia="Times New Roman" w:hAnsi="Times New Roman"/>
          <w:sz w:val="14"/>
          <w:szCs w:val="14"/>
          <w:color w:val="auto"/>
        </w:rPr>
      </w:pPr>
    </w:p>
    <w:p>
      <w:pPr>
        <w:jc w:val="both"/>
        <w:ind w:left="2180" w:right="1159" w:firstLine="516"/>
        <w:spacing w:after="0" w:line="265" w:lineRule="auto"/>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charges, expenses, and other items described (1) in the Confidential Information Memorandum or the Acquisition Model or (2) any quality of earnings report reasonably prepared in good faith by a nationally recognized accounting firm in connection with any Specified Transaction actually consummated by the Borrower or its Restricted Subsidiaries and delivered to the Administrative Agent, </w:t>
      </w:r>
      <w:r>
        <w:rPr>
          <w:rFonts w:ascii="Times New Roman" w:cs="Times New Roman" w:eastAsia="Times New Roman" w:hAnsi="Times New Roman"/>
          <w:sz w:val="14"/>
          <w:szCs w:val="14"/>
          <w:i w:val="1"/>
          <w:iCs w:val="1"/>
          <w:color w:val="auto"/>
        </w:rPr>
        <w:t>plus</w:t>
      </w:r>
    </w:p>
    <w:p>
      <w:pPr>
        <w:spacing w:after="0" w:line="112" w:lineRule="exact"/>
        <w:rPr>
          <w:rFonts w:ascii="Times New Roman" w:cs="Times New Roman" w:eastAsia="Times New Roman" w:hAnsi="Times New Roman"/>
          <w:sz w:val="14"/>
          <w:szCs w:val="14"/>
          <w:color w:val="auto"/>
        </w:rPr>
      </w:pPr>
    </w:p>
    <w:p>
      <w:pPr>
        <w:jc w:val="both"/>
        <w:ind w:left="2180" w:right="1159" w:firstLine="516"/>
        <w:spacing w:after="0" w:line="182" w:lineRule="exact"/>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pension or other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Topic 715—Compensation —Retirement Benefits, and any other items of a similar nature, </w:t>
      </w:r>
      <w:r>
        <w:rPr>
          <w:rFonts w:ascii="Times New Roman" w:cs="Times New Roman" w:eastAsia="Times New Roman" w:hAnsi="Times New Roman"/>
          <w:sz w:val="14"/>
          <w:szCs w:val="14"/>
          <w:i w:val="1"/>
          <w:iCs w:val="1"/>
          <w:color w:val="auto"/>
        </w:rPr>
        <w:t>plus</w:t>
      </w:r>
    </w:p>
    <w:p>
      <w:pPr>
        <w:spacing w:after="0" w:line="158" w:lineRule="exact"/>
        <w:rPr>
          <w:rFonts w:ascii="Times New Roman" w:cs="Times New Roman" w:eastAsia="Times New Roman" w:hAnsi="Times New Roman"/>
          <w:sz w:val="14"/>
          <w:szCs w:val="14"/>
          <w:color w:val="auto"/>
        </w:rPr>
      </w:pPr>
    </w:p>
    <w:p>
      <w:pPr>
        <w:jc w:val="both"/>
        <w:ind w:left="2180" w:right="1159" w:firstLine="516"/>
        <w:spacing w:after="0" w:line="262" w:lineRule="auto"/>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 forma synergies from either (1) a new prime vendor pharmaceutical agreement between the Borrower and a major pharmaceutical wholesaler, substantially consistent with the terms of the Pharmaceutical Purchasing/Distribution Term Sheet, or (2) if such prime vendor pharmaceutical agreement has not been executed by or on the Closing Date, a letter agreement between WBA and such major pharmaceutical wholesaler, pursuant to which the Borrower will be designated as an affiliate of WBA under WBA’s current pharmaceutical purchase and distribution agreement with such major pharmaceutical wholesaler, </w:t>
      </w:r>
      <w:r>
        <w:rPr>
          <w:rFonts w:ascii="Times New Roman" w:cs="Times New Roman" w:eastAsia="Times New Roman" w:hAnsi="Times New Roman"/>
          <w:sz w:val="14"/>
          <w:szCs w:val="14"/>
          <w:i w:val="1"/>
          <w:iCs w:val="1"/>
          <w:color w:val="auto"/>
        </w:rPr>
        <w:t>plus</w:t>
      </w:r>
    </w:p>
    <w:p>
      <w:pPr>
        <w:spacing w:after="0" w:line="147" w:lineRule="exact"/>
        <w:rPr>
          <w:rFonts w:ascii="Times New Roman" w:cs="Times New Roman" w:eastAsia="Times New Roman" w:hAnsi="Times New Roman"/>
          <w:sz w:val="14"/>
          <w:szCs w:val="14"/>
          <w:color w:val="auto"/>
        </w:rPr>
      </w:pPr>
    </w:p>
    <w:p>
      <w:pPr>
        <w:jc w:val="both"/>
        <w:ind w:left="2180" w:right="1159" w:firstLine="516"/>
        <w:spacing w:after="0" w:line="268" w:lineRule="auto"/>
        <w:tabs>
          <w:tab w:leader="none" w:pos="2983"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 one-time non-cash compensation charges, (B) the costs and ex penses related to employment of terminated employees, or (C) costs or expenses realized in connection with or resulting from stock appreciation or similar rights, stock options or other rights of officers, directors and employees, in each case of the Borrower or any of its Restricted Subsidiaries, </w:t>
      </w:r>
      <w:r>
        <w:rPr>
          <w:rFonts w:ascii="Times New Roman" w:cs="Times New Roman" w:eastAsia="Times New Roman" w:hAnsi="Times New Roman"/>
          <w:sz w:val="14"/>
          <w:szCs w:val="14"/>
          <w:i w:val="1"/>
          <w:iCs w:val="1"/>
          <w:color w:val="auto"/>
        </w:rPr>
        <w:t>plus</w:t>
      </w:r>
    </w:p>
    <w:p>
      <w:pPr>
        <w:spacing w:after="0" w:line="110" w:lineRule="exact"/>
        <w:rPr>
          <w:rFonts w:ascii="Times New Roman" w:cs="Times New Roman" w:eastAsia="Times New Roman" w:hAnsi="Times New Roman"/>
          <w:sz w:val="14"/>
          <w:szCs w:val="14"/>
          <w:color w:val="auto"/>
        </w:rPr>
      </w:pPr>
    </w:p>
    <w:p>
      <w:pPr>
        <w:jc w:val="both"/>
        <w:ind w:left="1660" w:right="1159" w:firstLine="290"/>
        <w:spacing w:after="0" w:line="181" w:lineRule="exact"/>
        <w:tabs>
          <w:tab w:leader="none" w:pos="223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by (without duplication),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gains increasing Consolidated Net Income of such Person for such period, excluding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gains which represent the reversal of any accrual of, or cash reserve for, anticipated cash charges that reduced Consolidated EBITDA in any prior period other than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gains relating to the application of Financial Accounting Standards Codification Topic 840— </w:t>
      </w:r>
      <w:r>
        <w:rPr>
          <w:rFonts w:ascii="Times New Roman" w:cs="Times New Roman" w:eastAsia="Times New Roman" w:hAnsi="Times New Roman"/>
          <w:sz w:val="14"/>
          <w:szCs w:val="14"/>
          <w:i w:val="1"/>
          <w:iCs w:val="1"/>
          <w:color w:val="auto"/>
        </w:rPr>
        <w:t xml:space="preserve">Leases </w:t>
      </w:r>
      <w:r>
        <w:rPr>
          <w:rFonts w:ascii="Times New Roman" w:cs="Times New Roman" w:eastAsia="Times New Roman" w:hAnsi="Times New Roman"/>
          <w:sz w:val="14"/>
          <w:szCs w:val="14"/>
          <w:color w:val="auto"/>
        </w:rPr>
        <w:t>(formerly Financial Accounting Standards Board Statement No. 13);</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to the extent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gains are deducted pursuant to this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for any previous period and not otherwise added back to Consolidated EBITDA, Consolidated EBITDA shall be increased by the amount of any cash receipts (or</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00" w:name="page101"/>
    <w:bookmarkEnd w:id="100"/>
    <w:p>
      <w:pPr>
        <w:ind w:left="1660" w:right="1159"/>
        <w:spacing w:after="0" w:line="195" w:lineRule="exact"/>
        <w:rPr>
          <w:sz w:val="20"/>
          <w:szCs w:val="20"/>
          <w:color w:val="auto"/>
        </w:rPr>
      </w:pPr>
      <w:r>
        <w:rPr>
          <w:rFonts w:ascii="Times New Roman" w:cs="Times New Roman" w:eastAsia="Times New Roman" w:hAnsi="Times New Roman"/>
          <w:sz w:val="14"/>
          <w:szCs w:val="14"/>
          <w:color w:val="auto"/>
        </w:rPr>
        <w:t>any netting arrangements resulting in reduced cash expenses) in respect of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gains received in subsequent periods to the extent not already included therein, </w:t>
      </w:r>
      <w:r>
        <w:rPr>
          <w:rFonts w:ascii="Times New Roman" w:cs="Times New Roman" w:eastAsia="Times New Roman" w:hAnsi="Times New Roman"/>
          <w:sz w:val="14"/>
          <w:szCs w:val="14"/>
          <w:i w:val="1"/>
          <w:iCs w:val="1"/>
          <w:color w:val="auto"/>
        </w:rPr>
        <w:t>plus</w:t>
      </w:r>
    </w:p>
    <w:p>
      <w:pPr>
        <w:spacing w:after="0" w:line="159" w:lineRule="exact"/>
        <w:rPr>
          <w:sz w:val="20"/>
          <w:szCs w:val="20"/>
          <w:color w:val="auto"/>
        </w:rPr>
      </w:pPr>
    </w:p>
    <w:p>
      <w:pPr>
        <w:ind w:left="2240" w:hanging="290"/>
        <w:spacing w:after="0"/>
        <w:tabs>
          <w:tab w:leader="none" w:pos="224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or decreased by (without duplication):</w:t>
      </w:r>
    </w:p>
    <w:p>
      <w:pPr>
        <w:spacing w:after="0" w:line="183" w:lineRule="exact"/>
        <w:rPr>
          <w:rFonts w:ascii="Times New Roman" w:cs="Times New Roman" w:eastAsia="Times New Roman" w:hAnsi="Times New Roman"/>
          <w:sz w:val="14"/>
          <w:szCs w:val="14"/>
          <w:color w:val="auto"/>
        </w:rPr>
      </w:pPr>
    </w:p>
    <w:p>
      <w:pPr>
        <w:jc w:val="both"/>
        <w:ind w:left="2180" w:right="1159" w:firstLine="516"/>
        <w:spacing w:after="0" w:line="275" w:lineRule="auto"/>
        <w:tabs>
          <w:tab w:leader="none" w:pos="2983"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net gain or loss resulting in such period from currency gains or losses related to Indebtedness, intercompany balances, and other balance sheet items,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as the case may be, and</w:t>
      </w:r>
    </w:p>
    <w:p>
      <w:pPr>
        <w:spacing w:after="0" w:line="135" w:lineRule="exact"/>
        <w:rPr>
          <w:rFonts w:ascii="Times New Roman" w:cs="Times New Roman" w:eastAsia="Times New Roman" w:hAnsi="Times New Roman"/>
          <w:sz w:val="14"/>
          <w:szCs w:val="14"/>
          <w:color w:val="auto"/>
        </w:rPr>
      </w:pPr>
    </w:p>
    <w:p>
      <w:pPr>
        <w:jc w:val="both"/>
        <w:ind w:left="2180" w:right="1159" w:firstLine="516"/>
        <w:spacing w:after="0" w:line="265" w:lineRule="auto"/>
        <w:tabs>
          <w:tab w:leader="none" w:pos="2983" w:val="left"/>
        </w:tabs>
        <w:numPr>
          <w:ilvl w:val="1"/>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4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For the avoidance of doubt:</w:t>
      </w:r>
    </w:p>
    <w:p>
      <w:pPr>
        <w:spacing w:after="0" w:line="183" w:lineRule="exact"/>
        <w:rPr>
          <w:sz w:val="20"/>
          <w:szCs w:val="20"/>
          <w:color w:val="auto"/>
        </w:rPr>
      </w:pPr>
    </w:p>
    <w:p>
      <w:pPr>
        <w:ind w:left="1660" w:right="1159" w:firstLine="290"/>
        <w:spacing w:after="0" w:line="268" w:lineRule="auto"/>
        <w:tabs>
          <w:tab w:leader="none" w:pos="2234"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141" w:lineRule="exact"/>
        <w:rPr>
          <w:rFonts w:ascii="Times New Roman" w:cs="Times New Roman" w:eastAsia="Times New Roman" w:hAnsi="Times New Roman"/>
          <w:sz w:val="14"/>
          <w:szCs w:val="14"/>
          <w:color w:val="auto"/>
        </w:rPr>
      </w:pPr>
    </w:p>
    <w:p>
      <w:pPr>
        <w:ind w:left="2240" w:hanging="290"/>
        <w:spacing w:after="0"/>
        <w:tabs>
          <w:tab w:leader="none" w:pos="2240" w:val="left"/>
        </w:tabs>
        <w:numPr>
          <w:ilvl w:val="1"/>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be included in determining Consolidated EBITDA for any period, without duplication,</w:t>
      </w:r>
    </w:p>
    <w:p>
      <w:pPr>
        <w:spacing w:after="0" w:line="24" w:lineRule="exact"/>
        <w:rPr>
          <w:rFonts w:ascii="Times New Roman" w:cs="Times New Roman" w:eastAsia="Times New Roman" w:hAnsi="Times New Roman"/>
          <w:sz w:val="14"/>
          <w:szCs w:val="14"/>
          <w:color w:val="auto"/>
        </w:rPr>
      </w:pPr>
    </w:p>
    <w:p>
      <w:pPr>
        <w:jc w:val="both"/>
        <w:ind w:left="1660" w:right="1159" w:firstLine="4"/>
        <w:spacing w:after="0" w:line="258" w:lineRule="auto"/>
        <w:tabs>
          <w:tab w:leader="none" w:pos="186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Acquired EBITDA of any Person or business, or attributable to any property or asset acquired by the Borrower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the Borrower or such Restricted Subsidiary during such period (each such Person, business, property, or asset acquired and not subsequently so disposed of, an “</w:t>
      </w:r>
      <w:r>
        <w:rPr>
          <w:rFonts w:ascii="Times New Roman" w:cs="Times New Roman" w:eastAsia="Times New Roman" w:hAnsi="Times New Roman"/>
          <w:sz w:val="14"/>
          <w:szCs w:val="14"/>
          <w:b w:val="1"/>
          <w:bCs w:val="1"/>
          <w:color w:val="auto"/>
        </w:rPr>
        <w:t>Acquired Entity or Business</w:t>
      </w:r>
      <w:r>
        <w:rPr>
          <w:rFonts w:ascii="Times New Roman" w:cs="Times New Roman" w:eastAsia="Times New Roman" w:hAnsi="Times New Roman"/>
          <w:sz w:val="14"/>
          <w:szCs w:val="14"/>
          <w:color w:val="auto"/>
        </w:rPr>
        <w:t>”) and the Acquired EBITDA of any Unrestricted Subsidiary that is converted into a Restricted Subsidiary during such period (each, a “</w:t>
      </w:r>
      <w:r>
        <w:rPr>
          <w:rFonts w:ascii="Times New Roman" w:cs="Times New Roman" w:eastAsia="Times New Roman" w:hAnsi="Times New Roman"/>
          <w:sz w:val="14"/>
          <w:szCs w:val="14"/>
          <w:b w:val="1"/>
          <w:bCs w:val="1"/>
          <w:color w:val="auto"/>
        </w:rPr>
        <w:t>Converted Restricted Subsidiary</w:t>
      </w:r>
      <w:r>
        <w:rPr>
          <w:rFonts w:ascii="Times New Roman" w:cs="Times New Roman" w:eastAsia="Times New Roman" w:hAnsi="Times New Roman"/>
          <w:sz w:val="14"/>
          <w:szCs w:val="14"/>
          <w:color w:val="auto"/>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147" w:lineRule="exact"/>
        <w:rPr>
          <w:rFonts w:ascii="Times New Roman" w:cs="Times New Roman" w:eastAsia="Times New Roman" w:hAnsi="Times New Roman"/>
          <w:sz w:val="14"/>
          <w:szCs w:val="14"/>
          <w:color w:val="auto"/>
        </w:rPr>
      </w:pPr>
    </w:p>
    <w:p>
      <w:pPr>
        <w:ind w:left="1660" w:right="1159" w:firstLine="290"/>
        <w:spacing w:after="0" w:line="259" w:lineRule="auto"/>
        <w:tabs>
          <w:tab w:leader="none" w:pos="2234"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the Borrower or any Restricted Subsidiary during such period (each such Person, property, business, or asset so sold or disposed of, a “</w:t>
      </w:r>
      <w:r>
        <w:rPr>
          <w:rFonts w:ascii="Times New Roman" w:cs="Times New Roman" w:eastAsia="Times New Roman" w:hAnsi="Times New Roman"/>
          <w:sz w:val="14"/>
          <w:szCs w:val="14"/>
          <w:b w:val="1"/>
          <w:bCs w:val="1"/>
          <w:color w:val="auto"/>
        </w:rPr>
        <w:t>Sold Entity or Business</w:t>
      </w:r>
      <w:r>
        <w:rPr>
          <w:rFonts w:ascii="Times New Roman" w:cs="Times New Roman" w:eastAsia="Times New Roman" w:hAnsi="Times New Roman"/>
          <w:sz w:val="14"/>
          <w:szCs w:val="14"/>
          <w:color w:val="auto"/>
        </w:rPr>
        <w:t>”), and the Disposed EBITDA of any Restricted Subsidiary that is converted into an Unrestricted Subsidiary during such period (each, a “</w:t>
      </w:r>
      <w:r>
        <w:rPr>
          <w:rFonts w:ascii="Times New Roman" w:cs="Times New Roman" w:eastAsia="Times New Roman" w:hAnsi="Times New Roman"/>
          <w:sz w:val="14"/>
          <w:szCs w:val="14"/>
          <w:b w:val="1"/>
          <w:bCs w:val="1"/>
          <w:color w:val="auto"/>
        </w:rPr>
        <w:t>Converted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Unrestricted Subsidiary</w:t>
      </w:r>
      <w:r>
        <w:rPr>
          <w:rFonts w:ascii="Times New Roman" w:cs="Times New Roman" w:eastAsia="Times New Roman" w:hAnsi="Times New Roman"/>
          <w:sz w:val="14"/>
          <w:szCs w:val="14"/>
          <w:color w:val="auto"/>
        </w:rPr>
        <w:t>”) based on the actual Disposed EBITDA of such Sold Entity or Business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Converted Unrestricted Subsidiary for such period (including the portion thereof occurring prior to such sale, transfer, or disposition or conversion);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325" w:lineRule="exact"/>
        <w:rPr>
          <w:sz w:val="20"/>
          <w:szCs w:val="20"/>
          <w:color w:val="auto"/>
        </w:rPr>
      </w:pPr>
    </w:p>
    <w:p>
      <w:pPr>
        <w:ind w:left="1140" w:right="1219"/>
        <w:spacing w:after="0" w:line="293" w:lineRule="auto"/>
        <w:rPr>
          <w:sz w:val="20"/>
          <w:szCs w:val="20"/>
          <w:color w:val="auto"/>
        </w:rPr>
      </w:pPr>
      <w:r>
        <w:rPr>
          <w:rFonts w:ascii="Times New Roman" w:cs="Times New Roman" w:eastAsia="Times New Roman" w:hAnsi="Times New Roman"/>
          <w:sz w:val="14"/>
          <w:szCs w:val="14"/>
          <w:color w:val="auto"/>
        </w:rPr>
        <w:t>Unless expressly specified otherwise or required by context, references in this Agreement to Consolidated EBITDA shall refer to the Consolidated EBITDA of the Borrower.</w:t>
      </w:r>
    </w:p>
    <w:p>
      <w:pPr>
        <w:spacing w:after="0" w:line="121"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First Lien Secured Debt</w:t>
      </w:r>
      <w:r>
        <w:rPr>
          <w:rFonts w:ascii="Times New Roman" w:cs="Times New Roman" w:eastAsia="Times New Roman" w:hAnsi="Times New Roman"/>
          <w:sz w:val="14"/>
          <w:szCs w:val="14"/>
          <w:color w:val="auto"/>
        </w:rPr>
        <w:t>” shall mean Consolidated Total Debt as of such date secured by a Lien on the Collateral that ranks on an equal priority basis (or super priority basis by operation of law) (but without regard to the control of remedies) with Liens on the Collateral securing the Obligations and excluding,</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101" w:name="page102"/>
    <w:bookmarkEnd w:id="101"/>
    <w:p>
      <w:pPr>
        <w:ind w:left="1140" w:right="1519"/>
        <w:spacing w:after="0" w:line="293" w:lineRule="auto"/>
        <w:rPr>
          <w:sz w:val="20"/>
          <w:szCs w:val="20"/>
          <w:color w:val="auto"/>
        </w:rPr>
      </w:pPr>
      <w:r>
        <w:rPr>
          <w:rFonts w:ascii="Times New Roman" w:cs="Times New Roman" w:eastAsia="Times New Roman" w:hAnsi="Times New Roman"/>
          <w:sz w:val="14"/>
          <w:szCs w:val="14"/>
          <w:color w:val="auto"/>
        </w:rPr>
        <w:t xml:space="preserve">for the avoidance of doubt, Hedging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Consolidated First Lien Secured Debt shall not include Letters of Credit, except to the extent of Unpaid Drawings thereunder.</w:t>
      </w:r>
    </w:p>
    <w:p>
      <w:pPr>
        <w:spacing w:after="0" w:line="121" w:lineRule="exact"/>
        <w:rPr>
          <w:sz w:val="20"/>
          <w:szCs w:val="20"/>
          <w:color w:val="auto"/>
        </w:rPr>
      </w:pPr>
    </w:p>
    <w:p>
      <w:pPr>
        <w:ind w:left="1140" w:right="121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First Lien Secured Debt to Consolidated EBITDA Ratio</w:t>
      </w:r>
      <w:r>
        <w:rPr>
          <w:rFonts w:ascii="Times New Roman" w:cs="Times New Roman" w:eastAsia="Times New Roman" w:hAnsi="Times New Roman"/>
          <w:sz w:val="14"/>
          <w:szCs w:val="14"/>
          <w:color w:val="auto"/>
        </w:rPr>
        <w:t xml:space="preserve">” shall mean, as of any date of determination, the ratio of (a) Consolidated First Lien Secured Debt as of such date of determination,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cash and Cash Equivalents (in each case, free and clear of all Liens other than Permitted Liens) of the Borrower and the Restricted Subsidiaries to (b) Consolidated EBITDA of the Borrower for the Test Period most recently ended on or prior to such date of determination, in each case with such pro forma adjustments to Consolidated First Lien Secured Debt and Consolidated EBITDA as are appropriate and consistent with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140" w:right="1179" w:firstLine="1033"/>
        <w:spacing w:after="0" w:line="17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Interest Expense</w:t>
      </w:r>
      <w:r>
        <w:rPr>
          <w:rFonts w:ascii="Times New Roman" w:cs="Times New Roman" w:eastAsia="Times New Roman" w:hAnsi="Times New Roman"/>
          <w:sz w:val="14"/>
          <w:szCs w:val="14"/>
          <w:color w:val="auto"/>
        </w:rPr>
        <w:t>” shall mean the sum of cash interest expense (including that attributable to Capitalized Lease Obligations), net of cash interest income of such Person and its Restricted Subsidiaries with respect to all outstanding Indebtedness of such Person and its Restricted Subsidiaries, including all commissions, discounts and other fees and charges owed with respect to letters of credit and bankers’ acceptance financing and net costs under hedging agreements, but excluding, for the avoidance of doubt, (a) amortization of deferred financing costs, debt issuance costs, commissions, fees and expenses and any other amounts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interest (including as a result of the effects of acquisition method accounting or pushdown accounting), (b)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interest expense attributable to the movement of the mark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 valuation of Indebtedness or obligations under Hedging Obligations or other derivative instruments pursuant to FASB Accounting Standards Codification Topic 815—Derivatives and Hedging, (c) any one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time cash costs associated with breakage in respect of hedging agreements for interest rates, (d) commissions, discounts, yield, make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whole premium and other fees and charges (including any interest expense) incurred in connection with any Receivables Facility, (e) any “additional interest” owing pursuant to a registration rights agreement with respect to any securities, (f) any payments with respect to make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whole premiums or other breakage costs of any Indebtedness, including, without limitation, any Indebtedness issued in connection with the Transactions, (g) penalties and interest relating to taxes, (h) accretion or accrual of discounted liabilities not constituting Indebtedness, (i) interest expense attributable to a direct or indirect Parent Entity resulting from push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down accounting, (j) any expense resulting from the discounting of Indebtedness in connection with the application of recapitalization or purchase accounting, and (k) any interest expense attributable to the exercise of appraisal rights and the settlement of any claims or actions (whether actual, contingent or potential), with respect thereto and with respect to the Transactions, any acquisition or Investment permitted hereunder, all as calculated on a consolidated basis.</w:t>
      </w:r>
    </w:p>
    <w:p>
      <w:pPr>
        <w:spacing w:after="0" w:line="169" w:lineRule="exact"/>
        <w:rPr>
          <w:sz w:val="20"/>
          <w:szCs w:val="20"/>
          <w:color w:val="auto"/>
        </w:rPr>
      </w:pPr>
    </w:p>
    <w:p>
      <w:pPr>
        <w:ind w:left="1140" w:right="1219" w:firstLine="1033"/>
        <w:spacing w:after="0" w:line="275" w:lineRule="auto"/>
        <w:rPr>
          <w:sz w:val="20"/>
          <w:szCs w:val="20"/>
          <w:color w:val="auto"/>
        </w:rPr>
      </w:pPr>
      <w:r>
        <w:rPr>
          <w:rFonts w:ascii="Times New Roman" w:cs="Times New Roman" w:eastAsia="Times New Roman" w:hAnsi="Times New Roman"/>
          <w:sz w:val="14"/>
          <w:szCs w:val="14"/>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33" w:lineRule="exact"/>
        <w:rPr>
          <w:sz w:val="20"/>
          <w:szCs w:val="20"/>
          <w:color w:val="auto"/>
        </w:rPr>
      </w:pPr>
    </w:p>
    <w:p>
      <w:pPr>
        <w:jc w:val="both"/>
        <w:ind w:left="1140" w:right="1179" w:firstLine="1033"/>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Net Income</w:t>
      </w:r>
      <w:r>
        <w:rPr>
          <w:rFonts w:ascii="Times New Roman" w:cs="Times New Roman" w:eastAsia="Times New Roman" w:hAnsi="Times New Roman"/>
          <w:sz w:val="14"/>
          <w:szCs w:val="14"/>
          <w:color w:val="auto"/>
        </w:rPr>
        <w:t>” shall mean, with respect to any Person for any period, the aggregate of the Net Income, of such Person and its Restricted Subsidiaries for such period, on a consolidated basis, and on an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tax basis to the extent appropriate, and otherwise determined in accordance with GAAP;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without duplication,</w:t>
      </w:r>
    </w:p>
    <w:p>
      <w:pPr>
        <w:spacing w:after="0" w:line="128" w:lineRule="exact"/>
        <w:rPr>
          <w:sz w:val="20"/>
          <w:szCs w:val="20"/>
          <w:color w:val="auto"/>
        </w:rPr>
      </w:pPr>
    </w:p>
    <w:p>
      <w:pPr>
        <w:jc w:val="both"/>
        <w:ind w:left="1660" w:right="1159" w:firstLine="290"/>
        <w:spacing w:after="0" w:line="176" w:lineRule="exact"/>
        <w:tabs>
          <w:tab w:leader="none" w:pos="223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extraordinary,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or unusual gains or losses (less all fees and expenses relating thereto) or expenses (including any unusual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operating expenses directly attributable to the implementation of cost savings initiatives and any accruals or reserves in respect of any extraordinary,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or unusual items), severance, relocation costs, integration and facilities’ or bases’ opening costs and other business optimization expenses (including related to new product introductions and other strategic or cost savings initiatives), restructuring charges, accruals or reserves (including restructuring and integration costs related to acquisitions and adjustments to existing reserves), whether or not classified as restructuring expense on the consolidated financial statements, rebranding costs, consulting costs (including consulting and related fees, costs and expenses in connection with the evaluation and implementation of certain tax-related changes), signing costs, retention or completion bonuses, other executive recruiting and retention costs, transition costs, costs related to closure/consolidation of facilities or bases and curtailments or modifications to pension and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retirement employee benefit plans (including any settlement of pension liabilities and charges resulting from changes in estimates, valuations and judgments) and (b) any other unusual or non-recurring items shall be excluded,</w:t>
      </w:r>
    </w:p>
    <w:p>
      <w:pPr>
        <w:spacing w:after="0" w:line="24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02" w:name="page103"/>
    <w:bookmarkEnd w:id="102"/>
    <w:p>
      <w:pPr>
        <w:jc w:val="both"/>
        <w:ind w:left="1660" w:right="1159" w:firstLine="290"/>
        <w:spacing w:after="0" w:line="275" w:lineRule="auto"/>
        <w:tabs>
          <w:tab w:leader="none" w:pos="22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Income for such period shall not include the cumulative effect of a change in accounting principles and changes as a result of the adoption or modification of accounting policies during such period, shall be excluded,</w:t>
      </w:r>
    </w:p>
    <w:p>
      <w:pPr>
        <w:spacing w:after="0" w:line="135" w:lineRule="exact"/>
        <w:rPr>
          <w:rFonts w:ascii="Times New Roman" w:cs="Times New Roman" w:eastAsia="Times New Roman" w:hAnsi="Times New Roman"/>
          <w:sz w:val="14"/>
          <w:szCs w:val="14"/>
          <w:color w:val="auto"/>
        </w:rPr>
      </w:pPr>
    </w:p>
    <w:p>
      <w:pPr>
        <w:ind w:left="1660" w:right="1159" w:firstLine="290"/>
        <w:spacing w:after="0" w:line="265" w:lineRule="auto"/>
        <w:tabs>
          <w:tab w:leader="none" w:pos="22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gain (loss) (less all fees and expenses relating thereto) on asset sales, disposals or abandonments (other than asset sales, disposals or abandonments in the ordinary course of business) or discontinued operations (but if such operations are classified as discontinued due to the fact that they are subject to an agreement to dispose of such operations, only when and to the extent such operations are actually disposed of), shall be excluded,</w:t>
      </w:r>
    </w:p>
    <w:p>
      <w:pPr>
        <w:spacing w:after="0" w:line="144"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2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effect of gains or losses (less all fees and expenses relating thereto) attributable to asset dispositions or abandonments other than in the ordinary course of business, as determined in good faith by the board of directors of the Borrower, shall be excluded,</w:t>
      </w:r>
    </w:p>
    <w:p>
      <w:pPr>
        <w:spacing w:after="0" w:line="135" w:lineRule="exact"/>
        <w:rPr>
          <w:rFonts w:ascii="Times New Roman" w:cs="Times New Roman" w:eastAsia="Times New Roman" w:hAnsi="Times New Roman"/>
          <w:sz w:val="14"/>
          <w:szCs w:val="14"/>
          <w:color w:val="auto"/>
        </w:rPr>
      </w:pPr>
    </w:p>
    <w:p>
      <w:pPr>
        <w:jc w:val="both"/>
        <w:ind w:left="1660" w:right="1159" w:firstLine="290"/>
        <w:spacing w:after="0" w:line="261" w:lineRule="auto"/>
        <w:tabs>
          <w:tab w:leader="none" w:pos="22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Net Income for such period of any Person that is not the Borrower or a Subsidiary or is an Unrestricted Subsidiary, or that is accounted for by the equity method of accounting, shall be included to the extent of the amount of such Net Income of such person multiplied by such referent Person’s or its subsidiary’s percentage ownership of the economic interests in such Person and (B) the Net Income for such period shall include any dividend, distribution or other payment in cash (or to the extent converted into cash or Cash Equivalents) received by the referent Person or a Subsidiary thereof (other than an Unrestricted Subsidiary of such referent Person) from any person in excess of, but without duplication of, any amounts included in subclause (A),</w:t>
      </w:r>
    </w:p>
    <w:p>
      <w:pPr>
        <w:spacing w:after="0" w:line="148" w:lineRule="exact"/>
        <w:rPr>
          <w:rFonts w:ascii="Times New Roman" w:cs="Times New Roman" w:eastAsia="Times New Roman" w:hAnsi="Times New Roman"/>
          <w:sz w:val="14"/>
          <w:szCs w:val="14"/>
          <w:color w:val="auto"/>
        </w:rPr>
      </w:pPr>
    </w:p>
    <w:p>
      <w:pPr>
        <w:jc w:val="both"/>
        <w:ind w:left="1660" w:right="1159" w:firstLine="290"/>
        <w:spacing w:after="0" w:line="258" w:lineRule="auto"/>
        <w:tabs>
          <w:tab w:leader="none" w:pos="22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solely for the purpose of determining the amount available for Restricted Payments under </w:t>
      </w:r>
      <w:r>
        <w:rPr>
          <w:rFonts w:ascii="Times New Roman" w:cs="Times New Roman" w:eastAsia="Times New Roman" w:hAnsi="Times New Roman"/>
          <w:sz w:val="14"/>
          <w:szCs w:val="14"/>
          <w:u w:val="single" w:color="auto"/>
          <w:color w:val="auto"/>
        </w:rPr>
        <w:t>clause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(a)(iii)(A)</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equity holders, unless such restriction with respect to the payment of dividends or similar distributions (a) has been legally waived, or otherwise released, (b) is imposed pursuant to this Agreement and other Credit Documents, the Second Lien Credit Documents, Permitted Debt Exchange Notes, New Term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Consolidated Net Income of the referent Person will be increased by the amount of dividends or other distributions or other payments actually paid in cash (or to the extent converted into cash) or Cash Equivalents to such Person or a Restricted Subsidiary in respect of such period, to the extent not already included therein, shall be excluded,</w:t>
      </w:r>
    </w:p>
    <w:p>
      <w:pPr>
        <w:spacing w:after="0" w:line="156" w:lineRule="exact"/>
        <w:rPr>
          <w:rFonts w:ascii="Times New Roman" w:cs="Times New Roman" w:eastAsia="Times New Roman" w:hAnsi="Times New Roman"/>
          <w:sz w:val="14"/>
          <w:szCs w:val="14"/>
          <w:color w:val="auto"/>
        </w:rPr>
      </w:pPr>
    </w:p>
    <w:p>
      <w:pPr>
        <w:jc w:val="both"/>
        <w:ind w:left="1660" w:right="1159" w:firstLine="290"/>
        <w:spacing w:after="0" w:line="178" w:lineRule="exact"/>
        <w:tabs>
          <w:tab w:leader="none" w:pos="2234"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adjustments (including the effects of such adjustments pushed down to the Borrower and the Restricted Subsidiaries) in any line item in such Person’s consolidated financial statements required or permitted by Financial Accounting Standards Codification Topic 805 – Business Combinations and Topic 350 – Intangibles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Goodwill and Other (ASC 805 and ASC 350) (formerly Financial Accounting Standards Board Statement Nos. 141 and 142, respectively) resulting from the application of purchase accounting, including in relation to the Transactions and any acquisition that is consummated after the Closing Date or the amortization or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of any amounts thereof, net of taxes, shall be excluded,</w:t>
      </w:r>
    </w:p>
    <w:p>
      <w:pPr>
        <w:spacing w:after="0" w:line="137" w:lineRule="exact"/>
        <w:rPr>
          <w:rFonts w:ascii="Times New Roman" w:cs="Times New Roman" w:eastAsia="Times New Roman" w:hAnsi="Times New Roman"/>
          <w:sz w:val="14"/>
          <w:szCs w:val="14"/>
          <w:color w:val="auto"/>
        </w:rPr>
      </w:pPr>
    </w:p>
    <w:p>
      <w:pPr>
        <w:jc w:val="both"/>
        <w:ind w:left="1660" w:right="1159" w:firstLine="290"/>
        <w:spacing w:after="0" w:line="174" w:lineRule="exact"/>
        <w:tabs>
          <w:tab w:leader="none" w:pos="25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effect of income (loss) from the early extinguishment of Indebtedness or Hedging Obligations or other derivative instruments (including deferred financing costs written off and premiums paid), (b)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income (or loss) related to currency gains or losses related to Indebtedness, intercompany balances, and other balance sheet items and to Hedging Obligations pursuant to ASC 815 (or such successor provision), and (c)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expense, income, or loss attributable to the movement in mark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market valuation of foreign currencies, Indebtedness, or derivative instruments pursuant to GAAP, shall be excluded,</w:t>
      </w: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03" w:name="page104"/>
    <w:bookmarkEnd w:id="103"/>
    <w:p>
      <w:pPr>
        <w:ind w:left="1660" w:right="1159" w:firstLine="290"/>
        <w:spacing w:after="0" w:line="184" w:lineRule="exact"/>
        <w:tabs>
          <w:tab w:leader="none" w:pos="2234"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impairment charge, asset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or write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down pursuant to ASC 350 and Financial Accounting Standards Codification Topic 360 – Impairment and Disposal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Lived Assets (ASC 360) (formerly Financial Accounting Standards Board Statement No. 144) and the amortization of intangibles arising pursuant to ASC 805 shall be excluded,</w:t>
      </w:r>
    </w:p>
    <w:p>
      <w:pPr>
        <w:spacing w:after="0" w:line="128" w:lineRule="exact"/>
        <w:rPr>
          <w:rFonts w:ascii="Times New Roman" w:cs="Times New Roman" w:eastAsia="Times New Roman" w:hAnsi="Times New Roman"/>
          <w:sz w:val="14"/>
          <w:szCs w:val="14"/>
          <w:color w:val="auto"/>
        </w:rPr>
      </w:pPr>
    </w:p>
    <w:p>
      <w:pPr>
        <w:jc w:val="both"/>
        <w:ind w:left="1660" w:right="1159" w:firstLine="290"/>
        <w:spacing w:after="0" w:line="187" w:lineRule="exact"/>
        <w:tabs>
          <w:tab w:leader="none" w:pos="2234"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compensation expense recorded from or in connection with any share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arrangements including stock appreciation or similar rights, phantom equity, stock options, restricted stock, capital or profits interests or other rights to officers, directors, managers, or employees and</w:t>
      </w:r>
    </w:p>
    <w:p>
      <w:pPr>
        <w:spacing w:after="0" w:line="1" w:lineRule="exact"/>
        <w:rPr>
          <w:rFonts w:ascii="Times New Roman" w:cs="Times New Roman" w:eastAsia="Times New Roman" w:hAnsi="Times New Roman"/>
          <w:sz w:val="14"/>
          <w:szCs w:val="14"/>
          <w:color w:val="auto"/>
        </w:rPr>
      </w:pPr>
    </w:p>
    <w:p>
      <w:pPr>
        <w:ind w:left="1860" w:hanging="196"/>
        <w:spacing w:after="0" w:line="161" w:lineRule="exact"/>
        <w:tabs>
          <w:tab w:leader="none" w:pos="18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income (loss) attributable to deferred compensation plans or trusts, shall be excluded,</w:t>
      </w:r>
    </w:p>
    <w:p>
      <w:pPr>
        <w:spacing w:after="0" w:line="169" w:lineRule="exact"/>
        <w:rPr>
          <w:rFonts w:ascii="Times New Roman" w:cs="Times New Roman" w:eastAsia="Times New Roman" w:hAnsi="Times New Roman"/>
          <w:sz w:val="14"/>
          <w:szCs w:val="14"/>
          <w:color w:val="auto"/>
        </w:rPr>
      </w:pPr>
    </w:p>
    <w:p>
      <w:pPr>
        <w:jc w:val="both"/>
        <w:ind w:left="1660" w:right="1159" w:firstLine="290"/>
        <w:spacing w:after="0" w:line="175" w:lineRule="exact"/>
        <w:tabs>
          <w:tab w:leader="none" w:pos="2234"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Closing Date and any such transaction undertaken but not completed) and any charges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recurring merger costs incurred during such period as a result of any such transaction shall be excluded,</w:t>
      </w:r>
    </w:p>
    <w:p>
      <w:pPr>
        <w:spacing w:after="0" w:line="158" w:lineRule="exact"/>
        <w:rPr>
          <w:rFonts w:ascii="Times New Roman" w:cs="Times New Roman" w:eastAsia="Times New Roman" w:hAnsi="Times New Roman"/>
          <w:sz w:val="14"/>
          <w:szCs w:val="14"/>
          <w:color w:val="auto"/>
        </w:rPr>
      </w:pPr>
    </w:p>
    <w:p>
      <w:pPr>
        <w:jc w:val="both"/>
        <w:ind w:left="1660" w:right="1159" w:firstLine="290"/>
        <w:spacing w:after="0" w:line="268" w:lineRule="auto"/>
        <w:tabs>
          <w:tab w:leader="none" w:pos="2234"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accruals and reserves (including contingent liabilities) that are established or adjusted within twelve months after the Closing Date that are so required to be established as a result of the Transactions in accordance with GAAP, or changes as a result of adoption or modification of accounting policies, shall be excluded,</w:t>
      </w:r>
    </w:p>
    <w:p>
      <w:pPr>
        <w:spacing w:after="0" w:line="141" w:lineRule="exact"/>
        <w:rPr>
          <w:rFonts w:ascii="Times New Roman" w:cs="Times New Roman" w:eastAsia="Times New Roman" w:hAnsi="Times New Roman"/>
          <w:sz w:val="14"/>
          <w:szCs w:val="14"/>
          <w:color w:val="auto"/>
        </w:rPr>
      </w:pPr>
    </w:p>
    <w:p>
      <w:pPr>
        <w:jc w:val="both"/>
        <w:ind w:left="1660" w:right="1159" w:firstLine="290"/>
        <w:spacing w:after="0" w:line="264" w:lineRule="auto"/>
        <w:tabs>
          <w:tab w:leader="none" w:pos="25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in fact reimbursed within 365 days of the date of the determination by the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142" w:lineRule="exact"/>
        <w:rPr>
          <w:rFonts w:ascii="Times New Roman" w:cs="Times New Roman" w:eastAsia="Times New Roman" w:hAnsi="Times New Roman"/>
          <w:sz w:val="14"/>
          <w:szCs w:val="14"/>
          <w:color w:val="auto"/>
        </w:rPr>
      </w:pPr>
    </w:p>
    <w:p>
      <w:pPr>
        <w:jc w:val="both"/>
        <w:ind w:left="1660" w:right="1159" w:firstLine="290"/>
        <w:spacing w:after="0" w:line="293" w:lineRule="auto"/>
        <w:tabs>
          <w:tab w:leader="none" w:pos="25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deferred tax expense associated with tax deductions or net operating losses arising as a result of the Transactions, or the release of any valuation allowance related to such items, shall be excluded,</w:t>
      </w:r>
    </w:p>
    <w:p>
      <w:pPr>
        <w:spacing w:after="0" w:line="123" w:lineRule="exact"/>
        <w:rPr>
          <w:rFonts w:ascii="Times New Roman" w:cs="Times New Roman" w:eastAsia="Times New Roman" w:hAnsi="Times New Roman"/>
          <w:sz w:val="14"/>
          <w:szCs w:val="14"/>
          <w:color w:val="auto"/>
        </w:rPr>
      </w:pPr>
    </w:p>
    <w:p>
      <w:pPr>
        <w:ind w:left="1660" w:right="1159" w:firstLine="290"/>
        <w:spacing w:after="0" w:line="275" w:lineRule="auto"/>
        <w:tabs>
          <w:tab w:leader="none" w:pos="2234"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costs or expenses incurred during such period relating to environmental remediation, litigation, or other disputes in respect of events and exposures that occurred prior to the Closing Date shall be excluded, and</w:t>
      </w:r>
    </w:p>
    <w:p>
      <w:pPr>
        <w:spacing w:after="0" w:line="135"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charges resulting from the application of Accounting Standards Codification Topic 480-10-25-4 “Distinguishing Liabilities from Equity— Overall— Recognition” or Accounting Standards Codification Topic 820 “Fair Value Measurements and Disclosures” shall be excluded.</w:t>
      </w:r>
    </w:p>
    <w:p>
      <w:pPr>
        <w:spacing w:after="0" w:line="133"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Total Assets</w:t>
      </w:r>
      <w:r>
        <w:rPr>
          <w:rFonts w:ascii="Times New Roman" w:cs="Times New Roman" w:eastAsia="Times New Roman" w:hAnsi="Times New Roman"/>
          <w:sz w:val="14"/>
          <w:szCs w:val="14"/>
          <w:color w:val="auto"/>
        </w:rPr>
        <w:t>” shall mean, as of any date of determination, the amount that would, in conformity with GAAP, be set forth opposite the caption “total assets” (or any like caption) on the most recent consolidated balance sheet of the Borrower and the Restricted Subsidiaries at such date.</w:t>
      </w:r>
    </w:p>
    <w:p>
      <w:pPr>
        <w:spacing w:after="0" w:line="133" w:lineRule="exact"/>
        <w:rPr>
          <w:sz w:val="20"/>
          <w:szCs w:val="20"/>
          <w:color w:val="auto"/>
        </w:rPr>
      </w:pPr>
    </w:p>
    <w:p>
      <w:pPr>
        <w:ind w:left="1140" w:right="119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Total Debt</w:t>
      </w:r>
      <w:r>
        <w:rPr>
          <w:rFonts w:ascii="Times New Roman" w:cs="Times New Roman" w:eastAsia="Times New Roman" w:hAnsi="Times New Roman"/>
          <w:sz w:val="14"/>
          <w:szCs w:val="14"/>
          <w:color w:val="auto"/>
        </w:rPr>
        <w:t xml:space="preserve">” shall mean, as at any date of determination, an amount equal to the sum of the aggregate amount of all outstanding Indebtedness of the Borrower and the Restricted Subsidiaries on a consolidated basis consisting of third party Indebtedness for borrowed money, Capitalized Lease Obligations and debt obligations evidenced by promissory notes and similar instruments (and excluding, for the avoidance of doubt, Hedging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Consolidated Total Debt shall not include Letters of Credit, except to the extent of Unpaid Drawings hereunder;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the effects of pushdown accounting shall be excluded.</w:t>
      </w:r>
    </w:p>
    <w:p>
      <w:pPr>
        <w:spacing w:after="0" w:line="143"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Total Debt to Consolidated EBITDA Ratio</w:t>
      </w:r>
      <w:r>
        <w:rPr>
          <w:rFonts w:ascii="Times New Roman" w:cs="Times New Roman" w:eastAsia="Times New Roman" w:hAnsi="Times New Roman"/>
          <w:sz w:val="14"/>
          <w:szCs w:val="14"/>
          <w:color w:val="auto"/>
        </w:rPr>
        <w:t xml:space="preserve">” shall mean, as of any date of determination, the ratio of (i) Consolidated Total Debt as of such date of determination,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cash and Cash Equivalents (in each case, free and clear of all Liens other than Permitted Liens) of the Borrower and the Restricted</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104" w:name="page105"/>
    <w:bookmarkEnd w:id="104"/>
    <w:p>
      <w:pPr>
        <w:ind w:left="1140" w:right="1419"/>
        <w:spacing w:after="0" w:line="275" w:lineRule="auto"/>
        <w:rPr>
          <w:sz w:val="20"/>
          <w:szCs w:val="20"/>
          <w:color w:val="auto"/>
        </w:rPr>
      </w:pPr>
      <w:r>
        <w:rPr>
          <w:rFonts w:ascii="Times New Roman" w:cs="Times New Roman" w:eastAsia="Times New Roman" w:hAnsi="Times New Roman"/>
          <w:sz w:val="14"/>
          <w:szCs w:val="14"/>
          <w:color w:val="auto"/>
        </w:rPr>
        <w:t xml:space="preserve">Subsidiaries to (ii) Consolidated EBITDA of the Borrower for the Test Period most recently ended on or prior to such date of determination, in each case with such pro forma adjustments to Consolidated Total Debt and Consolidated EBITDA as are appropriate and consistent with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140" w:right="115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Consolidated Working Capital</w:t>
      </w:r>
      <w:r>
        <w:rPr>
          <w:rFonts w:ascii="Times New Roman" w:cs="Times New Roman" w:eastAsia="Times New Roman" w:hAnsi="Times New Roman"/>
          <w:sz w:val="14"/>
          <w:szCs w:val="14"/>
          <w:color w:val="auto"/>
        </w:rPr>
        <w:t xml:space="preserve">” shall mean, at any date, the excess of (i)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w:t>
      </w:r>
      <w:r>
        <w:rPr>
          <w:rFonts w:ascii="Times New Roman" w:cs="Times New Roman" w:eastAsia="Times New Roman" w:hAnsi="Times New Roman"/>
          <w:sz w:val="14"/>
          <w:szCs w:val="14"/>
          <w:i w:val="1"/>
          <w:iCs w:val="1"/>
          <w:color w:val="auto"/>
        </w:rPr>
        <w:t>over</w:t>
      </w:r>
      <w:r>
        <w:rPr>
          <w:rFonts w:ascii="Times New Roman" w:cs="Times New Roman" w:eastAsia="Times New Roman" w:hAnsi="Times New Roman"/>
          <w:sz w:val="14"/>
          <w:szCs w:val="14"/>
          <w:color w:val="auto"/>
        </w:rPr>
        <w:t xml:space="preserve"> (ii) the sum of all amounts that would, in conformity with GAAP, be set forth opposite the caption “total current liabilities” (or any like caption) on a consolidated balance sheet of the Borrower and the Restricted Subsidiaries on such date, but excluding (for purposes of both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without duplication, (a) the current portion of any Funded Debt, (b) all Indebtedness consisting of Loans, Second Lien Loans and Letter of Credit Exposure and Capital Leases to the extent otherwise included therein, (c) the current portion of interest, (d) the current portion of current and deferred income taxes, (e) any liabilities that are not Indebtedness and will not be settled in cash or Cash Equivalents during the next succeeding twelve month period after such date, (f) the effects from applying purchase accounting, (g) any accrued professional liability risks, (h) restricted marketable securities, and (i) deferred revenue reflected within current liabilities;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purposes of calculating Excess Cash Flow, increases or decreases in working capital (A) arising from acquisitions or dispositions by the Borrower and the Restricted Subsidiaries shall be measured from the date on which such acquisition or disposition occurred and (B) shall exclude (I) the impact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other than as a result of the passage of time, in accordance with GAAP of assets or liabilities, as applicable, between current and noncurrent or (z) the effects of acquisition method accounting.</w:t>
      </w:r>
    </w:p>
    <w:p>
      <w:pPr>
        <w:spacing w:after="0" w:line="326" w:lineRule="exact"/>
        <w:rPr>
          <w:sz w:val="20"/>
          <w:szCs w:val="20"/>
          <w:color w:val="auto"/>
        </w:rPr>
      </w:pPr>
    </w:p>
    <w:p>
      <w:pPr>
        <w:ind w:left="1140" w:right="117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Contingent Obligations</w:t>
      </w:r>
      <w:r>
        <w:rPr>
          <w:rFonts w:ascii="Times New Roman" w:cs="Times New Roman" w:eastAsia="Times New Roman" w:hAnsi="Times New Roman"/>
          <w:sz w:val="14"/>
          <w:szCs w:val="14"/>
          <w:color w:val="auto"/>
        </w:rPr>
        <w:t>” shall mean, with respect to any Person, any obligation of such Person guaranteeing any leases, dividends, or other payment obligations that do not constitute Indebtedness (“</w:t>
      </w:r>
      <w:r>
        <w:rPr>
          <w:rFonts w:ascii="Times New Roman" w:cs="Times New Roman" w:eastAsia="Times New Roman" w:hAnsi="Times New Roman"/>
          <w:sz w:val="14"/>
          <w:szCs w:val="14"/>
          <w:b w:val="1"/>
          <w:bCs w:val="1"/>
          <w:color w:val="auto"/>
        </w:rPr>
        <w:t>primary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4"/>
          <w:szCs w:val="14"/>
          <w:color w:val="auto"/>
        </w:rPr>
        <w:t>”) of any other Person (the “</w:t>
      </w:r>
      <w:r>
        <w:rPr>
          <w:rFonts w:ascii="Times New Roman" w:cs="Times New Roman" w:eastAsia="Times New Roman" w:hAnsi="Times New Roman"/>
          <w:sz w:val="14"/>
          <w:szCs w:val="14"/>
          <w:b w:val="1"/>
          <w:bCs w:val="1"/>
          <w:color w:val="auto"/>
        </w:rPr>
        <w:t>primary obligor</w:t>
      </w:r>
      <w:r>
        <w:rPr>
          <w:rFonts w:ascii="Times New Roman" w:cs="Times New Roman" w:eastAsia="Times New Roman" w:hAnsi="Times New Roman"/>
          <w:sz w:val="14"/>
          <w:szCs w:val="14"/>
          <w:color w:val="auto"/>
        </w:rPr>
        <w:t>”) in any manner, whether directly or indirectly, including,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without limitation,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46"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 Consideration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clause (ii)(k)</w:t>
      </w:r>
      <w:r>
        <w:rPr>
          <w:rFonts w:ascii="Times New Roman" w:cs="Times New Roman" w:eastAsia="Times New Roman" w:hAnsi="Times New Roman"/>
          <w:sz w:val="14"/>
          <w:szCs w:val="14"/>
          <w:color w:val="auto"/>
        </w:rPr>
        <w:t xml:space="preserve"> of the definition of “Excess Cash Flow.”</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Contractual Requirement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8.3</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Controlled Investment Affiliate</w:t>
      </w:r>
      <w:r>
        <w:rPr>
          <w:rFonts w:ascii="Times New Roman" w:cs="Times New Roman" w:eastAsia="Times New Roman" w:hAnsi="Times New Roman"/>
          <w:sz w:val="14"/>
          <w:szCs w:val="14"/>
          <w:color w:val="auto"/>
        </w:rPr>
        <w:t>” shall mean, as to any Person, any other Person (other than any Permitted Holder) who directly or indirectly controls, is controlled by, or is under common control with such Person and is organized by such Person (or any Person controlling such Person) primarily for making direct or indirect equity investments in Holdings and/or any Parent Entity.</w:t>
      </w:r>
    </w:p>
    <w:p>
      <w:pPr>
        <w:spacing w:after="0" w:line="139" w:lineRule="exact"/>
        <w:rPr>
          <w:sz w:val="20"/>
          <w:szCs w:val="20"/>
          <w:color w:val="auto"/>
        </w:rPr>
      </w:pPr>
    </w:p>
    <w:p>
      <w:pPr>
        <w:ind w:left="1140" w:right="1459" w:firstLine="1069"/>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Converted Restricted Subsidiary</w:t>
      </w:r>
      <w:r>
        <w:rPr>
          <w:rFonts w:ascii="Times New Roman" w:cs="Times New Roman" w:eastAsia="Times New Roman" w:hAnsi="Times New Roman"/>
          <w:sz w:val="14"/>
          <w:szCs w:val="14"/>
          <w:color w:val="auto"/>
        </w:rPr>
        <w:t>” shall have the meaning provided in the definition of the term “Consolidated EBITDA.”</w:t>
      </w:r>
    </w:p>
    <w:p>
      <w:pPr>
        <w:spacing w:after="0" w:line="119"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Converted Unrestricted Subsidiary</w:t>
      </w:r>
      <w:r>
        <w:rPr>
          <w:rFonts w:ascii="Times New Roman" w:cs="Times New Roman" w:eastAsia="Times New Roman" w:hAnsi="Times New Roman"/>
          <w:sz w:val="14"/>
          <w:szCs w:val="14"/>
          <w:color w:val="auto"/>
        </w:rPr>
        <w:t>” shall have the meaning provided in the definition of the term “Consolidated EBITDA.”</w:t>
      </w:r>
    </w:p>
    <w:p>
      <w:pPr>
        <w:spacing w:after="0" w:line="119" w:lineRule="exact"/>
        <w:rPr>
          <w:sz w:val="20"/>
          <w:szCs w:val="20"/>
          <w:color w:val="auto"/>
        </w:rPr>
      </w:pPr>
    </w:p>
    <w:p>
      <w:pPr>
        <w:ind w:left="1140" w:right="1279" w:firstLine="1069"/>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Card Receivables</w:t>
      </w:r>
      <w:r>
        <w:rPr>
          <w:rFonts w:ascii="Times New Roman" w:cs="Times New Roman" w:eastAsia="Times New Roman" w:hAnsi="Times New Roman"/>
          <w:sz w:val="14"/>
          <w:szCs w:val="14"/>
          <w:color w:val="auto"/>
        </w:rPr>
        <w:t>” shall mean, as of any date of determination, the amount due from third-party financial institutions for credit and debit card transactions that would, in conformity with GAAP, be set forth opposite the caption “cash equivalents” (or any like caption) on the most recent consolidated balance sheet of the Borrower and its Restricted Subsidiaries at such date.</w:t>
      </w: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05" w:name="page106"/>
    <w:bookmarkEnd w:id="105"/>
    <w:p>
      <w:pPr>
        <w:ind w:left="1140" w:right="123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Documents</w:t>
      </w:r>
      <w:r>
        <w:rPr>
          <w:rFonts w:ascii="Times New Roman" w:cs="Times New Roman" w:eastAsia="Times New Roman" w:hAnsi="Times New Roman"/>
          <w:sz w:val="14"/>
          <w:szCs w:val="14"/>
          <w:color w:val="auto"/>
        </w:rPr>
        <w:t xml:space="preserve">” shall mean this Agreement, each Joinder Agreement, each Extension Amendment, each Permitted Repricing Amendment, the Guarantees, the Security Documents, Amendment No. 1, Amendment No. 2, Amendment No. 3, Amendment No. 4, Amendment No. 5, Amendment No. 6, </w:t>
      </w:r>
      <w:r>
        <w:rPr>
          <w:rFonts w:ascii="Times New Roman" w:cs="Times New Roman" w:eastAsia="Times New Roman" w:hAnsi="Times New Roman"/>
          <w:sz w:val="14"/>
          <w:szCs w:val="14"/>
          <w:u w:val="single" w:color="auto"/>
          <w:color w:val="0000FF"/>
        </w:rPr>
        <w:t>Amendment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any documents or certificates executed by the Borrower in favor of the Letter of Credit Issuer relating to any</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Letter of Credit and any promissory notes issued by the Borrower pursuant hereto.</w:t>
      </w:r>
    </w:p>
    <w:p>
      <w:pPr>
        <w:spacing w:after="0" w:line="141" w:lineRule="exact"/>
        <w:rPr>
          <w:sz w:val="20"/>
          <w:szCs w:val="20"/>
          <w:color w:val="auto"/>
        </w:rPr>
      </w:pPr>
    </w:p>
    <w:p>
      <w:pPr>
        <w:jc w:val="both"/>
        <w:ind w:left="1140" w:right="12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Event</w:t>
      </w:r>
      <w:r>
        <w:rPr>
          <w:rFonts w:ascii="Times New Roman" w:cs="Times New Roman" w:eastAsia="Times New Roman" w:hAnsi="Times New Roman"/>
          <w:sz w:val="14"/>
          <w:szCs w:val="14"/>
          <w:color w:val="auto"/>
        </w:rPr>
        <w:t>” shall mean and include the making (but not the conversion or continuation) of a Loan and/or the issuance of a Letter of Credit (and any amendment that increases the Stated Amount or extends the expiry date thereof).</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Facilities</w:t>
      </w:r>
      <w:r>
        <w:rPr>
          <w:rFonts w:ascii="Times New Roman" w:cs="Times New Roman" w:eastAsia="Times New Roman" w:hAnsi="Times New Roman"/>
          <w:sz w:val="14"/>
          <w:szCs w:val="14"/>
          <w:color w:val="auto"/>
        </w:rPr>
        <w:t>” shall mean, collectively, each category of Commitments and each extension of</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credit hereunder.</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Facility</w:t>
      </w:r>
      <w:r>
        <w:rPr>
          <w:rFonts w:ascii="Times New Roman" w:cs="Times New Roman" w:eastAsia="Times New Roman" w:hAnsi="Times New Roman"/>
          <w:sz w:val="14"/>
          <w:szCs w:val="14"/>
          <w:color w:val="auto"/>
        </w:rPr>
        <w:t>” shall mean a category of Commitments and extensions of credit thereunder.</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Credit Party</w:t>
      </w:r>
      <w:r>
        <w:rPr>
          <w:rFonts w:ascii="Times New Roman" w:cs="Times New Roman" w:eastAsia="Times New Roman" w:hAnsi="Times New Roman"/>
          <w:sz w:val="14"/>
          <w:szCs w:val="14"/>
          <w:color w:val="auto"/>
        </w:rPr>
        <w:t>” shall mean Holdings, the Borrower and the other Guarantors.</w:t>
      </w:r>
    </w:p>
    <w:p>
      <w:pPr>
        <w:spacing w:after="0" w:line="183" w:lineRule="exact"/>
        <w:rPr>
          <w:sz w:val="20"/>
          <w:szCs w:val="20"/>
          <w:color w:val="auto"/>
        </w:rPr>
      </w:pPr>
    </w:p>
    <w:p>
      <w:pPr>
        <w:jc w:val="both"/>
        <w:ind w:left="1140" w:right="11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CS</w:t>
      </w:r>
      <w:r>
        <w:rPr>
          <w:rFonts w:ascii="Times New Roman" w:cs="Times New Roman" w:eastAsia="Times New Roman" w:hAnsi="Times New Roman"/>
          <w:sz w:val="14"/>
          <w:szCs w:val="14"/>
          <w:color w:val="auto"/>
        </w:rPr>
        <w:t>” shall mean Credit Suisse Loan Funding LLC and Credit Suisse AG, Cayman Islands Branch, together with their respective affiliates.</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Cure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11.14</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Cured Default</w:t>
      </w:r>
      <w:r>
        <w:rPr>
          <w:rFonts w:ascii="Times New Roman" w:cs="Times New Roman" w:eastAsia="Times New Roman" w:hAnsi="Times New Roman"/>
          <w:sz w:val="14"/>
          <w:szCs w:val="14"/>
          <w:u w:val="single" w:color="auto"/>
          <w:color w:val="0000FF"/>
        </w:rPr>
        <w:t>” shall have the meaning provided in Section 1.2(j).</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Cure Right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11.14</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Daily Simple SOFR</w:t>
      </w:r>
      <w:r>
        <w:rPr>
          <w:rFonts w:ascii="Times New Roman" w:cs="Times New Roman" w:eastAsia="Times New Roman" w:hAnsi="Times New Roman"/>
          <w:sz w:val="14"/>
          <w:szCs w:val="14"/>
          <w:color w:val="auto"/>
        </w:rPr>
        <w:t>” shall mean,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consultation with the Borrower.</w:t>
      </w:r>
    </w:p>
    <w:p>
      <w:pPr>
        <w:spacing w:after="0" w:line="143" w:lineRule="exact"/>
        <w:rPr>
          <w:sz w:val="20"/>
          <w:szCs w:val="20"/>
          <w:color w:val="auto"/>
        </w:rPr>
      </w:pPr>
    </w:p>
    <w:p>
      <w:pPr>
        <w:ind w:left="1140" w:right="11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Debt Incurrence Prepayment Event</w:t>
      </w:r>
      <w:r>
        <w:rPr>
          <w:rFonts w:ascii="Times New Roman" w:cs="Times New Roman" w:eastAsia="Times New Roman" w:hAnsi="Times New Roman"/>
          <w:sz w:val="14"/>
          <w:szCs w:val="14"/>
          <w:color w:val="auto"/>
        </w:rPr>
        <w:t xml:space="preserve">” shall mean any issuance or incurrence by the Borrower or any of the Restricted Subsidiaries of any Indebtedness (excluding any Indebtedness permitted to be issued or incurred under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 10.1(w)(i))</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Declined Proceeds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5.2(f)</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w:t>
      </w:r>
      <w:r>
        <w:rPr>
          <w:rFonts w:ascii="Times New Roman" w:cs="Times New Roman" w:eastAsia="Times New Roman" w:hAnsi="Times New Roman"/>
          <w:sz w:val="14"/>
          <w:szCs w:val="14"/>
          <w:color w:val="auto"/>
        </w:rPr>
        <w:t>” shall mean any event, act, or condition that with notice or lapse of time, or both, would constitute an Event of Default.</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 Rate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2.8(c)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4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Defaulting Lender</w:t>
      </w:r>
      <w:r>
        <w:rPr>
          <w:rFonts w:ascii="Times New Roman" w:cs="Times New Roman" w:eastAsia="Times New Roman" w:hAnsi="Times New Roman"/>
          <w:sz w:val="14"/>
          <w:szCs w:val="14"/>
          <w:color w:val="auto"/>
        </w:rPr>
        <w:t>” shall mean any Lender whose acts or failure to act, whether directly or indirectly, cause it to meet any part of the definition of Lender Default.</w:t>
      </w:r>
    </w:p>
    <w:p>
      <w:pPr>
        <w:spacing w:after="0" w:line="119" w:lineRule="exact"/>
        <w:rPr>
          <w:sz w:val="20"/>
          <w:szCs w:val="20"/>
          <w:color w:val="auto"/>
        </w:rPr>
      </w:pPr>
    </w:p>
    <w:p>
      <w:pPr>
        <w:ind w:left="1140" w:right="13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Deferred Net Cash Proceeds</w:t>
      </w:r>
      <w:r>
        <w:rPr>
          <w:rFonts w:ascii="Times New Roman" w:cs="Times New Roman" w:eastAsia="Times New Roman" w:hAnsi="Times New Roman"/>
          <w:sz w:val="14"/>
          <w:szCs w:val="14"/>
          <w:color w:val="auto"/>
        </w:rPr>
        <w:t>” shall have the meaning provided such term in the definition of Net Cash Proceeds.</w:t>
      </w:r>
    </w:p>
    <w:p>
      <w:pPr>
        <w:spacing w:after="0" w:line="119"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Deferred Net Cash Proceeds Payment Date</w:t>
      </w:r>
      <w:r>
        <w:rPr>
          <w:rFonts w:ascii="Times New Roman" w:cs="Times New Roman" w:eastAsia="Times New Roman" w:hAnsi="Times New Roman"/>
          <w:sz w:val="14"/>
          <w:szCs w:val="14"/>
          <w:color w:val="auto"/>
        </w:rPr>
        <w:t>” shall have the meaning provided such term in the definition of Net Cash Proceeds.</w:t>
      </w:r>
    </w:p>
    <w:p>
      <w:pPr>
        <w:spacing w:after="0" w:line="119"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Delaware Divided LLC</w:t>
      </w:r>
      <w:r>
        <w:rPr>
          <w:rFonts w:ascii="Times New Roman" w:cs="Times New Roman" w:eastAsia="Times New Roman" w:hAnsi="Times New Roman"/>
          <w:sz w:val="14"/>
          <w:szCs w:val="14"/>
          <w:color w:val="auto"/>
        </w:rPr>
        <w:t>” means any Delaware LLC which has been formed upon consummation of a Delaware LLC Division.</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06" w:name="page107"/>
    <w:bookmarkEnd w:id="106"/>
    <w:p>
      <w:pPr>
        <w:ind w:left="2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Delaware LLC</w:t>
      </w:r>
      <w:r>
        <w:rPr>
          <w:rFonts w:ascii="Times New Roman" w:cs="Times New Roman" w:eastAsia="Times New Roman" w:hAnsi="Times New Roman"/>
          <w:sz w:val="14"/>
          <w:szCs w:val="14"/>
          <w:color w:val="auto"/>
        </w:rPr>
        <w:t>” means any limited liability company organized or formed under the laws of the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State of Delware.</w:t>
      </w:r>
    </w:p>
    <w:p>
      <w:pPr>
        <w:spacing w:after="0" w:line="168"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Delaware LLC Division</w:t>
      </w:r>
      <w:r>
        <w:rPr>
          <w:rFonts w:ascii="Times New Roman" w:cs="Times New Roman" w:eastAsia="Times New Roman" w:hAnsi="Times New Roman"/>
          <w:sz w:val="14"/>
          <w:szCs w:val="14"/>
          <w:color w:val="auto"/>
        </w:rPr>
        <w:t>” means the statutory division of any Delaware LLC into two or more Delaware LLCs pursuant to Section 18-217 of the Delaware Limited Liability Company Act.</w:t>
      </w:r>
    </w:p>
    <w:p>
      <w:pPr>
        <w:spacing w:after="0" w:line="119"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Draw First Lien Term Loan Facility</w:t>
      </w:r>
      <w:r>
        <w:rPr>
          <w:rFonts w:ascii="Times New Roman" w:cs="Times New Roman" w:eastAsia="Times New Roman" w:hAnsi="Times New Roman"/>
          <w:sz w:val="14"/>
          <w:szCs w:val="14"/>
          <w:color w:val="auto"/>
        </w:rPr>
        <w:t>” shall have the meaning provided in the recitals to this Agreement.</w:t>
      </w:r>
    </w:p>
    <w:p>
      <w:pPr>
        <w:spacing w:after="0" w:line="119" w:lineRule="exact"/>
        <w:rPr>
          <w:sz w:val="20"/>
          <w:szCs w:val="20"/>
          <w:color w:val="auto"/>
        </w:rPr>
      </w:pPr>
    </w:p>
    <w:p>
      <w:pPr>
        <w:ind w:left="1140" w:right="1219" w:firstLine="1033"/>
        <w:spacing w:after="0" w:line="28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Draw Funding Date</w:t>
      </w:r>
      <w:r>
        <w:rPr>
          <w:rFonts w:ascii="Times New Roman" w:cs="Times New Roman" w:eastAsia="Times New Roman" w:hAnsi="Times New Roman"/>
          <w:sz w:val="14"/>
          <w:szCs w:val="14"/>
          <w:color w:val="auto"/>
        </w:rPr>
        <w:t>” shall mean any date on which the Delayed Draw Term Loans are funded hereunder, which shall in no event be later than the Delayed Draw Term Loan Commitment Termination Date.</w:t>
      </w:r>
    </w:p>
    <w:p>
      <w:pPr>
        <w:spacing w:after="0" w:line="30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Draw Term Loan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Draw Term Loan Commitment</w:t>
      </w:r>
      <w:r>
        <w:rPr>
          <w:rFonts w:ascii="Times New Roman" w:cs="Times New Roman" w:eastAsia="Times New Roman" w:hAnsi="Times New Roman"/>
          <w:sz w:val="14"/>
          <w:szCs w:val="14"/>
          <w:color w:val="auto"/>
        </w:rPr>
        <w:t>” shall mean, (a) in the case of each Lender that is a Lender on the Closing Date, the amount set forth opposite such Lender’s name on Schedule 1.1 as such Lender’s “Delayed Draw Term Loan Commitment” and (b) in the case of any Lender that becomes a Lender after the Closing Date, the amount specified as such Lender’s “Delayed Draw Term Loan Commitment” in the Assignment and Acceptance pursuant to which such Lender assumed a portion of the Total Delayed Draw Term Loan Commitment, in each case as the same may be changed from time to time pursuant to the terms hereof. The aggregate amount of the Delayed Draw Term Loan Commitments as of the Closing Date is $150,000,000.</w:t>
      </w:r>
    </w:p>
    <w:p>
      <w:pPr>
        <w:spacing w:after="0" w:line="142" w:lineRule="exact"/>
        <w:rPr>
          <w:sz w:val="20"/>
          <w:szCs w:val="20"/>
          <w:color w:val="auto"/>
        </w:rPr>
      </w:pPr>
    </w:p>
    <w:p>
      <w:pPr>
        <w:ind w:left="1140" w:right="119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Delayed Draw Term Loan Commitment Termination Date</w:t>
      </w:r>
      <w:r>
        <w:rPr>
          <w:rFonts w:ascii="Times New Roman" w:cs="Times New Roman" w:eastAsia="Times New Roman" w:hAnsi="Times New Roman"/>
          <w:sz w:val="14"/>
          <w:szCs w:val="14"/>
          <w:color w:val="auto"/>
        </w:rPr>
        <w:t xml:space="preserve">” shall mean the earlier of (i) date that is six months after the Closing Date, (ii) the date on which the Delayed Draw Term Loan Commitment has been fully drawn and (iii) with respect to any Delayed Draw Term Loan Commitment that is terminated, the date of termination of such Delayed Draw Term Loan Commitment pursuant to </w:t>
      </w:r>
      <w:r>
        <w:rPr>
          <w:rFonts w:ascii="Times New Roman" w:cs="Times New Roman" w:eastAsia="Times New Roman" w:hAnsi="Times New Roman"/>
          <w:sz w:val="14"/>
          <w:szCs w:val="14"/>
          <w:u w:val="single" w:color="auto"/>
          <w:color w:val="auto"/>
        </w:rPr>
        <w:t>Section 4.2(b)</w:t>
      </w:r>
      <w:r>
        <w:rPr>
          <w:rFonts w:ascii="Times New Roman" w:cs="Times New Roman" w:eastAsia="Times New Roman" w:hAnsi="Times New Roman"/>
          <w:sz w:val="14"/>
          <w:szCs w:val="14"/>
          <w:color w:val="auto"/>
        </w:rPr>
        <w:t>; provided that if such date is not a Business Day, the “Delayed Draw Term Loan Commitment Termination Date” will be the next succeeding Business Day.</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Derivative Counterparty</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Designated Jurisdiction</w:t>
      </w:r>
      <w:r>
        <w:rPr>
          <w:rFonts w:ascii="Times New Roman" w:cs="Times New Roman" w:eastAsia="Times New Roman" w:hAnsi="Times New Roman"/>
          <w:sz w:val="14"/>
          <w:szCs w:val="14"/>
          <w:color w:val="auto"/>
        </w:rPr>
        <w:t>” shall mean any country or territory to the extent that such country or territory itself is the subject of any Sanctions.</w:t>
      </w:r>
    </w:p>
    <w:p>
      <w:pPr>
        <w:spacing w:after="0" w:line="90" w:lineRule="exact"/>
        <w:rPr>
          <w:sz w:val="20"/>
          <w:szCs w:val="20"/>
          <w:color w:val="auto"/>
        </w:rPr>
      </w:pPr>
    </w:p>
    <w:p>
      <w:pPr>
        <w:ind w:left="1140" w:right="1179" w:firstLine="1033"/>
        <w:spacing w:after="0" w:line="17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Designated 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Cash Consideration</w:t>
      </w:r>
      <w:r>
        <w:rPr>
          <w:rFonts w:ascii="Times New Roman" w:cs="Times New Roman" w:eastAsia="Times New Roman" w:hAnsi="Times New Roman"/>
          <w:sz w:val="14"/>
          <w:szCs w:val="14"/>
          <w:color w:val="auto"/>
        </w:rPr>
        <w:t>” shall mean the Fair Market Value of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consideration received by the Borrower or a Restricted Subsidiary in connection with an Asset Sale that is so designated as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Consideration pursuant to a certificate of an Authorized Officer the Borrower, setting forth the basis of such valuation, less the amount of cash or Cash Equivalents received in connection with a subsequent sale of or collection on or other disposition of such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Consideration. A particular item of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w:t>
      </w:r>
    </w:p>
    <w:p>
      <w:pPr>
        <w:spacing w:after="0" w:line="158" w:lineRule="exact"/>
        <w:rPr>
          <w:sz w:val="20"/>
          <w:szCs w:val="20"/>
          <w:color w:val="auto"/>
        </w:rPr>
      </w:pPr>
    </w:p>
    <w:p>
      <w:pPr>
        <w:ind w:left="1140" w:right="125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Designated Preferred Stock</w:t>
      </w:r>
      <w:r>
        <w:rPr>
          <w:rFonts w:ascii="Times New Roman" w:cs="Times New Roman" w:eastAsia="Times New Roman" w:hAnsi="Times New Roman"/>
          <w:sz w:val="14"/>
          <w:szCs w:val="14"/>
          <w:color w:val="auto"/>
        </w:rPr>
        <w:t xml:space="preserve">” shall mean preferred stock of the Borrower or any direct or indirect parent company of the Borrower (in each case other than Disqualified Stock) that is issued for cash (other than to a Restricted Subsidiary or an employee stock ownership plan or trust established by the Borrower or any of its Subsidiaries) and is so designated as Designated Preferred Stock, pursuant to an officer’s certificate executed by the principal financial officer of the Borrower or the parent company thereof, as the case may be, on the issuance date thereof, the cash proceeds of which are excluded from the calculation set forth in </w:t>
      </w:r>
      <w:r>
        <w:rPr>
          <w:rFonts w:ascii="Times New Roman" w:cs="Times New Roman" w:eastAsia="Times New Roman" w:hAnsi="Times New Roman"/>
          <w:sz w:val="14"/>
          <w:szCs w:val="14"/>
          <w:u w:val="single" w:color="auto"/>
          <w:color w:val="auto"/>
        </w:rPr>
        <w:t>Section 10.5(a)(iii)</w:t>
      </w:r>
      <w:r>
        <w:rPr>
          <w:rFonts w:ascii="Times New Roman" w:cs="Times New Roman" w:eastAsia="Times New Roman" w:hAnsi="Times New Roman"/>
          <w:sz w:val="14"/>
          <w:szCs w:val="14"/>
          <w:color w:val="auto"/>
        </w:rPr>
        <w:t>.</w:t>
      </w:r>
    </w:p>
    <w:p>
      <w:pPr>
        <w:spacing w:after="0" w:line="14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Determination Day</w:t>
      </w:r>
      <w:r>
        <w:rPr>
          <w:rFonts w:ascii="Times New Roman" w:cs="Times New Roman" w:eastAsia="Times New Roman" w:hAnsi="Times New Roman"/>
          <w:sz w:val="14"/>
          <w:szCs w:val="14"/>
          <w:color w:val="auto"/>
        </w:rPr>
        <w:t>” has the meaning specified in the definition of “Term SOFR”.</w:t>
      </w:r>
    </w:p>
    <w:p>
      <w:pPr>
        <w:spacing w:after="0" w:line="183"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Disposed EBITDA</w:t>
      </w:r>
      <w:r>
        <w:rPr>
          <w:rFonts w:ascii="Times New Roman" w:cs="Times New Roman" w:eastAsia="Times New Roman" w:hAnsi="Times New Roman"/>
          <w:sz w:val="14"/>
          <w:szCs w:val="14"/>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the Borrower and the Restricted</w:t>
      </w: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07" w:name="page108"/>
    <w:bookmarkEnd w:id="107"/>
    <w:p>
      <w:pPr>
        <w:ind w:left="1140" w:right="1439"/>
        <w:spacing w:after="0" w:line="275" w:lineRule="auto"/>
        <w:rPr>
          <w:sz w:val="20"/>
          <w:szCs w:val="20"/>
          <w:color w:val="auto"/>
        </w:rPr>
      </w:pPr>
      <w:r>
        <w:rPr>
          <w:rFonts w:ascii="Times New Roman" w:cs="Times New Roman" w:eastAsia="Times New Roman" w:hAnsi="Times New Roman"/>
          <w:sz w:val="14"/>
          <w:szCs w:val="14"/>
          <w:color w:val="auto"/>
        </w:rPr>
        <w:t>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disposition</w:t>
      </w:r>
      <w:r>
        <w:rPr>
          <w:rFonts w:ascii="Times New Roman" w:cs="Times New Roman" w:eastAsia="Times New Roman" w:hAnsi="Times New Roman"/>
          <w:sz w:val="14"/>
          <w:szCs w:val="14"/>
          <w:color w:val="auto"/>
        </w:rPr>
        <w:t xml:space="preserve">” shall have the meaning assigned such term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of the definition of Asset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Sale.</w:t>
      </w:r>
    </w:p>
    <w:p>
      <w:pPr>
        <w:spacing w:after="0" w:line="168" w:lineRule="exact"/>
        <w:rPr>
          <w:sz w:val="20"/>
          <w:szCs w:val="20"/>
          <w:color w:val="auto"/>
        </w:rPr>
      </w:pPr>
    </w:p>
    <w:p>
      <w:pPr>
        <w:ind w:left="1140" w:right="119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Disqualified Lenders</w:t>
      </w:r>
      <w:r>
        <w:rPr>
          <w:rFonts w:ascii="Times New Roman" w:cs="Times New Roman" w:eastAsia="Times New Roman" w:hAnsi="Times New Roman"/>
          <w:sz w:val="14"/>
          <w:szCs w:val="14"/>
          <w:color w:val="auto"/>
        </w:rPr>
        <w:t xml:space="preserve">” shall mean such Persons (i) that have been specified in writing to the Administrative Agent and the Joint Lead Arrangers and Bookrunners by the Sponsors as being Disqualified Lenders prior to either (a) December 10, 2018 or (b) the commencement of “primary syndication” if acceptable to the majority of Joint Lead Arrangers and Joint Bookrunners, (ii) who are competitors of the Borrower and its Subsidiaries that are separately identified in writing by the Borrower or the Sponsors to the Administrative Agent from time to time, and (iii) in the case of each of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or the Sponsors to the Administrative Agent from time to time or (b) clearly identifiable on the basis of such Affiliate’s name. Notwithstanding the foregoing, (x) each Credit Party and the Lenders acknowledge and agree that the Administrative Agent shall not have any responsibility or obligation to determine whether any Lender or potential Lender is a Disqualified Lender and the Administrative Agent shall have no liability with respect to any assignment or participation made to a Disqualified Lender and (y) any such designation of a Disqualified Lender may not apply retroactively to disqualify any Person that has previously acquired an assignment or participation in any Credit Facility.</w:t>
      </w:r>
    </w:p>
    <w:p>
      <w:pPr>
        <w:spacing w:after="0" w:line="148" w:lineRule="exact"/>
        <w:rPr>
          <w:sz w:val="20"/>
          <w:szCs w:val="20"/>
          <w:color w:val="auto"/>
        </w:rPr>
      </w:pPr>
    </w:p>
    <w:p>
      <w:pPr>
        <w:ind w:left="1140" w:right="119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Disqualified Stock</w:t>
      </w:r>
      <w:r>
        <w:rPr>
          <w:rFonts w:ascii="Times New Roman" w:cs="Times New Roman" w:eastAsia="Times New Roman" w:hAnsi="Times New Roman"/>
          <w:sz w:val="14"/>
          <w:szCs w:val="14"/>
          <w:color w:val="auto"/>
        </w:rPr>
        <w:t xml:space="preserve">” shall mean, with respect to any Person, any Capital Stock of such Person which, by its terms, or by the terms of any security into which it is convertible or for which it is puttable or exchangeable, or upon the happening of any event, matures or is mandatorily redeemable (other than solely for Qualified Stock), other than as a result of a change of control, asset sale, condemnation event or similar event, pursuant to a sinking fund obligation or otherwise, or is redeemable at the option of the holder thereof (other than solely for Qualified Stock), other than as a result of a change of control, asset sale, condemnation event or similar event, in whole or in part, in each case, prior to the date that is 91 days after the Latest Term Loan Maturity Date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Capital Stock is issued to any plan for the benefit of employees of the Borrower or its Subsidiaries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spacing w:after="0" w:line="147" w:lineRule="exact"/>
        <w:rPr>
          <w:sz w:val="20"/>
          <w:szCs w:val="20"/>
          <w:color w:val="auto"/>
        </w:rPr>
      </w:pPr>
    </w:p>
    <w:p>
      <w:pPr>
        <w:jc w:val="right"/>
        <w:ind w:right="11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Distressed Person</w:t>
      </w:r>
      <w:r>
        <w:rPr>
          <w:rFonts w:ascii="Times New Roman" w:cs="Times New Roman" w:eastAsia="Times New Roman" w:hAnsi="Times New Roman"/>
          <w:sz w:val="14"/>
          <w:szCs w:val="14"/>
          <w:color w:val="auto"/>
        </w:rPr>
        <w:t>” shall have the meaning provided in the definition of the term Lender-Related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Distress Event.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Dollars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shall mean dollars in lawful currency of the United States.</w:t>
      </w:r>
    </w:p>
    <w:p>
      <w:pPr>
        <w:spacing w:after="0" w:line="183"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Domestic Subsidiary</w:t>
      </w:r>
      <w:r>
        <w:rPr>
          <w:rFonts w:ascii="Times New Roman" w:cs="Times New Roman" w:eastAsia="Times New Roman" w:hAnsi="Times New Roman"/>
          <w:sz w:val="14"/>
          <w:szCs w:val="14"/>
          <w:color w:val="auto"/>
        </w:rPr>
        <w:t>” shall mean each Subsidiary of the Borrower that is organized under the laws of the United States, any state thereof, or the District of Columbia.</w:t>
      </w:r>
    </w:p>
    <w:p>
      <w:pPr>
        <w:spacing w:after="0" w:line="119" w:lineRule="exact"/>
        <w:rPr>
          <w:sz w:val="20"/>
          <w:szCs w:val="20"/>
          <w:color w:val="auto"/>
        </w:rPr>
      </w:pPr>
    </w:p>
    <w:p>
      <w:pPr>
        <w:ind w:left="1140" w:right="123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EEA Financial Institution</w:t>
      </w:r>
      <w:r>
        <w:rPr>
          <w:rFonts w:ascii="Times New Roman" w:cs="Times New Roman" w:eastAsia="Times New Roman" w:hAnsi="Times New Roman"/>
          <w:sz w:val="14"/>
          <w:szCs w:val="14"/>
          <w:color w:val="auto"/>
        </w:rPr>
        <w:t xml:space="preserve">” shall mean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of this definition and is subject to consolidated supervision with its parent.</w:t>
      </w:r>
    </w:p>
    <w:p>
      <w:pPr>
        <w:spacing w:after="0" w:line="141" w:lineRule="exact"/>
        <w:rPr>
          <w:sz w:val="20"/>
          <w:szCs w:val="20"/>
          <w:color w:val="auto"/>
        </w:rPr>
      </w:pPr>
    </w:p>
    <w:p>
      <w:pPr>
        <w:ind w:left="1140" w:right="12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EEA Member Country</w:t>
      </w:r>
      <w:r>
        <w:rPr>
          <w:rFonts w:ascii="Times New Roman" w:cs="Times New Roman" w:eastAsia="Times New Roman" w:hAnsi="Times New Roman"/>
          <w:sz w:val="14"/>
          <w:szCs w:val="14"/>
          <w:color w:val="auto"/>
        </w:rPr>
        <w:t>” shall mean any of the member states of the European Union, Iceland, Liechtenstein, Norway and the United Kingdom.</w:t>
      </w:r>
    </w:p>
    <w:p>
      <w:pPr>
        <w:spacing w:after="0" w:line="119" w:lineRule="exact"/>
        <w:rPr>
          <w:sz w:val="20"/>
          <w:szCs w:val="20"/>
          <w:color w:val="auto"/>
        </w:rPr>
      </w:pPr>
    </w:p>
    <w:p>
      <w:pPr>
        <w:ind w:left="1140" w:right="15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EEA Resolution Authority</w:t>
      </w:r>
      <w:r>
        <w:rPr>
          <w:rFonts w:ascii="Times New Roman" w:cs="Times New Roman" w:eastAsia="Times New Roman" w:hAnsi="Times New Roman"/>
          <w:sz w:val="14"/>
          <w:szCs w:val="14"/>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08" w:name="page109"/>
    <w:bookmarkEnd w:id="108"/>
    <w:p>
      <w:pPr>
        <w:ind w:left="1140" w:right="117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Effective Yield</w:t>
      </w:r>
      <w:r>
        <w:rPr>
          <w:rFonts w:ascii="Times New Roman" w:cs="Times New Roman" w:eastAsia="Times New Roman" w:hAnsi="Times New Roman"/>
          <w:sz w:val="14"/>
          <w:szCs w:val="14"/>
          <w:color w:val="auto"/>
        </w:rPr>
        <w:t xml:space="preserve">” shall mean, as to any Indebtedness, the effective yield on such Indebtedness in the reasonable determination of the Administrative Agent in consultation with the Borrower and consistent with generally accepted financial practices, taking into account the applicable interest rate margins, any interest rate floors (the effect of which floors shall be determined in a manner set forth in the proviso below), or similar devices and all fees, including upfront or similar fees or original issue discount (amortized over the shorter of (i) the remaining weighted average life to maturity of such Indebtedness and (ii) the four years following the date of incurrence thereof) payable generally to Lenders or other institutions providing such Indebtedness in connection with the initial primary syndication thereof, but excluding any arrangement, structuring, ticking, or other similar fees payable in connection therewith that are not generally shared with the relevant Lenders and, if applicable, consent fees for an amendment paid generally to consenting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any Indebtedness that includes a “Term SOFR floor” or “ABR floor,” (a) to the extent that the Adjusted Term SOFR Rate (with an Interest Period of three months) or ABR (without giving effect to any floors in such definitions), as applicable, on the date that the Effective Yield is being calculated is less than such floor, the amount of such difference shall be deemed added to the interest rate margin for such Indebtedness for the purpose of calculating the Effective Yield and (b) to the extent that the Adjusted Term SOFR Rate (with an Interest Period of three months) or ABR (without giving effect to any floors in such definitions), as applicable, on the date that the Effective Yield is being calculated is greater than such floor, then the floor shall be disregarded in calculating the Effective Yield.</w:t>
      </w:r>
    </w:p>
    <w:p>
      <w:pPr>
        <w:spacing w:after="0" w:line="145" w:lineRule="exact"/>
        <w:rPr>
          <w:sz w:val="20"/>
          <w:szCs w:val="20"/>
          <w:color w:val="auto"/>
        </w:rPr>
      </w:pPr>
    </w:p>
    <w:p>
      <w:pPr>
        <w:ind w:left="1140" w:right="115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Claims</w:t>
      </w:r>
      <w:r>
        <w:rPr>
          <w:rFonts w:ascii="Times New Roman" w:cs="Times New Roman" w:eastAsia="Times New Roman" w:hAnsi="Times New Roman"/>
          <w:sz w:val="14"/>
          <w:szCs w:val="14"/>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Times New Roman" w:cs="Times New Roman" w:eastAsia="Times New Roman" w:hAnsi="Times New Roman"/>
          <w:sz w:val="14"/>
          <w:szCs w:val="14"/>
          <w:b w:val="1"/>
          <w:bCs w:val="1"/>
          <w:color w:val="auto"/>
        </w:rPr>
        <w:t>Claims</w:t>
      </w:r>
      <w:r>
        <w:rPr>
          <w:rFonts w:ascii="Times New Roman" w:cs="Times New Roman" w:eastAsia="Times New Roman" w:hAnsi="Times New Roman"/>
          <w:sz w:val="14"/>
          <w:szCs w:val="14"/>
          <w:color w:val="auto"/>
        </w:rPr>
        <w:t>”), including, without limitation, (i) any and all Claims by governmental or regulatory authorities for enforcement, investigation,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 flora and fauna.</w:t>
      </w:r>
    </w:p>
    <w:p>
      <w:pPr>
        <w:spacing w:after="0" w:line="322" w:lineRule="exact"/>
        <w:rPr>
          <w:sz w:val="20"/>
          <w:szCs w:val="20"/>
          <w:color w:val="auto"/>
        </w:rPr>
      </w:pPr>
    </w:p>
    <w:p>
      <w:pPr>
        <w:ind w:left="1140" w:right="1179" w:firstLine="103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Environmental Law</w:t>
      </w:r>
      <w:r>
        <w:rPr>
          <w:rFonts w:ascii="Times New Roman" w:cs="Times New Roman" w:eastAsia="Times New Roman" w:hAnsi="Times New Roman"/>
          <w:sz w:val="14"/>
          <w:szCs w:val="14"/>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43" w:lineRule="exact"/>
        <w:rPr>
          <w:sz w:val="20"/>
          <w:szCs w:val="20"/>
          <w:color w:val="auto"/>
        </w:rPr>
      </w:pPr>
    </w:p>
    <w:p>
      <w:pPr>
        <w:ind w:left="1140" w:right="13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Interest</w:t>
      </w:r>
      <w:r>
        <w:rPr>
          <w:rFonts w:ascii="Times New Roman" w:cs="Times New Roman" w:eastAsia="Times New Roman" w:hAnsi="Times New Roman"/>
          <w:sz w:val="14"/>
          <w:szCs w:val="14"/>
          <w:color w:val="auto"/>
        </w:rPr>
        <w:t>” shall mean Capital Stock and all warrants, options, or other rights to acquire Capital Stock, but excluding any debt security that is convertible into, or exchangeable for, Capital Stock.</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Investments</w:t>
      </w:r>
      <w:r>
        <w:rPr>
          <w:rFonts w:ascii="Times New Roman" w:cs="Times New Roman" w:eastAsia="Times New Roman" w:hAnsi="Times New Roman"/>
          <w:sz w:val="14"/>
          <w:szCs w:val="14"/>
          <w:color w:val="auto"/>
        </w:rPr>
        <w:t>” shall have the meaning provided in the recitals to this Agreement.</w:t>
      </w:r>
    </w:p>
    <w:p>
      <w:pPr>
        <w:spacing w:after="0" w:line="183" w:lineRule="exact"/>
        <w:rPr>
          <w:sz w:val="20"/>
          <w:szCs w:val="20"/>
          <w:color w:val="auto"/>
        </w:rPr>
      </w:pPr>
    </w:p>
    <w:p>
      <w:pPr>
        <w:ind w:left="1140" w:right="1279" w:firstLine="1033"/>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 Offering</w:t>
      </w:r>
      <w:r>
        <w:rPr>
          <w:rFonts w:ascii="Times New Roman" w:cs="Times New Roman" w:eastAsia="Times New Roman" w:hAnsi="Times New Roman"/>
          <w:sz w:val="14"/>
          <w:szCs w:val="14"/>
          <w:color w:val="auto"/>
        </w:rPr>
        <w:t>” shall mean any public or private sale of common stock or preferred stock of the Borrower, Holdings or any direct or indirect parent company of Holdings (excluding Disqualified Stock), other than: (i) public offerings with respect to the Borrower or any of its direct or indirect parent company’s common stock registered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 (ii) issuances to any Subsidiary of Holdings or the Borrower, (iii) any such public or private sale that constitutes an Excluded Contribution and (iv) any Cure Amount.</w:t>
      </w:r>
    </w:p>
    <w:p>
      <w:pPr>
        <w:spacing w:after="0" w:line="158" w:lineRule="exact"/>
        <w:rPr>
          <w:sz w:val="20"/>
          <w:szCs w:val="20"/>
          <w:color w:val="auto"/>
        </w:rPr>
      </w:pPr>
    </w:p>
    <w:p>
      <w:pPr>
        <w:jc w:val="both"/>
        <w:ind w:left="1660" w:right="1679" w:firstLine="516"/>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Equityholding Vehicle</w:t>
      </w:r>
      <w:r>
        <w:rPr>
          <w:rFonts w:ascii="Times New Roman" w:cs="Times New Roman" w:eastAsia="Times New Roman" w:hAnsi="Times New Roman"/>
          <w:sz w:val="14"/>
          <w:szCs w:val="14"/>
          <w:color w:val="auto"/>
        </w:rPr>
        <w:t>” shall mean any Parent Entity and any equity holder thereof through which former, current officers or future officers, directors, employees or managers of the Borrower or any of its Subsidiaries or Parent Entities hold Capital Stock of such Parent Entity.</w:t>
      </w:r>
    </w:p>
    <w:p>
      <w:pPr>
        <w:spacing w:after="0" w:line="200" w:lineRule="exact"/>
        <w:rPr>
          <w:sz w:val="20"/>
          <w:szCs w:val="20"/>
          <w:color w:val="auto"/>
        </w:rPr>
      </w:pPr>
    </w:p>
    <w:p>
      <w:pPr>
        <w:spacing w:after="0" w:line="35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09" w:name="page110"/>
    <w:bookmarkEnd w:id="109"/>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w:t>
      </w:r>
      <w:r>
        <w:rPr>
          <w:rFonts w:ascii="Times New Roman" w:cs="Times New Roman" w:eastAsia="Times New Roman" w:hAnsi="Times New Roman"/>
          <w:sz w:val="14"/>
          <w:szCs w:val="14"/>
          <w:color w:val="auto"/>
        </w:rPr>
        <w:t>” shall mean the Employee Retirement Income Security Act of 1974, as amended from</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time to time.</w:t>
      </w:r>
    </w:p>
    <w:p>
      <w:pPr>
        <w:spacing w:after="0" w:line="168" w:lineRule="exact"/>
        <w:rPr>
          <w:sz w:val="20"/>
          <w:szCs w:val="20"/>
          <w:color w:val="auto"/>
        </w:rPr>
      </w:pPr>
    </w:p>
    <w:p>
      <w:pPr>
        <w:jc w:val="both"/>
        <w:ind w:left="1140" w:right="12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 Affiliate</w:t>
      </w:r>
      <w:r>
        <w:rPr>
          <w:rFonts w:ascii="Times New Roman" w:cs="Times New Roman" w:eastAsia="Times New Roman" w:hAnsi="Times New Roman"/>
          <w:sz w:val="14"/>
          <w:szCs w:val="14"/>
          <w:color w:val="auto"/>
        </w:rPr>
        <w:t>” shall mean any trade or business (whether or not incorporated) that, together with any Credit Party, is treated as a single employer under Section 414(b) or (c) of the Code (and Sections 414(m) and (o) of the Code for purposes of provisions relating to Section 412 of the Code).</w:t>
      </w:r>
    </w:p>
    <w:p>
      <w:pPr>
        <w:spacing w:after="0" w:line="133" w:lineRule="exact"/>
        <w:rPr>
          <w:sz w:val="20"/>
          <w:szCs w:val="20"/>
          <w:color w:val="auto"/>
        </w:rPr>
      </w:pPr>
    </w:p>
    <w:p>
      <w:pPr>
        <w:ind w:left="1140" w:right="115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ERISA Event</w:t>
      </w:r>
      <w:r>
        <w:rPr>
          <w:rFonts w:ascii="Times New Roman" w:cs="Times New Roman" w:eastAsia="Times New Roman" w:hAnsi="Times New Roman"/>
          <w:sz w:val="14"/>
          <w:szCs w:val="14"/>
          <w:color w:val="auto"/>
        </w:rPr>
        <w:t>” shall mean (i) the failure of any Plan to comply with any provisions of ERISA and/or the Code (and applicable regulations under either) or with the terms of such Plan; (ii) the existence with respect to any Plan of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 303 of ERISA); (vi) the filing pursuant to Section 412(c) of the Code or Section 302(c) of ERISA of an application for a waiver of the minimum funding standard with respect to any Pension Plan; (vii) the termination of, or the appointment of a trustee to administer, any Pension Plan under Section 4042 of ERISA or the incurrence by any Credit Party or any of its ERISA Affiliates of any liability under Title IV of ERISA with respect to the termination of any Pension Plan (other than for PBGC premiums due but not delinquent under Section 4007 of ERISA), including but not limited to the imposition of any Lien in favor of the PBGC or any Pension Plan; (viii) the receipt by any Credit Party or any of its ERISA Affiliates from the PBGC or a plan administrator of any notice to terminate any Pension Plan under Section 4041 of ERISA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from any Pension Plan subject to Section 4063 of ERISA during a plan year in which it was a “substantial employer” (within the meaning of Section 4001(a)(2) of ERISA), or a cessation of operations that is treated as such a withdrawal under Section 4062(e) of ERISA, or the complete or partial withdrawal (within the meaning of Section 4203 or 4205 of ERISA) from any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32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Erroneous Payment</w:t>
      </w:r>
      <w:r>
        <w:rPr>
          <w:rFonts w:ascii="Times New Roman" w:cs="Times New Roman" w:eastAsia="Times New Roman" w:hAnsi="Times New Roman"/>
          <w:sz w:val="14"/>
          <w:szCs w:val="14"/>
          <w:u w:val="single" w:color="auto"/>
          <w:color w:val="0000FF"/>
        </w:rPr>
        <w:t>” shall have the meaning provided in Section 12.15(a).</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Erroneous Payment Assigned Amount</w:t>
      </w:r>
      <w:r>
        <w:rPr>
          <w:rFonts w:ascii="Times New Roman" w:cs="Times New Roman" w:eastAsia="Times New Roman" w:hAnsi="Times New Roman"/>
          <w:sz w:val="14"/>
          <w:szCs w:val="14"/>
          <w:u w:val="single" w:color="auto"/>
          <w:color w:val="0000FF"/>
        </w:rPr>
        <w:t>” shall have the meaning provided in Section 12.15(d).</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Erroneous Payment Assigning Lender</w:t>
      </w:r>
      <w:r>
        <w:rPr>
          <w:rFonts w:ascii="Times New Roman" w:cs="Times New Roman" w:eastAsia="Times New Roman" w:hAnsi="Times New Roman"/>
          <w:sz w:val="14"/>
          <w:szCs w:val="14"/>
          <w:u w:val="single" w:color="auto"/>
          <w:color w:val="0000FF"/>
        </w:rPr>
        <w:t>” shall have the meaning provided in Section 12.15(c)(i).</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Erroneous Payment Deficiency Assignment</w:t>
      </w:r>
      <w:r>
        <w:rPr>
          <w:rFonts w:ascii="Times New Roman" w:cs="Times New Roman" w:eastAsia="Times New Roman" w:hAnsi="Times New Roman"/>
          <w:sz w:val="14"/>
          <w:szCs w:val="14"/>
          <w:u w:val="single" w:color="auto"/>
          <w:color w:val="0000FF"/>
        </w:rPr>
        <w:t>” shall have the meaning provided in 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0000FF"/>
        </w:rPr>
        <w:t>12.15(c)(i).</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Erroneous Payment Impacted Class</w:t>
      </w:r>
      <w:r>
        <w:rPr>
          <w:rFonts w:ascii="Times New Roman" w:cs="Times New Roman" w:eastAsia="Times New Roman" w:hAnsi="Times New Roman"/>
          <w:sz w:val="14"/>
          <w:szCs w:val="14"/>
          <w:u w:val="single" w:color="auto"/>
          <w:color w:val="0000FF"/>
        </w:rPr>
        <w:t>” shall have the meaning provided in Section 12.15(c)(i).</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Erroneous Payment Return Deficiency</w:t>
      </w:r>
      <w:r>
        <w:rPr>
          <w:rFonts w:ascii="Times New Roman" w:cs="Times New Roman" w:eastAsia="Times New Roman" w:hAnsi="Times New Roman"/>
          <w:sz w:val="14"/>
          <w:szCs w:val="14"/>
          <w:u w:val="single" w:color="auto"/>
          <w:color w:val="0000FF"/>
        </w:rPr>
        <w:t>” shall have the meaning provided in Section 12.15(c)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0000FF"/>
        </w:rPr>
        <w:t>(i).</w:t>
      </w:r>
    </w:p>
    <w:p>
      <w:pPr>
        <w:spacing w:after="0" w:line="168" w:lineRule="exact"/>
        <w:rPr>
          <w:sz w:val="20"/>
          <w:szCs w:val="20"/>
          <w:color w:val="auto"/>
        </w:rPr>
      </w:pPr>
    </w:p>
    <w:p>
      <w:pPr>
        <w:ind w:left="1140" w:right="1279" w:firstLine="1069"/>
        <w:spacing w:after="0" w:line="264" w:lineRule="auto"/>
        <w:rPr>
          <w:sz w:val="20"/>
          <w:szCs w:val="20"/>
          <w:color w:val="auto"/>
        </w:rPr>
      </w:pP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b w:val="1"/>
          <w:bCs w:val="1"/>
          <w:color w:val="0000FF"/>
        </w:rPr>
        <w:t>Ethically Screened Affiliate</w:t>
      </w:r>
      <w:r>
        <w:rPr>
          <w:rFonts w:ascii="Times New Roman" w:cs="Times New Roman" w:eastAsia="Times New Roman" w:hAnsi="Times New Roman"/>
          <w:sz w:val="14"/>
          <w:szCs w:val="14"/>
          <w:color w:val="0000FF"/>
        </w:rPr>
        <w:t>” means any Affiliate of a Lender (i) that is managed as to day-to-</w:t>
      </w:r>
      <w:r>
        <w:rPr>
          <w:rFonts w:ascii="Times New Roman" w:cs="Times New Roman" w:eastAsia="Times New Roman" w:hAnsi="Times New Roman"/>
          <w:sz w:val="14"/>
          <w:szCs w:val="14"/>
          <w:u w:val="single" w:color="auto"/>
          <w:color w:val="0000FF"/>
        </w:rPr>
        <w:t>day matters (but excluding</w:t>
      </w:r>
      <w:r>
        <w:rPr>
          <w:rFonts w:ascii="Times New Roman" w:cs="Times New Roman" w:eastAsia="Times New Roman" w:hAnsi="Times New Roman"/>
          <w:sz w:val="14"/>
          <w:szCs w:val="14"/>
          <w:u w:val="single" w:color="auto"/>
          <w:color w:val="008000"/>
        </w:rPr>
        <w:t>, for the avoidance of doubt,</w:t>
      </w:r>
      <w:r>
        <w:rPr>
          <w:rFonts w:ascii="Times New Roman" w:cs="Times New Roman" w:eastAsia="Times New Roman" w:hAnsi="Times New Roman"/>
          <w:sz w:val="14"/>
          <w:szCs w:val="14"/>
          <w:u w:val="single" w:color="auto"/>
          <w:color w:val="0000FF"/>
        </w:rPr>
        <w:t xml:space="preserve"> as to strategic direction and similar matters) independently from such Lender and any other Affiliate of such Lender that is not an Ethically Screened Affiliate, (ii) that has in place customary information screens between it and such Lender and any other Affiliate of such Lender that is not an Ethically Screened Affiliate and (iii) for which such Lender or any other Affiliate of such Lender that is not an Ethically Screened Affiliate does not direct or cause the direction of investment policies and whose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1384300</wp:posOffset>
            </wp:positionH>
            <wp:positionV relativeFrom="paragraph">
              <wp:posOffset>-574675</wp:posOffset>
            </wp:positionV>
            <wp:extent cx="3531235" cy="698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3">
                      <a:extLst>
                        <a:ext uri="{28A0092B-C50C-407E-A947-70E740481C1C}"/>
                      </a:extLst>
                    </a:blip>
                    <a:srcRect/>
                    <a:stretch>
                      <a:fillRect/>
                    </a:stretch>
                  </pic:blipFill>
                  <pic:spPr bwMode="auto">
                    <a:xfrm>
                      <a:off x="0" y="0"/>
                      <a:ext cx="3531235" cy="6985"/>
                    </a:xfrm>
                    <a:prstGeom prst="rect">
                      <a:avLst/>
                    </a:prstGeom>
                    <a:noFill/>
                  </pic:spPr>
                </pic:pic>
              </a:graphicData>
            </a:graphic>
          </wp:anchor>
        </w:drawing>
      </w: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10" w:name="page111"/>
    <w:bookmarkEnd w:id="110"/>
    <w:p>
      <w:pPr>
        <w:ind w:left="1140" w:right="1219"/>
        <w:spacing w:after="0" w:line="293" w:lineRule="auto"/>
        <w:rPr>
          <w:sz w:val="20"/>
          <w:szCs w:val="20"/>
          <w:color w:val="auto"/>
        </w:rPr>
      </w:pPr>
      <w:r>
        <w:rPr>
          <w:rFonts w:ascii="Times New Roman" w:cs="Times New Roman" w:eastAsia="Times New Roman" w:hAnsi="Times New Roman"/>
          <w:sz w:val="14"/>
          <w:szCs w:val="14"/>
          <w:u w:val="single" w:color="auto"/>
          <w:color w:val="0000FF"/>
        </w:rPr>
        <w:t>decisions are not influenced by the investment decisions of such Lender or any other Affiliate of such Lender that is not an Ethically Screened Affiliate.</w:t>
      </w:r>
    </w:p>
    <w:p>
      <w:pPr>
        <w:spacing w:after="0" w:line="121" w:lineRule="exact"/>
        <w:rPr>
          <w:sz w:val="20"/>
          <w:szCs w:val="20"/>
          <w:color w:val="auto"/>
        </w:rPr>
      </w:pPr>
    </w:p>
    <w:p>
      <w:pPr>
        <w:ind w:left="1140" w:right="11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EU Bail-In Legislation Schedule</w:t>
      </w:r>
      <w:r>
        <w:rPr>
          <w:rFonts w:ascii="Times New Roman" w:cs="Times New Roman" w:eastAsia="Times New Roman" w:hAnsi="Times New Roman"/>
          <w:sz w:val="14"/>
          <w:szCs w:val="14"/>
          <w:color w:val="auto"/>
        </w:rPr>
        <w:t>” shall mean the EU Bail-In Legislation Schedule published by the Loan Market Association (or any successor person), as in effect from time to time.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Excess Cash Flow</w:t>
      </w:r>
      <w:r>
        <w:rPr>
          <w:rFonts w:ascii="Times New Roman" w:cs="Times New Roman" w:eastAsia="Times New Roman" w:hAnsi="Times New Roman"/>
          <w:sz w:val="14"/>
          <w:szCs w:val="14"/>
          <w:color w:val="auto"/>
        </w:rPr>
        <w:t>” shall mean, for any period, an amount equal to the excess of:</w:t>
      </w:r>
    </w:p>
    <w:p>
      <w:pPr>
        <w:spacing w:after="0" w:line="185" w:lineRule="exact"/>
        <w:rPr>
          <w:sz w:val="20"/>
          <w:szCs w:val="20"/>
          <w:color w:val="auto"/>
        </w:rPr>
      </w:pPr>
    </w:p>
    <w:p>
      <w:pPr>
        <w:ind w:left="1660" w:right="1179" w:firstLine="290"/>
        <w:spacing w:after="0" w:line="293" w:lineRule="auto"/>
        <w:tabs>
          <w:tab w:leader="none" w:pos="2234"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sum, without duplication (in each case, for the Borrower and the Restricted Subsidiaries on a consolidated basis), of:</w:t>
      </w:r>
    </w:p>
    <w:p>
      <w:pPr>
        <w:spacing w:after="0" w:line="123" w:lineRule="exact"/>
        <w:rPr>
          <w:rFonts w:ascii="Times New Roman" w:cs="Times New Roman" w:eastAsia="Times New Roman" w:hAnsi="Times New Roman"/>
          <w:sz w:val="14"/>
          <w:szCs w:val="14"/>
          <w:color w:val="auto"/>
        </w:rPr>
      </w:pPr>
    </w:p>
    <w:p>
      <w:pPr>
        <w:ind w:left="2980" w:hanging="284"/>
        <w:spacing w:after="0"/>
        <w:tabs>
          <w:tab w:leader="none" w:pos="29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Net Income for such period,</w:t>
      </w:r>
    </w:p>
    <w:p>
      <w:pPr>
        <w:spacing w:after="0" w:line="152" w:lineRule="exact"/>
        <w:rPr>
          <w:rFonts w:ascii="Times New Roman" w:cs="Times New Roman" w:eastAsia="Times New Roman" w:hAnsi="Times New Roman"/>
          <w:sz w:val="14"/>
          <w:szCs w:val="14"/>
          <w:color w:val="auto"/>
        </w:rPr>
      </w:pPr>
    </w:p>
    <w:p>
      <w:pPr>
        <w:jc w:val="both"/>
        <w:ind w:left="2180" w:right="1159" w:firstLine="516"/>
        <w:spacing w:after="0" w:line="187" w:lineRule="exact"/>
        <w:tabs>
          <w:tab w:leader="none" w:pos="2983"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amount of all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charges to the extent deducted in arriving at such Consolidated Net Income and cash receipts to the extent excluded in arriving at such Consolidated Net Income,</w:t>
      </w:r>
    </w:p>
    <w:p>
      <w:pPr>
        <w:spacing w:after="0" w:line="160" w:lineRule="exact"/>
        <w:rPr>
          <w:rFonts w:ascii="Times New Roman" w:cs="Times New Roman" w:eastAsia="Times New Roman" w:hAnsi="Times New Roman"/>
          <w:sz w:val="14"/>
          <w:szCs w:val="14"/>
          <w:color w:val="auto"/>
        </w:rPr>
      </w:pPr>
    </w:p>
    <w:p>
      <w:pPr>
        <w:ind w:left="2180" w:right="1159" w:firstLine="516"/>
        <w:spacing w:after="0" w:line="176" w:lineRule="exact"/>
        <w:tabs>
          <w:tab w:leader="none" w:pos="2983"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Consolidated Working Capital for such period (other than (1) reclassification of items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to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or vice versa and (2) any such decreases arising from acquisitions or Asset Sales by the Borrower and the Restricted Subsidiaries completed during such period or the application of purchase accounting),</w:t>
      </w:r>
    </w:p>
    <w:p>
      <w:pPr>
        <w:spacing w:after="0" w:line="129" w:lineRule="exact"/>
        <w:rPr>
          <w:rFonts w:ascii="Times New Roman" w:cs="Times New Roman" w:eastAsia="Times New Roman" w:hAnsi="Times New Roman"/>
          <w:sz w:val="14"/>
          <w:szCs w:val="14"/>
          <w:color w:val="auto"/>
        </w:rPr>
      </w:pPr>
    </w:p>
    <w:p>
      <w:pPr>
        <w:jc w:val="both"/>
        <w:ind w:left="2180" w:right="1159" w:firstLine="516"/>
        <w:spacing w:after="0" w:line="187" w:lineRule="exact"/>
        <w:tabs>
          <w:tab w:leader="none" w:pos="2983"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aggregate net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loss on Asset Sales by the Borrower and the Restricted Subsidiaries during such period (other than Asset Sales in the ordinary course of business) to the extent deducted in arriving at such Consolidated Net Income,</w:t>
      </w:r>
    </w:p>
    <w:p>
      <w:pPr>
        <w:spacing w:after="0" w:line="160" w:lineRule="exact"/>
        <w:rPr>
          <w:rFonts w:ascii="Times New Roman" w:cs="Times New Roman" w:eastAsia="Times New Roman" w:hAnsi="Times New Roman"/>
          <w:sz w:val="14"/>
          <w:szCs w:val="14"/>
          <w:color w:val="auto"/>
        </w:rPr>
      </w:pPr>
    </w:p>
    <w:p>
      <w:pPr>
        <w:ind w:left="2180" w:right="1179" w:firstLine="516"/>
        <w:spacing w:after="0" w:line="293" w:lineRule="auto"/>
        <w:tabs>
          <w:tab w:leader="none" w:pos="2983"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receipts in respect of Hedge Agreements during such period to the extent not otherwise included in Consolidated Net Income,</w:t>
      </w:r>
    </w:p>
    <w:p>
      <w:pPr>
        <w:spacing w:after="0" w:line="92" w:lineRule="exact"/>
        <w:rPr>
          <w:rFonts w:ascii="Times New Roman" w:cs="Times New Roman" w:eastAsia="Times New Roman" w:hAnsi="Times New Roman"/>
          <w:sz w:val="14"/>
          <w:szCs w:val="14"/>
          <w:color w:val="auto"/>
        </w:rPr>
      </w:pPr>
    </w:p>
    <w:p>
      <w:pPr>
        <w:ind w:left="2180" w:right="1179" w:firstLine="516"/>
        <w:spacing w:after="0" w:line="195" w:lineRule="exact"/>
        <w:tabs>
          <w:tab w:leader="none" w:pos="2983"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current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deferred revenue to the extent deducted or not included in arriving at such Consolidated Net Income, and</w:t>
      </w:r>
    </w:p>
    <w:p>
      <w:pPr>
        <w:spacing w:after="0" w:line="158" w:lineRule="exact"/>
        <w:rPr>
          <w:rFonts w:ascii="Times New Roman" w:cs="Times New Roman" w:eastAsia="Times New Roman" w:hAnsi="Times New Roman"/>
          <w:sz w:val="14"/>
          <w:szCs w:val="14"/>
          <w:color w:val="auto"/>
        </w:rPr>
      </w:pPr>
    </w:p>
    <w:p>
      <w:pPr>
        <w:ind w:left="2980" w:hanging="284"/>
        <w:spacing w:after="0"/>
        <w:tabs>
          <w:tab w:leader="none" w:pos="2980" w:val="left"/>
        </w:tabs>
        <w:numPr>
          <w:ilvl w:val="1"/>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gains actually received in cash;</w:t>
      </w:r>
    </w:p>
    <w:p>
      <w:pPr>
        <w:spacing w:after="0" w:line="1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i w:val="1"/>
          <w:iCs w:val="1"/>
          <w:color w:val="auto"/>
        </w:rPr>
        <w:t xml:space="preserve">over </w:t>
      </w:r>
      <w:r>
        <w:rPr>
          <w:rFonts w:ascii="Times New Roman" w:cs="Times New Roman" w:eastAsia="Times New Roman" w:hAnsi="Times New Roman"/>
          <w:sz w:val="14"/>
          <w:szCs w:val="14"/>
          <w:color w:val="auto"/>
        </w:rPr>
        <w:t>(ii) the sum, without duplication, of:</w:t>
      </w:r>
    </w:p>
    <w:p>
      <w:pPr>
        <w:spacing w:after="0" w:line="154" w:lineRule="exact"/>
        <w:rPr>
          <w:sz w:val="20"/>
          <w:szCs w:val="20"/>
          <w:color w:val="auto"/>
        </w:rPr>
      </w:pPr>
    </w:p>
    <w:p>
      <w:pPr>
        <w:ind w:left="1660" w:right="1179" w:firstLine="520"/>
        <w:spacing w:after="0" w:line="184" w:lineRule="exact"/>
        <w:tabs>
          <w:tab w:leader="none" w:pos="246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amount of all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credits included in arriving at such Consolidated Net Income, cash charges to the extent excluded in arriving at such Consolidated Net Income, and Transaction Expenses to the extent not deducted in arriving at such Consolidated Net Income and paid in cash during such period,</w:t>
      </w:r>
    </w:p>
    <w:p>
      <w:pPr>
        <w:spacing w:after="0" w:line="159" w:lineRule="exact"/>
        <w:rPr>
          <w:rFonts w:ascii="Times New Roman" w:cs="Times New Roman" w:eastAsia="Times New Roman" w:hAnsi="Times New Roman"/>
          <w:sz w:val="14"/>
          <w:szCs w:val="14"/>
          <w:color w:val="auto"/>
        </w:rPr>
      </w:pPr>
    </w:p>
    <w:p>
      <w:pPr>
        <w:ind w:left="1660" w:right="1339" w:firstLine="520"/>
        <w:spacing w:after="0" w:line="180" w:lineRule="exact"/>
        <w:tabs>
          <w:tab w:leader="none" w:pos="246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duplication of amounts deducted pursuant to </w:t>
      </w:r>
      <w:r>
        <w:rPr>
          <w:rFonts w:ascii="Times New Roman" w:cs="Times New Roman" w:eastAsia="Times New Roman" w:hAnsi="Times New Roman"/>
          <w:sz w:val="14"/>
          <w:szCs w:val="14"/>
          <w:u w:val="single" w:color="auto"/>
          <w:color w:val="auto"/>
        </w:rPr>
        <w:t>clause (k)</w:t>
      </w:r>
      <w:r>
        <w:rPr>
          <w:rFonts w:ascii="Times New Roman" w:cs="Times New Roman" w:eastAsia="Times New Roman" w:hAnsi="Times New Roman"/>
          <w:sz w:val="14"/>
          <w:szCs w:val="14"/>
          <w:color w:val="auto"/>
        </w:rPr>
        <w:t xml:space="preserve"> below in prior periods, the amount of Capital Expenditures or acquisitions of Intellectual Property accrued or made in cash during such period, except to the extent that such Capital Expenditures or acquisitions were financed with the proceeds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Indebtedness of Holdings or the Restricted Subsidiaries (unless such Indebtedness has been repaid other than with the proceeds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indebtedness) other than intercompany loans,</w:t>
      </w:r>
    </w:p>
    <w:p>
      <w:pPr>
        <w:spacing w:after="0" w:line="137" w:lineRule="exact"/>
        <w:rPr>
          <w:rFonts w:ascii="Times New Roman" w:cs="Times New Roman" w:eastAsia="Times New Roman" w:hAnsi="Times New Roman"/>
          <w:sz w:val="14"/>
          <w:szCs w:val="14"/>
          <w:color w:val="auto"/>
        </w:rPr>
      </w:pPr>
    </w:p>
    <w:p>
      <w:pPr>
        <w:ind w:left="1660" w:right="1239" w:firstLine="520"/>
        <w:spacing w:after="0" w:line="264" w:lineRule="auto"/>
        <w:tabs>
          <w:tab w:leader="none" w:pos="2463"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aggregate amount of all principal payments of Indebtedness of the Borrower and the Restricted Subsidiaries (including (1) the principal component of payments in respect of Capitalized Lease Obligations, (2) the amount of any scheduled repayment of Term Loans pursuant to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or the Second Lien Loans permitted hereunder, and (3) the amount of a mandatory prepayment of Term Loans pursuant to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or Second Lien Loans pursuant to Section 5.2(a) of the Second Lien Credit Agreement to the extent required due to an Asset Sale that resulted in an increase to Consolidated Net</w:t>
      </w: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11" w:name="page112"/>
    <w:bookmarkEnd w:id="111"/>
    <w:p>
      <w:pPr>
        <w:ind w:left="1660" w:right="1279"/>
        <w:spacing w:after="0" w:line="176" w:lineRule="exact"/>
        <w:rPr>
          <w:sz w:val="20"/>
          <w:szCs w:val="20"/>
          <w:color w:val="auto"/>
        </w:rPr>
      </w:pPr>
      <w:r>
        <w:rPr>
          <w:rFonts w:ascii="Times New Roman" w:cs="Times New Roman" w:eastAsia="Times New Roman" w:hAnsi="Times New Roman"/>
          <w:sz w:val="14"/>
          <w:szCs w:val="14"/>
          <w:color w:val="auto"/>
        </w:rPr>
        <w:t>Income and not in excess of the amount of such increase but excluding (A) all other prepayments of Term Loans and Second Lien Loans (in each case, including purchases of Term Loans by Holdings and its Subsidiaries at or below par offered on a pro rata basis to all Term Loan Lenders of a Class and Dutch auctions offered on a pro rata basis to all Term Loan Lenders of a Class in which case the amount of voluntary prepayments of Term Loans shall be deemed not to exceed the actual purchase price of such Term Loans at or below par) and all voluntary prepayments of Permitted Other Indebtedness (with a Lien on the Collateral ranking pari passu with the Liens on the Collateral securing the Obligations) and (B) all prepayments of Swingline Loans (and any other revolving loans (unless there is an equivalent permanent reduction in commitments thereunder)) made during such period, except to the extent financed with the proceeds of other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Indebtedness of the Borrower or the Restricted Subsidiaries,</w:t>
      </w:r>
    </w:p>
    <w:p>
      <w:pPr>
        <w:spacing w:after="0" w:line="105" w:lineRule="exact"/>
        <w:rPr>
          <w:sz w:val="20"/>
          <w:szCs w:val="20"/>
          <w:color w:val="auto"/>
        </w:rPr>
      </w:pPr>
    </w:p>
    <w:p>
      <w:pPr>
        <w:ind w:left="1660" w:right="1199" w:firstLine="520"/>
        <w:spacing w:after="0" w:line="187"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aggregate net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gain on Asset Sales by the Borrower and the Restricted Subsidiaries during such period (other than Asset Sales in the ordinary course of business) to the extent included in arriving at such Consolidated Net Income,</w:t>
      </w:r>
    </w:p>
    <w:p>
      <w:pPr>
        <w:spacing w:after="0" w:line="160" w:lineRule="exact"/>
        <w:rPr>
          <w:rFonts w:ascii="Times New Roman" w:cs="Times New Roman" w:eastAsia="Times New Roman" w:hAnsi="Times New Roman"/>
          <w:sz w:val="14"/>
          <w:szCs w:val="14"/>
          <w:color w:val="auto"/>
        </w:rPr>
      </w:pPr>
    </w:p>
    <w:p>
      <w:pPr>
        <w:ind w:left="1660" w:right="1279" w:firstLine="520"/>
        <w:spacing w:after="0" w:line="176"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in Consolidated Working Capital for such period (other than (1) reclassification of items from short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to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or vice versa and (2) any such increases arising from acquisitions or Asset Sales by the Borrower and the Restricted Subsidiaries completed during such period or the application of purchase accounting),</w:t>
      </w:r>
    </w:p>
    <w:p>
      <w:pPr>
        <w:spacing w:after="0" w:line="160" w:lineRule="exact"/>
        <w:rPr>
          <w:rFonts w:ascii="Times New Roman" w:cs="Times New Roman" w:eastAsia="Times New Roman" w:hAnsi="Times New Roman"/>
          <w:sz w:val="14"/>
          <w:szCs w:val="14"/>
          <w:color w:val="auto"/>
        </w:rPr>
      </w:pPr>
    </w:p>
    <w:p>
      <w:pPr>
        <w:ind w:left="1660" w:right="1179" w:firstLine="520"/>
        <w:spacing w:after="0" w:line="176"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payments in cash by the Borrower and the Restricted Subsidiaries during such period in respect of any purchase price holdbacks, earn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out obligations, and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liabilities of the Borrower and the Restricted Subsidiaries other than Indebtedness, to the extent not already deducted from Consolidated Net Income,</w:t>
      </w:r>
    </w:p>
    <w:p>
      <w:pPr>
        <w:spacing w:after="0" w:line="160" w:lineRule="exact"/>
        <w:rPr>
          <w:rFonts w:ascii="Times New Roman" w:cs="Times New Roman" w:eastAsia="Times New Roman" w:hAnsi="Times New Roman"/>
          <w:sz w:val="14"/>
          <w:szCs w:val="14"/>
          <w:color w:val="auto"/>
        </w:rPr>
      </w:pPr>
    </w:p>
    <w:p>
      <w:pPr>
        <w:ind w:left="1660" w:right="1159" w:firstLine="520"/>
        <w:spacing w:after="0" w:line="174"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without duplication of amounts deducted pursuant to </w:t>
      </w:r>
      <w:r>
        <w:rPr>
          <w:rFonts w:ascii="Times New Roman" w:cs="Times New Roman" w:eastAsia="Times New Roman" w:hAnsi="Times New Roman"/>
          <w:sz w:val="14"/>
          <w:szCs w:val="14"/>
          <w:u w:val="single" w:color="auto"/>
          <w:color w:val="auto"/>
        </w:rPr>
        <w:t>clause (k)</w:t>
      </w:r>
      <w:r>
        <w:rPr>
          <w:rFonts w:ascii="Times New Roman" w:cs="Times New Roman" w:eastAsia="Times New Roman" w:hAnsi="Times New Roman"/>
          <w:sz w:val="14"/>
          <w:szCs w:val="14"/>
          <w:color w:val="auto"/>
        </w:rPr>
        <w:t xml:space="preserve"> below in prior fiscal periods, the aggregate amount of cash consideration paid by Holdings and the Restricted Subsidiaries (on a consolidated basis) in connection with Investments (including acquisitions, but excluding Permitted Investments of the type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of the definition thereof) made during such period constituting Permitted Investments or made pursuant to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to the extent that such Investments were not financed with the proceeds received from (1) the issuance or incurrence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Indebtedness or (2) the issuance of Capital Stock,</w:t>
      </w:r>
    </w:p>
    <w:p>
      <w:pPr>
        <w:spacing w:after="0" w:line="161" w:lineRule="exact"/>
        <w:rPr>
          <w:rFonts w:ascii="Times New Roman" w:cs="Times New Roman" w:eastAsia="Times New Roman" w:hAnsi="Times New Roman"/>
          <w:sz w:val="14"/>
          <w:szCs w:val="14"/>
          <w:color w:val="auto"/>
        </w:rPr>
      </w:pPr>
    </w:p>
    <w:p>
      <w:pPr>
        <w:ind w:left="1660" w:right="1179" w:firstLine="520"/>
        <w:spacing w:after="0" w:line="185"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dividends paid in cash during such period (on a consolidated basis) by Holdings and the Restricted Subsidiaries, to the extent such dividends were not financed with the proceeds received from (1) the issuance or incurrence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Indebtedness or (2) the issuance of Capital Stock,</w:t>
      </w:r>
    </w:p>
    <w:p>
      <w:pPr>
        <w:spacing w:after="0" w:line="135" w:lineRule="exact"/>
        <w:rPr>
          <w:rFonts w:ascii="Times New Roman" w:cs="Times New Roman" w:eastAsia="Times New Roman" w:hAnsi="Times New Roman"/>
          <w:sz w:val="14"/>
          <w:szCs w:val="14"/>
          <w:color w:val="auto"/>
        </w:rPr>
      </w:pPr>
    </w:p>
    <w:p>
      <w:pPr>
        <w:ind w:left="1660" w:right="1239" w:firstLine="520"/>
        <w:spacing w:after="0" w:line="268" w:lineRule="auto"/>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expenditures actually made by the Borrower and the Restricted Subsidiaries in cash during such period (including expenditures for the payment of financing fees and cash restructuring charges) to the extent that such expenditures are not expensed during such period and are not deducted in calculating Consolidated Net Income,</w:t>
      </w:r>
    </w:p>
    <w:p>
      <w:pPr>
        <w:spacing w:after="0" w:line="110" w:lineRule="exact"/>
        <w:rPr>
          <w:rFonts w:ascii="Times New Roman" w:cs="Times New Roman" w:eastAsia="Times New Roman" w:hAnsi="Times New Roman"/>
          <w:sz w:val="14"/>
          <w:szCs w:val="14"/>
          <w:color w:val="auto"/>
        </w:rPr>
      </w:pPr>
    </w:p>
    <w:p>
      <w:pPr>
        <w:ind w:left="1660" w:right="1299" w:firstLine="520"/>
        <w:spacing w:after="0" w:line="184"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amount of any premium, make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whole, or penalty payments actually paid in cash by the Borrower and the Restricted Subsidiaries during such period that are made in connection with any prepayment of Indebtedness to the extent that such payments are not deducted in calculating Consolidated Net Income,</w:t>
      </w:r>
    </w:p>
    <w:p>
      <w:pPr>
        <w:spacing w:after="0" w:line="159" w:lineRule="exact"/>
        <w:rPr>
          <w:rFonts w:ascii="Times New Roman" w:cs="Times New Roman" w:eastAsia="Times New Roman" w:hAnsi="Times New Roman"/>
          <w:sz w:val="14"/>
          <w:szCs w:val="14"/>
          <w:color w:val="auto"/>
        </w:rPr>
      </w:pPr>
    </w:p>
    <w:p>
      <w:pPr>
        <w:ind w:left="1660" w:right="1199" w:firstLine="520"/>
        <w:spacing w:after="0" w:line="176" w:lineRule="exact"/>
        <w:tabs>
          <w:tab w:leader="none" w:pos="2463"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duplication of amounts deducted from Excess Cash Flow in other periods, (1) the aggregate consideration required to be paid in cash by the Borrower or any of its Restricted Subsidiaries pursuant to binding contracts, commitments, letters of intent or purchase orders (the “</w:t>
      </w:r>
      <w:r>
        <w:rPr>
          <w:rFonts w:ascii="Times New Roman" w:cs="Times New Roman" w:eastAsia="Times New Roman" w:hAnsi="Times New Roman"/>
          <w:sz w:val="14"/>
          <w:szCs w:val="14"/>
          <w:b w:val="1"/>
          <w:bCs w:val="1"/>
          <w:color w:val="auto"/>
        </w:rPr>
        <w:t>Contract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Consideration</w:t>
      </w:r>
      <w:r>
        <w:rPr>
          <w:rFonts w:ascii="Times New Roman" w:cs="Times New Roman" w:eastAsia="Times New Roman" w:hAnsi="Times New Roman"/>
          <w:sz w:val="14"/>
          <w:szCs w:val="14"/>
          <w:color w:val="auto"/>
        </w:rPr>
        <w:t>”) entered into prior to or during such period and (2) any planned cash expenditures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Borrower or any of the Restricted Subsidiaries (the “</w:t>
      </w:r>
      <w:r>
        <w:rPr>
          <w:rFonts w:ascii="Times New Roman" w:cs="Times New Roman" w:eastAsia="Times New Roman" w:hAnsi="Times New Roman"/>
          <w:sz w:val="14"/>
          <w:szCs w:val="14"/>
          <w:b w:val="1"/>
          <w:bCs w:val="1"/>
          <w:color w:val="auto"/>
        </w:rPr>
        <w:t>Planned Expenditures</w:t>
      </w:r>
      <w:r>
        <w:rPr>
          <w:rFonts w:ascii="Times New Roman" w:cs="Times New Roman" w:eastAsia="Times New Roman" w:hAnsi="Times New Roman"/>
          <w:sz w:val="14"/>
          <w:szCs w:val="14"/>
          <w:color w:val="auto"/>
        </w:rPr>
        <w:t xml:space="preserve">”), in the case of each of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relating to Permitted Acquisitions (or other Investments), Capital Expenditures, or acquisitions of Intellectual Property or other assets to be consummated or made during the period of four consecutive fiscal quarters of the Borrower following the end of such period (except to the extent financed with any of the proceeds received from (A) the issuance or incurrence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Indebtedness or (B) the</w:t>
      </w:r>
    </w:p>
    <w:p>
      <w:pPr>
        <w:spacing w:after="0" w:line="22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12" w:name="page113"/>
    <w:bookmarkEnd w:id="112"/>
    <w:p>
      <w:pPr>
        <w:ind w:left="1660" w:right="1219"/>
        <w:spacing w:after="0" w:line="265" w:lineRule="auto"/>
        <w:rPr>
          <w:sz w:val="20"/>
          <w:szCs w:val="20"/>
          <w:color w:val="auto"/>
        </w:rPr>
      </w:pPr>
      <w:r>
        <w:rPr>
          <w:rFonts w:ascii="Times New Roman" w:cs="Times New Roman" w:eastAsia="Times New Roman" w:hAnsi="Times New Roman"/>
          <w:sz w:val="14"/>
          <w:szCs w:val="14"/>
          <w:color w:val="auto"/>
        </w:rPr>
        <w:t xml:space="preserve">issuance of Equity Interests);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that the aggregate amount of cash actually utilized to finance such Permitted Acquisitions (or other Investments), Capital Expenditures, or acquisitions of Intellectual Property or other assets during such following period of four consecutive fiscal quarters is </w:t>
      </w:r>
      <w:r>
        <w:rPr>
          <w:rFonts w:ascii="Times New Roman" w:cs="Times New Roman" w:eastAsia="Times New Roman" w:hAnsi="Times New Roman"/>
          <w:sz w:val="14"/>
          <w:szCs w:val="14"/>
          <w:u w:val="single" w:color="auto"/>
          <w:color w:val="auto"/>
        </w:rPr>
        <w:t>less</w:t>
      </w:r>
      <w:r>
        <w:rPr>
          <w:rFonts w:ascii="Times New Roman" w:cs="Times New Roman" w:eastAsia="Times New Roman" w:hAnsi="Times New Roman"/>
          <w:sz w:val="14"/>
          <w:szCs w:val="14"/>
          <w:color w:val="auto"/>
        </w:rPr>
        <w:t xml:space="preserve"> than the Contract Consideration and Planned Expenditures, the amount of such shortfall shall be added to the calculation of Excess Cash Flow, at the end of such period of four consecutive fiscal quarters,</w:t>
      </w:r>
    </w:p>
    <w:p>
      <w:pPr>
        <w:spacing w:after="0" w:line="144" w:lineRule="exact"/>
        <w:rPr>
          <w:sz w:val="20"/>
          <w:szCs w:val="20"/>
          <w:color w:val="auto"/>
        </w:rPr>
      </w:pPr>
    </w:p>
    <w:p>
      <w:pPr>
        <w:jc w:val="both"/>
        <w:ind w:left="1660" w:right="1239" w:firstLine="520"/>
        <w:spacing w:after="0" w:line="275" w:lineRule="auto"/>
        <w:tabs>
          <w:tab w:leader="none" w:pos="246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taxes (including penalties and interest) paid in cash or tax reserves set aside or payable (without duplication) in such period to the extent they exceed the amount of tax expense deducted in determining Consolidated Net Income for such period,</w:t>
      </w:r>
    </w:p>
    <w:p>
      <w:pPr>
        <w:spacing w:after="0" w:line="135" w:lineRule="exact"/>
        <w:rPr>
          <w:rFonts w:ascii="Times New Roman" w:cs="Times New Roman" w:eastAsia="Times New Roman" w:hAnsi="Times New Roman"/>
          <w:sz w:val="14"/>
          <w:szCs w:val="14"/>
          <w:color w:val="auto"/>
        </w:rPr>
      </w:pPr>
    </w:p>
    <w:p>
      <w:pPr>
        <w:ind w:left="1660" w:right="1579" w:firstLine="520"/>
        <w:spacing w:after="0" w:line="293" w:lineRule="auto"/>
        <w:tabs>
          <w:tab w:leader="none" w:pos="246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expenditures in respect of Hedge Agreements during such period to the extent not deducted in arriving at such Consolidated Net Income,</w:t>
      </w:r>
    </w:p>
    <w:p>
      <w:pPr>
        <w:spacing w:after="0" w:line="92" w:lineRule="exact"/>
        <w:rPr>
          <w:rFonts w:ascii="Times New Roman" w:cs="Times New Roman" w:eastAsia="Times New Roman" w:hAnsi="Times New Roman"/>
          <w:sz w:val="14"/>
          <w:szCs w:val="14"/>
          <w:color w:val="auto"/>
        </w:rPr>
      </w:pPr>
    </w:p>
    <w:p>
      <w:pPr>
        <w:ind w:left="1660" w:right="1259" w:firstLine="520"/>
        <w:spacing w:after="0" w:line="195" w:lineRule="exact"/>
        <w:tabs>
          <w:tab w:leader="none" w:pos="2463"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decreases in current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deferred revenue to the extent included or not deducted in arriving at such Consolidated Net Income, and</w:t>
      </w:r>
    </w:p>
    <w:p>
      <w:pPr>
        <w:spacing w:after="0" w:line="158" w:lineRule="exact"/>
        <w:rPr>
          <w:rFonts w:ascii="Times New Roman" w:cs="Times New Roman" w:eastAsia="Times New Roman" w:hAnsi="Times New Roman"/>
          <w:sz w:val="14"/>
          <w:szCs w:val="14"/>
          <w:color w:val="auto"/>
        </w:rPr>
      </w:pPr>
    </w:p>
    <w:p>
      <w:pPr>
        <w:ind w:left="2460" w:hanging="280"/>
        <w:spacing w:after="0"/>
        <w:tabs>
          <w:tab w:leader="none" w:pos="24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losses actually paid in cash.</w:t>
      </w:r>
    </w:p>
    <w:p>
      <w:pPr>
        <w:spacing w:after="0" w:line="181" w:lineRule="exact"/>
        <w:rPr>
          <w:sz w:val="20"/>
          <w:szCs w:val="20"/>
          <w:color w:val="auto"/>
        </w:rPr>
      </w:pPr>
    </w:p>
    <w:p>
      <w:pPr>
        <w:ind w:left="1140" w:right="115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Contribution</w:t>
      </w:r>
      <w:r>
        <w:rPr>
          <w:rFonts w:ascii="Times New Roman" w:cs="Times New Roman" w:eastAsia="Times New Roman" w:hAnsi="Times New Roman"/>
          <w:sz w:val="14"/>
          <w:szCs w:val="14"/>
          <w:color w:val="auto"/>
        </w:rPr>
        <w:t xml:space="preserve">” shall mean net cash proceeds, the Fair Market Value of marketable securities, or the Fair Market Value of Qualified Proceeds received by Holdings from (i) contributions to its common equity capital, and (ii) the sale (other than to a Subsidiary of the Borrower or to any management equity plan or stock option plan or any other management or employee benefit plan or agreement of the Borrower) of Capital Stock (other than Disqualified Stock and Designated Preferred Stock) of the Borrower,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Times New Roman" w:cs="Times New Roman" w:eastAsia="Times New Roman" w:hAnsi="Times New Roman"/>
          <w:sz w:val="14"/>
          <w:szCs w:val="14"/>
          <w:u w:val="single" w:color="auto"/>
          <w:color w:val="auto"/>
        </w:rPr>
        <w:t>Section 10.5(a)(iii)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assets shall qualify only if acquired by a parent of the Borrower in an arm’s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length transaction within the six months prior to such contribution and (ii) no Cure Amount shall constitute an Excluded Contribution.</w:t>
      </w:r>
    </w:p>
    <w:p>
      <w:pPr>
        <w:spacing w:after="0" w:line="16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Property</w:t>
      </w:r>
      <w:r>
        <w:rPr>
          <w:rFonts w:ascii="Times New Roman" w:cs="Times New Roman" w:eastAsia="Times New Roman" w:hAnsi="Times New Roman"/>
          <w:sz w:val="14"/>
          <w:szCs w:val="14"/>
          <w:color w:val="auto"/>
        </w:rPr>
        <w:t>” shall have the meaning set forth in the Security Agreement.</w:t>
      </w:r>
    </w:p>
    <w:p>
      <w:pPr>
        <w:spacing w:after="0" w:line="183" w:lineRule="exact"/>
        <w:rPr>
          <w:sz w:val="20"/>
          <w:szCs w:val="20"/>
          <w:color w:val="auto"/>
        </w:rPr>
      </w:pPr>
    </w:p>
    <w:p>
      <w:pPr>
        <w:ind w:left="1140" w:right="1199" w:firstLine="1033"/>
        <w:spacing w:after="0" w:line="17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Stock and Stock Equivalents</w:t>
      </w:r>
      <w:r>
        <w:rPr>
          <w:rFonts w:ascii="Times New Roman" w:cs="Times New Roman" w:eastAsia="Times New Roman" w:hAnsi="Times New Roman"/>
          <w:sz w:val="14"/>
          <w:szCs w:val="14"/>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(a) CFC or (b) CFC Holding Company, any Voting Stock or Stock Equivalents of such CFC or CFC Holding Company in excess of 66% of the total voting power of all outstanding Voting Stock or Stock Equivalents, (iii) any Capital Stock or Stock Equivalents of any direct or indirect Subsidiary of a CFC or CFC Holding Company, (iv) any Capital Stock or Stock Equivalents to the extent the pledge thereof would violate any applicable Requirements of Law (including any legally effective requirement to obtain the consent of any Governmental Authority unless such consent has been obtained) after giving effect to the applicable anti-assignment provisions of the Uniform Commercial Code of any applicable jurisdiction, (v) in the case of (A) any Capital Stock or Stock Equivalents of any Subsidiary to the extent such Capital Stock or Stock Equivalents are subject to a Lien permitted by </w:t>
      </w:r>
      <w:r>
        <w:rPr>
          <w:rFonts w:ascii="Times New Roman" w:cs="Times New Roman" w:eastAsia="Times New Roman" w:hAnsi="Times New Roman"/>
          <w:sz w:val="14"/>
          <w:szCs w:val="14"/>
          <w:u w:val="single" w:color="auto"/>
          <w:color w:val="auto"/>
        </w:rPr>
        <w:t>clause (vii)</w:t>
      </w:r>
      <w:r>
        <w:rPr>
          <w:rFonts w:ascii="Times New Roman" w:cs="Times New Roman" w:eastAsia="Times New Roman" w:hAnsi="Times New Roman"/>
          <w:sz w:val="14"/>
          <w:szCs w:val="14"/>
          <w:color w:val="auto"/>
        </w:rPr>
        <w:t xml:space="preserve"> of the definition of Permitted Lien or (B) any Capital Stock or Stock Equivalents of any Subsidiary that is not a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Owned Subsidiary of the Borrower and its Subsidiaries at the time such Subsidiary becomes a Subsidiary, any Capital Stock or Stock Equivalents of each such Subsidiary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to the extent (I) that a pledge thereof to secure the Obligations is prohibited by any applicable Contractual Requirement (other than customary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shall not apply if (x) such other party is Holdings or a Credit Party or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Subsidiary or (y) consent has been obtained to consummate such pledge (it being understood that the foregoing shall not be deemed to obligate the Borrower or any Subsidiary to obtain any such consent) and for so long as such Contractual Requirement or replacement or renewal thereof is in</w:t>
      </w:r>
    </w:p>
    <w:p>
      <w:pPr>
        <w:spacing w:after="0" w:line="24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13" w:name="page114"/>
    <w:bookmarkEnd w:id="113"/>
    <w:p>
      <w:pPr>
        <w:ind w:left="1140" w:right="1199"/>
        <w:spacing w:after="0" w:line="174" w:lineRule="exact"/>
        <w:rPr>
          <w:sz w:val="20"/>
          <w:szCs w:val="20"/>
          <w:color w:val="auto"/>
        </w:rPr>
      </w:pPr>
      <w:r>
        <w:rPr>
          <w:rFonts w:ascii="Times New Roman" w:cs="Times New Roman" w:eastAsia="Times New Roman" w:hAnsi="Times New Roman"/>
          <w:sz w:val="14"/>
          <w:szCs w:val="14"/>
          <w:color w:val="auto"/>
        </w:rPr>
        <w:t>effect, or (III) a pledge thereof to secure the Obligations would give any other party (other than Holdings or a Credit Party or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Subsidiary) to any contract, agreement, instrument, or indenture governing such Capital Stock or Stock Equivalents the right to terminate its obligations thereunder (other than customary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(vi) any Capital Stock or Stock Equivalents of any Subsidiary to the extent that the pledge of such Capital Stock or Stock Equivalents would result in materially adverse tax consequences to the Borrower or any Subsidiary as reasonably determined by the Borrower in consultation with the Administrative Agent, (vii) any Capital Stock or Stock Equivalents that are margin stock, and</w:t>
      </w:r>
    </w:p>
    <w:p>
      <w:pPr>
        <w:spacing w:after="0" w:line="5" w:lineRule="exact"/>
        <w:rPr>
          <w:sz w:val="20"/>
          <w:szCs w:val="20"/>
          <w:color w:val="auto"/>
        </w:rPr>
      </w:pPr>
    </w:p>
    <w:p>
      <w:pPr>
        <w:ind w:left="1140" w:right="1839" w:firstLine="7"/>
        <w:spacing w:after="0" w:line="273" w:lineRule="auto"/>
        <w:tabs>
          <w:tab w:leader="none" w:pos="146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Capital Stock and Stock Equivalents of any Subsidiary that is not a Material Subsidiary or is an Unrestricted Subsidiary, a captive insurance Subsidiary, an SPV or any special purpose entity.</w:t>
      </w:r>
    </w:p>
    <w:p>
      <w:pPr>
        <w:spacing w:after="0" w:line="135" w:lineRule="exact"/>
        <w:rPr>
          <w:sz w:val="20"/>
          <w:szCs w:val="20"/>
          <w:color w:val="auto"/>
        </w:rPr>
      </w:pPr>
    </w:p>
    <w:p>
      <w:pPr>
        <w:ind w:left="1140" w:right="1219" w:firstLine="1033"/>
        <w:spacing w:after="0" w:line="17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Subsidiary</w:t>
      </w:r>
      <w:r>
        <w:rPr>
          <w:rFonts w:ascii="Times New Roman" w:cs="Times New Roman" w:eastAsia="Times New Roman" w:hAnsi="Times New Roman"/>
          <w:sz w:val="14"/>
          <w:szCs w:val="14"/>
          <w:color w:val="auto"/>
        </w:rPr>
        <w:t xml:space="preserve">” shall mean (i) each Subsidiary, in each case, for so long as any such Subsidiary does not (on (x) a consolidated basis with its Restricted Subsidiaries, if determined on the Closing Date by reference to the Historical Financial Statements or (y) a consolidated basis with its Restricted Subsidiaries, if determined after the Closing Date by reference to the financial statements delivered to the Administrative Agent pursuant to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constitute a Material Subsidiary, (ii) each Subsidiary that is not a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Owned Subsidiary on any date such Subsidiary would otherwise be required to become a Guarantor pursuant to the requirements of </w:t>
      </w:r>
      <w:r>
        <w:rPr>
          <w:rFonts w:ascii="Times New Roman" w:cs="Times New Roman" w:eastAsia="Times New Roman" w:hAnsi="Times New Roman"/>
          <w:sz w:val="14"/>
          <w:szCs w:val="14"/>
          <w:u w:val="single" w:color="auto"/>
          <w:color w:val="auto"/>
        </w:rPr>
        <w:t>Section 9.11</w:t>
      </w:r>
      <w:r>
        <w:rPr>
          <w:rFonts w:ascii="Times New Roman" w:cs="Times New Roman" w:eastAsia="Times New Roman" w:hAnsi="Times New Roman"/>
          <w:sz w:val="14"/>
          <w:szCs w:val="14"/>
          <w:color w:val="auto"/>
        </w:rPr>
        <w:t xml:space="preserve"> (for so long as such Subsidiary remains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Restricted Subsidiary),</w:t>
      </w:r>
    </w:p>
    <w:p>
      <w:pPr>
        <w:spacing w:after="0" w:line="2" w:lineRule="exact"/>
        <w:rPr>
          <w:sz w:val="20"/>
          <w:szCs w:val="20"/>
          <w:color w:val="auto"/>
        </w:rPr>
      </w:pPr>
    </w:p>
    <w:p>
      <w:pPr>
        <w:ind w:left="1140" w:right="1159" w:firstLine="7"/>
        <w:spacing w:after="0" w:line="174" w:lineRule="exact"/>
        <w:tabs>
          <w:tab w:leader="none" w:pos="1391"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CFC Holding Company, (iv) any direct or indirect Subsidiary of a CFC or a CFC Holding Company, (v) any CFC, (vi) each Subsidiary that is prohibited by any applicable Contractual Requirement or Requirements of Law (to the extent existing on the Closing Date or, if later, the date it becomes a Restricted Subsidiary and in each case, not entered into in contemplation thereof) from guaranteeing or granting Liens to secure the Obligations or would require third-party or governmental (including regulatory) consent, approval, license or authorization to guarantee or grant such Liens to secure the Obligations (unless such consent, approval, license or authorization has been received), (vii) each Subsidiary with respect to which, as reasonably determined by the Borrower, the consequence of providing a Guarantee of the Obligations would adversely affect the ability of the Borrower and its respective Subsidiaries to satisfy applicable Requirements of Law, (viii) each Subsidiary with respect to which, as reasonably determined by the Borrower in consultation with the Administrative Agent, providing such a Guarantee would result in material adverse tax consequences, (ix) any other Subsidiary with respect to which, in the reasonable judgment of the Administrative Agent and the Borrower, as agreed in writing, the cost or other consequences of providing a Guarantee of the Obligations shall be excessive in view of the benefits to be obtained by the Lenders therefrom, (x) each Unrestricted Subsidiary, (xi) any Receivables Subsidiary, (xii)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(xiii) each Subsidiary that is a registered broker dealer and (xiv) each SPV, not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for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profit Subsidiary and captive insurance company.</w:t>
      </w:r>
    </w:p>
    <w:p>
      <w:pPr>
        <w:spacing w:after="0" w:line="135" w:lineRule="exact"/>
        <w:rPr>
          <w:sz w:val="20"/>
          <w:szCs w:val="20"/>
          <w:color w:val="auto"/>
        </w:rPr>
      </w:pPr>
    </w:p>
    <w:p>
      <w:pPr>
        <w:ind w:left="1140" w:right="117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Swap Obligation</w:t>
      </w:r>
      <w:r>
        <w:rPr>
          <w:rFonts w:ascii="Times New Roman" w:cs="Times New Roman" w:eastAsia="Times New Roman" w:hAnsi="Times New Roman"/>
          <w:sz w:val="14"/>
          <w:szCs w:val="14"/>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46" w:lineRule="exact"/>
        <w:rPr>
          <w:sz w:val="20"/>
          <w:szCs w:val="20"/>
          <w:color w:val="auto"/>
        </w:rPr>
      </w:pPr>
    </w:p>
    <w:p>
      <w:pPr>
        <w:ind w:left="1140" w:right="121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Excluded Taxes</w:t>
      </w:r>
      <w:r>
        <w:rPr>
          <w:rFonts w:ascii="Times New Roman" w:cs="Times New Roman" w:eastAsia="Times New Roman" w:hAnsi="Times New Roman"/>
          <w:sz w:val="14"/>
          <w:szCs w:val="14"/>
          <w:color w:val="auto"/>
        </w:rPr>
        <w:t>”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w:t>
      </w: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14" w:name="page115"/>
    <w:bookmarkEnd w:id="114"/>
    <w:p>
      <w:pPr>
        <w:ind w:left="1140" w:right="1159"/>
        <w:spacing w:after="0" w:line="259" w:lineRule="auto"/>
        <w:rPr>
          <w:sz w:val="20"/>
          <w:szCs w:val="20"/>
          <w:color w:val="auto"/>
        </w:rPr>
      </w:pPr>
      <w:r>
        <w:rPr>
          <w:rFonts w:ascii="Times New Roman" w:cs="Times New Roman" w:eastAsia="Times New Roman" w:hAnsi="Times New Roman"/>
          <w:sz w:val="14"/>
          <w:szCs w:val="14"/>
          <w:color w:val="auto"/>
        </w:rPr>
        <w:t xml:space="preserve">imposed on it (in lieu of net income Taxes), in each case by a jurisdiction (including any political subdivision 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 (ii) any U.S. federal withholding Tax imposed on any payment by or on account of any obligation of any Credit Party hereunder or under any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Times New Roman" w:cs="Times New Roman" w:eastAsia="Times New Roman" w:hAnsi="Times New Roman"/>
          <w:sz w:val="14"/>
          <w:szCs w:val="14"/>
          <w:u w:val="single" w:color="auto"/>
          <w:color w:val="auto"/>
        </w:rPr>
        <w:t>Section 13.7</w:t>
      </w:r>
      <w:r>
        <w:rPr>
          <w:rFonts w:ascii="Times New Roman" w:cs="Times New Roman" w:eastAsia="Times New Roman" w:hAnsi="Times New Roman"/>
          <w:sz w:val="14"/>
          <w:szCs w:val="14"/>
          <w:color w:val="auto"/>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(iii) any Taxes attributable to a recipient’s failure to comply with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or (iv) any withholding Tax imposed under FATCA.</w:t>
      </w:r>
    </w:p>
    <w:p>
      <w:pPr>
        <w:spacing w:after="0" w:line="14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Class</w:t>
      </w:r>
      <w:r>
        <w:rPr>
          <w:rFonts w:ascii="Times New Roman" w:cs="Times New Roman" w:eastAsia="Times New Roman" w:hAnsi="Times New Roman"/>
          <w:sz w:val="14"/>
          <w:szCs w:val="14"/>
          <w:color w:val="auto"/>
        </w:rPr>
        <w:t>” shall mean any Existing Term Loan Class and any Existing Revolving Credit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Class.</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Debt Facilities</w:t>
      </w:r>
      <w:r>
        <w:rPr>
          <w:rFonts w:ascii="Times New Roman" w:cs="Times New Roman" w:eastAsia="Times New Roman" w:hAnsi="Times New Roman"/>
          <w:sz w:val="14"/>
          <w:szCs w:val="14"/>
          <w:color w:val="auto"/>
        </w:rPr>
        <w:t>” shall mean the debt facilities incurred pursuant to (i) that certain First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Lien Credit Agreement, dated December 7, 2017, by and among Phoenix Parent Holdings Inc., PharMerica</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Corporation, the lenders party thereto and Goldman Sachs Bank USA, as administrative agent, and that certain</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Second Lien Credit Agreement, dated December 7, 2017, by and among Phoenix Parent Holdings Inc., PharMerica</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Corporation, the lenders party thereto and Goldman Sachs Bank USA, as administrative agent (collectively, the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Credit Agreements</w:t>
      </w:r>
      <w:r>
        <w:rPr>
          <w:rFonts w:ascii="Times New Roman" w:cs="Times New Roman" w:eastAsia="Times New Roman" w:hAnsi="Times New Roman"/>
          <w:sz w:val="14"/>
          <w:szCs w:val="14"/>
          <w:color w:val="auto"/>
        </w:rPr>
        <w:t>”), and (ii) that certain Second Amended &amp; Restated Credit Agreement, dated as of</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March 28, 2018, among Res-Care, Inc., Onex ResCare Holdings Corp., the Guarantors (as such term is defined</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therein) from time to time party thereto, Bank of America, N.A., as administrative agent, L/C issuer and swing line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lender, the other lenders from to time to time party thereto, Merrill Lynch, Pierce, Fenner &amp; Smith Incorporated,</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JPMorgan Chase Bank, N.A., Regions Capital Markets, a Division of Regions Bank and Suntrust Robinson</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Humphrey, Inc., as joint lead arrangers and joint bookrunners, Merrill Lynch, Pierce, Fenner &amp; Smith Incorporated,</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JPMorgan Chase Bank, N.A., Regions Capital Markets, a Division of Regions Bank and Suntrust Bank, as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syndication agents and Capital One, National Association, U.S. Bank National Association and HSBC Securities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(USA) Inc. as documentation agents.</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Revolving Credit Class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Revolving Credit Commitment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Revolving Credit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Term Loan</w:t>
      </w:r>
      <w:r>
        <w:rPr>
          <w:rFonts w:ascii="Times New Roman" w:cs="Times New Roman" w:eastAsia="Times New Roman" w:hAnsi="Times New Roman"/>
          <w:sz w:val="14"/>
          <w:szCs w:val="14"/>
          <w:color w:val="auto"/>
        </w:rPr>
        <w:t>” shall have the meaning provided in Amendment No. 1</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Term Loan Class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Term Loan Lender</w:t>
      </w:r>
      <w:r>
        <w:rPr>
          <w:rFonts w:ascii="Times New Roman" w:cs="Times New Roman" w:eastAsia="Times New Roman" w:hAnsi="Times New Roman"/>
          <w:sz w:val="14"/>
          <w:szCs w:val="14"/>
          <w:color w:val="auto"/>
        </w:rPr>
        <w:t>” shall have the meaning provided in Amendment No. 1.</w:t>
      </w:r>
    </w:p>
    <w:p>
      <w:pPr>
        <w:spacing w:after="0" w:line="183" w:lineRule="exact"/>
        <w:rPr>
          <w:sz w:val="20"/>
          <w:szCs w:val="20"/>
          <w:color w:val="auto"/>
        </w:rPr>
      </w:pPr>
    </w:p>
    <w:p>
      <w:pPr>
        <w:ind w:left="1140" w:right="147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Existing Tranche B-1/B-3 Term Loan</w:t>
      </w:r>
      <w:r>
        <w:rPr>
          <w:rFonts w:ascii="Times New Roman" w:cs="Times New Roman" w:eastAsia="Times New Roman" w:hAnsi="Times New Roman"/>
          <w:sz w:val="14"/>
          <w:szCs w:val="14"/>
          <w:u w:val="single" w:color="auto"/>
          <w:color w:val="0000FF"/>
        </w:rPr>
        <w:t>” shall have the meaning provided to “Existing Term Loan” in Amendment No. 7.</w:t>
      </w:r>
    </w:p>
    <w:p>
      <w:pPr>
        <w:spacing w:after="0" w:line="119" w:lineRule="exact"/>
        <w:rPr>
          <w:sz w:val="20"/>
          <w:szCs w:val="20"/>
          <w:color w:val="auto"/>
        </w:rPr>
      </w:pPr>
    </w:p>
    <w:p>
      <w:pPr>
        <w:ind w:left="1140" w:right="1159" w:firstLine="517"/>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Existing Tranche B-1/B-3 Term Loan Lender</w:t>
      </w:r>
      <w:r>
        <w:rPr>
          <w:rFonts w:ascii="Times New Roman" w:cs="Times New Roman" w:eastAsia="Times New Roman" w:hAnsi="Times New Roman"/>
          <w:sz w:val="14"/>
          <w:szCs w:val="14"/>
          <w:u w:val="single" w:color="auto"/>
          <w:color w:val="0000FF"/>
        </w:rPr>
        <w:t>” shall mean each Existing Tranche B-1 Term Loan Lender and Existing Tranche B-3 Term Loan Lender, as applicable.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Existing Tranche B-1 Term Loan Lender</w:t>
      </w:r>
      <w:r>
        <w:rPr>
          <w:rFonts w:ascii="Times New Roman" w:cs="Times New Roman" w:eastAsia="Times New Roman" w:hAnsi="Times New Roman"/>
          <w:sz w:val="14"/>
          <w:szCs w:val="14"/>
          <w:u w:val="single" w:color="auto"/>
          <w:color w:val="0000FF"/>
        </w:rPr>
        <w:t>” shall have the meaning provided in Amendment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0000FF"/>
        </w:rPr>
        <w:t>No. 7.</w:t>
      </w:r>
    </w:p>
    <w:p>
      <w:pPr>
        <w:spacing w:after="0" w:line="2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15" w:name="page116"/>
    <w:bookmarkEnd w:id="115"/>
    <w:p>
      <w:pPr>
        <w:ind w:left="1140" w:right="11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Tranche B-2 Term Loan</w:t>
      </w:r>
      <w:r>
        <w:rPr>
          <w:rFonts w:ascii="Times New Roman" w:cs="Times New Roman" w:eastAsia="Times New Roman" w:hAnsi="Times New Roman"/>
          <w:sz w:val="14"/>
          <w:szCs w:val="14"/>
          <w:color w:val="auto"/>
        </w:rPr>
        <w:t>” shall have the meaning provided to “Existing Term Loan” in Amendment No. 4.</w:t>
      </w:r>
    </w:p>
    <w:p>
      <w:pPr>
        <w:spacing w:after="0" w:line="119"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Existing Tranche B-2 Term Loan Lender</w:t>
      </w:r>
      <w:r>
        <w:rPr>
          <w:rFonts w:ascii="Times New Roman" w:cs="Times New Roman" w:eastAsia="Times New Roman" w:hAnsi="Times New Roman"/>
          <w:sz w:val="14"/>
          <w:szCs w:val="14"/>
          <w:color w:val="auto"/>
        </w:rPr>
        <w:t xml:space="preserve"> shall have the meaning provided to “Existing Term Loan Lender” in Amendment No. 4.</w:t>
      </w:r>
    </w:p>
    <w:p>
      <w:pPr>
        <w:spacing w:after="0" w:line="11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Existing Tranche B-3 Term Loan Lender</w:t>
      </w:r>
      <w:r>
        <w:rPr>
          <w:rFonts w:ascii="Times New Roman" w:cs="Times New Roman" w:eastAsia="Times New Roman" w:hAnsi="Times New Roman"/>
          <w:sz w:val="14"/>
          <w:szCs w:val="14"/>
          <w:u w:val="single" w:color="auto"/>
          <w:color w:val="0000FF"/>
        </w:rPr>
        <w:t>” shall have the meaning provided in Amendment No. 7.</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Extended Repayment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Extended Revolving Credit Commitments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2.14(g)(ii)</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Extended Revolving Credit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6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Extended Revolving Loan Maturity Date</w:t>
      </w:r>
      <w:r>
        <w:rPr>
          <w:rFonts w:ascii="Times New Roman" w:cs="Times New Roman" w:eastAsia="Times New Roman" w:hAnsi="Times New Roman"/>
          <w:sz w:val="14"/>
          <w:szCs w:val="14"/>
          <w:color w:val="auto"/>
        </w:rPr>
        <w:t>” shall mean the date on which any tranche of Extended Revolving Credit Loans matures.</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Extended Term Loan Repayment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Extended Term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Extending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Extension Amendment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2.14(g)(iv)</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Extension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2.14(g)(v)</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Extension Election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Extension Request</w:t>
      </w:r>
      <w:r>
        <w:rPr>
          <w:rFonts w:ascii="Times New Roman" w:cs="Times New Roman" w:eastAsia="Times New Roman" w:hAnsi="Times New Roman"/>
          <w:sz w:val="14"/>
          <w:szCs w:val="14"/>
          <w:color w:val="auto"/>
        </w:rPr>
        <w:t>” shall mean a Term Loan Extension Request.</w:t>
      </w:r>
    </w:p>
    <w:p>
      <w:pPr>
        <w:spacing w:after="0" w:line="183" w:lineRule="exact"/>
        <w:rPr>
          <w:sz w:val="20"/>
          <w:szCs w:val="20"/>
          <w:color w:val="auto"/>
        </w:rPr>
      </w:pPr>
    </w:p>
    <w:p>
      <w:pPr>
        <w:ind w:left="1140" w:right="1159" w:firstLine="1033"/>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Extension Series</w:t>
      </w:r>
      <w:r>
        <w:rPr>
          <w:rFonts w:ascii="Times New Roman" w:cs="Times New Roman" w:eastAsia="Times New Roman" w:hAnsi="Times New Roman"/>
          <w:sz w:val="14"/>
          <w:szCs w:val="14"/>
          <w:color w:val="auto"/>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316" w:lineRule="exact"/>
        <w:rPr>
          <w:sz w:val="20"/>
          <w:szCs w:val="20"/>
          <w:color w:val="auto"/>
        </w:rPr>
      </w:pPr>
    </w:p>
    <w:p>
      <w:pPr>
        <w:ind w:left="1140" w:right="123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Fair Market Value</w:t>
      </w:r>
      <w:r>
        <w:rPr>
          <w:rFonts w:ascii="Times New Roman" w:cs="Times New Roman" w:eastAsia="Times New Roman" w:hAnsi="Times New Roman"/>
          <w:sz w:val="14"/>
          <w:szCs w:val="14"/>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41" w:lineRule="exact"/>
        <w:rPr>
          <w:sz w:val="20"/>
          <w:szCs w:val="20"/>
          <w:color w:val="auto"/>
        </w:rPr>
      </w:pPr>
    </w:p>
    <w:p>
      <w:pPr>
        <w:ind w:left="1140" w:right="131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FATCA</w:t>
      </w:r>
      <w:r>
        <w:rPr>
          <w:rFonts w:ascii="Times New Roman" w:cs="Times New Roman" w:eastAsia="Times New Roman" w:hAnsi="Times New Roman"/>
          <w:sz w:val="14"/>
          <w:szCs w:val="14"/>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above), any intergovernmental agreements (or related legislation or official administrative rules or practices) implementing the foregoing, and any laws, fiscal or regulatory legislation, rules, guidance notes and practices adopted by a non-U.S. jurisdiction to effect the foregoing.</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8.10(c)</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16" w:name="page117"/>
    <w:bookmarkEnd w:id="116"/>
    <w:p>
      <w:pPr>
        <w:ind w:left="1140" w:right="1159" w:firstLine="103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Federal Funds Effective Rate</w:t>
      </w:r>
      <w:r>
        <w:rPr>
          <w:rFonts w:ascii="Times New Roman" w:cs="Times New Roman" w:eastAsia="Times New Roman" w:hAnsi="Times New Roman"/>
          <w:sz w:val="14"/>
          <w:szCs w:val="14"/>
          <w:color w:val="auto"/>
        </w:rPr>
        <w:t xml:space="preserve">” shall mean, for any day, the weighted average of the per annum rates on overnight federal funds transactions with members of the Federal Reserve System as published on the next succeeding Business Day by the Federal Reserve Bank of New York;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charged to the Administrative Agent on such day on such transactions as determined by the Administrative Agent;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if the Federal Funds Effective Rate would otherwise be negative, it shall be deemed to be 0% per annum.</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Fees</w:t>
      </w:r>
      <w:r>
        <w:rPr>
          <w:rFonts w:ascii="Times New Roman" w:cs="Times New Roman" w:eastAsia="Times New Roman" w:hAnsi="Times New Roman"/>
          <w:sz w:val="14"/>
          <w:szCs w:val="14"/>
          <w:color w:val="auto"/>
        </w:rPr>
        <w:t xml:space="preserve">” shall mean all amounts payable pursuant to, or referred to in,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Lien Incremental Ratio</w:t>
      </w:r>
      <w:r>
        <w:rPr>
          <w:rFonts w:ascii="Times New Roman" w:cs="Times New Roman" w:eastAsia="Times New Roman" w:hAnsi="Times New Roman"/>
          <w:sz w:val="14"/>
          <w:szCs w:val="14"/>
          <w:color w:val="auto"/>
        </w:rPr>
        <w:t>” shall mean, as of any date of determination, with respect to the last day of the most recently ended Test Period, the Consolidated First Lien Secured Debt to Consolidated EBITDA Ratio shall be no greater than 4.50:1.00.</w:t>
      </w:r>
    </w:p>
    <w:p>
      <w:pPr>
        <w:spacing w:after="0" w:line="133" w:lineRule="exact"/>
        <w:rPr>
          <w:sz w:val="20"/>
          <w:szCs w:val="20"/>
          <w:color w:val="auto"/>
        </w:rPr>
      </w:pPr>
    </w:p>
    <w:p>
      <w:pPr>
        <w:ind w:left="1140" w:right="1239" w:firstLine="1033"/>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Lien Intercreditor Agreement</w:t>
      </w:r>
      <w:r>
        <w:rPr>
          <w:rFonts w:ascii="Times New Roman" w:cs="Times New Roman" w:eastAsia="Times New Roman" w:hAnsi="Times New Roman"/>
          <w:sz w:val="14"/>
          <w:szCs w:val="14"/>
          <w:color w:val="auto"/>
        </w:rPr>
        <w:t xml:space="preserve">” shall mean an intercreditor agreement substantially in the form of </w:t>
      </w:r>
      <w:r>
        <w:rPr>
          <w:rFonts w:ascii="Times New Roman" w:cs="Times New Roman" w:eastAsia="Times New Roman" w:hAnsi="Times New Roman"/>
          <w:sz w:val="14"/>
          <w:szCs w:val="14"/>
          <w:u w:val="single" w:color="auto"/>
          <w:color w:val="auto"/>
        </w:rPr>
        <w:t>Exhibit H</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1</w:t>
      </w:r>
      <w:r>
        <w:rPr>
          <w:rFonts w:ascii="Times New Roman" w:cs="Times New Roman" w:eastAsia="Times New Roman" w:hAnsi="Times New Roman"/>
          <w:sz w:val="14"/>
          <w:szCs w:val="14"/>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First Lien Obligations</w:t>
      </w:r>
      <w:r>
        <w:rPr>
          <w:rFonts w:ascii="Times New Roman" w:cs="Times New Roman" w:eastAsia="Times New Roman" w:hAnsi="Times New Roman"/>
          <w:sz w:val="14"/>
          <w:szCs w:val="14"/>
          <w:color w:val="auto"/>
        </w:rPr>
        <w:t>” shall mean the Obligations and the Permitted Other Indebtedness Obligations that are secured by Liens on the Collateral that rank on an equal priority basis (but without regard to the control of remedies) with Liens on the Collateral securing the Obligations.</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Fixed Amounts</w:t>
      </w:r>
      <w:r>
        <w:rPr>
          <w:rFonts w:ascii="Times New Roman" w:cs="Times New Roman" w:eastAsia="Times New Roman" w:hAnsi="Times New Roman"/>
          <w:sz w:val="14"/>
          <w:szCs w:val="14"/>
          <w:u w:val="single" w:color="auto"/>
          <w:color w:val="0000FF"/>
        </w:rPr>
        <w:t>” shall have the meaning provided in Section 1.12(a).</w:t>
      </w:r>
    </w:p>
    <w:p>
      <w:pPr>
        <w:spacing w:after="0" w:line="183" w:lineRule="exact"/>
        <w:rPr>
          <w:sz w:val="20"/>
          <w:szCs w:val="20"/>
          <w:color w:val="auto"/>
        </w:rPr>
      </w:pPr>
    </w:p>
    <w:p>
      <w:pPr>
        <w:ind w:left="1140" w:right="13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Fixed Charge Coverage Ratio</w:t>
      </w:r>
      <w:r>
        <w:rPr>
          <w:rFonts w:ascii="Times New Roman" w:cs="Times New Roman" w:eastAsia="Times New Roman" w:hAnsi="Times New Roman"/>
          <w:sz w:val="14"/>
          <w:szCs w:val="14"/>
          <w:color w:val="auto"/>
        </w:rPr>
        <w:t>” shall mean, as of any date of determination, the ratio of (i) Consolidated EBITDA for the Test Period most recently ended on or prior to such date of determination to (ii) the Fixed Charges for such Test Period.</w:t>
      </w:r>
    </w:p>
    <w:p>
      <w:pPr>
        <w:spacing w:after="0" w:line="13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Fixed Charges</w:t>
      </w:r>
      <w:r>
        <w:rPr>
          <w:rFonts w:ascii="Times New Roman" w:cs="Times New Roman" w:eastAsia="Times New Roman" w:hAnsi="Times New Roman"/>
          <w:sz w:val="14"/>
          <w:szCs w:val="14"/>
          <w:color w:val="auto"/>
        </w:rPr>
        <w:t>” shall mean, with respect to any Person for any period, the sum of:</w:t>
      </w:r>
    </w:p>
    <w:p>
      <w:pPr>
        <w:spacing w:after="0" w:line="185" w:lineRule="exact"/>
        <w:rPr>
          <w:sz w:val="20"/>
          <w:szCs w:val="20"/>
          <w:color w:val="auto"/>
        </w:rPr>
      </w:pPr>
    </w:p>
    <w:p>
      <w:pPr>
        <w:ind w:left="1660" w:right="1199" w:firstLine="290"/>
        <w:spacing w:after="0" w:line="293" w:lineRule="auto"/>
        <w:tabs>
          <w:tab w:leader="none" w:pos="223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Interest Expense of such Person and its Restricted Subsidiaries on a consolidated basis for such period,</w:t>
      </w:r>
    </w:p>
    <w:p>
      <w:pPr>
        <w:spacing w:after="0" w:line="123" w:lineRule="exact"/>
        <w:rPr>
          <w:rFonts w:ascii="Times New Roman" w:cs="Times New Roman" w:eastAsia="Times New Roman" w:hAnsi="Times New Roman"/>
          <w:sz w:val="14"/>
          <w:szCs w:val="14"/>
          <w:color w:val="auto"/>
        </w:rPr>
      </w:pPr>
    </w:p>
    <w:p>
      <w:pPr>
        <w:ind w:left="1660" w:right="1159" w:firstLine="290"/>
        <w:spacing w:after="0" w:line="275" w:lineRule="auto"/>
        <w:tabs>
          <w:tab w:leader="none" w:pos="223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35" w:lineRule="exact"/>
        <w:rPr>
          <w:rFonts w:ascii="Times New Roman" w:cs="Times New Roman" w:eastAsia="Times New Roman" w:hAnsi="Times New Roman"/>
          <w:sz w:val="14"/>
          <w:szCs w:val="14"/>
          <w:color w:val="auto"/>
        </w:rPr>
      </w:pPr>
    </w:p>
    <w:p>
      <w:pPr>
        <w:ind w:left="1660" w:right="1239" w:firstLine="290"/>
        <w:spacing w:after="0" w:line="293" w:lineRule="auto"/>
        <w:tabs>
          <w:tab w:leader="none" w:pos="2234"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cash dividend payments (excluding items eliminated in consolidation) on any series of Disqualified Stock made during such period.</w:t>
      </w:r>
    </w:p>
    <w:p>
      <w:pPr>
        <w:spacing w:after="0" w:line="121" w:lineRule="exact"/>
        <w:rPr>
          <w:sz w:val="20"/>
          <w:szCs w:val="20"/>
          <w:color w:val="auto"/>
        </w:rPr>
      </w:pPr>
    </w:p>
    <w:p>
      <w:pPr>
        <w:jc w:val="both"/>
        <w:ind w:left="1140" w:right="1159" w:firstLine="517"/>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Flood Insurance Laws</w:t>
      </w:r>
      <w:r>
        <w:rPr>
          <w:rFonts w:ascii="Times New Roman" w:cs="Times New Roman" w:eastAsia="Times New Roman" w:hAnsi="Times New Roman"/>
          <w:sz w:val="14"/>
          <w:szCs w:val="14"/>
          <w:color w:val="auto"/>
        </w:rPr>
        <w:t>” shall mean, collectively, (i) the National Flood Insurance Reform Act of 1994 (which comprehensively revised the National Flood Insurance Act of 1968 and the Flood Disaster Protection Act of 1973) as now or hereafter in effect or any successor statute thereto, (ii) the Flood Insurance Reform Act of 2004 as now or hereafter in effect or any successor statute thereto and (iii) the Biggert-Waters Flood Insurance Reform Act of 2012 as now or hereafter in effect or any successor statute thereto.</w:t>
      </w:r>
    </w:p>
    <w:p>
      <w:pPr>
        <w:spacing w:after="0" w:line="14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 xml:space="preserve">“Floor” </w:t>
      </w:r>
      <w:r>
        <w:rPr>
          <w:rFonts w:ascii="Times New Roman" w:cs="Times New Roman" w:eastAsia="Times New Roman" w:hAnsi="Times New Roman"/>
          <w:sz w:val="14"/>
          <w:szCs w:val="14"/>
          <w:color w:val="auto"/>
        </w:rPr>
        <w:t>means a rate of interest equal to 0.00% per annum.</w:t>
      </w:r>
    </w:p>
    <w:p>
      <w:pPr>
        <w:spacing w:after="0" w:line="183" w:lineRule="exact"/>
        <w:rPr>
          <w:sz w:val="20"/>
          <w:szCs w:val="20"/>
          <w:color w:val="auto"/>
        </w:rPr>
      </w:pPr>
    </w:p>
    <w:p>
      <w:pPr>
        <w:ind w:left="1140" w:right="1459" w:firstLine="1033"/>
        <w:spacing w:after="0" w:line="19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Benefit Arrangement</w:t>
      </w:r>
      <w:r>
        <w:rPr>
          <w:rFonts w:ascii="Times New Roman" w:cs="Times New Roman" w:eastAsia="Times New Roman" w:hAnsi="Times New Roman"/>
          <w:sz w:val="14"/>
          <w:szCs w:val="14"/>
          <w:color w:val="auto"/>
        </w:rPr>
        <w:t>” shall mean any employee benefit arrangement mandated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law that is maintained or contributed to by any Credit Party or any of its Subsidiaries.</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17" w:name="page118"/>
    <w:bookmarkEnd w:id="117"/>
    <w:p>
      <w:pPr>
        <w:jc w:val="both"/>
        <w:ind w:left="1140" w:right="12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Plan</w:t>
      </w:r>
      <w:r>
        <w:rPr>
          <w:rFonts w:ascii="Times New Roman" w:cs="Times New Roman" w:eastAsia="Times New Roman" w:hAnsi="Times New Roman"/>
          <w:sz w:val="14"/>
          <w:szCs w:val="14"/>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33" w:lineRule="exact"/>
        <w:rPr>
          <w:sz w:val="20"/>
          <w:szCs w:val="20"/>
          <w:color w:val="auto"/>
        </w:rPr>
      </w:pPr>
    </w:p>
    <w:p>
      <w:pPr>
        <w:ind w:left="1140" w:right="125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Plan Event</w:t>
      </w:r>
      <w:r>
        <w:rPr>
          <w:rFonts w:ascii="Times New Roman" w:cs="Times New Roman" w:eastAsia="Times New Roman" w:hAnsi="Times New Roman"/>
          <w:sz w:val="14"/>
          <w:szCs w:val="14"/>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and regulations or with the terms of such Foreign Plan or Foreign Benefit Arrangement.</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Foreign Subsidiary</w:t>
      </w:r>
      <w:r>
        <w:rPr>
          <w:rFonts w:ascii="Times New Roman" w:cs="Times New Roman" w:eastAsia="Times New Roman" w:hAnsi="Times New Roman"/>
          <w:sz w:val="14"/>
          <w:szCs w:val="14"/>
          <w:color w:val="auto"/>
        </w:rPr>
        <w:t>” shall mean each Subsidiary of the Borrower that is not a Domestic</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Subsidiary.</w:t>
      </w:r>
    </w:p>
    <w:p>
      <w:pPr>
        <w:spacing w:after="0" w:line="168"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Fronting Exposure</w:t>
      </w:r>
      <w:r>
        <w:rPr>
          <w:rFonts w:ascii="Times New Roman" w:cs="Times New Roman" w:eastAsia="Times New Roman" w:hAnsi="Times New Roman"/>
          <w:sz w:val="14"/>
          <w:szCs w:val="14"/>
          <w:color w:val="auto"/>
        </w:rPr>
        <w:t>” shall mean, at any time there is a Defaulting Lender, with respect to the Letter of Credit Issuer or Swingline Lender, such Defaulting Lender’s Revolving Credit Commitment Percentage or 2020 Letter of Credit Commitment Percentage, as applicable, of the outstanding L/C Obligations or Swingline Loans, as applicable, other than L/C Obligations or Swingline Loans, as applicable, as to which such Defaulting Lender’s participation obligation has been reallocated to other Lenders or Cash Collateralized in accordance with the terms hereof.</w:t>
      </w:r>
    </w:p>
    <w:p>
      <w:pPr>
        <w:spacing w:after="0" w:line="316" w:lineRule="exact"/>
        <w:rPr>
          <w:sz w:val="20"/>
          <w:szCs w:val="20"/>
          <w:color w:val="auto"/>
        </w:rPr>
      </w:pPr>
    </w:p>
    <w:p>
      <w:pPr>
        <w:jc w:val="both"/>
        <w:ind w:left="1140" w:right="13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Fund</w:t>
      </w:r>
      <w:r>
        <w:rPr>
          <w:rFonts w:ascii="Times New Roman" w:cs="Times New Roman" w:eastAsia="Times New Roman" w:hAnsi="Times New Roman"/>
          <w:sz w:val="14"/>
          <w:szCs w:val="14"/>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33" w:lineRule="exact"/>
        <w:rPr>
          <w:sz w:val="20"/>
          <w:szCs w:val="20"/>
          <w:color w:val="auto"/>
        </w:rPr>
      </w:pPr>
    </w:p>
    <w:p>
      <w:pPr>
        <w:ind w:left="1140" w:right="119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Funded Debt</w:t>
      </w:r>
      <w:r>
        <w:rPr>
          <w:rFonts w:ascii="Times New Roman" w:cs="Times New Roman" w:eastAsia="Times New Roman" w:hAnsi="Times New Roman"/>
          <w:sz w:val="14"/>
          <w:szCs w:val="14"/>
          <w:color w:val="auto"/>
        </w:rPr>
        <w:t>” shall mean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 the Second Lien Loans.</w:t>
      </w:r>
    </w:p>
    <w:p>
      <w:pPr>
        <w:spacing w:after="0" w:line="142" w:lineRule="exact"/>
        <w:rPr>
          <w:sz w:val="20"/>
          <w:szCs w:val="20"/>
          <w:color w:val="auto"/>
        </w:rPr>
      </w:pPr>
    </w:p>
    <w:p>
      <w:pPr>
        <w:ind w:left="1140" w:right="117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GAAP</w:t>
      </w:r>
      <w:r>
        <w:rPr>
          <w:rFonts w:ascii="Times New Roman" w:cs="Times New Roman" w:eastAsia="Times New Roman" w:hAnsi="Times New Roman"/>
          <w:sz w:val="14"/>
          <w:szCs w:val="14"/>
          <w:color w:val="auto"/>
        </w:rPr>
        <w:t xml:space="preserve">” shall mean generally accepted accounting principles in the United States, as in effect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the Borrower notifies the Administrative Agent that the Borrower request an amendment to any provision hereof to eliminate the effect of any change occurring after the Closing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Closing Date, the Borrower may elect to apply International Financial Reporting Standards (“</w:t>
      </w:r>
      <w:r>
        <w:rPr>
          <w:rFonts w:ascii="Times New Roman" w:cs="Times New Roman" w:eastAsia="Times New Roman" w:hAnsi="Times New Roman"/>
          <w:sz w:val="14"/>
          <w:szCs w:val="14"/>
          <w:b w:val="1"/>
          <w:bCs w:val="1"/>
          <w:color w:val="auto"/>
        </w:rPr>
        <w:t>IFRS</w:t>
      </w:r>
      <w:r>
        <w:rPr>
          <w:rFonts w:ascii="Times New Roman" w:cs="Times New Roman" w:eastAsia="Times New Roman" w:hAnsi="Times New Roman"/>
          <w:sz w:val="14"/>
          <w:szCs w:val="14"/>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any such election, once made, shall be irrevocable;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calculation or determination in this Agreement that requires the application of GAAP for periods that include fiscal quarters ended prior to the Borrower’s election to apply IFRS shall remain as previously calculated or determined in accordance with GAAP. Notwithstanding any other provision contained herein, the amount of any Indebtedness under GAAP with respect to Capitalized Lease Obligations shall be determined in accordance with the definition of Capitalized Lease Obligations.</w:t>
      </w:r>
    </w:p>
    <w:p>
      <w:pPr>
        <w:spacing w:after="0" w:line="321" w:lineRule="exact"/>
        <w:rPr>
          <w:sz w:val="20"/>
          <w:szCs w:val="20"/>
          <w:color w:val="auto"/>
        </w:rPr>
      </w:pPr>
    </w:p>
    <w:p>
      <w:pPr>
        <w:ind w:left="1140" w:right="115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Governmental Authority</w:t>
      </w:r>
      <w:r>
        <w:rPr>
          <w:rFonts w:ascii="Times New Roman" w:cs="Times New Roman" w:eastAsia="Times New Roman" w:hAnsi="Times New Roman"/>
          <w:sz w:val="14"/>
          <w:szCs w:val="14"/>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body exercising such powers or functions, such as the European Union or the European Central Bank).</w:t>
      </w: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18" w:name="page119"/>
    <w:bookmarkEnd w:id="118"/>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Granting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Guarantee</w:t>
      </w:r>
      <w:r>
        <w:rPr>
          <w:rFonts w:ascii="Times New Roman" w:cs="Times New Roman" w:eastAsia="Times New Roman" w:hAnsi="Times New Roman"/>
          <w:sz w:val="14"/>
          <w:szCs w:val="14"/>
          <w:color w:val="auto"/>
        </w:rPr>
        <w:t xml:space="preserve">” shall mean (i) the First Lien Guarantee made by Holdings and each other Guarantor in favor of the Collateral Agent for the benefit of the Secured Parties, substantially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and (ii) any other guarantee of the Obligations made by a Restricted Subsidiary in form and substance reasonably acceptable to the Administrative Agent.</w:t>
      </w:r>
    </w:p>
    <w:p>
      <w:pPr>
        <w:spacing w:after="0" w:line="139" w:lineRule="exact"/>
        <w:rPr>
          <w:sz w:val="20"/>
          <w:szCs w:val="20"/>
          <w:color w:val="auto"/>
        </w:rPr>
      </w:pPr>
    </w:p>
    <w:p>
      <w:pPr>
        <w:ind w:left="1140" w:right="115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guarantee obligations</w:t>
      </w:r>
      <w:r>
        <w:rPr>
          <w:rFonts w:ascii="Times New Roman" w:cs="Times New Roman" w:eastAsia="Times New Roman" w:hAnsi="Times New Roman"/>
          <w:sz w:val="14"/>
          <w:szCs w:val="14"/>
          <w:color w:val="auto"/>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term guarantee obligations shall not include endorsements of instruments for deposit or collection in the ordinary course of business or customary and reasonable indemnity obligations or product warranties in effect on the Closing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47" w:lineRule="exact"/>
        <w:rPr>
          <w:sz w:val="20"/>
          <w:szCs w:val="20"/>
          <w:color w:val="auto"/>
        </w:rPr>
      </w:pPr>
    </w:p>
    <w:p>
      <w:pPr>
        <w:ind w:left="1140" w:right="11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Guarantors</w:t>
      </w:r>
      <w:r>
        <w:rPr>
          <w:rFonts w:ascii="Times New Roman" w:cs="Times New Roman" w:eastAsia="Times New Roman" w:hAnsi="Times New Roman"/>
          <w:sz w:val="14"/>
          <w:szCs w:val="14"/>
          <w:color w:val="auto"/>
        </w:rPr>
        <w:t xml:space="preserve">” shall mean (i) each Subsidiary of Holdings that is party to the Guarantee on the Closing Date, (ii) each Subsidiary of Holdings that becomes a party to the Guarantee after the Closing Date pursuant to </w:t>
      </w:r>
      <w:r>
        <w:rPr>
          <w:rFonts w:ascii="Times New Roman" w:cs="Times New Roman" w:eastAsia="Times New Roman" w:hAnsi="Times New Roman"/>
          <w:sz w:val="14"/>
          <w:szCs w:val="14"/>
          <w:u w:val="single" w:color="auto"/>
          <w:color w:val="auto"/>
        </w:rPr>
        <w:t>Section 9.11</w:t>
      </w:r>
      <w:r>
        <w:rPr>
          <w:rFonts w:ascii="Times New Roman" w:cs="Times New Roman" w:eastAsia="Times New Roman" w:hAnsi="Times New Roman"/>
          <w:sz w:val="14"/>
          <w:szCs w:val="14"/>
          <w:color w:val="auto"/>
        </w:rPr>
        <w:t xml:space="preserve"> or otherwise, and (iii) Holdings;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any Excluded Subsidiary be required to be a Guarantor (unless such Subsidiary is no longer an Excluded Subsidiary).</w:t>
      </w:r>
    </w:p>
    <w:p>
      <w:pPr>
        <w:spacing w:after="0" w:line="139" w:lineRule="exact"/>
        <w:rPr>
          <w:sz w:val="20"/>
          <w:szCs w:val="20"/>
          <w:color w:val="auto"/>
        </w:rPr>
      </w:pPr>
    </w:p>
    <w:p>
      <w:pPr>
        <w:ind w:left="1140" w:right="119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Hazardous Materials</w:t>
      </w:r>
      <w:r>
        <w:rPr>
          <w:rFonts w:ascii="Times New Roman" w:cs="Times New Roman" w:eastAsia="Times New Roman" w:hAnsi="Times New Roman"/>
          <w:sz w:val="14"/>
          <w:szCs w:val="14"/>
          <w:color w:val="auto"/>
        </w:rPr>
        <w:t>” shall mean (i) any petroleum or petroleum products, radioactive materials, friable asbestos, polychlorinated biphenyls, and radon gas; (ii) any chemicals, materials, waste, or substances defined as or included in the definition of “hazardous substances,” “hazardous waste,” “hazardous materials,” “extremely hazardous waste,” “restricted hazardous waste,” “toxic substances,” “toxic pollutants,” “contaminants,” or “pollutants,” or words of similar import, under any Environmental Law; and (iii) any other chemical, material, waste, or substance, which is prohibited, limited, or regulated due to its dangerous or deleterious properties or characteristics, by any Environmental Law.</w:t>
      </w:r>
    </w:p>
    <w:p>
      <w:pPr>
        <w:spacing w:after="0" w:line="142" w:lineRule="exact"/>
        <w:rPr>
          <w:sz w:val="20"/>
          <w:szCs w:val="20"/>
          <w:color w:val="auto"/>
        </w:rPr>
      </w:pPr>
    </w:p>
    <w:p>
      <w:pPr>
        <w:ind w:left="1140" w:right="119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Hedge Agreements</w:t>
      </w:r>
      <w:r>
        <w:rPr>
          <w:rFonts w:ascii="Times New Roman" w:cs="Times New Roman" w:eastAsia="Times New Roman" w:hAnsi="Times New Roman"/>
          <w:sz w:val="14"/>
          <w:szCs w:val="14"/>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b w:val="1"/>
          <w:bCs w:val="1"/>
          <w:color w:val="auto"/>
        </w:rPr>
        <w:t>Master Agreement</w:t>
      </w:r>
      <w:r>
        <w:rPr>
          <w:rFonts w:ascii="Times New Roman" w:cs="Times New Roman" w:eastAsia="Times New Roman" w:hAnsi="Times New Roman"/>
          <w:sz w:val="14"/>
          <w:szCs w:val="14"/>
          <w:color w:val="auto"/>
        </w:rPr>
        <w:t>”), including any such obligations or liabilities under any Master Agreement.</w:t>
      </w:r>
    </w:p>
    <w:p>
      <w:pPr>
        <w:spacing w:after="0" w:line="161" w:lineRule="exact"/>
        <w:rPr>
          <w:sz w:val="20"/>
          <w:szCs w:val="20"/>
          <w:color w:val="auto"/>
        </w:rPr>
      </w:pPr>
    </w:p>
    <w:p>
      <w:pPr>
        <w:ind w:left="1140" w:right="115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Hedge Bank</w:t>
      </w:r>
      <w:r>
        <w:rPr>
          <w:rFonts w:ascii="Times New Roman" w:cs="Times New Roman" w:eastAsia="Times New Roman" w:hAnsi="Times New Roman"/>
          <w:sz w:val="14"/>
          <w:szCs w:val="14"/>
          <w:color w:val="auto"/>
        </w:rPr>
        <w:t xml:space="preserve">” shall mean (i) (a) any Person that, at the time it enters into a Hedge Agreement with the Borrower or any Restricted Subsidiary, is a Lender, an Agent or an Affiliate of a Lender or an Agent and (b) with respect to any Hedge Agreement entered into prior to the Closing Date, any Person that is a Lender or an Agent or an Affiliate of a Lender or an Agent on the Closing Date and (ii) any other Person that is designated by the Borrower as a “Hedge Bank” by written notice to the Administrative Agent substantially in the form of </w:t>
      </w:r>
      <w:r>
        <w:rPr>
          <w:rFonts w:ascii="Times New Roman" w:cs="Times New Roman" w:eastAsia="Times New Roman" w:hAnsi="Times New Roman"/>
          <w:sz w:val="14"/>
          <w:szCs w:val="14"/>
          <w:u w:val="single" w:color="auto"/>
          <w:color w:val="auto"/>
        </w:rPr>
        <w:t>Exhibit L-1</w:t>
      </w:r>
      <w:r>
        <w:rPr>
          <w:rFonts w:ascii="Times New Roman" w:cs="Times New Roman" w:eastAsia="Times New Roman" w:hAnsi="Times New Roman"/>
          <w:sz w:val="14"/>
          <w:szCs w:val="14"/>
          <w:color w:val="auto"/>
        </w:rPr>
        <w:t xml:space="preserve"> or such other form reasonably acceptable to the Administrative Agent and the Borrower.</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19" w:name="page120"/>
    <w:bookmarkEnd w:id="119"/>
    <w:p>
      <w:pPr>
        <w:ind w:left="1140" w:right="14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Hedging Obligations</w:t>
      </w:r>
      <w:r>
        <w:rPr>
          <w:rFonts w:ascii="Times New Roman" w:cs="Times New Roman" w:eastAsia="Times New Roman" w:hAnsi="Times New Roman"/>
          <w:sz w:val="14"/>
          <w:szCs w:val="14"/>
          <w:color w:val="auto"/>
        </w:rPr>
        <w:t>” shall mean, with respect to any Person, the obligations of such Person under any Hedge Agreements.</w:t>
      </w:r>
    </w:p>
    <w:p>
      <w:pPr>
        <w:spacing w:after="0" w:line="119" w:lineRule="exact"/>
        <w:rPr>
          <w:sz w:val="20"/>
          <w:szCs w:val="20"/>
          <w:color w:val="auto"/>
        </w:rPr>
      </w:pPr>
    </w:p>
    <w:p>
      <w:pPr>
        <w:ind w:left="1140" w:right="117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Historical Financial Statements</w:t>
      </w:r>
      <w:r>
        <w:rPr>
          <w:rFonts w:ascii="Times New Roman" w:cs="Times New Roman" w:eastAsia="Times New Roman" w:hAnsi="Times New Roman"/>
          <w:sz w:val="14"/>
          <w:szCs w:val="14"/>
          <w:color w:val="auto"/>
        </w:rPr>
        <w:t>” shall mean (a) audited consolidated balance sheets of each of the Company and the Borrower and their respective consolidated subsidiaries (collectively, the “</w:t>
      </w:r>
      <w:r>
        <w:rPr>
          <w:rFonts w:ascii="Times New Roman" w:cs="Times New Roman" w:eastAsia="Times New Roman" w:hAnsi="Times New Roman"/>
          <w:sz w:val="14"/>
          <w:szCs w:val="14"/>
          <w:b w:val="1"/>
          <w:bCs w:val="1"/>
          <w:color w:val="auto"/>
        </w:rPr>
        <w:t>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as at the end of, and related audited consolidated statements of income and cash flows for the fiscal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years ending December 31, 2015, December 31, 2016 and December 31, 2017 and (b) an unaudited consolidated balance sheet of the Consolidated Company as at the end of, and related statements of income and cash flows for the fiscal quarters ended March 31, 2018, June 30, 2018 and September 30, 2018.</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HMT</w:t>
      </w:r>
      <w:r>
        <w:rPr>
          <w:rFonts w:ascii="Times New Roman" w:cs="Times New Roman" w:eastAsia="Times New Roman" w:hAnsi="Times New Roman"/>
          <w:sz w:val="14"/>
          <w:szCs w:val="14"/>
          <w:color w:val="auto"/>
        </w:rPr>
        <w:t>” shall have the meaning provided in the definition of the term “Sanctions.”</w:t>
      </w:r>
    </w:p>
    <w:p>
      <w:pPr>
        <w:spacing w:after="0" w:line="183" w:lineRule="exact"/>
        <w:rPr>
          <w:sz w:val="20"/>
          <w:szCs w:val="20"/>
          <w:color w:val="auto"/>
        </w:rPr>
      </w:pPr>
    </w:p>
    <w:p>
      <w:pPr>
        <w:ind w:left="1140" w:right="117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Holdings</w:t>
      </w:r>
      <w:r>
        <w:rPr>
          <w:rFonts w:ascii="Times New Roman" w:cs="Times New Roman" w:eastAsia="Times New Roman" w:hAnsi="Times New Roman"/>
          <w:sz w:val="14"/>
          <w:szCs w:val="14"/>
          <w:color w:val="auto"/>
        </w:rPr>
        <w:t>” shall mean (i) Holdings (as defined in the preamble to this Agreement) or (ii) after the Closing Date any other Person or Persons (“</w:t>
      </w:r>
      <w:r>
        <w:rPr>
          <w:rFonts w:ascii="Times New Roman" w:cs="Times New Roman" w:eastAsia="Times New Roman" w:hAnsi="Times New Roman"/>
          <w:sz w:val="14"/>
          <w:szCs w:val="14"/>
          <w:b w:val="1"/>
          <w:bCs w:val="1"/>
          <w:color w:val="auto"/>
        </w:rPr>
        <w:t>New Holdings</w:t>
      </w:r>
      <w:r>
        <w:rPr>
          <w:rFonts w:ascii="Times New Roman" w:cs="Times New Roman" w:eastAsia="Times New Roman" w:hAnsi="Times New Roman"/>
          <w:sz w:val="14"/>
          <w:szCs w:val="14"/>
          <w:color w:val="auto"/>
        </w:rPr>
        <w:t>”) that is a Subsidiary of Holdings or of any Parent Entity of Holdings (or the previous New Holdings, as the case may be) but not the Borrower (“</w:t>
      </w:r>
      <w:r>
        <w:rPr>
          <w:rFonts w:ascii="Times New Roman" w:cs="Times New Roman" w:eastAsia="Times New Roman" w:hAnsi="Times New Roman"/>
          <w:sz w:val="14"/>
          <w:szCs w:val="14"/>
          <w:b w:val="1"/>
          <w:bCs w:val="1"/>
          <w:color w:val="auto"/>
        </w:rPr>
        <w:t>Previous Holdings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New Holdings directly owns 100% of the Equity Interests of the Borrower, (b) New Holdings shall expressly assume all the obligations of Previous Holdings under this Agreement and the other Credit Documents pursuant to a supplement hereto or thereto in form and substance reasonably satisfactory to the Administrative Agent and the Borrower,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shall be pledged to secure the Obligations and (e) (i) no Event of Default has occurred and is continuing at the time of such substitution and such substitution does not result in any Event of Default and (ii) such substitution will not reasonably be expected to result in any adverse tax consequences to any Lender (unless reimbursed hereunder) or to the Administrative Agent (unless reimbursed hereunder);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if each of the foregoing is satisfied, Previous Holdings shall be automatically released of all its obligations under the Credit Documents and any reference to “Holdings” in the Credit Documents shall be meant to refer to New Holdings.</w:t>
      </w:r>
    </w:p>
    <w:p>
      <w:pPr>
        <w:spacing w:after="0" w:line="1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IFRS</w:t>
      </w:r>
      <w:r>
        <w:rPr>
          <w:rFonts w:ascii="Times New Roman" w:cs="Times New Roman" w:eastAsia="Times New Roman" w:hAnsi="Times New Roman"/>
          <w:sz w:val="14"/>
          <w:szCs w:val="14"/>
          <w:color w:val="auto"/>
        </w:rPr>
        <w:t>” shall have the meaning given to such term in the definition of GAAP.</w:t>
      </w:r>
    </w:p>
    <w:p>
      <w:pPr>
        <w:spacing w:after="0" w:line="183" w:lineRule="exact"/>
        <w:rPr>
          <w:sz w:val="20"/>
          <w:szCs w:val="20"/>
          <w:color w:val="auto"/>
        </w:rPr>
      </w:pPr>
    </w:p>
    <w:p>
      <w:pPr>
        <w:ind w:left="1140" w:right="115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Immediate Family Members</w:t>
      </w:r>
      <w:r>
        <w:rPr>
          <w:rFonts w:ascii="Times New Roman" w:cs="Times New Roman" w:eastAsia="Times New Roman" w:hAnsi="Times New Roman"/>
          <w:sz w:val="14"/>
          <w:szCs w:val="14"/>
          <w:color w:val="auto"/>
        </w:rPr>
        <w:t>” shall mean with respect to any individual, such individual’s child, stepchild, grandchild or more remote descendant, parent, stepparent, grandparent, spouse, former spouse, qualified domestic partner, sibling, mother-in-law, father-in-law, son-in-law and daughter-in-law (including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Impacted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2.10(a)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Increased Amount Date</w:t>
      </w:r>
      <w:r>
        <w:rPr>
          <w:rFonts w:ascii="Times New Roman" w:cs="Times New Roman" w:eastAsia="Times New Roman" w:hAnsi="Times New Roman"/>
          <w:sz w:val="14"/>
          <w:szCs w:val="14"/>
          <w:color w:val="auto"/>
        </w:rPr>
        <w:t>” shall mean, with respect to any New Term Loan Commitments or Additional Revolving Credit Commitments, the date on which such New Term Loan Commitments or Additional Revolving Credit Commitments, as applicable, shall be effective.</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Incremental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Incremental Revolving Credit Commitments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2.14(a)</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Incremental Revolving Credit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Incremental Revolving Credit Maturity Date</w:t>
      </w:r>
      <w:r>
        <w:rPr>
          <w:rFonts w:ascii="Times New Roman" w:cs="Times New Roman" w:eastAsia="Times New Roman" w:hAnsi="Times New Roman"/>
          <w:sz w:val="14"/>
          <w:szCs w:val="14"/>
          <w:color w:val="auto"/>
        </w:rPr>
        <w:t>” shall mean the date on which any tranche of Revolving Credit Loans made pursuant to the Lenders’ Incremental Revolving Credit Commitments matures.</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Incremental Revolving Loan Lenders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20" w:name="page121"/>
    <w:bookmarkEnd w:id="120"/>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incur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incurrence</w:t>
      </w:r>
      <w:r>
        <w:rPr>
          <w:rFonts w:ascii="Times New Roman" w:cs="Times New Roman" w:eastAsia="Times New Roman" w:hAnsi="Times New Roman"/>
          <w:sz w:val="14"/>
          <w:szCs w:val="14"/>
          <w:color w:val="auto"/>
        </w:rPr>
        <w:t xml:space="preserve">” shall have the meanings provided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59" w:firstLine="1033"/>
        <w:spacing w:after="0" w:line="173"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Indebtedness</w:t>
      </w:r>
      <w:r>
        <w:rPr>
          <w:rFonts w:ascii="Times New Roman" w:cs="Times New Roman" w:eastAsia="Times New Roman" w:hAnsi="Times New Roman"/>
          <w:sz w:val="14"/>
          <w:szCs w:val="14"/>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Indebtedness of any direct or indirect parent company appearing upon the balance sheet of the Borrower solely by reason of push down accounting under GAAP (other than in respect of any IPO Reorganization Transaction) shall be excluded, (ii) to the extent not otherwise included, any obligation by such Person to be liable for, or to pay, as obligor, guarantor or otherwise, on the obligations of the type referred to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of another Person secured by a Lien on any asset owned by such Person, whether or not such Indebtedness is assumed by such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(6) any earn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out obligation until such obligation, within 60 days of becoming due and payable, has not been paid and such obligation is reflected as a liability on the balance sheet of such Person in accordance with GAAP, (7) any obligations attributable to the exercise of appraisal rights and the settlement of any claims or actions (whether actual, contingent or potential) with respect thereto, (8) accrued expenses and royalties or (9) asset retirement obligations and obligations in respect of workers’ compensation (including pensions and retiree medical care) that are not overdue by more than 60 days. The amount of Indebtedness of any Person for purposes of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 For all purposes hereof, the Indebtedness of the Borrower and the other Restricted Subsidiaries, shall exclude all intercompany Indebtedness having a term not exceeding 365 days (inclusive of any roll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over or extensions of terms) and made in the ordinary course of business consistent with past practice.</w:t>
      </w:r>
    </w:p>
    <w:p>
      <w:pPr>
        <w:spacing w:after="0" w:line="33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Liabilities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13.5(a)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Person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13.5(a)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3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Indemnified Taxes</w:t>
      </w:r>
      <w:r>
        <w:rPr>
          <w:rFonts w:ascii="Times New Roman" w:cs="Times New Roman" w:eastAsia="Times New Roman" w:hAnsi="Times New Roman"/>
          <w:sz w:val="14"/>
          <w:szCs w:val="14"/>
          <w:color w:val="auto"/>
        </w:rPr>
        <w:t>” shall mean all Taxes imposed on or with respect to any payment by or on account of any obligation of any Credit Party hereunder or under any other Credit Document, other than Excluded Taxes or Other Taxes.</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Initial Default</w:t>
      </w:r>
      <w:r>
        <w:rPr>
          <w:rFonts w:ascii="Times New Roman" w:cs="Times New Roman" w:eastAsia="Times New Roman" w:hAnsi="Times New Roman"/>
          <w:sz w:val="14"/>
          <w:szCs w:val="14"/>
          <w:u w:val="single" w:color="auto"/>
          <w:color w:val="0000FF"/>
        </w:rPr>
        <w:t>” shall have the meaning provided in Section 1.2(j).</w:t>
      </w:r>
    </w:p>
    <w:p>
      <w:pPr>
        <w:spacing w:after="0" w:line="183"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Revolving Credit Commitments</w:t>
      </w:r>
      <w:r>
        <w:rPr>
          <w:rFonts w:ascii="Times New Roman" w:cs="Times New Roman" w:eastAsia="Times New Roman" w:hAnsi="Times New Roman"/>
          <w:sz w:val="14"/>
          <w:szCs w:val="14"/>
          <w:color w:val="auto"/>
        </w:rPr>
        <w:t>” shall have the meaning provided in the definition of the term Revolving Credit Commitment.</w:t>
      </w:r>
    </w:p>
    <w:p>
      <w:pPr>
        <w:spacing w:after="0" w:line="119"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Term Loan</w:t>
      </w:r>
      <w:r>
        <w:rPr>
          <w:rFonts w:ascii="Times New Roman" w:cs="Times New Roman" w:eastAsia="Times New Roman" w:hAnsi="Times New Roman"/>
          <w:sz w:val="14"/>
          <w:szCs w:val="14"/>
          <w:color w:val="auto"/>
        </w:rPr>
        <w:t xml:space="preserve">” shall mean the Term Loans made pursuant to </w:t>
      </w:r>
      <w:r>
        <w:rPr>
          <w:rFonts w:ascii="Times New Roman" w:cs="Times New Roman" w:eastAsia="Times New Roman" w:hAnsi="Times New Roman"/>
          <w:sz w:val="14"/>
          <w:szCs w:val="14"/>
          <w:u w:val="single" w:color="auto"/>
          <w:color w:val="auto"/>
        </w:rPr>
        <w:t>Section 2.1(a)</w:t>
      </w:r>
      <w:r>
        <w:rPr>
          <w:rFonts w:ascii="Times New Roman" w:cs="Times New Roman" w:eastAsia="Times New Roman" w:hAnsi="Times New Roman"/>
          <w:sz w:val="14"/>
          <w:szCs w:val="14"/>
          <w:color w:val="auto"/>
        </w:rPr>
        <w:t xml:space="preserve"> and, at any time after a Delayed Draw Funding Date, the aggregate principal amount of Delayed Draw Term Loans that have been funded pursuant to </w:t>
      </w:r>
      <w:r>
        <w:rPr>
          <w:rFonts w:ascii="Times New Roman" w:cs="Times New Roman" w:eastAsia="Times New Roman" w:hAnsi="Times New Roman"/>
          <w:sz w:val="14"/>
          <w:szCs w:val="14"/>
          <w:u w:val="single" w:color="auto"/>
          <w:color w:val="auto"/>
        </w:rPr>
        <w:t>Section 2.1(b)</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140" w:right="1179" w:firstLine="1033"/>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Term Loan Commitment</w:t>
      </w:r>
      <w:r>
        <w:rPr>
          <w:rFonts w:ascii="Times New Roman" w:cs="Times New Roman" w:eastAsia="Times New Roman" w:hAnsi="Times New Roman"/>
          <w:sz w:val="14"/>
          <w:szCs w:val="14"/>
          <w:color w:val="auto"/>
        </w:rPr>
        <w:t xml:space="preserve">” shall mean, in the case of each Lender that is a Lender on the Closing Date, the amount set forth opposite such Lender’s name on </w:t>
      </w:r>
      <w:r>
        <w:rPr>
          <w:rFonts w:ascii="Times New Roman" w:cs="Times New Roman" w:eastAsia="Times New Roman" w:hAnsi="Times New Roman"/>
          <w:sz w:val="14"/>
          <w:szCs w:val="14"/>
          <w:u w:val="single" w:color="auto"/>
          <w:color w:val="auto"/>
        </w:rPr>
        <w:t>Schedule 1.1</w:t>
      </w:r>
      <w:r>
        <w:rPr>
          <w:rFonts w:ascii="Times New Roman" w:cs="Times New Roman" w:eastAsia="Times New Roman" w:hAnsi="Times New Roman"/>
          <w:sz w:val="14"/>
          <w:szCs w:val="14"/>
          <w:color w:val="auto"/>
        </w:rPr>
        <w:t xml:space="preserve"> as such Lender’s Initial Term Loan Commitment. The aggregate amount of the Initial Term Loan Commitments as of the Closing Date is $1,650,000,000.</w:t>
      </w:r>
    </w:p>
    <w:p>
      <w:pPr>
        <w:spacing w:after="0" w:line="3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21" w:name="page122"/>
    <w:bookmarkEnd w:id="121"/>
    <w:p>
      <w:pPr>
        <w:ind w:left="1140" w:right="14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Tranche B-3 Term Loan</w:t>
      </w:r>
      <w:r>
        <w:rPr>
          <w:rFonts w:ascii="Times New Roman" w:cs="Times New Roman" w:eastAsia="Times New Roman" w:hAnsi="Times New Roman"/>
          <w:sz w:val="14"/>
          <w:szCs w:val="14"/>
          <w:color w:val="auto"/>
        </w:rPr>
        <w:t xml:space="preserve">” shall mean the Tranche B-3 Term Loans made (or deemed made) pursuant to </w:t>
      </w:r>
      <w:r>
        <w:rPr>
          <w:rFonts w:ascii="Times New Roman" w:cs="Times New Roman" w:eastAsia="Times New Roman" w:hAnsi="Times New Roman"/>
          <w:sz w:val="14"/>
          <w:szCs w:val="14"/>
          <w:u w:val="single" w:color="auto"/>
          <w:color w:val="auto"/>
        </w:rPr>
        <w:t>Section 2.1(f)</w:t>
      </w:r>
      <w:r>
        <w:rPr>
          <w:rFonts w:ascii="Times New Roman" w:cs="Times New Roman" w:eastAsia="Times New Roman" w:hAnsi="Times New Roman"/>
          <w:sz w:val="14"/>
          <w:szCs w:val="14"/>
          <w:color w:val="auto"/>
        </w:rPr>
        <w:t xml:space="preserve"> on the Amendment No. 4 Effective Date.</w:t>
      </w:r>
    </w:p>
    <w:p>
      <w:pPr>
        <w:spacing w:after="0" w:line="119" w:lineRule="exact"/>
        <w:rPr>
          <w:sz w:val="20"/>
          <w:szCs w:val="20"/>
          <w:color w:val="auto"/>
        </w:rPr>
      </w:pPr>
    </w:p>
    <w:p>
      <w:pPr>
        <w:ind w:left="1140" w:right="143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Tranche B-3 Term Loan Commitment</w:t>
      </w:r>
      <w:r>
        <w:rPr>
          <w:rFonts w:ascii="Times New Roman" w:cs="Times New Roman" w:eastAsia="Times New Roman" w:hAnsi="Times New Roman"/>
          <w:sz w:val="14"/>
          <w:szCs w:val="14"/>
          <w:color w:val="auto"/>
        </w:rPr>
        <w:t>” shall mean, in the case of each Tranche B-3 Term Loan Lender, the amount of such Lender’s Tranche B-3 Term Loan Commitment (as defined in this Agreement on the Amendment No. 4 Effective Date) as of the Amendment No. 4 Effective Date. The aggregate amount of the Initial Tranche B-3 Term Loan Commitments as of the Amendment No. 4 Effective Date is $548,625,000.</w:t>
      </w:r>
    </w:p>
    <w:p>
      <w:pPr>
        <w:spacing w:after="0" w:line="141"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Initial Tranche B-3 Term Loan Lender</w:t>
      </w:r>
      <w:r>
        <w:rPr>
          <w:rFonts w:ascii="Times New Roman" w:cs="Times New Roman" w:eastAsia="Times New Roman" w:hAnsi="Times New Roman"/>
          <w:sz w:val="14"/>
          <w:szCs w:val="14"/>
          <w:color w:val="auto"/>
        </w:rPr>
        <w:t>” shall mean a Person with an Initial Tranche B-3 Term Loan Commitment or an Initial Tranche B-3 Term Loan.</w:t>
      </w:r>
    </w:p>
    <w:p>
      <w:pPr>
        <w:spacing w:after="0" w:line="119" w:lineRule="exact"/>
        <w:rPr>
          <w:sz w:val="20"/>
          <w:szCs w:val="20"/>
          <w:color w:val="auto"/>
        </w:rPr>
      </w:pPr>
    </w:p>
    <w:p>
      <w:pPr>
        <w:ind w:left="1140" w:right="17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Insolvent</w:t>
      </w:r>
      <w:r>
        <w:rPr>
          <w:rFonts w:ascii="Times New Roman" w:cs="Times New Roman" w:eastAsia="Times New Roman" w:hAnsi="Times New Roman"/>
          <w:sz w:val="14"/>
          <w:szCs w:val="14"/>
          <w:color w:val="auto"/>
        </w:rPr>
        <w:t>” shall mean, with respect to any Multiemployer Plan, the condition that such Multiemployer Plan is “insolvent” within the meaning of Section 4245 of ERISA.</w:t>
      </w:r>
    </w:p>
    <w:p>
      <w:pPr>
        <w:spacing w:after="0" w:line="119" w:lineRule="exact"/>
        <w:rPr>
          <w:sz w:val="20"/>
          <w:szCs w:val="20"/>
          <w:color w:val="auto"/>
        </w:rPr>
      </w:pPr>
    </w:p>
    <w:p>
      <w:pPr>
        <w:ind w:left="1140" w:right="115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Intellectual Property</w:t>
      </w:r>
      <w:r>
        <w:rPr>
          <w:rFonts w:ascii="Times New Roman" w:cs="Times New Roman" w:eastAsia="Times New Roman" w:hAnsi="Times New Roman"/>
          <w:sz w:val="14"/>
          <w:szCs w:val="14"/>
          <w:color w:val="auto"/>
        </w:rPr>
        <w:t>” shall mean U.S. intellectual property, including all (i) (a) patents, inventions, designs, processes, developments, technology, and know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how; (b) copyrights and works of authorship in any media, including graphics, advertising materials, labels, package designs, and photographs; (c) trademarks, service marks, trade names, brand names, corporate names, Internet domain names, logos, trade dress, and other source indicators, and the goodwill of any business symbolized thereby; (d) trade secrets, confidential, or proprietary information, including customer lists; and (ii) registrations, issuances, applications, renewals, extensions, substitutions, continuations, continuations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 divisionals,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issues, 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examinations, or similar legal protections related to the foregoing.</w:t>
      </w:r>
    </w:p>
    <w:p>
      <w:pPr>
        <w:spacing w:after="0" w:line="160" w:lineRule="exact"/>
        <w:rPr>
          <w:sz w:val="20"/>
          <w:szCs w:val="20"/>
          <w:color w:val="auto"/>
        </w:rPr>
      </w:pPr>
    </w:p>
    <w:p>
      <w:pPr>
        <w:ind w:left="1140" w:right="12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Interest Period</w:t>
      </w:r>
      <w:r>
        <w:rPr>
          <w:rFonts w:ascii="Times New Roman" w:cs="Times New Roman" w:eastAsia="Times New Roman" w:hAnsi="Times New Roman"/>
          <w:sz w:val="14"/>
          <w:szCs w:val="14"/>
          <w:color w:val="auto"/>
        </w:rPr>
        <w:t xml:space="preserve">” shall mean, with respect to any Loan, the interest period applicable thereto, as determined pursuant to </w:t>
      </w:r>
      <w:r>
        <w:rPr>
          <w:rFonts w:ascii="Times New Roman" w:cs="Times New Roman" w:eastAsia="Times New Roman" w:hAnsi="Times New Roman"/>
          <w:sz w:val="14"/>
          <w:szCs w:val="14"/>
          <w:u w:val="single" w:color="auto"/>
          <w:color w:val="auto"/>
        </w:rPr>
        <w:t>Section 2.9</w:t>
      </w:r>
      <w:r>
        <w:rPr>
          <w:rFonts w:ascii="Times New Roman" w:cs="Times New Roman" w:eastAsia="Times New Roman" w:hAnsi="Times New Roman"/>
          <w:sz w:val="14"/>
          <w:szCs w:val="14"/>
          <w:color w:val="auto"/>
        </w:rPr>
        <w:t>.</w:t>
      </w:r>
    </w:p>
    <w:p>
      <w:pPr>
        <w:spacing w:after="0" w:line="119" w:lineRule="exact"/>
        <w:rPr>
          <w:sz w:val="20"/>
          <w:szCs w:val="20"/>
          <w:color w:val="auto"/>
        </w:rPr>
      </w:pPr>
    </w:p>
    <w:p>
      <w:pPr>
        <w:ind w:left="1140" w:right="117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Investment</w:t>
      </w:r>
      <w:r>
        <w:rPr>
          <w:rFonts w:ascii="Times New Roman" w:cs="Times New Roman" w:eastAsia="Times New Roman" w:hAnsi="Times New Roman"/>
          <w:sz w:val="14"/>
          <w:szCs w:val="14"/>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consolidated balance sheet (excluding the footnotes) of the Borrower in the same manner as the other investments included in this definition to the extent such transactions involve the transfer of cash or other property;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Investments shall not include, in the case of the Borrower and the other Restricted Subsidiaries, intercompany loans (including guarantees), advances, or Indebtedness either (i) having a term not exceeding 364 days (inclusive of any roll</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over or extensions of terms) and made in the ordinary course of business or (ii) arising from cash management, tax and/or accounting operations and made in the ordinary course of business or consistent with past practices.</w:t>
      </w:r>
    </w:p>
    <w:p>
      <w:pPr>
        <w:spacing w:after="0" w:line="16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 xml:space="preserve">For purposes of the definition of Unrestricted Subsidiary and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660" w:right="1159" w:firstLine="290"/>
        <w:spacing w:after="0" w:line="261" w:lineRule="auto"/>
        <w:tabs>
          <w:tab w:leader="none" w:pos="223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shall include the portion (proportionate to the Borrower’s equity interest in such Subsidiary) of the Fair Market Value of the net assets of a Subsidiary of the Borrower at the time that such Subsidiary is designated an Unrestricted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upon a redesignation of such Subsidiary as a Restricted Subsidiary, the Borrower shall be deemed to continue to have a permanent Investment in an Unrestricted Subsidiary in an amount (if positive) equal to (a) the Borrower’s Investment in such Subsidiary at the time of such redesignation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(b) the portion (proportionate to the Borrower’s equity interest in such Subsidiary) of the Fair Market Value of the net assets of such Subsidiary at the time of such redesignation; and</w:t>
      </w:r>
    </w:p>
    <w:p>
      <w:pPr>
        <w:spacing w:after="0" w:line="148" w:lineRule="exact"/>
        <w:rPr>
          <w:rFonts w:ascii="Times New Roman" w:cs="Times New Roman" w:eastAsia="Times New Roman" w:hAnsi="Times New Roman"/>
          <w:sz w:val="14"/>
          <w:szCs w:val="14"/>
          <w:color w:val="auto"/>
        </w:rPr>
      </w:pPr>
    </w:p>
    <w:p>
      <w:pPr>
        <w:ind w:left="1660" w:right="1179" w:firstLine="290"/>
        <w:spacing w:after="0" w:line="293" w:lineRule="auto"/>
        <w:tabs>
          <w:tab w:leader="none" w:pos="2234"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property transferred to or from an Unrestricted Subsidiary shall be valued at its Fair Market Value at the time of such transfer.</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22" w:name="page123"/>
    <w:bookmarkEnd w:id="122"/>
    <w:p>
      <w:pPr>
        <w:ind w:left="1140" w:right="1179" w:firstLine="1033"/>
        <w:spacing w:after="0" w:line="265" w:lineRule="auto"/>
        <w:rPr>
          <w:sz w:val="20"/>
          <w:szCs w:val="20"/>
          <w:color w:val="auto"/>
        </w:rPr>
      </w:pPr>
      <w:r>
        <w:rPr>
          <w:rFonts w:ascii="Times New Roman" w:cs="Times New Roman" w:eastAsia="Times New Roman" w:hAnsi="Times New Roman"/>
          <w:sz w:val="14"/>
          <w:szCs w:val="14"/>
          <w:color w:val="auto"/>
        </w:rPr>
        <w:t>The amount of any Investment outstanding at any time shall be the original cost of such Investment, reduced by any dividend, distribution, interest payment, return of capital, repayment, or other amount received by the Borrower or a Restricted Subsidiary in respect of such Investment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amounts received other than in the form of Cash Equivalents, such amount shall be equal to the Fair Market Value of such consideration).</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Investment Grade Rating</w:t>
      </w:r>
      <w:r>
        <w:rPr>
          <w:rFonts w:ascii="Times New Roman" w:cs="Times New Roman" w:eastAsia="Times New Roman" w:hAnsi="Times New Roman"/>
          <w:sz w:val="14"/>
          <w:szCs w:val="14"/>
          <w:color w:val="auto"/>
        </w:rPr>
        <w:t>” shall mean a rating equal to or higher than Baa3 (or the equivalent)</w:t>
      </w:r>
    </w:p>
    <w:p>
      <w:pPr>
        <w:spacing w:after="0" w:line="27"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by Moody’s and BBB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(or the equivalent) by S&amp;P, or an equivalent rating by any other rating agency.</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Investment Grade Securities</w:t>
      </w:r>
      <w:r>
        <w:rPr>
          <w:rFonts w:ascii="Times New Roman" w:cs="Times New Roman" w:eastAsia="Times New Roman" w:hAnsi="Times New Roman"/>
          <w:sz w:val="14"/>
          <w:szCs w:val="14"/>
          <w:color w:val="auto"/>
        </w:rPr>
        <w:t>” shall mean:</w:t>
      </w:r>
    </w:p>
    <w:p>
      <w:pPr>
        <w:spacing w:after="0" w:line="185" w:lineRule="exact"/>
        <w:rPr>
          <w:sz w:val="20"/>
          <w:szCs w:val="20"/>
          <w:color w:val="auto"/>
        </w:rPr>
      </w:pPr>
    </w:p>
    <w:p>
      <w:pPr>
        <w:ind w:left="1660" w:right="1179" w:firstLine="290"/>
        <w:spacing w:after="0" w:line="293" w:lineRule="auto"/>
        <w:tabs>
          <w:tab w:leader="none" w:pos="223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issued or directly and fully guaranteed or insured by the United States government or any agency or instrumentality thereof (other than Cash Equivalents),</w:t>
      </w:r>
    </w:p>
    <w:p>
      <w:pPr>
        <w:spacing w:after="0" w:line="123" w:lineRule="exact"/>
        <w:rPr>
          <w:rFonts w:ascii="Times New Roman" w:cs="Times New Roman" w:eastAsia="Times New Roman" w:hAnsi="Times New Roman"/>
          <w:sz w:val="14"/>
          <w:szCs w:val="14"/>
          <w:color w:val="auto"/>
        </w:rPr>
      </w:pPr>
    </w:p>
    <w:p>
      <w:pPr>
        <w:ind w:left="1660" w:right="1199" w:firstLine="290"/>
        <w:spacing w:after="0" w:line="293" w:lineRule="auto"/>
        <w:tabs>
          <w:tab w:leader="none" w:pos="223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securities or debt instruments with an Investment Grade Rating, but excluding any debt securities or instruments constituting loans or advances among the Borrower and its Subsidiaries,</w:t>
      </w:r>
    </w:p>
    <w:p>
      <w:pPr>
        <w:spacing w:after="0" w:line="123" w:lineRule="exact"/>
        <w:rPr>
          <w:rFonts w:ascii="Times New Roman" w:cs="Times New Roman" w:eastAsia="Times New Roman" w:hAnsi="Times New Roman"/>
          <w:sz w:val="14"/>
          <w:szCs w:val="14"/>
          <w:color w:val="auto"/>
        </w:rPr>
      </w:pPr>
    </w:p>
    <w:p>
      <w:pPr>
        <w:ind w:left="1660" w:right="1159" w:firstLine="290"/>
        <w:spacing w:after="0" w:line="293" w:lineRule="auto"/>
        <w:tabs>
          <w:tab w:leader="none" w:pos="223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in any fund that invest at least 90% in investments of the type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which fund may also hold immaterial amounts of cash pending investment or distribution, and</w:t>
      </w:r>
    </w:p>
    <w:p>
      <w:pPr>
        <w:spacing w:after="0" w:line="123" w:lineRule="exact"/>
        <w:rPr>
          <w:rFonts w:ascii="Times New Roman" w:cs="Times New Roman" w:eastAsia="Times New Roman" w:hAnsi="Times New Roman"/>
          <w:sz w:val="14"/>
          <w:szCs w:val="14"/>
          <w:color w:val="auto"/>
        </w:rPr>
      </w:pPr>
    </w:p>
    <w:p>
      <w:pPr>
        <w:ind w:left="1660" w:right="1219" w:firstLine="290"/>
        <w:spacing w:after="0" w:line="191" w:lineRule="exact"/>
        <w:tabs>
          <w:tab w:leader="none" w:pos="2234"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corresponding instruments in countries other than the United States customarily utilized for high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quality investments.</w:t>
      </w:r>
    </w:p>
    <w:p>
      <w:pPr>
        <w:spacing w:after="0" w:line="1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Investor Group</w:t>
      </w:r>
      <w:r>
        <w:rPr>
          <w:rFonts w:ascii="Times New Roman" w:cs="Times New Roman" w:eastAsia="Times New Roman" w:hAnsi="Times New Roman"/>
          <w:sz w:val="14"/>
          <w:szCs w:val="14"/>
          <w:color w:val="auto"/>
        </w:rPr>
        <w:t>” shall mean Holdings, KKR, WBA and their respective Affiliates.</w:t>
      </w:r>
    </w:p>
    <w:p>
      <w:pPr>
        <w:spacing w:after="0" w:line="183" w:lineRule="exact"/>
        <w:rPr>
          <w:sz w:val="20"/>
          <w:szCs w:val="20"/>
          <w:color w:val="auto"/>
        </w:rPr>
      </w:pPr>
    </w:p>
    <w:p>
      <w:pPr>
        <w:jc w:val="both"/>
        <w:ind w:left="1140" w:right="1159" w:firstLine="517"/>
        <w:spacing w:after="0" w:line="17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w:t>
      </w:r>
      <w:r>
        <w:rPr>
          <w:rFonts w:ascii="Times New Roman" w:cs="Times New Roman" w:eastAsia="Times New Roman" w:hAnsi="Times New Roman"/>
          <w:sz w:val="14"/>
          <w:szCs w:val="14"/>
          <w:color w:val="auto"/>
        </w:rPr>
        <w:t>” shall mean the initial underwritten public offering (other than a public offering pursuant to a registration statement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 or other transaction which results in the common Equity Interests of a Parent Entity of the Borrower being publicly traded.</w:t>
      </w:r>
    </w:p>
    <w:p>
      <w:pPr>
        <w:spacing w:after="0" w:line="157" w:lineRule="exact"/>
        <w:rPr>
          <w:sz w:val="20"/>
          <w:szCs w:val="20"/>
          <w:color w:val="auto"/>
        </w:rPr>
      </w:pPr>
    </w:p>
    <w:p>
      <w:pPr>
        <w:jc w:val="both"/>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 Entity</w:t>
      </w:r>
      <w:r>
        <w:rPr>
          <w:rFonts w:ascii="Times New Roman" w:cs="Times New Roman" w:eastAsia="Times New Roman" w:hAnsi="Times New Roman"/>
          <w:sz w:val="14"/>
          <w:szCs w:val="14"/>
          <w:color w:val="auto"/>
        </w:rPr>
        <w:t>” shall mean, at any time at and after an IPO, the Borrower or a Parent Entity of the Borrower, as the case may be, the Equity Interests in which were issued or otherwise sold pursuant to the IPO.</w:t>
      </w:r>
    </w:p>
    <w:p>
      <w:pPr>
        <w:spacing w:after="0" w:line="90" w:lineRule="exact"/>
        <w:rPr>
          <w:sz w:val="20"/>
          <w:szCs w:val="20"/>
          <w:color w:val="auto"/>
        </w:rPr>
      </w:pPr>
    </w:p>
    <w:p>
      <w:pPr>
        <w:jc w:val="both"/>
        <w:ind w:left="1140" w:right="1159" w:firstLine="517"/>
        <w:spacing w:after="0" w:line="19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 Listco</w:t>
      </w:r>
      <w:r>
        <w:rPr>
          <w:rFonts w:ascii="Times New Roman" w:cs="Times New Roman" w:eastAsia="Times New Roman" w:hAnsi="Times New Roman"/>
          <w:sz w:val="14"/>
          <w:szCs w:val="14"/>
          <w:color w:val="auto"/>
        </w:rPr>
        <w:t>” shall mean a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owned subsidiary of the Borrower formed in contemplation of an IPO to become the IPO Entity;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shall, promptly following its formation, notify the Administrative Agent of the formation of any IPO Listco </w:t>
      </w:r>
      <w:r>
        <w:rPr>
          <w:rFonts w:ascii="Times New Roman" w:cs="Times New Roman" w:eastAsia="Times New Roman" w:hAnsi="Times New Roman"/>
          <w:sz w:val="14"/>
          <w:szCs w:val="14"/>
          <w:color w:val="0000FF"/>
        </w:rPr>
        <w:t>(it being agreed such notice shall be deemed to have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occurred)</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2916555</wp:posOffset>
            </wp:positionH>
            <wp:positionV relativeFrom="paragraph">
              <wp:posOffset>-33020</wp:posOffset>
            </wp:positionV>
            <wp:extent cx="2070100"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7">
                      <a:extLst>
                        <a:ext uri="{28A0092B-C50C-407E-A947-70E740481C1C}"/>
                      </a:extLst>
                    </a:blip>
                    <a:srcRect/>
                    <a:stretch>
                      <a:fillRect/>
                    </a:stretch>
                  </pic:blipFill>
                  <pic:spPr bwMode="auto">
                    <a:xfrm>
                      <a:off x="0" y="0"/>
                      <a:ext cx="2070100" cy="6985"/>
                    </a:xfrm>
                    <a:prstGeom prst="rect">
                      <a:avLst/>
                    </a:prstGeom>
                    <a:noFill/>
                  </pic:spPr>
                </pic:pic>
              </a:graphicData>
            </a:graphic>
          </wp:anchor>
        </w:drawing>
      </w:r>
    </w:p>
    <w:p>
      <w:pPr>
        <w:spacing w:after="0" w:line="286"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 Reorganization Transactions</w:t>
      </w:r>
      <w:r>
        <w:rPr>
          <w:rFonts w:ascii="Times New Roman" w:cs="Times New Roman" w:eastAsia="Times New Roman" w:hAnsi="Times New Roman"/>
          <w:sz w:val="14"/>
          <w:szCs w:val="14"/>
          <w:color w:val="auto"/>
        </w:rPr>
        <w:t>” shall mean, collectively, the transactions taken in connection with and reasonably related to consummating an IPO, including (a) formation and ownership of IPO Shell Companies,</w:t>
      </w:r>
    </w:p>
    <w:p>
      <w:pPr>
        <w:jc w:val="both"/>
        <w:ind w:left="1140" w:right="1159" w:firstLine="7"/>
        <w:spacing w:after="0" w:line="172" w:lineRule="exact"/>
        <w:tabs>
          <w:tab w:leader="none" w:pos="1343"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entry into, and performance of, (i) a reorganization agreement among any of the Borrower, its Subsidiaries and/or IPO Shell Companies implementing IPO Reorganization Transactions and other reorganization transactions in connection with an IPO and (ii) customary underwriting agreements in connection with an IPO and any future follow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on underwritten public offerings of common Equity Interests in the IPO Entity, including the provision by IPO Entity and the Borrower of customary representations, warranties, covenants and indemnification to the underwriters thereunder, (c) the merger of one or more IPO Subsidiaries with one or more direct or indirect holders of Equity Interests in the Borrower with the surviving entity in any such merger holding Equity Interests in the Borrower, and the merger of such entities with any IPO Shell Company or IPO Subsidiary, (d) the issuance of Equity Interests of IPO Shell Companies to holders of Equity Interests of the Borrower in connection with any IPO Reorganization Transactions, (e) the entry into an exchange agreement, pursuant to which holders of Equity Interests of the Borrower will be permitted to exchange such interests for certain economic/voting Equity Interests in IPO Listco, and (f) the entry into, and performance of, any tax receivables agreements by any IPO Shell Company or IPO Subsidiary, in each case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(f)</w:t>
      </w:r>
      <w:r>
        <w:rPr>
          <w:rFonts w:ascii="Times New Roman" w:cs="Times New Roman" w:eastAsia="Times New Roman" w:hAnsi="Times New Roman"/>
          <w:sz w:val="14"/>
          <w:szCs w:val="14"/>
          <w:color w:val="auto"/>
        </w:rPr>
        <w:t>, so long as after giving Pro Forma Effect to any IPO Reorganization Transactions, (i) the security interests of the Lenders in the Collateral and the Guarantees of the Obligations, taken as a whole, would not be materially impaired and (ii) the Consolidated Total Debt to Consolidated EBITDA Ratio is either equal to or less than (1) 5.75:1.00 or (2)</w:t>
      </w:r>
    </w:p>
    <w:p>
      <w:pPr>
        <w:spacing w:after="0" w:line="24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23" w:name="page124"/>
    <w:bookmarkEnd w:id="123"/>
    <w:p>
      <w:pPr>
        <w:jc w:val="both"/>
        <w:ind w:left="1140" w:right="1159"/>
        <w:spacing w:after="0" w:line="293" w:lineRule="auto"/>
        <w:rPr>
          <w:sz w:val="20"/>
          <w:szCs w:val="20"/>
          <w:color w:val="auto"/>
        </w:rPr>
      </w:pPr>
      <w:r>
        <w:rPr>
          <w:rFonts w:ascii="Times New Roman" w:cs="Times New Roman" w:eastAsia="Times New Roman" w:hAnsi="Times New Roman"/>
          <w:sz w:val="14"/>
          <w:szCs w:val="14"/>
          <w:color w:val="auto"/>
        </w:rPr>
        <w:t>the Consolidated Total Debt to Consolidated EBITDA Ratio immediately prior to such IPO Reorganization Transactions.</w:t>
      </w:r>
    </w:p>
    <w:p>
      <w:pPr>
        <w:spacing w:after="0" w:line="1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 Shell Company</w:t>
      </w:r>
      <w:r>
        <w:rPr>
          <w:rFonts w:ascii="Times New Roman" w:cs="Times New Roman" w:eastAsia="Times New Roman" w:hAnsi="Times New Roman"/>
          <w:sz w:val="14"/>
          <w:szCs w:val="14"/>
          <w:color w:val="auto"/>
        </w:rPr>
        <w:t>” shall mean each of IPO Listco and IPO Subsidiary.</w:t>
      </w:r>
    </w:p>
    <w:p>
      <w:pPr>
        <w:spacing w:after="0" w:line="154" w:lineRule="exact"/>
        <w:rPr>
          <w:sz w:val="20"/>
          <w:szCs w:val="20"/>
          <w:color w:val="auto"/>
        </w:rPr>
      </w:pPr>
    </w:p>
    <w:p>
      <w:pPr>
        <w:jc w:val="both"/>
        <w:ind w:left="1140" w:right="1159" w:firstLine="517"/>
        <w:spacing w:after="0" w:line="18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IPO Subsidiary</w:t>
      </w:r>
      <w:r>
        <w:rPr>
          <w:rFonts w:ascii="Times New Roman" w:cs="Times New Roman" w:eastAsia="Times New Roman" w:hAnsi="Times New Roman"/>
          <w:sz w:val="14"/>
          <w:szCs w:val="14"/>
          <w:color w:val="auto"/>
        </w:rPr>
        <w:t>” shall mean a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owned subsidiary of IPO Listco formed in contemplation of, and to facilitate, IPO Reorganization Transactions and an IPO. The Borrower shall, promptly following its formation, notify the Administrative Agent of the formation of an IPO Subsidiary </w:t>
      </w:r>
      <w:r>
        <w:rPr>
          <w:rFonts w:ascii="Times New Roman" w:cs="Times New Roman" w:eastAsia="Times New Roman" w:hAnsi="Times New Roman"/>
          <w:sz w:val="14"/>
          <w:szCs w:val="14"/>
          <w:color w:val="0000FF"/>
        </w:rPr>
        <w:t>(it being agreed such notice shall be deemed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to have occurred)</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3324860</wp:posOffset>
            </wp:positionH>
            <wp:positionV relativeFrom="paragraph">
              <wp:posOffset>-127635</wp:posOffset>
            </wp:positionV>
            <wp:extent cx="1665605"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9">
                      <a:extLst>
                        <a:ext uri="{28A0092B-C50C-407E-A947-70E740481C1C}"/>
                      </a:extLst>
                    </a:blip>
                    <a:srcRect/>
                    <a:stretch>
                      <a:fillRect/>
                    </a:stretch>
                  </pic:blipFill>
                  <pic:spPr bwMode="auto">
                    <a:xfrm>
                      <a:off x="0" y="0"/>
                      <a:ext cx="1665605" cy="6985"/>
                    </a:xfrm>
                    <a:prstGeom prst="rect">
                      <a:avLst/>
                    </a:prstGeom>
                    <a:noFill/>
                  </pic:spPr>
                </pic:pic>
              </a:graphicData>
            </a:graphic>
          </wp:anchor>
        </w:drawing>
      </w:r>
    </w:p>
    <w:p>
      <w:pPr>
        <w:spacing w:after="0" w:line="138"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ISP</w:t>
      </w:r>
      <w:r>
        <w:rPr>
          <w:rFonts w:ascii="Times New Roman" w:cs="Times New Roman" w:eastAsia="Times New Roman" w:hAnsi="Times New Roman"/>
          <w:sz w:val="14"/>
          <w:szCs w:val="14"/>
          <w:color w:val="auto"/>
        </w:rPr>
        <w:t>” shall mean, with respect to any Letter of Credit, the “International Standby Practices 1998” as published by the Institute of International Banking Law &amp; Practice (or such later version thereof as may be in effect at the time of issuance).</w:t>
      </w:r>
    </w:p>
    <w:p>
      <w:pPr>
        <w:spacing w:after="0" w:line="133" w:lineRule="exact"/>
        <w:rPr>
          <w:sz w:val="20"/>
          <w:szCs w:val="20"/>
          <w:color w:val="auto"/>
        </w:rPr>
      </w:pPr>
    </w:p>
    <w:p>
      <w:pPr>
        <w:ind w:left="1140" w:right="119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Issuer Documents</w:t>
      </w:r>
      <w:r>
        <w:rPr>
          <w:rFonts w:ascii="Times New Roman" w:cs="Times New Roman" w:eastAsia="Times New Roman" w:hAnsi="Times New Roman"/>
          <w:sz w:val="14"/>
          <w:szCs w:val="14"/>
          <w:color w:val="auto"/>
        </w:rPr>
        <w:t>” shall mean, with respect to any Letter of Credit, the Letter of Credit Request and any other document, agreement and instrument entered into by the applicable Letter of Credit Issuer and the Borrower (or any other Restricted Subsidiary or Holdings) or in favor of the applicable Letter of Credit Issuer and relating to such Letter of Credit.</w:t>
      </w:r>
    </w:p>
    <w:p>
      <w:pPr>
        <w:spacing w:after="0" w:line="1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Jefferies</w:t>
      </w:r>
      <w:r>
        <w:rPr>
          <w:rFonts w:ascii="Times New Roman" w:cs="Times New Roman" w:eastAsia="Times New Roman" w:hAnsi="Times New Roman"/>
          <w:sz w:val="14"/>
          <w:szCs w:val="14"/>
          <w:color w:val="auto"/>
        </w:rPr>
        <w:t>” shall mean Jefferies Finance LLC.</w:t>
      </w:r>
    </w:p>
    <w:p>
      <w:pPr>
        <w:spacing w:after="0" w:line="183" w:lineRule="exact"/>
        <w:rPr>
          <w:sz w:val="20"/>
          <w:szCs w:val="20"/>
          <w:color w:val="auto"/>
        </w:rPr>
      </w:pPr>
    </w:p>
    <w:p>
      <w:pPr>
        <w:ind w:left="1140" w:right="119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Joinder Agreement</w:t>
      </w:r>
      <w:r>
        <w:rPr>
          <w:rFonts w:ascii="Times New Roman" w:cs="Times New Roman" w:eastAsia="Times New Roman" w:hAnsi="Times New Roman"/>
          <w:sz w:val="14"/>
          <w:szCs w:val="14"/>
          <w:color w:val="auto"/>
        </w:rPr>
        <w:t xml:space="preserve">” shall mean an agreement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00FF"/>
        </w:rPr>
        <w:t>(or such</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other form as may be reasonably acceptable to the Administrative Agent, the Borrower, and the applicable Lenders)</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which may include additional provisions to ensure fungibility of the Loans and to provide for mechanics for borrowings in currencies other than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4528185</wp:posOffset>
            </wp:positionH>
            <wp:positionV relativeFrom="paragraph">
              <wp:posOffset>-358140</wp:posOffset>
            </wp:positionV>
            <wp:extent cx="340995"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0">
                      <a:extLst>
                        <a:ext uri="{28A0092B-C50C-407E-A947-70E740481C1C}"/>
                      </a:extLst>
                    </a:blip>
                    <a:srcRect/>
                    <a:stretch>
                      <a:fillRect/>
                    </a:stretch>
                  </pic:blipFill>
                  <pic:spPr bwMode="auto">
                    <a:xfrm>
                      <a:off x="0" y="0"/>
                      <a:ext cx="340995" cy="6985"/>
                    </a:xfrm>
                    <a:prstGeom prst="rect">
                      <a:avLst/>
                    </a:prstGeom>
                    <a:noFill/>
                  </pic:spPr>
                </pic:pic>
              </a:graphicData>
            </a:graphic>
          </wp:anchor>
        </w:drawing>
      </w:r>
    </w:p>
    <w:p>
      <w:pPr>
        <w:spacing w:after="0" w:line="119" w:lineRule="exact"/>
        <w:rPr>
          <w:sz w:val="20"/>
          <w:szCs w:val="20"/>
          <w:color w:val="auto"/>
        </w:rPr>
      </w:pPr>
    </w:p>
    <w:p>
      <w:pPr>
        <w:ind w:left="1140" w:right="12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Joint Lead Arrangers and Bookrunners</w:t>
      </w:r>
      <w:r>
        <w:rPr>
          <w:rFonts w:ascii="Times New Roman" w:cs="Times New Roman" w:eastAsia="Times New Roman" w:hAnsi="Times New Roman"/>
          <w:sz w:val="14"/>
          <w:szCs w:val="14"/>
          <w:color w:val="auto"/>
        </w:rPr>
        <w:t>” shall mean MSSF, Credit Suisse Loan Funding LLC, Jefferies, KKR Capital Markets LLC and Crédit Agricole Corporate and Investment Bank.</w:t>
      </w:r>
    </w:p>
    <w:p>
      <w:pPr>
        <w:spacing w:after="0" w:line="119" w:lineRule="exact"/>
        <w:rPr>
          <w:sz w:val="20"/>
          <w:szCs w:val="20"/>
          <w:color w:val="auto"/>
        </w:rPr>
      </w:pPr>
    </w:p>
    <w:p>
      <w:pPr>
        <w:ind w:left="1140" w:right="1199" w:firstLine="1033"/>
        <w:spacing w:after="0" w:line="28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Junior Debt</w:t>
      </w:r>
      <w:r>
        <w:rPr>
          <w:rFonts w:ascii="Times New Roman" w:cs="Times New Roman" w:eastAsia="Times New Roman" w:hAnsi="Times New Roman"/>
          <w:sz w:val="14"/>
          <w:szCs w:val="14"/>
          <w:color w:val="auto"/>
        </w:rPr>
        <w:t>” shall mean any Indebtedness (other than any permitted intercompany Indebtedness owing to the Borrower or any Restricted Subsidiary) in respect of Subordinated Indebtedness in excess of $30 million.</w:t>
      </w:r>
    </w:p>
    <w:p>
      <w:pPr>
        <w:spacing w:after="0" w:line="30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KKR</w:t>
      </w:r>
      <w:r>
        <w:rPr>
          <w:rFonts w:ascii="Times New Roman" w:cs="Times New Roman" w:eastAsia="Times New Roman" w:hAnsi="Times New Roman"/>
          <w:sz w:val="14"/>
          <w:szCs w:val="14"/>
          <w:color w:val="auto"/>
        </w:rPr>
        <w:t>” shall mean each of Kohlberg Kravis Roberts &amp; Co. and KKR North America Fund XII</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L.P.</w:t>
      </w:r>
    </w:p>
    <w:p>
      <w:pPr>
        <w:spacing w:after="0" w:line="168" w:lineRule="exact"/>
        <w:rPr>
          <w:sz w:val="20"/>
          <w:szCs w:val="20"/>
          <w:color w:val="auto"/>
        </w:rPr>
      </w:pPr>
    </w:p>
    <w:p>
      <w:pPr>
        <w:ind w:left="1140" w:right="125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Latest Term Loan Maturity Date</w:t>
      </w:r>
      <w:r>
        <w:rPr>
          <w:rFonts w:ascii="Times New Roman" w:cs="Times New Roman" w:eastAsia="Times New Roman" w:hAnsi="Times New Roman"/>
          <w:sz w:val="14"/>
          <w:szCs w:val="14"/>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L/C Obligations</w:t>
      </w:r>
      <w:r>
        <w:rPr>
          <w:rFonts w:ascii="Times New Roman" w:cs="Times New Roman" w:eastAsia="Times New Roman" w:hAnsi="Times New Roman"/>
          <w:sz w:val="14"/>
          <w:szCs w:val="14"/>
          <w:color w:val="auto"/>
        </w:rPr>
        <w:t>” shall mean the 2020 L/C Obligations and the Revolving L/C Obligations.</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L/C Sublimit</w:t>
      </w:r>
      <w:r>
        <w:rPr>
          <w:rFonts w:ascii="Times New Roman" w:cs="Times New Roman" w:eastAsia="Times New Roman" w:hAnsi="Times New Roman"/>
          <w:sz w:val="14"/>
          <w:szCs w:val="14"/>
          <w:color w:val="auto"/>
        </w:rPr>
        <w:t>” shall mean $82,500,000.</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LCT Election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1.12(b)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LCT Test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1.12(b)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Lenders</w:t>
      </w:r>
      <w:r>
        <w:rPr>
          <w:rFonts w:ascii="Times New Roman" w:cs="Times New Roman" w:eastAsia="Times New Roman" w:hAnsi="Times New Roman"/>
          <w:sz w:val="14"/>
          <w:szCs w:val="14"/>
          <w:color w:val="auto"/>
        </w:rPr>
        <w:t>” shall have the meanings provided in the preamble to this Agreement.</w:t>
      </w:r>
    </w:p>
    <w:p>
      <w:pPr>
        <w:spacing w:after="0" w:line="183" w:lineRule="exact"/>
        <w:rPr>
          <w:sz w:val="20"/>
          <w:szCs w:val="20"/>
          <w:color w:val="auto"/>
        </w:rPr>
      </w:pPr>
    </w:p>
    <w:p>
      <w:pPr>
        <w:ind w:left="1140" w:right="123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Lender Default</w:t>
      </w:r>
      <w:r>
        <w:rPr>
          <w:rFonts w:ascii="Times New Roman" w:cs="Times New Roman" w:eastAsia="Times New Roman" w:hAnsi="Times New Roman"/>
          <w:sz w:val="14"/>
          <w:szCs w:val="14"/>
          <w:color w:val="auto"/>
        </w:rPr>
        <w:t>” shall mean (i) the refusal or failure of any Lender to make available its portion of any incurrence of Loans,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w:t>
      </w: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24" w:name="page125"/>
    <w:bookmarkEnd w:id="124"/>
    <w:p>
      <w:pPr>
        <w:ind w:left="1140" w:right="1179"/>
        <w:spacing w:after="0" w:line="173" w:lineRule="exact"/>
        <w:rPr>
          <w:sz w:val="20"/>
          <w:szCs w:val="20"/>
          <w:color w:val="auto"/>
        </w:rPr>
      </w:pPr>
      <w:r>
        <w:rPr>
          <w:rFonts w:ascii="Times New Roman" w:cs="Times New Roman" w:eastAsia="Times New Roman" w:hAnsi="Times New Roman"/>
          <w:sz w:val="14"/>
          <w:szCs w:val="14"/>
          <w:color w:val="auto"/>
        </w:rPr>
        <w:t>conditions precedent, together with any applicable default, shall be specifically identified in writing) has not been satisfied, (ii) the failure of any Lender to pay over to the Administrative Agent or any other Lender any other amount required to be paid by it hereunder within one Business Day of the date when due, unless the subject of a good faith dispute, (iii) a Lender has notified, in writing, the Borrower or the Administrative Agent that it does not intend to comply with its funding obligations under this Agreement, or has made a public statement to that effect with respect to its funding obligations under this Agreement or the Second Lien Credit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Related Distress Event or (vi) a Lender has become the subject of a Bail-In Action;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Lender Default shall occur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37" w:lineRule="exact"/>
        <w:rPr>
          <w:sz w:val="20"/>
          <w:szCs w:val="20"/>
          <w:color w:val="auto"/>
        </w:rPr>
      </w:pPr>
    </w:p>
    <w:p>
      <w:pPr>
        <w:ind w:left="1140" w:right="1159" w:firstLine="1033"/>
        <w:spacing w:after="0" w:line="17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Lender</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Related Distress Event</w:t>
      </w:r>
      <w:r>
        <w:rPr>
          <w:rFonts w:ascii="Times New Roman" w:cs="Times New Roman" w:eastAsia="Times New Roman" w:hAnsi="Times New Roman"/>
          <w:sz w:val="14"/>
          <w:szCs w:val="14"/>
          <w:color w:val="auto"/>
        </w:rPr>
        <w:t>” shall mean, with respect to any Lender or any other Person that directly or indirectly controls such Lender (each, a “</w:t>
      </w:r>
      <w:r>
        <w:rPr>
          <w:rFonts w:ascii="Times New Roman" w:cs="Times New Roman" w:eastAsia="Times New Roman" w:hAnsi="Times New Roman"/>
          <w:sz w:val="14"/>
          <w:szCs w:val="14"/>
          <w:b w:val="1"/>
          <w:bCs w:val="1"/>
          <w:color w:val="auto"/>
        </w:rPr>
        <w:t>Distressed Person</w:t>
      </w:r>
      <w:r>
        <w:rPr>
          <w:rFonts w:ascii="Times New Roman" w:cs="Times New Roman" w:eastAsia="Times New Roman" w:hAnsi="Times New Roman"/>
          <w:sz w:val="14"/>
          <w:szCs w:val="14"/>
          <w:color w:val="auto"/>
        </w:rPr>
        <w:t xml:space="preserve">”), other than via an Undisclosed Administration,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Lender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w:t>
      </w:r>
      <w:r>
        <w:rPr>
          <w:rFonts w:ascii="Times New Roman" w:cs="Times New Roman" w:eastAsia="Times New Roman" w:hAnsi="Times New Roman"/>
          <w:sz w:val="14"/>
          <w:szCs w:val="14"/>
          <w:color w:val="auto"/>
        </w:rPr>
        <w:t>” shall mean a 2020 Letter of Credit or a Revolving Letter of Credit, as the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context requires.</w:t>
      </w:r>
    </w:p>
    <w:p>
      <w:pPr>
        <w:spacing w:after="0" w:line="168" w:lineRule="exact"/>
        <w:rPr>
          <w:sz w:val="20"/>
          <w:szCs w:val="20"/>
          <w:color w:val="auto"/>
        </w:rPr>
      </w:pPr>
    </w:p>
    <w:p>
      <w:pPr>
        <w:ind w:left="1140" w:right="12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 Commitment</w:t>
      </w:r>
      <w:r>
        <w:rPr>
          <w:rFonts w:ascii="Times New Roman" w:cs="Times New Roman" w:eastAsia="Times New Roman" w:hAnsi="Times New Roman"/>
          <w:sz w:val="14"/>
          <w:szCs w:val="14"/>
          <w:color w:val="auto"/>
        </w:rPr>
        <w:t>” shall mean the Total 2020 Letter of Credit Commitment or the Revolving Letter of Credit Commitment, as the context requires.</w:t>
      </w:r>
    </w:p>
    <w:p>
      <w:pPr>
        <w:spacing w:after="0" w:line="119" w:lineRule="exact"/>
        <w:rPr>
          <w:sz w:val="20"/>
          <w:szCs w:val="20"/>
          <w:color w:val="auto"/>
        </w:rPr>
      </w:pPr>
    </w:p>
    <w:p>
      <w:pPr>
        <w:ind w:left="1140" w:right="12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 Exposure</w:t>
      </w:r>
      <w:r>
        <w:rPr>
          <w:rFonts w:ascii="Times New Roman" w:cs="Times New Roman" w:eastAsia="Times New Roman" w:hAnsi="Times New Roman"/>
          <w:sz w:val="14"/>
          <w:szCs w:val="14"/>
          <w:color w:val="auto"/>
        </w:rPr>
        <w:t>” shall mean, with respect to any Lender, at any time, the 2020 Letter of Credit Exposure and/or Revolving Letter of Credit Exposure, as applicable, of such lender at such time.</w:t>
      </w:r>
    </w:p>
    <w:p>
      <w:pPr>
        <w:spacing w:after="0" w:line="119" w:lineRule="exact"/>
        <w:rPr>
          <w:sz w:val="20"/>
          <w:szCs w:val="20"/>
          <w:color w:val="auto"/>
        </w:rPr>
      </w:pPr>
    </w:p>
    <w:p>
      <w:pPr>
        <w:ind w:left="1140" w:right="139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 Issuer</w:t>
      </w:r>
      <w:r>
        <w:rPr>
          <w:rFonts w:ascii="Times New Roman" w:cs="Times New Roman" w:eastAsia="Times New Roman" w:hAnsi="Times New Roman"/>
          <w:sz w:val="14"/>
          <w:szCs w:val="14"/>
          <w:color w:val="auto"/>
        </w:rPr>
        <w:t>” shall mean a 2020 Letter of Credit Issuer or a Revolving Letter of Credit Issuer, as the context requires.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41" w:lineRule="exact"/>
        <w:rPr>
          <w:sz w:val="20"/>
          <w:szCs w:val="20"/>
          <w:color w:val="auto"/>
        </w:rPr>
      </w:pPr>
    </w:p>
    <w:p>
      <w:pPr>
        <w:jc w:val="both"/>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 of Credit Request</w:t>
      </w:r>
      <w:r>
        <w:rPr>
          <w:rFonts w:ascii="Times New Roman" w:cs="Times New Roman" w:eastAsia="Times New Roman" w:hAnsi="Times New Roman"/>
          <w:sz w:val="14"/>
          <w:szCs w:val="14"/>
          <w:color w:val="auto"/>
        </w:rPr>
        <w:t xml:space="preserve">” shall mean a notice executed and delivered by the Borrower pursuant to </w:t>
      </w:r>
      <w:r>
        <w:rPr>
          <w:rFonts w:ascii="Times New Roman" w:cs="Times New Roman" w:eastAsia="Times New Roman" w:hAnsi="Times New Roman"/>
          <w:sz w:val="14"/>
          <w:szCs w:val="14"/>
          <w:u w:val="single" w:color="auto"/>
          <w:color w:val="auto"/>
        </w:rPr>
        <w:t>Section 3.2</w:t>
      </w:r>
      <w:r>
        <w:rPr>
          <w:rFonts w:ascii="Times New Roman" w:cs="Times New Roman" w:eastAsia="Times New Roman" w:hAnsi="Times New Roman"/>
          <w:sz w:val="14"/>
          <w:szCs w:val="14"/>
          <w:color w:val="auto"/>
        </w:rPr>
        <w:t xml:space="preserve">, and substantially in the form of </w:t>
      </w:r>
      <w:r>
        <w:rPr>
          <w:rFonts w:ascii="Times New Roman" w:cs="Times New Roman" w:eastAsia="Times New Roman" w:hAnsi="Times New Roman"/>
          <w:sz w:val="14"/>
          <w:szCs w:val="14"/>
          <w:u w:val="single" w:color="auto"/>
          <w:color w:val="auto"/>
        </w:rPr>
        <w:t>Exhibit K</w:t>
      </w:r>
      <w:r>
        <w:rPr>
          <w:rFonts w:ascii="Times New Roman" w:cs="Times New Roman" w:eastAsia="Times New Roman" w:hAnsi="Times New Roman"/>
          <w:sz w:val="14"/>
          <w:szCs w:val="14"/>
          <w:color w:val="auto"/>
        </w:rPr>
        <w:t xml:space="preserve"> or another form which is acceptable to the Letter of Credit Issuer in its reasonable discretion.</w:t>
      </w:r>
    </w:p>
    <w:p>
      <w:pPr>
        <w:spacing w:after="0" w:line="133" w:lineRule="exact"/>
        <w:rPr>
          <w:sz w:val="20"/>
          <w:szCs w:val="20"/>
          <w:color w:val="auto"/>
        </w:rPr>
      </w:pPr>
    </w:p>
    <w:p>
      <w:pPr>
        <w:ind w:left="1140" w:right="15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Letters of Credit Outstanding</w:t>
      </w:r>
      <w:r>
        <w:rPr>
          <w:rFonts w:ascii="Times New Roman" w:cs="Times New Roman" w:eastAsia="Times New Roman" w:hAnsi="Times New Roman"/>
          <w:sz w:val="14"/>
          <w:szCs w:val="14"/>
          <w:color w:val="auto"/>
        </w:rPr>
        <w:t>” shall mean the 2020 Letters of Credit Outstanding and the Revolving Letters of Credit Outstanding.</w:t>
      </w:r>
    </w:p>
    <w:p>
      <w:pPr>
        <w:spacing w:after="0" w:line="119" w:lineRule="exact"/>
        <w:rPr>
          <w:sz w:val="20"/>
          <w:szCs w:val="20"/>
          <w:color w:val="auto"/>
        </w:rPr>
      </w:pPr>
    </w:p>
    <w:p>
      <w:pPr>
        <w:ind w:left="1140" w:right="1339" w:firstLine="1069"/>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Lien</w:t>
      </w:r>
      <w:r>
        <w:rPr>
          <w:rFonts w:ascii="Times New Roman" w:cs="Times New Roman" w:eastAsia="Times New Roman" w:hAnsi="Times New Roman"/>
          <w:sz w:val="14"/>
          <w:szCs w:val="14"/>
          <w:color w:val="auto"/>
        </w:rPr>
        <w:t>” shall mean with respect to any asset, any mortgage, lien, pledge, hypothecation, charge, security interest, preference, priority, or encumbrance of any kind in respect of such asset, whether or not filed,</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25" w:name="page126"/>
    <w:bookmarkEnd w:id="125"/>
    <w:p>
      <w:pPr>
        <w:ind w:left="1140" w:right="1379"/>
        <w:spacing w:after="0" w:line="180" w:lineRule="exact"/>
        <w:rPr>
          <w:sz w:val="20"/>
          <w:szCs w:val="20"/>
          <w:color w:val="auto"/>
        </w:rPr>
      </w:pPr>
      <w:r>
        <w:rPr>
          <w:rFonts w:ascii="Times New Roman" w:cs="Times New Roman" w:eastAsia="Times New Roman" w:hAnsi="Times New Roman"/>
          <w:sz w:val="14"/>
          <w:szCs w:val="14"/>
          <w:color w:val="auto"/>
        </w:rPr>
        <w:t xml:space="preserve">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an operating lease or a license,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license or cross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license to Intellectual Property be deemed to constitute a Lien.</w:t>
      </w:r>
    </w:p>
    <w:p>
      <w:pPr>
        <w:spacing w:after="0" w:line="135" w:lineRule="exact"/>
        <w:rPr>
          <w:sz w:val="20"/>
          <w:szCs w:val="20"/>
          <w:color w:val="auto"/>
        </w:rPr>
      </w:pPr>
    </w:p>
    <w:p>
      <w:pPr>
        <w:ind w:left="1140" w:right="13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Limited Condition Transaction</w:t>
      </w:r>
      <w:r>
        <w:rPr>
          <w:rFonts w:ascii="Times New Roman" w:cs="Times New Roman" w:eastAsia="Times New Roman" w:hAnsi="Times New Roman"/>
          <w:sz w:val="14"/>
          <w:szCs w:val="14"/>
          <w:color w:val="auto"/>
        </w:rPr>
        <w:t>” shall mean any transaction by one or more of the Borrower and its respective Restricted Subsidiaries whose consummation is not conditioned on the availability of, or on obtaining, third party financing.</w:t>
      </w:r>
    </w:p>
    <w:p>
      <w:pPr>
        <w:spacing w:after="0" w:line="133" w:lineRule="exact"/>
        <w:rPr>
          <w:sz w:val="20"/>
          <w:szCs w:val="20"/>
          <w:color w:val="auto"/>
        </w:rPr>
      </w:pPr>
    </w:p>
    <w:p>
      <w:pPr>
        <w:ind w:left="1140" w:right="15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Loan</w:t>
      </w:r>
      <w:r>
        <w:rPr>
          <w:rFonts w:ascii="Times New Roman" w:cs="Times New Roman" w:eastAsia="Times New Roman" w:hAnsi="Times New Roman"/>
          <w:sz w:val="14"/>
          <w:szCs w:val="14"/>
          <w:color w:val="auto"/>
        </w:rPr>
        <w:t>” shall mean any Revolving Loan, Term Loan or any other loan made by any Lender pursuant to this Agreement.</w:t>
      </w:r>
    </w:p>
    <w:p>
      <w:pPr>
        <w:spacing w:after="0" w:line="119" w:lineRule="exact"/>
        <w:rPr>
          <w:sz w:val="20"/>
          <w:szCs w:val="20"/>
          <w:color w:val="auto"/>
        </w:rPr>
      </w:pPr>
    </w:p>
    <w:p>
      <w:pPr>
        <w:ind w:left="1140" w:right="11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Majority Lead Arrangers</w:t>
      </w:r>
      <w:r>
        <w:rPr>
          <w:rFonts w:ascii="Times New Roman" w:cs="Times New Roman" w:eastAsia="Times New Roman" w:hAnsi="Times New Roman"/>
          <w:sz w:val="14"/>
          <w:szCs w:val="14"/>
          <w:color w:val="auto"/>
        </w:rPr>
        <w:t>” shall mean the Lead Arrangers who held a majority of the aggregate amount of Commitments as of January 27, 2019.</w:t>
      </w:r>
    </w:p>
    <w:p>
      <w:pPr>
        <w:spacing w:after="0" w:line="119" w:lineRule="exact"/>
        <w:rPr>
          <w:sz w:val="20"/>
          <w:szCs w:val="20"/>
          <w:color w:val="auto"/>
        </w:rPr>
      </w:pPr>
    </w:p>
    <w:p>
      <w:pPr>
        <w:ind w:left="1140" w:right="121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Management Investors</w:t>
      </w:r>
      <w:r>
        <w:rPr>
          <w:rFonts w:ascii="Times New Roman" w:cs="Times New Roman" w:eastAsia="Times New Roman" w:hAnsi="Times New Roman"/>
          <w:sz w:val="14"/>
          <w:szCs w:val="14"/>
          <w:color w:val="auto"/>
        </w:rPr>
        <w:t>” shall mean the former, current or future officers, directors, employees and managers (and Controlled Investment Affiliates and Immediate Family Members of the foregoing) of Holdings, any Restricted Subsidiary or any Parent Entity who are or become direct or indirect investors in Holdings, any Parent Entity or any Equityholding Vehicle, including any such officers, directors, employees and managers owning through an Equityholding Vehicle.</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Master Agreement</w:t>
      </w:r>
      <w:r>
        <w:rPr>
          <w:rFonts w:ascii="Times New Roman" w:cs="Times New Roman" w:eastAsia="Times New Roman" w:hAnsi="Times New Roman"/>
          <w:sz w:val="14"/>
          <w:szCs w:val="14"/>
          <w:color w:val="auto"/>
        </w:rPr>
        <w:t>” shall have the meaning provided in the definition of the term Hedge</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Agreements.</w:t>
      </w:r>
    </w:p>
    <w:p>
      <w:pPr>
        <w:spacing w:after="0" w:line="168" w:lineRule="exact"/>
        <w:rPr>
          <w:sz w:val="20"/>
          <w:szCs w:val="20"/>
          <w:color w:val="auto"/>
        </w:rPr>
      </w:pPr>
    </w:p>
    <w:p>
      <w:pPr>
        <w:ind w:left="1140" w:right="119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 Adverse Effect</w:t>
      </w:r>
      <w:r>
        <w:rPr>
          <w:rFonts w:ascii="Times New Roman" w:cs="Times New Roman" w:eastAsia="Times New Roman" w:hAnsi="Times New Roman"/>
          <w:sz w:val="14"/>
          <w:szCs w:val="14"/>
          <w:color w:val="auto"/>
        </w:rPr>
        <w:t>” shall mean a circumstance or condition affecting the business, assets, operations, properties, or financial condition of the Borrower and its Subsidiaries, taken as a whole, that would, individually or in the aggregate, materially adversely affect (i) the ability of the Borrower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41" w:lineRule="exact"/>
        <w:rPr>
          <w:sz w:val="20"/>
          <w:szCs w:val="20"/>
          <w:color w:val="auto"/>
        </w:rPr>
      </w:pPr>
    </w:p>
    <w:p>
      <w:pPr>
        <w:ind w:left="1140" w:right="117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Material Subsidiary</w:t>
      </w:r>
      <w:r>
        <w:rPr>
          <w:rFonts w:ascii="Times New Roman" w:cs="Times New Roman" w:eastAsia="Times New Roman" w:hAnsi="Times New Roman"/>
          <w:sz w:val="14"/>
          <w:szCs w:val="14"/>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the Borrower and the Restricted Subsidiaries at such date or (ii) whose revenues during such Test Period were equal to or greater than 5.0% of the consolidated revenues of the Borrower and the Restricted Subsidiaries for such period, in each case determined in accordance with GAAP;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at any time and from time to time after the Closing Date, Restricted Subsidiaries that are not Material Subsidiaries (other than Subsidiaries that are Excluded Subsidiaries by virtue of any of </w:t>
      </w:r>
      <w:r>
        <w:rPr>
          <w:rFonts w:ascii="Times New Roman" w:cs="Times New Roman" w:eastAsia="Times New Roman" w:hAnsi="Times New Roman"/>
          <w:sz w:val="14"/>
          <w:szCs w:val="14"/>
          <w:u w:val="single" w:color="auto"/>
          <w:color w:val="auto"/>
        </w:rPr>
        <w:t>clauses (ii)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(xiv)</w:t>
      </w:r>
      <w:r>
        <w:rPr>
          <w:rFonts w:ascii="Times New Roman" w:cs="Times New Roman" w:eastAsia="Times New Roman" w:hAnsi="Times New Roman"/>
          <w:sz w:val="14"/>
          <w:szCs w:val="14"/>
          <w:color w:val="auto"/>
        </w:rPr>
        <w:t xml:space="preserve"> of the definition of “Excluded Subsidiary”) have, in the aggregate, (a) total assets at the last day of such Test Period equal to or greater than 10.0% of the Consolidated Total Assets of the Borrower and the Restricted Subsidiaries at such date or (b) revenues during such Test Period equal to or greater than 10.0% of the consolidated revenues of the Borrower and the Restricted Subsidiaries for such period, in each case determined in accordance with GAAP, then the Borrower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322" w:lineRule="exact"/>
        <w:rPr>
          <w:sz w:val="20"/>
          <w:szCs w:val="20"/>
          <w:color w:val="auto"/>
        </w:rPr>
      </w:pPr>
    </w:p>
    <w:p>
      <w:pPr>
        <w:ind w:left="1140" w:right="115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Maturity Date</w:t>
      </w:r>
      <w:r>
        <w:rPr>
          <w:rFonts w:ascii="Times New Roman" w:cs="Times New Roman" w:eastAsia="Times New Roman" w:hAnsi="Times New Roman"/>
          <w:sz w:val="14"/>
          <w:szCs w:val="14"/>
          <w:color w:val="auto"/>
        </w:rPr>
        <w:t>” shall mean the Revolving Credit Maturity Date, the Extended Revolving Loan Maturity Date, any Incremental Revolving Credit Maturity Date, the 2020 L/C Facility Maturity Date, the Tranche B Term Loan Maturity Date, the New Term Loan Maturity Date or the maturity date of an Extended Term Loan, as applicable.</w:t>
      </w:r>
    </w:p>
    <w:p>
      <w:pPr>
        <w:spacing w:after="0" w:line="139" w:lineRule="exact"/>
        <w:rPr>
          <w:sz w:val="20"/>
          <w:szCs w:val="20"/>
          <w:color w:val="auto"/>
        </w:rPr>
      </w:pPr>
    </w:p>
    <w:p>
      <w:pPr>
        <w:ind w:left="1140" w:right="13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Maximum Incremental Facilities Amount</w:t>
      </w:r>
      <w:r>
        <w:rPr>
          <w:rFonts w:ascii="Times New Roman" w:cs="Times New Roman" w:eastAsia="Times New Roman" w:hAnsi="Times New Roman"/>
          <w:sz w:val="14"/>
          <w:szCs w:val="14"/>
          <w:color w:val="auto"/>
        </w:rPr>
        <w:t>” shall mean, at any date of determination, (i) the sum of (a) (x) the greater of (i) $</w:t>
      </w:r>
      <w:r>
        <w:rPr>
          <w:rFonts w:ascii="Times New Roman" w:cs="Times New Roman" w:eastAsia="Times New Roman" w:hAnsi="Times New Roman"/>
          <w:sz w:val="14"/>
          <w:szCs w:val="14"/>
          <w:color w:val="FF0000"/>
          <w:strike w:val="1"/>
        </w:rPr>
        <w:t>370,000,000</w:t>
      </w:r>
      <w:r>
        <w:rPr>
          <w:rFonts w:ascii="Times New Roman" w:cs="Times New Roman" w:eastAsia="Times New Roman" w:hAnsi="Times New Roman"/>
          <w:sz w:val="14"/>
          <w:szCs w:val="14"/>
          <w:u w:val="single" w:color="auto"/>
          <w:color w:val="0000FF"/>
        </w:rPr>
        <w:t>585,000,000</w:t>
      </w:r>
      <w:r>
        <w:rPr>
          <w:rFonts w:ascii="Times New Roman" w:cs="Times New Roman" w:eastAsia="Times New Roman" w:hAnsi="Times New Roman"/>
          <w:sz w:val="14"/>
          <w:szCs w:val="14"/>
          <w:color w:val="auto"/>
        </w:rPr>
        <w:t xml:space="preserve"> and (ii) 100% of Consolidated EBITDA for the most recently ended Test Period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(y) the Second Lien Base Incremental Amount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the aggregate amount of</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26" w:name="page127"/>
    <w:bookmarkEnd w:id="126"/>
    <w:p>
      <w:pPr>
        <w:ind w:left="1140" w:right="1159"/>
        <w:spacing w:after="0" w:line="173" w:lineRule="exact"/>
        <w:rPr>
          <w:sz w:val="20"/>
          <w:szCs w:val="20"/>
          <w:color w:val="auto"/>
        </w:rPr>
      </w:pPr>
      <w:r>
        <w:rPr>
          <w:rFonts w:ascii="Times New Roman" w:cs="Times New Roman" w:eastAsia="Times New Roman" w:hAnsi="Times New Roman"/>
          <w:sz w:val="14"/>
          <w:szCs w:val="14"/>
          <w:color w:val="auto"/>
        </w:rPr>
        <w:t>voluntary prepayments of Term Loans, Incremental Loans secured on a pari passu basis with the Term Loans, and, to the extent accompanied by permanent optional reductions of the Revolving Credit Commitments or Incremental Revolving Credit Commitments, Revolving Loans or Incremental Revolving Credit Loans (including purchases of the Loans by Holdings and its Subsidiaries at or below par, in which case the amount of voluntary prepayments of Loans shall be deemed not to exceed the actual purchase price of such Loans below par, and voluntary prepayments accompanied by permanent commitment reductions of the Revolving Credit Facility) in each case, other than from proceeds of the incurrence of long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term Indebtedness,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an amount such that, after giving effect to the incurrence of such amount, (a) the Borrower would be in compliance on a Pro Forma Basis (including any adjustments required by such definition as a result of a contemplated Permitted Acquisition, but excluding any concurrent incurrence of Indebtedness pursuant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the Second Lien Base Incremental Amount or the Revolving Credit Facility and without netting any cash proceeds of such incurrence) with the First Lien Incremental Ratio (assuming that all Indebtedness incurred pursuant to </w:t>
      </w:r>
      <w:r>
        <w:rPr>
          <w:rFonts w:ascii="Times New Roman" w:cs="Times New Roman" w:eastAsia="Times New Roman" w:hAnsi="Times New Roman"/>
          <w:sz w:val="14"/>
          <w:szCs w:val="14"/>
          <w:u w:val="single" w:color="auto"/>
          <w:color w:val="auto"/>
        </w:rPr>
        <w:t>Section 2.14(a)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10.1(x)(i)</w:t>
      </w:r>
      <w:r>
        <w:rPr>
          <w:rFonts w:ascii="Times New Roman" w:cs="Times New Roman" w:eastAsia="Times New Roman" w:hAnsi="Times New Roman"/>
          <w:sz w:val="14"/>
          <w:szCs w:val="14"/>
          <w:color w:val="auto"/>
        </w:rPr>
        <w:t xml:space="preserve"> on such date of determination would be included in the definition of Consolidated First Lien Secured Debt, whether or not such Indebtedness would otherwise be so included) or (b) solely in the case of any Permitted Acquisition or investment permitted under this Agreement, on a Pro Forma Basis the Consolidated First Lien Secured Debt to Consolidated EBITDA Ratio would be equal to or less than the Consolidated First Lien Secured Debt to Consolidated EBITDA Ratio immediately prior to giving effect to such incurrence, such Permitted Acquisition or investment permitted under this Agreement and all transactions in connection therewith, </w:t>
      </w:r>
      <w:r>
        <w:rPr>
          <w:rFonts w:ascii="Times New Roman" w:cs="Times New Roman" w:eastAsia="Times New Roman" w:hAnsi="Times New Roman"/>
          <w:sz w:val="14"/>
          <w:szCs w:val="14"/>
          <w:i w:val="1"/>
          <w:iCs w:val="1"/>
          <w:color w:val="FF0000"/>
          <w:strike w:val="1"/>
        </w:rPr>
        <w:t>minus</w:t>
      </w:r>
      <w:r>
        <w:rPr>
          <w:rFonts w:ascii="Times New Roman" w:cs="Times New Roman" w:eastAsia="Times New Roman" w:hAnsi="Times New Roman"/>
          <w:sz w:val="14"/>
          <w:szCs w:val="14"/>
          <w:u w:val="single" w:color="auto"/>
          <w:color w:val="0000FF"/>
        </w:rPr>
        <w:t>plus</w:t>
      </w:r>
      <w:r>
        <w:rPr>
          <w:rFonts w:ascii="Times New Roman" w:cs="Times New Roman" w:eastAsia="Times New Roman" w:hAnsi="Times New Roman"/>
          <w:sz w:val="14"/>
          <w:szCs w:val="14"/>
          <w:color w:val="auto"/>
        </w:rPr>
        <w:t xml:space="preserve"> (iii</w:t>
      </w:r>
      <w:r>
        <w:rPr>
          <w:rFonts w:ascii="Times New Roman" w:cs="Times New Roman" w:eastAsia="Times New Roman" w:hAnsi="Times New Roman"/>
          <w:sz w:val="14"/>
          <w:szCs w:val="14"/>
          <w:u w:val="single" w:color="auto"/>
          <w:color w:val="0000FF"/>
        </w:rPr>
        <w:t>) an amount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8000"/>
        </w:rPr>
        <w:t xml:space="preserve">equal to the aggregate outstanding principal amount of </w:t>
      </w:r>
      <w:r>
        <w:rPr>
          <w:rFonts w:ascii="Times New Roman" w:cs="Times New Roman" w:eastAsia="Times New Roman" w:hAnsi="Times New Roman"/>
          <w:sz w:val="14"/>
          <w:szCs w:val="14"/>
          <w:u w:val="single" w:color="auto"/>
          <w:color w:val="0000FF"/>
        </w:rPr>
        <w:t>Indebtedness that is secured by Liens on the Collateral that</w:t>
      </w:r>
      <w:r>
        <w:rPr>
          <w:rFonts w:ascii="Times New Roman" w:cs="Times New Roman" w:eastAsia="Times New Roman" w:hAnsi="Times New Roman"/>
          <w:sz w:val="14"/>
          <w:szCs w:val="14"/>
          <w:u w:val="single" w:color="auto"/>
          <w:color w:val="008000"/>
        </w:rPr>
        <w:t xml:space="preserve"> </w:t>
      </w:r>
      <w:r>
        <w:rPr>
          <w:rFonts w:ascii="Times New Roman" w:cs="Times New Roman" w:eastAsia="Times New Roman" w:hAnsi="Times New Roman"/>
          <w:sz w:val="14"/>
          <w:szCs w:val="14"/>
          <w:u w:val="single" w:color="auto"/>
          <w:color w:val="0000FF"/>
        </w:rPr>
        <w:t>rank on an equal priority basis with the Liens on the Collateral securing the Obligations that is substantially simultaneously refinanced with New Term Loans, New Revolving Credit Commitments or Permitted Other Indebtedness incurred pursuant to this clause (iii),</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i w:val="1"/>
          <w:iCs w:val="1"/>
          <w:u w:val="single" w:color="auto"/>
          <w:color w:val="0000FF"/>
        </w:rPr>
        <w:t>minus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(iv</w:t>
      </w:r>
      <w:r>
        <w:rPr>
          <w:rFonts w:ascii="Times New Roman" w:cs="Times New Roman" w:eastAsia="Times New Roman" w:hAnsi="Times New Roman"/>
          <w:sz w:val="14"/>
          <w:szCs w:val="14"/>
          <w:color w:val="000000"/>
        </w:rPr>
        <w:t>) the sum of (a) the aggregate principal amount of New</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Loan Commitments </w:t>
      </w:r>
      <w:r>
        <w:rPr>
          <w:rFonts w:ascii="Times New Roman" w:cs="Times New Roman" w:eastAsia="Times New Roman" w:hAnsi="Times New Roman"/>
          <w:sz w:val="14"/>
          <w:szCs w:val="14"/>
          <w:color w:val="FF0000"/>
          <w:strike w:val="1"/>
        </w:rPr>
        <w:t>(including</w:t>
      </w:r>
      <w:r>
        <w:rPr>
          <w:rFonts w:ascii="Times New Roman" w:cs="Times New Roman" w:eastAsia="Times New Roman" w:hAnsi="Times New Roman"/>
          <w:sz w:val="14"/>
          <w:szCs w:val="14"/>
          <w:color w:val="008000"/>
          <w:strike w:val="1"/>
        </w:rPr>
        <w:t>, for the avoidance of doubt,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FF0000"/>
          <w:strike w:val="1"/>
        </w:rPr>
        <w:t>the 2020 Letter of Credit Commitments, the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FF0000"/>
          <w:strike w:val="1"/>
        </w:rPr>
        <w:t xml:space="preserve">“Incremental Revolving Credit Commitments” (as defined in the Joinder Agreement, dated September 30, 2019) and the $475,000,000 </w:t>
      </w:r>
      <w:r>
        <w:rPr>
          <w:rFonts w:ascii="Times New Roman" w:cs="Times New Roman" w:eastAsia="Times New Roman" w:hAnsi="Times New Roman"/>
          <w:sz w:val="14"/>
          <w:szCs w:val="14"/>
          <w:color w:val="008000"/>
          <w:strike w:val="1"/>
        </w:rPr>
        <w:t>aggregate principal amount of the</w:t>
      </w:r>
      <w:r>
        <w:rPr>
          <w:rFonts w:ascii="Times New Roman" w:cs="Times New Roman" w:eastAsia="Times New Roman" w:hAnsi="Times New Roman"/>
          <w:sz w:val="14"/>
          <w:szCs w:val="14"/>
          <w:color w:val="FF0000"/>
          <w:strike w:val="1"/>
        </w:rPr>
        <w:t xml:space="preserve"> “Amendment No. 6 Revolving Credit Commitments” (as defined in Amendment No. 6)) </w:t>
      </w:r>
      <w:r>
        <w:rPr>
          <w:rFonts w:ascii="Times New Roman" w:cs="Times New Roman" w:eastAsia="Times New Roman" w:hAnsi="Times New Roman"/>
          <w:sz w:val="14"/>
          <w:szCs w:val="14"/>
          <w:color w:val="000000"/>
          <w:strike w:val="1"/>
        </w:rPr>
        <w:t>incurred pursuant to</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u w:val="single" w:color="auto"/>
          <w:color w:val="000000"/>
          <w:strike w:val="1"/>
        </w:rPr>
        <w:t>Section 2.14(a)</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in reliance on</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u w:val="single" w:color="auto"/>
          <w:color w:val="000000"/>
          <w:strike w:val="1"/>
        </w:rPr>
        <w:t>clause (i)</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of this definition</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u w:val="single" w:color="auto"/>
          <w:color w:val="0000FF"/>
          <w:strike w:val="1"/>
        </w:rPr>
        <w:t>on or</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u w:val="single" w:color="auto"/>
          <w:color w:val="0000FF"/>
          <w:strike w:val="1"/>
        </w:rPr>
        <w:t>after the Amendment No. 7 Effective Date and on or</w:t>
      </w:r>
      <w:r>
        <w:rPr>
          <w:rFonts w:ascii="Times New Roman" w:cs="Times New Roman" w:eastAsia="Times New Roman" w:hAnsi="Times New Roman"/>
          <w:sz w:val="14"/>
          <w:szCs w:val="14"/>
          <w:color w:val="0000FF"/>
          <w:strike w:val="1"/>
        </w:rPr>
        <w:t xml:space="preserve"> </w:t>
      </w:r>
      <w:r>
        <w:rPr>
          <w:rFonts w:ascii="Times New Roman" w:cs="Times New Roman" w:eastAsia="Times New Roman" w:hAnsi="Times New Roman"/>
          <w:sz w:val="14"/>
          <w:szCs w:val="14"/>
          <w:color w:val="000000"/>
          <w:strike w:val="1"/>
        </w:rPr>
        <w:t>prior to such date and (b) the aggregate principal amount of</w:t>
      </w:r>
      <w:r>
        <w:rPr>
          <w:rFonts w:ascii="Times New Roman" w:cs="Times New Roman" w:eastAsia="Times New Roman" w:hAnsi="Times New Roman"/>
          <w:sz w:val="14"/>
          <w:szCs w:val="14"/>
          <w:color w:val="0000FF"/>
          <w:strike w:val="1"/>
        </w:rPr>
        <w:t xml:space="preserve"> </w:t>
      </w:r>
      <w:r>
        <w:rPr>
          <w:rFonts w:ascii="Times New Roman" w:cs="Times New Roman" w:eastAsia="Times New Roman" w:hAnsi="Times New Roman"/>
          <w:sz w:val="14"/>
          <w:szCs w:val="14"/>
          <w:color w:val="000000"/>
          <w:strike w:val="1"/>
        </w:rPr>
        <w:t xml:space="preserve">Permitted Other Indebtedness issued or incurred (including any unused commitments obtained) pursuant to </w:t>
      </w:r>
      <w:r>
        <w:rPr>
          <w:rFonts w:ascii="Times New Roman" w:cs="Times New Roman" w:eastAsia="Times New Roman" w:hAnsi="Times New Roman"/>
          <w:sz w:val="14"/>
          <w:szCs w:val="14"/>
          <w:u w:val="single" w:color="auto"/>
          <w:color w:val="000000"/>
          <w:strike w:val="1"/>
        </w:rPr>
        <w:t>Section</w:t>
      </w:r>
      <w:r>
        <w:rPr>
          <w:rFonts w:ascii="Times New Roman" w:cs="Times New Roman" w:eastAsia="Times New Roman" w:hAnsi="Times New Roman"/>
          <w:sz w:val="14"/>
          <w:szCs w:val="14"/>
          <w:color w:val="000000"/>
          <w:strike w:val="1"/>
        </w:rPr>
        <w:t xml:space="preserve"> </w:t>
      </w:r>
      <w:r>
        <w:rPr>
          <w:rFonts w:ascii="Times New Roman" w:cs="Times New Roman" w:eastAsia="Times New Roman" w:hAnsi="Times New Roman"/>
          <w:sz w:val="14"/>
          <w:szCs w:val="14"/>
          <w:u w:val="single" w:color="auto"/>
          <w:color w:val="000000"/>
          <w:strike w:val="1"/>
        </w:rPr>
        <w:t>10.1(x)(i)</w:t>
      </w:r>
      <w:r>
        <w:rPr>
          <w:rFonts w:ascii="Times New Roman" w:cs="Times New Roman" w:eastAsia="Times New Roman" w:hAnsi="Times New Roman"/>
          <w:sz w:val="14"/>
          <w:szCs w:val="14"/>
          <w:color w:val="000000"/>
          <w:strike w:val="1"/>
        </w:rPr>
        <w:t xml:space="preserve"> in reliance on </w:t>
      </w:r>
      <w:r>
        <w:rPr>
          <w:rFonts w:ascii="Times New Roman" w:cs="Times New Roman" w:eastAsia="Times New Roman" w:hAnsi="Times New Roman"/>
          <w:sz w:val="14"/>
          <w:szCs w:val="14"/>
          <w:u w:val="single" w:color="auto"/>
          <w:color w:val="000000"/>
          <w:strike w:val="1"/>
        </w:rPr>
        <w:t>clause (i)</w:t>
      </w:r>
      <w:r>
        <w:rPr>
          <w:rFonts w:ascii="Times New Roman" w:cs="Times New Roman" w:eastAsia="Times New Roman" w:hAnsi="Times New Roman"/>
          <w:sz w:val="14"/>
          <w:szCs w:val="14"/>
          <w:color w:val="000000"/>
          <w:strike w:val="1"/>
        </w:rPr>
        <w:t xml:space="preserve"> of this definition </w:t>
      </w:r>
      <w:r>
        <w:rPr>
          <w:rFonts w:ascii="Times New Roman" w:cs="Times New Roman" w:eastAsia="Times New Roman" w:hAnsi="Times New Roman"/>
          <w:sz w:val="14"/>
          <w:szCs w:val="14"/>
          <w:u w:val="single" w:color="auto"/>
          <w:color w:val="0000FF"/>
          <w:strike w:val="1"/>
        </w:rPr>
        <w:t>on or after the Amendment No. 7 Effective Date and on or</w:t>
      </w:r>
      <w:r>
        <w:rPr>
          <w:rFonts w:ascii="Times New Roman" w:cs="Times New Roman" w:eastAsia="Times New Roman" w:hAnsi="Times New Roman"/>
          <w:sz w:val="14"/>
          <w:szCs w:val="14"/>
          <w:color w:val="000000"/>
          <w:strike w:val="1"/>
        </w:rPr>
        <w:t xml:space="preserve"> prior to such date.</w:t>
      </w:r>
    </w:p>
    <w:p>
      <w:pPr>
        <w:spacing w:after="0" w:line="33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Merger Sub</w:t>
      </w:r>
      <w:r>
        <w:rPr>
          <w:rFonts w:ascii="Times New Roman" w:cs="Times New Roman" w:eastAsia="Times New Roman" w:hAnsi="Times New Roman"/>
          <w:sz w:val="14"/>
          <w:szCs w:val="14"/>
          <w:color w:val="auto"/>
        </w:rPr>
        <w:t>” shall have the meaning set forth in the preamble to this Agreement.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MFN Protection</w:t>
      </w:r>
      <w:r>
        <w:rPr>
          <w:rFonts w:ascii="Times New Roman" w:cs="Times New Roman" w:eastAsia="Times New Roman" w:hAnsi="Times New Roman"/>
          <w:sz w:val="14"/>
          <w:szCs w:val="14"/>
          <w:color w:val="auto"/>
        </w:rPr>
        <w:t xml:space="preserve">” shall have the meaning set forth in the proviso to </w:t>
      </w:r>
      <w:r>
        <w:rPr>
          <w:rFonts w:ascii="Times New Roman" w:cs="Times New Roman" w:eastAsia="Times New Roman" w:hAnsi="Times New Roman"/>
          <w:sz w:val="14"/>
          <w:szCs w:val="14"/>
          <w:u w:val="single" w:color="auto"/>
          <w:color w:val="auto"/>
        </w:rPr>
        <w:t>Section 2.14(d)(iii)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Borrowing Amount</w:t>
      </w:r>
      <w:r>
        <w:rPr>
          <w:rFonts w:ascii="Times New Roman" w:cs="Times New Roman" w:eastAsia="Times New Roman" w:hAnsi="Times New Roman"/>
          <w:sz w:val="14"/>
          <w:szCs w:val="14"/>
          <w:color w:val="auto"/>
        </w:rPr>
        <w:t>” shall mean $2,500,000.</w:t>
      </w:r>
    </w:p>
    <w:p>
      <w:pPr>
        <w:spacing w:after="0" w:line="183" w:lineRule="exact"/>
        <w:rPr>
          <w:sz w:val="20"/>
          <w:szCs w:val="20"/>
          <w:color w:val="auto"/>
        </w:rPr>
      </w:pPr>
    </w:p>
    <w:p>
      <w:pPr>
        <w:ind w:left="1140" w:right="123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Collateral Amount</w:t>
      </w:r>
      <w:r>
        <w:rPr>
          <w:rFonts w:ascii="Times New Roman" w:cs="Times New Roman" w:eastAsia="Times New Roman" w:hAnsi="Times New Roman"/>
          <w:sz w:val="14"/>
          <w:szCs w:val="14"/>
          <w:color w:val="auto"/>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Times New Roman" w:cs="Times New Roman" w:eastAsia="Times New Roman" w:hAnsi="Times New Roman"/>
          <w:sz w:val="14"/>
          <w:szCs w:val="14"/>
          <w:u w:val="single" w:color="auto"/>
          <w:color w:val="auto"/>
        </w:rPr>
        <w:t>Section 3.8(a)(i)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(a)(ii)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(a)(iii)</w:t>
      </w:r>
      <w:r>
        <w:rPr>
          <w:rFonts w:ascii="Times New Roman" w:cs="Times New Roman" w:eastAsia="Times New Roman" w:hAnsi="Times New Roman"/>
          <w:sz w:val="14"/>
          <w:szCs w:val="14"/>
          <w:color w:val="auto"/>
        </w:rPr>
        <w:t>, an amount equal to 101% of the outstanding amount of all L/C Obligations.</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Equity Amount</w:t>
      </w:r>
      <w:r>
        <w:rPr>
          <w:rFonts w:ascii="Times New Roman" w:cs="Times New Roman" w:eastAsia="Times New Roman" w:hAnsi="Times New Roman"/>
          <w:sz w:val="14"/>
          <w:szCs w:val="14"/>
          <w:color w:val="auto"/>
        </w:rPr>
        <w:t>” shall have the meaning provided in the recitals to this Agreement.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Tender Condition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2.15(b)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8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Moody’s</w:t>
      </w:r>
      <w:r>
        <w:rPr>
          <w:rFonts w:ascii="Times New Roman" w:cs="Times New Roman" w:eastAsia="Times New Roman" w:hAnsi="Times New Roman"/>
          <w:sz w:val="14"/>
          <w:szCs w:val="14"/>
          <w:color w:val="auto"/>
        </w:rPr>
        <w:t>” shall mean Moody’s Investors Service, Inc. or any successor by merger or consolidation to its business.</w:t>
      </w:r>
    </w:p>
    <w:p>
      <w:pPr>
        <w:spacing w:after="0" w:line="119" w:lineRule="exact"/>
        <w:rPr>
          <w:sz w:val="20"/>
          <w:szCs w:val="20"/>
          <w:color w:val="auto"/>
        </w:rPr>
      </w:pPr>
    </w:p>
    <w:p>
      <w:pPr>
        <w:jc w:val="both"/>
        <w:ind w:left="1140" w:right="11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Mortgage</w:t>
      </w:r>
      <w:r>
        <w:rPr>
          <w:rFonts w:ascii="Times New Roman" w:cs="Times New Roman" w:eastAsia="Times New Roman" w:hAnsi="Times New Roman"/>
          <w:sz w:val="14"/>
          <w:szCs w:val="14"/>
          <w:color w:val="auto"/>
        </w:rPr>
        <w:t>” shall mean a mortgage, deed of trust, deed to secure debt, trust deed, or other security document entered into by the owner of a Mortgaged Property for the benefit of the Collateral Agent and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27" w:name="page128"/>
    <w:bookmarkEnd w:id="127"/>
    <w:p>
      <w:pPr>
        <w:ind w:left="1140" w:right="11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Mortgaged Property</w:t>
      </w:r>
      <w:r>
        <w:rPr>
          <w:rFonts w:ascii="Times New Roman" w:cs="Times New Roman" w:eastAsia="Times New Roman" w:hAnsi="Times New Roman"/>
          <w:sz w:val="14"/>
          <w:szCs w:val="14"/>
          <w:color w:val="auto"/>
        </w:rPr>
        <w:t xml:space="preserve">” shall mean, initially, each parcel of real estate and the improvements thereto owned in fee by a Credit Party and identified on </w:t>
      </w:r>
      <w:r>
        <w:rPr>
          <w:rFonts w:ascii="Times New Roman" w:cs="Times New Roman" w:eastAsia="Times New Roman" w:hAnsi="Times New Roman"/>
          <w:sz w:val="14"/>
          <w:szCs w:val="14"/>
          <w:u w:val="single" w:color="auto"/>
          <w:color w:val="auto"/>
        </w:rPr>
        <w:t>Schedule 8.16</w:t>
      </w:r>
      <w:r>
        <w:rPr>
          <w:rFonts w:ascii="Times New Roman" w:cs="Times New Roman" w:eastAsia="Times New Roman" w:hAnsi="Times New Roman"/>
          <w:sz w:val="14"/>
          <w:szCs w:val="14"/>
          <w:color w:val="auto"/>
        </w:rPr>
        <w:t xml:space="preserve">, and each other owned parcel of real property and improvements thereto with respect to which a Mortgage is granted pursuant to </w:t>
      </w:r>
      <w:r>
        <w:rPr>
          <w:rFonts w:ascii="Times New Roman" w:cs="Times New Roman" w:eastAsia="Times New Roman" w:hAnsi="Times New Roman"/>
          <w:sz w:val="14"/>
          <w:szCs w:val="14"/>
          <w:u w:val="single" w:color="auto"/>
          <w:color w:val="auto"/>
        </w:rPr>
        <w:t>Section 9.11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9.14</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MSSF</w:t>
      </w:r>
      <w:r>
        <w:rPr>
          <w:rFonts w:ascii="Times New Roman" w:cs="Times New Roman" w:eastAsia="Times New Roman" w:hAnsi="Times New Roman"/>
          <w:sz w:val="14"/>
          <w:szCs w:val="14"/>
          <w:color w:val="auto"/>
        </w:rPr>
        <w:t>” shall mean Morgan Stanley Senior Funding, Inc.</w:t>
      </w:r>
    </w:p>
    <w:p>
      <w:pPr>
        <w:spacing w:after="0" w:line="183" w:lineRule="exact"/>
        <w:rPr>
          <w:sz w:val="20"/>
          <w:szCs w:val="20"/>
          <w:color w:val="auto"/>
        </w:rPr>
      </w:pPr>
    </w:p>
    <w:p>
      <w:pPr>
        <w:ind w:left="1140" w:right="11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Multiemployer Plan</w:t>
      </w:r>
      <w:r>
        <w:rPr>
          <w:rFonts w:ascii="Times New Roman" w:cs="Times New Roman" w:eastAsia="Times New Roman" w:hAnsi="Times New Roman"/>
          <w:sz w:val="14"/>
          <w:szCs w:val="14"/>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33" w:lineRule="exact"/>
        <w:rPr>
          <w:sz w:val="20"/>
          <w:szCs w:val="20"/>
          <w:color w:val="auto"/>
        </w:rPr>
      </w:pPr>
    </w:p>
    <w:p>
      <w:pPr>
        <w:ind w:left="1140" w:right="125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Cash Proceeds</w:t>
      </w:r>
      <w:r>
        <w:rPr>
          <w:rFonts w:ascii="Times New Roman" w:cs="Times New Roman" w:eastAsia="Times New Roman" w:hAnsi="Times New Roman"/>
          <w:sz w:val="14"/>
          <w:szCs w:val="14"/>
          <w:color w:val="auto"/>
        </w:rPr>
        <w:t>” shall mean, with respect to any Prepayment Event and any incurrence of Permitted Other Indebtedness, (i) the gross cash proceeds (including payments from time to time in respect of installment obligations, if applicable, but only as and when received and excluding any interest payments) received by or on behalf of the Borrower or any of its Restricted Subsidiaries in respect of such Prepayment Event or incurrence of Permitted Other Indebtedness, as the case may be, less (ii) the sum of:</w:t>
      </w:r>
    </w:p>
    <w:p>
      <w:pPr>
        <w:spacing w:after="0" w:line="143" w:lineRule="exact"/>
        <w:rPr>
          <w:sz w:val="20"/>
          <w:szCs w:val="20"/>
          <w:color w:val="auto"/>
        </w:rPr>
      </w:pPr>
    </w:p>
    <w:p>
      <w:pPr>
        <w:ind w:left="1660" w:right="1299" w:firstLine="520"/>
        <w:spacing w:after="0" w:line="275" w:lineRule="auto"/>
        <w:tabs>
          <w:tab w:leader="none" w:pos="24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if any, of all taxes (including in connection with any repatriation of funds) paid or estimated to be payable by the Borrower or any of its Restricted Subsidiaries in connection with such Prepayment Event or incurrence of Permitted Other Indebtedness,</w:t>
      </w:r>
    </w:p>
    <w:p>
      <w:pPr>
        <w:spacing w:after="0" w:line="135" w:lineRule="exact"/>
        <w:rPr>
          <w:rFonts w:ascii="Times New Roman" w:cs="Times New Roman" w:eastAsia="Times New Roman" w:hAnsi="Times New Roman"/>
          <w:sz w:val="14"/>
          <w:szCs w:val="14"/>
          <w:color w:val="auto"/>
        </w:rPr>
      </w:pPr>
    </w:p>
    <w:p>
      <w:pPr>
        <w:ind w:left="1660" w:right="1179" w:firstLine="520"/>
        <w:spacing w:after="0" w:line="264" w:lineRule="auto"/>
        <w:tabs>
          <w:tab w:leader="none" w:pos="24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 of any reasonable reserve established in accordance with GAAP against any liabilities (other than any taxes deducted pursuant to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(1) associated with the assets that are the subject of such Prepayment Event and (2) retained by the Borrower or any of the Restricted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42" w:lineRule="exact"/>
        <w:rPr>
          <w:rFonts w:ascii="Times New Roman" w:cs="Times New Roman" w:eastAsia="Times New Roman" w:hAnsi="Times New Roman"/>
          <w:sz w:val="14"/>
          <w:szCs w:val="14"/>
          <w:color w:val="auto"/>
        </w:rPr>
      </w:pPr>
    </w:p>
    <w:p>
      <w:pPr>
        <w:ind w:left="1660" w:right="1439" w:firstLine="520"/>
        <w:spacing w:after="0" w:line="268" w:lineRule="auto"/>
        <w:tabs>
          <w:tab w:leader="none" w:pos="24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41" w:lineRule="exact"/>
        <w:rPr>
          <w:rFonts w:ascii="Times New Roman" w:cs="Times New Roman" w:eastAsia="Times New Roman" w:hAnsi="Times New Roman"/>
          <w:sz w:val="14"/>
          <w:szCs w:val="14"/>
          <w:color w:val="auto"/>
        </w:rPr>
      </w:pPr>
    </w:p>
    <w:p>
      <w:pPr>
        <w:ind w:left="1660" w:right="1219" w:firstLine="520"/>
        <w:spacing w:after="0" w:line="259" w:lineRule="auto"/>
        <w:tabs>
          <w:tab w:leader="none" w:pos="24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the case of any Asset Sale Prepayment Event or Casualty Event or Permitted Sale Leaseback, the amount of any proceeds of such Prepayment Event that the Borrower or any Restricted Subsidiary has reinvested (or intends to reinvest within the Reinvestment Period or has entered into a binding commitment prior to the last day of the Reinvestment Period to reinvest) in the business of the Borrower or any of the Restricted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portion of such proceeds that has not been so reinvested within such Reinvestment Period (with respect to such Prepayment Event, the “</w:t>
      </w:r>
      <w:r>
        <w:rPr>
          <w:rFonts w:ascii="Times New Roman" w:cs="Times New Roman" w:eastAsia="Times New Roman" w:hAnsi="Times New Roman"/>
          <w:sz w:val="14"/>
          <w:szCs w:val="14"/>
          <w:b w:val="1"/>
          <w:bCs w:val="1"/>
          <w:color w:val="auto"/>
        </w:rPr>
        <w:t>Deferred Net Cash Proceeds</w:t>
      </w:r>
      <w:r>
        <w:rPr>
          <w:rFonts w:ascii="Times New Roman" w:cs="Times New Roman" w:eastAsia="Times New Roman" w:hAnsi="Times New Roman"/>
          <w:sz w:val="14"/>
          <w:szCs w:val="14"/>
          <w:color w:val="auto"/>
        </w:rPr>
        <w:t>”) shall, unless the Borrower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the Borrower or such Restricted Subsidiary has entered into such binding commitment, as applicable (such last day or 180th day, as applicable, the “</w:t>
      </w:r>
      <w:r>
        <w:rPr>
          <w:rFonts w:ascii="Times New Roman" w:cs="Times New Roman" w:eastAsia="Times New Roman" w:hAnsi="Times New Roman"/>
          <w:sz w:val="14"/>
          <w:szCs w:val="14"/>
          <w:b w:val="1"/>
          <w:bCs w:val="1"/>
          <w:color w:val="auto"/>
        </w:rPr>
        <w:t>Deferred Net Cash Proceeds Payment Date</w:t>
      </w:r>
      <w:r>
        <w:rPr>
          <w:rFonts w:ascii="Times New Roman" w:cs="Times New Roman" w:eastAsia="Times New Roman" w:hAnsi="Times New Roman"/>
          <w:sz w:val="14"/>
          <w:szCs w:val="14"/>
          <w:color w:val="auto"/>
        </w:rPr>
        <w:t xml:space="preserve">”), and (2) be applied to the repayment of Term Loans in accordance with </w:t>
      </w:r>
      <w:r>
        <w:rPr>
          <w:rFonts w:ascii="Times New Roman" w:cs="Times New Roman" w:eastAsia="Times New Roman" w:hAnsi="Times New Roman"/>
          <w:sz w:val="14"/>
          <w:szCs w:val="14"/>
          <w:u w:val="single" w:color="auto"/>
          <w:color w:val="auto"/>
        </w:rPr>
        <w:t>Section 5.2(a)(i)</w:t>
      </w:r>
      <w:r>
        <w:rPr>
          <w:rFonts w:ascii="Times New Roman" w:cs="Times New Roman" w:eastAsia="Times New Roman" w:hAnsi="Times New Roman"/>
          <w:sz w:val="14"/>
          <w:szCs w:val="14"/>
          <w:color w:val="auto"/>
        </w:rPr>
        <w:t>;</w:t>
      </w:r>
    </w:p>
    <w:p>
      <w:pPr>
        <w:spacing w:after="0" w:line="150" w:lineRule="exact"/>
        <w:rPr>
          <w:rFonts w:ascii="Times New Roman" w:cs="Times New Roman" w:eastAsia="Times New Roman" w:hAnsi="Times New Roman"/>
          <w:sz w:val="14"/>
          <w:szCs w:val="14"/>
          <w:color w:val="auto"/>
        </w:rPr>
      </w:pPr>
    </w:p>
    <w:p>
      <w:pPr>
        <w:ind w:left="1660" w:right="1159" w:firstLine="520"/>
        <w:spacing w:after="0" w:line="180" w:lineRule="exact"/>
        <w:tabs>
          <w:tab w:leader="none" w:pos="24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Asset Sale Prepayment Event, Casualty Event, or Permitted Sale Leaseback by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Owned Restricted Subsidiary, the pro rata portion of the Net Cash Proceeds thereof (calculated without regard to this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attributable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interests and not available for distribution to or for the account of the Borrower or a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Restricted Subsidiary as a result thereof;</w:t>
      </w:r>
    </w:p>
    <w:p>
      <w:pPr>
        <w:spacing w:after="0" w:line="316" w:lineRule="exact"/>
        <w:rPr>
          <w:rFonts w:ascii="Times New Roman" w:cs="Times New Roman" w:eastAsia="Times New Roman" w:hAnsi="Times New Roman"/>
          <w:sz w:val="14"/>
          <w:szCs w:val="14"/>
          <w:color w:val="auto"/>
        </w:rPr>
      </w:pPr>
    </w:p>
    <w:p>
      <w:pPr>
        <w:ind w:left="1660" w:right="1439" w:firstLine="520"/>
        <w:spacing w:after="0" w:line="293" w:lineRule="auto"/>
        <w:tabs>
          <w:tab w:leader="none" w:pos="2463"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Asset Sale Prepayment Event or Permitted Sale Leaseback, any funded escrow established pursuant to the documents evidencing any such sale or disposition to secure any</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28" w:name="page129"/>
    <w:bookmarkEnd w:id="128"/>
    <w:p>
      <w:pPr>
        <w:ind w:left="1660" w:right="1199"/>
        <w:spacing w:after="0" w:line="265" w:lineRule="auto"/>
        <w:rPr>
          <w:sz w:val="20"/>
          <w:szCs w:val="20"/>
          <w:color w:val="auto"/>
        </w:rPr>
      </w:pPr>
      <w:r>
        <w:rPr>
          <w:rFonts w:ascii="Times New Roman" w:cs="Times New Roman" w:eastAsia="Times New Roman" w:hAnsi="Times New Roman"/>
          <w:sz w:val="14"/>
          <w:szCs w:val="14"/>
          <w:color w:val="auto"/>
        </w:rPr>
        <w:t xml:space="preserve">indemnification obligations or adjustments to the purchase price associated with any such sale or disposition;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the Borrower and/or any Restricted Subsidiaries receives cash in an amount equal to the amount of such reduction; and</w:t>
      </w:r>
    </w:p>
    <w:p>
      <w:pPr>
        <w:spacing w:after="0" w:line="113" w:lineRule="exact"/>
        <w:rPr>
          <w:sz w:val="20"/>
          <w:szCs w:val="20"/>
          <w:color w:val="auto"/>
        </w:rPr>
      </w:pPr>
    </w:p>
    <w:p>
      <w:pPr>
        <w:ind w:left="1660" w:right="1179" w:firstLine="520"/>
        <w:spacing w:after="0" w:line="179" w:lineRule="exact"/>
        <w:tabs>
          <w:tab w:leader="none" w:pos="246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fees and out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pocket expenses paid by the Borrower or a Restricted Subsidiary in connection with any of the foregoing (for the avoidance of doubt, including, (1) in the case of the issuance of Permitted Other Indebtedness, any fees, underwriting discounts, premiums, and other costs and expenses incurred in connection with such issuance and (2) attorney’s fees, investment banking fees, survey costs, title insurance premiums, and related search and recording charges, transfer taxes, deed or mortgage recording taxes, underwriting discounts and commissions, other customary expenses, and brokerage, consultant, accountant, and other customary fees),</w:t>
      </w:r>
    </w:p>
    <w:p>
      <w:pPr>
        <w:spacing w:after="0" w:line="16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in each case, only to the extent not already deducted in arriving at the amount referred to in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w:t>
      </w:r>
    </w:p>
    <w:p>
      <w:pPr>
        <w:spacing w:after="0" w:line="181" w:lineRule="exact"/>
        <w:rPr>
          <w:sz w:val="20"/>
          <w:szCs w:val="20"/>
          <w:color w:val="auto"/>
        </w:rPr>
      </w:pPr>
    </w:p>
    <w:p>
      <w:pPr>
        <w:ind w:left="1140" w:right="15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Net Income</w:t>
      </w:r>
      <w:r>
        <w:rPr>
          <w:rFonts w:ascii="Times New Roman" w:cs="Times New Roman" w:eastAsia="Times New Roman" w:hAnsi="Times New Roman"/>
          <w:sz w:val="14"/>
          <w:szCs w:val="14"/>
          <w:color w:val="auto"/>
        </w:rPr>
        <w:t>” shall mean, with respect to any Person, the net income (loss) of such Person, determined in accordance with GAAP and before any reduction in respect of preferred stock dividends.</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Net Short Lender</w:t>
      </w:r>
      <w:r>
        <w:rPr>
          <w:rFonts w:ascii="Times New Roman" w:cs="Times New Roman" w:eastAsia="Times New Roman" w:hAnsi="Times New Roman"/>
          <w:sz w:val="14"/>
          <w:szCs w:val="14"/>
          <w:u w:val="single" w:color="auto"/>
          <w:color w:val="0000FF"/>
        </w:rPr>
        <w:t>” shall have the meaning provided in Section 13.1.</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Holdings</w:t>
      </w:r>
      <w:r>
        <w:rPr>
          <w:rFonts w:ascii="Times New Roman" w:cs="Times New Roman" w:eastAsia="Times New Roman" w:hAnsi="Times New Roman"/>
          <w:sz w:val="14"/>
          <w:szCs w:val="14"/>
          <w:color w:val="auto"/>
        </w:rPr>
        <w:t>” shall have the meaning provided in the definition of the term “Holdings.”</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Loan Commitments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Revolving Credit Commitments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Revolving Credit Loan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Revolving Loan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Revolving Loan Repayment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Revolving Loan Repayment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Term Loan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Term Loan Commitments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Term Loan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Term Loan Maturity Date</w:t>
      </w:r>
      <w:r>
        <w:rPr>
          <w:rFonts w:ascii="Times New Roman" w:cs="Times New Roman" w:eastAsia="Times New Roman" w:hAnsi="Times New Roman"/>
          <w:sz w:val="14"/>
          <w:szCs w:val="14"/>
          <w:color w:val="auto"/>
        </w:rPr>
        <w:t>” shall mean the date on which a New Term Loan matures.</w:t>
      </w:r>
    </w:p>
    <w:p>
      <w:pPr>
        <w:spacing w:after="0" w:line="1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Term Loan Repayment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New Term Loan Repayment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2.5(c)</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2180"/>
        <w:spacing w:after="0" w:line="16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Bank Tax Certificate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5.4(e)(ii)(B)(3)</w:t>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ind w:left="1140" w:right="11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Non-Consenting Existing Term Loan Lender</w:t>
      </w:r>
      <w:r>
        <w:rPr>
          <w:rFonts w:ascii="Times New Roman" w:cs="Times New Roman" w:eastAsia="Times New Roman" w:hAnsi="Times New Roman"/>
          <w:sz w:val="14"/>
          <w:szCs w:val="14"/>
          <w:color w:val="auto"/>
        </w:rPr>
        <w:t>” shall mean each Existing Term Loan Lender that did not execute and deliver a Consent to Amendment No. 1 on or prior to the Amendment No. 1 Effective Date.</w:t>
      </w:r>
    </w:p>
    <w:p>
      <w:pPr>
        <w:spacing w:after="0" w:line="119"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Non-Consenting Existing Tranche B-2 Term Loan Lender</w:t>
      </w:r>
      <w:r>
        <w:rPr>
          <w:rFonts w:ascii="Times New Roman" w:cs="Times New Roman" w:eastAsia="Times New Roman" w:hAnsi="Times New Roman"/>
          <w:sz w:val="14"/>
          <w:szCs w:val="14"/>
          <w:color w:val="auto"/>
        </w:rPr>
        <w:t>” shall mean each Existing Tranche B-2 Term Loan Lender that did not execute and deliver a Consent to Amendment No. 4 on or prior to the Amendment No. 4 Effective Date.</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29" w:name="page130"/>
    <w:bookmarkEnd w:id="129"/>
    <w:p>
      <w:pPr>
        <w:ind w:left="1140" w:right="1299" w:firstLine="1033"/>
        <w:spacing w:after="0" w:line="26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Non-Consenting Existing Tranche B-1/B-3 Term Loan Lender</w:t>
      </w:r>
      <w:r>
        <w:rPr>
          <w:rFonts w:ascii="Times New Roman" w:cs="Times New Roman" w:eastAsia="Times New Roman" w:hAnsi="Times New Roman"/>
          <w:sz w:val="14"/>
          <w:szCs w:val="14"/>
          <w:u w:val="single" w:color="auto"/>
          <w:color w:val="0000FF"/>
        </w:rPr>
        <w:t xml:space="preserve">” shall mean (i) each Existing Tranche B-1 Term Loan Lender that did not execute and deliver a Consent to Amendment No. 7 with respect to its Tranche B-1 Term Loans </w:t>
      </w:r>
      <w:r>
        <w:rPr>
          <w:rFonts w:ascii="Times New Roman" w:cs="Times New Roman" w:eastAsia="Times New Roman" w:hAnsi="Times New Roman"/>
          <w:sz w:val="14"/>
          <w:szCs w:val="14"/>
          <w:u w:val="single" w:color="auto"/>
          <w:color w:val="008000"/>
        </w:rPr>
        <w:t>on or prior to the</w:t>
      </w:r>
      <w:r>
        <w:rPr>
          <w:rFonts w:ascii="Times New Roman" w:cs="Times New Roman" w:eastAsia="Times New Roman" w:hAnsi="Times New Roman"/>
          <w:sz w:val="14"/>
          <w:szCs w:val="14"/>
          <w:u w:val="single" w:color="auto"/>
          <w:color w:val="0000FF"/>
        </w:rPr>
        <w:t xml:space="preserve"> Amendment No. 7 Effective Date and (ii) each Existing Tranche B-3 Term Loan Lender that did not execute and deliver a Consent to Amendment No. 7 with respect to its Tranche B-3 Term Loans on or prior to the Amendment No. 7 Effective Date.</w:t>
      </w:r>
    </w:p>
    <w:p>
      <w:pPr>
        <w:spacing w:after="0" w:line="111" w:lineRule="exact"/>
        <w:rPr>
          <w:sz w:val="20"/>
          <w:szCs w:val="20"/>
          <w:color w:val="auto"/>
        </w:rPr>
      </w:pPr>
    </w:p>
    <w:p>
      <w:pPr>
        <w:ind w:left="2180"/>
        <w:spacing w:after="0" w:line="16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Consenting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13.7(b)</w:t>
      </w:r>
      <w:r>
        <w:rPr>
          <w:rFonts w:ascii="Times New Roman" w:cs="Times New Roman" w:eastAsia="Times New Roman" w:hAnsi="Times New Roman"/>
          <w:sz w:val="14"/>
          <w:szCs w:val="14"/>
          <w:color w:val="auto"/>
        </w:rPr>
        <w:t>.</w:t>
      </w:r>
    </w:p>
    <w:p>
      <w:pPr>
        <w:spacing w:after="0" w:line="2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Non-Credit Party Prepayment Event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5.2(a)(iv)</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2180"/>
        <w:spacing w:after="0" w:line="16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Defaulting Lender</w:t>
      </w:r>
      <w:r>
        <w:rPr>
          <w:rFonts w:ascii="Times New Roman" w:cs="Times New Roman" w:eastAsia="Times New Roman" w:hAnsi="Times New Roman"/>
          <w:sz w:val="14"/>
          <w:szCs w:val="14"/>
          <w:color w:val="auto"/>
        </w:rPr>
        <w:t>” shall mean and include each Lender other than a Defaulting Lender.</w:t>
      </w:r>
    </w:p>
    <w:p>
      <w:pPr>
        <w:spacing w:after="0" w:line="21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Non-Extension Notice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w:t>
      </w:r>
    </w:p>
    <w:p>
      <w:pPr>
        <w:spacing w:after="0" w:line="154" w:lineRule="exact"/>
        <w:rPr>
          <w:sz w:val="20"/>
          <w:szCs w:val="20"/>
          <w:color w:val="auto"/>
        </w:rPr>
      </w:pPr>
    </w:p>
    <w:p>
      <w:pPr>
        <w:ind w:left="1140" w:right="1439" w:firstLine="1069"/>
        <w:spacing w:after="0" w:line="19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U.S. Lender</w:t>
      </w:r>
      <w:r>
        <w:rPr>
          <w:rFonts w:ascii="Times New Roman" w:cs="Times New Roman" w:eastAsia="Times New Roman" w:hAnsi="Times New Roman"/>
          <w:sz w:val="14"/>
          <w:szCs w:val="14"/>
          <w:color w:val="auto"/>
        </w:rPr>
        <w:t>” shall mean any Lender that is not a “United States person” as defined by Section 7701(a)(30) of the Code.</w:t>
      </w:r>
    </w:p>
    <w:p>
      <w:pPr>
        <w:spacing w:after="0" w:line="15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Borrowing</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2.3(a)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Conversion or Continuation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2.6(a)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5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Obligations</w:t>
      </w:r>
      <w:r>
        <w:rPr>
          <w:rFonts w:ascii="Times New Roman" w:cs="Times New Roman" w:eastAsia="Times New Roman" w:hAnsi="Times New Roman"/>
          <w:sz w:val="14"/>
          <w:szCs w:val="14"/>
          <w:color w:val="auto"/>
        </w:rPr>
        <w:t>” shall mean all advances to, and debts, liabilities, obligations, covenants, and duties of, any Credit Party (or in the case of any Secured Cash Management Agreement or Secured Hedge Agreement, any Restricted Subsidiary) arising under any Credit Document or otherwise with respect to any Commitment, Loan, Letter of Credit or Swingline Loan or under or with respect to any Secured Cash Management Agreement or Secured Hedge Agreement (other than with respect to any Credit Party’s obligations that constitute Excluded Swap Obligations solely with respect to such Credit Party), in each case, entered into with the Borrower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or allowable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3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8.10(c)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4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Original Revolving Credit Commitments</w:t>
      </w:r>
      <w:r>
        <w:rPr>
          <w:rFonts w:ascii="Times New Roman" w:cs="Times New Roman" w:eastAsia="Times New Roman" w:hAnsi="Times New Roman"/>
          <w:sz w:val="14"/>
          <w:szCs w:val="14"/>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133" w:lineRule="exact"/>
        <w:rPr>
          <w:sz w:val="20"/>
          <w:szCs w:val="20"/>
          <w:color w:val="auto"/>
        </w:rPr>
      </w:pPr>
    </w:p>
    <w:p>
      <w:pPr>
        <w:ind w:left="1140" w:right="117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Other Taxes</w:t>
      </w:r>
      <w:r>
        <w:rPr>
          <w:rFonts w:ascii="Times New Roman" w:cs="Times New Roman" w:eastAsia="Times New Roman" w:hAnsi="Times New Roman"/>
          <w:sz w:val="14"/>
          <w:szCs w:val="14"/>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from the receipt or perfection of a security interest under, or otherwise with respect to, this Agreement or any other Credit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term shall not include (i) any Taxes that result from an assignment, (“</w:t>
      </w:r>
      <w:r>
        <w:rPr>
          <w:rFonts w:ascii="Times New Roman" w:cs="Times New Roman" w:eastAsia="Times New Roman" w:hAnsi="Times New Roman"/>
          <w:sz w:val="14"/>
          <w:szCs w:val="14"/>
          <w:b w:val="1"/>
          <w:bCs w:val="1"/>
          <w:color w:val="auto"/>
        </w:rPr>
        <w:t>Assignment Taxes</w:t>
      </w:r>
      <w:r>
        <w:rPr>
          <w:rFonts w:ascii="Times New Roman" w:cs="Times New Roman" w:eastAsia="Times New Roman" w:hAnsi="Times New Roman"/>
          <w:sz w:val="14"/>
          <w:szCs w:val="14"/>
          <w:color w:val="auto"/>
        </w:rPr>
        <w:t>”) to the extent such Assignment Taxes are imposed as a result of a connection between the Lender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spacing w:after="0" w:line="2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30" w:name="page131"/>
    <w:bookmarkEnd w:id="130"/>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Overnight Rate</w:t>
      </w:r>
      <w:r>
        <w:rPr>
          <w:rFonts w:ascii="Times New Roman" w:cs="Times New Roman" w:eastAsia="Times New Roman" w:hAnsi="Times New Roman"/>
          <w:sz w:val="14"/>
          <w:szCs w:val="14"/>
          <w:color w:val="auto"/>
        </w:rPr>
        <w:t>” shall mean, for any day, the greater of (a) the Federal Funds Effective Rate and</w:t>
      </w:r>
    </w:p>
    <w:p>
      <w:pPr>
        <w:spacing w:after="0" w:line="27" w:lineRule="exact"/>
        <w:rPr>
          <w:sz w:val="20"/>
          <w:szCs w:val="20"/>
          <w:color w:val="auto"/>
        </w:rPr>
      </w:pPr>
    </w:p>
    <w:p>
      <w:pPr>
        <w:ind w:left="1140" w:right="1359" w:firstLine="7"/>
        <w:spacing w:after="0" w:line="273" w:lineRule="auto"/>
        <w:tabs>
          <w:tab w:leader="none" w:pos="1343"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overnight rate determined by the Administrative Agent or the Letter of Credit Issuer, as the case may be, in accordance with banking industry rules on interbank compensation.</w:t>
      </w:r>
    </w:p>
    <w:p>
      <w:pPr>
        <w:spacing w:after="0" w:line="135" w:lineRule="exact"/>
        <w:rPr>
          <w:sz w:val="20"/>
          <w:szCs w:val="20"/>
          <w:color w:val="auto"/>
        </w:rPr>
      </w:pPr>
    </w:p>
    <w:p>
      <w:pPr>
        <w:jc w:val="both"/>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Parent Entity</w:t>
      </w:r>
      <w:r>
        <w:rPr>
          <w:rFonts w:ascii="Times New Roman" w:cs="Times New Roman" w:eastAsia="Times New Roman" w:hAnsi="Times New Roman"/>
          <w:sz w:val="14"/>
          <w:szCs w:val="14"/>
          <w:color w:val="auto"/>
        </w:rPr>
        <w:t>” shall mean any Person that is a direct or indirect parent company (which may be organized as, among other things, a partnership), including any managing member, of Holdings and/or the Borrower.</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Participant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13.6(c)(i)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Participant Register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13.6(c)(ii)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517"/>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Participating Member State</w:t>
      </w:r>
      <w:r>
        <w:rPr>
          <w:rFonts w:ascii="Times New Roman" w:cs="Times New Roman" w:eastAsia="Times New Roman" w:hAnsi="Times New Roman"/>
          <w:sz w:val="14"/>
          <w:szCs w:val="14"/>
          <w:color w:val="auto"/>
        </w:rPr>
        <w:t>” shall mean any member state of the European Union that adopts or has adopted the Euro as its lawful currency in accordance with legislation of the European Union relating to economic and monetary union.</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Patriot Act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13.18</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Payment Recipient</w:t>
      </w:r>
      <w:r>
        <w:rPr>
          <w:rFonts w:ascii="Times New Roman" w:cs="Times New Roman" w:eastAsia="Times New Roman" w:hAnsi="Times New Roman"/>
          <w:sz w:val="14"/>
          <w:szCs w:val="14"/>
          <w:u w:val="single" w:color="auto"/>
          <w:color w:val="0000FF"/>
        </w:rPr>
        <w:t>” shall have the meaning provided in Section 12.5.</w:t>
      </w:r>
    </w:p>
    <w:p>
      <w:pPr>
        <w:spacing w:after="0" w:line="183"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PBGC</w:t>
      </w:r>
      <w:r>
        <w:rPr>
          <w:rFonts w:ascii="Times New Roman" w:cs="Times New Roman" w:eastAsia="Times New Roman" w:hAnsi="Times New Roman"/>
          <w:sz w:val="14"/>
          <w:szCs w:val="14"/>
          <w:color w:val="auto"/>
        </w:rPr>
        <w:t>” shall mean the Pension Benefit Guaranty Corporation referred to and defined in ERISA and any successor entity performing similar functions.</w:t>
      </w:r>
    </w:p>
    <w:p>
      <w:pPr>
        <w:spacing w:after="0" w:line="119" w:lineRule="exact"/>
        <w:rPr>
          <w:sz w:val="20"/>
          <w:szCs w:val="20"/>
          <w:color w:val="auto"/>
        </w:rPr>
      </w:pPr>
    </w:p>
    <w:p>
      <w:pPr>
        <w:ind w:left="1140" w:right="139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Pension Plan</w:t>
      </w:r>
      <w:r>
        <w:rPr>
          <w:rFonts w:ascii="Times New Roman" w:cs="Times New Roman" w:eastAsia="Times New Roman" w:hAnsi="Times New Roman"/>
          <w:sz w:val="14"/>
          <w:szCs w:val="14"/>
          <w:color w:val="auto"/>
        </w:rPr>
        <w:t>” shall mean any “employee pension benefit plan” (as defined in Section 3(2) of ERISA, but excluding any Multiemployer Plan) that is subject to Title IV of ERISA, Section 302 of ERISA or Section 412 of the Code, in respect of which any Credit Party or any ERISA Affiliate is (or, if such plan were terminated, would under Section 4062 or Section 4069 of ERISA, be deemed to be) an “employer” as defined in Section 3(5) of ERISA.</w:t>
      </w:r>
    </w:p>
    <w:p>
      <w:pPr>
        <w:spacing w:after="0" w:line="141" w:lineRule="exact"/>
        <w:rPr>
          <w:sz w:val="20"/>
          <w:szCs w:val="20"/>
          <w:color w:val="auto"/>
        </w:rPr>
      </w:pPr>
    </w:p>
    <w:p>
      <w:pPr>
        <w:ind w:left="1140" w:right="15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Acquisition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of the definition of Permitted Investments.</w:t>
      </w:r>
    </w:p>
    <w:p>
      <w:pPr>
        <w:spacing w:after="0" w:line="119" w:lineRule="exact"/>
        <w:rPr>
          <w:sz w:val="20"/>
          <w:szCs w:val="20"/>
          <w:color w:val="auto"/>
        </w:rPr>
      </w:pPr>
    </w:p>
    <w:p>
      <w:pPr>
        <w:ind w:left="1140" w:right="11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Asset Swap</w:t>
      </w:r>
      <w:r>
        <w:rPr>
          <w:rFonts w:ascii="Times New Roman" w:cs="Times New Roman" w:eastAsia="Times New Roman" w:hAnsi="Times New Roman"/>
          <w:sz w:val="14"/>
          <w:szCs w:val="14"/>
          <w:color w:val="auto"/>
        </w:rPr>
        <w:t xml:space="preserve">” shall mean the concurrent purchase and sale or exchange of Related Business Assets or a combination of Related Business Assets and cash or Cash Equivalents between the Borrower or a Restricted Subsidiary and another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cash or Cash Equivalents received must be applied in accordance with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Debt Exchange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2.15(a)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Debt Exchange Notes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2.15(a)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Debt Exchange Offer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2.15(a)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79" w:firstLine="103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Holders</w:t>
      </w:r>
      <w:r>
        <w:rPr>
          <w:rFonts w:ascii="Times New Roman" w:cs="Times New Roman" w:eastAsia="Times New Roman" w:hAnsi="Times New Roman"/>
          <w:sz w:val="14"/>
          <w:szCs w:val="14"/>
          <w:color w:val="auto"/>
        </w:rPr>
        <w:t>” shall mean each of (i) the Sponsors and members of management (including Management Investors and their Permitted Transferees) of Holdings or the Borrower (or their respective direct or indirect parent or management investment vehicle) who are holders of Equity Interests of the Borrower (or its direct or indirect parent company or management investment vehicle) and any group (within the meaning of Section 13(d)</w:t>
      </w:r>
    </w:p>
    <w:p>
      <w:pPr>
        <w:spacing w:after="0" w:line="1" w:lineRule="exact"/>
        <w:rPr>
          <w:sz w:val="20"/>
          <w:szCs w:val="20"/>
          <w:color w:val="auto"/>
        </w:rPr>
      </w:pPr>
    </w:p>
    <w:p>
      <w:pPr>
        <w:ind w:left="1140" w:right="1199" w:firstLine="7"/>
        <w:spacing w:after="0" w:line="259" w:lineRule="auto"/>
        <w:tabs>
          <w:tab w:leader="none" w:pos="1343"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or Section 14(d)(2) of the Securities Exchange Act or any successor provision) of which any of the foregoing are members;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such group and without giving effect to the existence of such group or any other group, the Sponsors and members of management, collectively, have beneficial ownership of more than 50% of the total voting power of the Voting Stock of the Borrower or any other direct or indirect Parent Entity, (ii) any direct or indirect Parent Entity formed not in connection with, or in contemplation of, a transaction (other than the Transactions or IPO Reorganization Transactions) that, assuming such parent was not formed after giving effect thereto, would constitute a Change of Control and (iii) any entity (other than a Parent Entity) through</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5" w:right="1440" w:bottom="1440" w:gutter="0" w:footer="0" w:header="0"/>
        </w:sectPr>
      </w:pPr>
    </w:p>
    <w:bookmarkStart w:id="131" w:name="page132"/>
    <w:bookmarkEnd w:id="131"/>
    <w:p>
      <w:pPr>
        <w:ind w:left="1140" w:right="1199"/>
        <w:spacing w:after="0" w:line="293" w:lineRule="auto"/>
        <w:rPr>
          <w:sz w:val="20"/>
          <w:szCs w:val="20"/>
          <w:color w:val="auto"/>
        </w:rPr>
      </w:pPr>
      <w:r>
        <w:rPr>
          <w:rFonts w:ascii="Times New Roman" w:cs="Times New Roman" w:eastAsia="Times New Roman" w:hAnsi="Times New Roman"/>
          <w:sz w:val="14"/>
          <w:szCs w:val="14"/>
          <w:color w:val="auto"/>
        </w:rPr>
        <w:t xml:space="preserve">which a Parent Entity described in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directly or indirectly holds Equity Interests of the Borrower and has no other material operations other than those incidental thereto.</w:t>
      </w:r>
    </w:p>
    <w:p>
      <w:pPr>
        <w:spacing w:after="0" w:line="12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Investments</w:t>
      </w:r>
      <w:r>
        <w:rPr>
          <w:rFonts w:ascii="Times New Roman" w:cs="Times New Roman" w:eastAsia="Times New Roman" w:hAnsi="Times New Roman"/>
          <w:sz w:val="14"/>
          <w:szCs w:val="14"/>
          <w:color w:val="auto"/>
        </w:rPr>
        <w:t>” shall mean:</w:t>
      </w:r>
    </w:p>
    <w:p>
      <w:pPr>
        <w:spacing w:after="0" w:line="196" w:lineRule="exact"/>
        <w:rPr>
          <w:sz w:val="20"/>
          <w:szCs w:val="20"/>
          <w:color w:val="auto"/>
        </w:rPr>
      </w:pPr>
    </w:p>
    <w:p>
      <w:pPr>
        <w:ind w:left="2500" w:hanging="320"/>
        <w:spacing w:after="0"/>
        <w:tabs>
          <w:tab w:leader="none" w:pos="2500"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the Borrower or any Restricted Subsidiary;</w:t>
      </w:r>
    </w:p>
    <w:p>
      <w:pPr>
        <w:spacing w:after="0" w:line="183" w:lineRule="exact"/>
        <w:rPr>
          <w:rFonts w:ascii="Times New Roman" w:cs="Times New Roman" w:eastAsia="Times New Roman" w:hAnsi="Times New Roman"/>
          <w:sz w:val="14"/>
          <w:szCs w:val="14"/>
          <w:color w:val="auto"/>
        </w:rPr>
      </w:pPr>
    </w:p>
    <w:p>
      <w:pPr>
        <w:ind w:left="1660" w:right="1219" w:firstLine="290"/>
        <w:spacing w:after="0" w:line="293" w:lineRule="auto"/>
        <w:tabs>
          <w:tab w:leader="none" w:pos="223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in cash, Cash Equivalents, or Investment Grade Securities at the time such Investment is made;</w:t>
      </w:r>
    </w:p>
    <w:p>
      <w:pPr>
        <w:spacing w:after="0" w:line="123" w:lineRule="exact"/>
        <w:rPr>
          <w:rFonts w:ascii="Times New Roman" w:cs="Times New Roman" w:eastAsia="Times New Roman" w:hAnsi="Times New Roman"/>
          <w:sz w:val="14"/>
          <w:szCs w:val="14"/>
          <w:color w:val="auto"/>
        </w:rPr>
      </w:pPr>
    </w:p>
    <w:p>
      <w:pPr>
        <w:jc w:val="both"/>
        <w:ind w:left="1660" w:right="1159" w:firstLine="290"/>
        <w:spacing w:after="0" w:line="261" w:lineRule="auto"/>
        <w:tabs>
          <w:tab w:leader="none" w:pos="223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any transactions or Investments otherwise made in connection with the Transactions and in accordance with the Acquisition Agreement and (b) any Investment by the Borrower or any Restricted Subsidiary in a Person that is engaged in a Similar Business if as a result of such Investment (a “</w:t>
      </w:r>
      <w:r>
        <w:rPr>
          <w:rFonts w:ascii="Times New Roman" w:cs="Times New Roman" w:eastAsia="Times New Roman" w:hAnsi="Times New Roman"/>
          <w:sz w:val="14"/>
          <w:szCs w:val="14"/>
          <w:b w:val="1"/>
          <w:bCs w:val="1"/>
          <w:color w:val="auto"/>
        </w:rPr>
        <w:t>Permitted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(1) such Person becomes a Restricted Subsidiary or (2) such Person, in one transaction or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series of related transactions, is merged, consolidated, or amalgamated with or into, or transfers or conveys substantially all of its assets to, or is liquidated into, the Borrower or a Restricted Subsidiary, and, in each case, any Investment held by such Person;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Investment was not acquired by such Person in contemplation of such acquisition, merger, consolidation, or transfer;</w:t>
      </w:r>
    </w:p>
    <w:p>
      <w:pPr>
        <w:spacing w:after="0" w:line="148"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23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Investment in securities or other assets not constituting cash, Cash Equivalents, or Investment Grade Securities and received in connection with an Asset Sale made pursuant to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or any other disposition of assets not constituting an Asset Sale;</w:t>
      </w:r>
    </w:p>
    <w:p>
      <w:pPr>
        <w:spacing w:after="0" w:line="135" w:lineRule="exact"/>
        <w:rPr>
          <w:rFonts w:ascii="Times New Roman" w:cs="Times New Roman" w:eastAsia="Times New Roman" w:hAnsi="Times New Roman"/>
          <w:sz w:val="14"/>
          <w:szCs w:val="14"/>
          <w:color w:val="auto"/>
        </w:rPr>
      </w:pPr>
    </w:p>
    <w:p>
      <w:pPr>
        <w:jc w:val="both"/>
        <w:ind w:left="1660" w:right="1159" w:firstLine="290"/>
        <w:spacing w:after="0" w:line="261" w:lineRule="auto"/>
        <w:tabs>
          <w:tab w:leader="none" w:pos="223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any Investment existing or contemplated on the Closing Date and, in each case, listed on </w:t>
      </w:r>
      <w:r>
        <w:rPr>
          <w:rFonts w:ascii="Times New Roman" w:cs="Times New Roman" w:eastAsia="Times New Roman" w:hAnsi="Times New Roman"/>
          <w:sz w:val="14"/>
          <w:szCs w:val="14"/>
          <w:u w:val="single" w:color="auto"/>
          <w:color w:val="auto"/>
        </w:rPr>
        <w:t>Schedule 10.5</w:t>
      </w:r>
      <w:r>
        <w:rPr>
          <w:rFonts w:ascii="Times New Roman" w:cs="Times New Roman" w:eastAsia="Times New Roman" w:hAnsi="Times New Roman"/>
          <w:sz w:val="14"/>
          <w:szCs w:val="14"/>
          <w:color w:val="auto"/>
        </w:rPr>
        <w:t xml:space="preserve"> and (b) Investments consisting of any modification, replacement, renewal, reinvestment, or extension of any such Investment;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any such Investment is not increased from the amount of such Investment on the Closing Date except pursuant to the terms of such Investment (including in respect of any unused commitment),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any accrued but unpaid interest (including any portion thereof which is payable in kind in accordance with the terms of such modified, extended, renewed, or replaced Investment) and premium payable by the terms of such </w:t>
      </w:r>
      <w:r>
        <w:rPr>
          <w:rFonts w:ascii="Times New Roman" w:cs="Times New Roman" w:eastAsia="Times New Roman" w:hAnsi="Times New Roman"/>
          <w:sz w:val="14"/>
          <w:szCs w:val="14"/>
          <w:color w:val="FF0000"/>
          <w:strike w:val="1"/>
        </w:rPr>
        <w:t>Indebtedness</w:t>
      </w:r>
      <w:r>
        <w:rPr>
          <w:rFonts w:ascii="Times New Roman" w:cs="Times New Roman" w:eastAsia="Times New Roman" w:hAnsi="Times New Roman"/>
          <w:sz w:val="14"/>
          <w:szCs w:val="14"/>
          <w:u w:val="single" w:color="auto"/>
          <w:color w:val="0000FF"/>
        </w:rPr>
        <w:t>Investment</w:t>
      </w:r>
      <w:r>
        <w:rPr>
          <w:rFonts w:ascii="Times New Roman" w:cs="Times New Roman" w:eastAsia="Times New Roman" w:hAnsi="Times New Roman"/>
          <w:sz w:val="14"/>
          <w:szCs w:val="14"/>
          <w:color w:val="auto"/>
        </w:rPr>
        <w:t xml:space="preserve"> thereon and fees and expenses associated therewith as of the Closing Date;</w:t>
      </w:r>
    </w:p>
    <w:p>
      <w:pPr>
        <w:spacing w:after="0" w:line="148" w:lineRule="exact"/>
        <w:rPr>
          <w:rFonts w:ascii="Times New Roman" w:cs="Times New Roman" w:eastAsia="Times New Roman" w:hAnsi="Times New Roman"/>
          <w:sz w:val="14"/>
          <w:szCs w:val="14"/>
          <w:color w:val="auto"/>
        </w:rPr>
      </w:pPr>
    </w:p>
    <w:p>
      <w:pPr>
        <w:jc w:val="both"/>
        <w:ind w:left="1660" w:right="1159" w:firstLine="290"/>
        <w:spacing w:after="0" w:line="264" w:lineRule="auto"/>
        <w:tabs>
          <w:tab w:leader="none" w:pos="2234"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Investment acquired by the Borrower or any Restricted Subsidiary (a) in exchange for any other Investment or accounts receivable held by the Borrower or any such Restricted Subsidiary in connection with or as a result of a bankruptcy, workout, reorganization, or recapitalization of the Borrower of such other Investment or accounts receivable or (b) as a result of a foreclosure by the Borrower or any Restricted Subsidiary with respect to any secured Investment or other transfer of title with respect to any secured Investment in default;</w:t>
      </w:r>
    </w:p>
    <w:p>
      <w:pPr>
        <w:spacing w:after="0" w:line="142" w:lineRule="exact"/>
        <w:rPr>
          <w:rFonts w:ascii="Times New Roman" w:cs="Times New Roman" w:eastAsia="Times New Roman" w:hAnsi="Times New Roman"/>
          <w:sz w:val="14"/>
          <w:szCs w:val="14"/>
          <w:color w:val="auto"/>
        </w:rPr>
      </w:pPr>
    </w:p>
    <w:p>
      <w:pPr>
        <w:ind w:left="2240" w:hanging="290"/>
        <w:spacing w:after="0"/>
        <w:tabs>
          <w:tab w:leader="none" w:pos="22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Hedging Obligations permitted under </w:t>
      </w:r>
      <w:r>
        <w:rPr>
          <w:rFonts w:ascii="Times New Roman" w:cs="Times New Roman" w:eastAsia="Times New Roman" w:hAnsi="Times New Roman"/>
          <w:sz w:val="14"/>
          <w:szCs w:val="14"/>
          <w:u w:val="single" w:color="auto"/>
          <w:color w:val="auto"/>
        </w:rPr>
        <w:t>clause (j)</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and Cash Management Services;</w:t>
      </w:r>
    </w:p>
    <w:p>
      <w:pPr>
        <w:spacing w:after="0" w:line="183" w:lineRule="exact"/>
        <w:rPr>
          <w:rFonts w:ascii="Times New Roman" w:cs="Times New Roman" w:eastAsia="Times New Roman" w:hAnsi="Times New Roman"/>
          <w:sz w:val="14"/>
          <w:szCs w:val="14"/>
          <w:color w:val="auto"/>
        </w:rPr>
      </w:pPr>
    </w:p>
    <w:p>
      <w:pPr>
        <w:jc w:val="both"/>
        <w:ind w:left="1660" w:right="1159" w:firstLine="290"/>
        <w:spacing w:after="0" w:line="260" w:lineRule="auto"/>
        <w:tabs>
          <w:tab w:leader="none" w:pos="25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Investment in a Similar Business having an aggregate Fair Market Value, taken together with all other Investments made pursuant to this </w:t>
      </w:r>
      <w:r>
        <w:rPr>
          <w:rFonts w:ascii="Times New Roman" w:cs="Times New Roman" w:eastAsia="Times New Roman" w:hAnsi="Times New Roman"/>
          <w:sz w:val="14"/>
          <w:szCs w:val="14"/>
          <w:u w:val="single" w:color="auto"/>
          <w:color w:val="auto"/>
        </w:rPr>
        <w:t>clause (viii)</w:t>
      </w:r>
      <w:r>
        <w:rPr>
          <w:rFonts w:ascii="Times New Roman" w:cs="Times New Roman" w:eastAsia="Times New Roman" w:hAnsi="Times New Roman"/>
          <w:sz w:val="14"/>
          <w:szCs w:val="14"/>
          <w:color w:val="auto"/>
        </w:rPr>
        <w:t xml:space="preserve"> that are at that time outstanding, not to exceed the greater of (a) $</w:t>
      </w:r>
      <w:r>
        <w:rPr>
          <w:rFonts w:ascii="Times New Roman" w:cs="Times New Roman" w:eastAsia="Times New Roman" w:hAnsi="Times New Roman"/>
          <w:sz w:val="14"/>
          <w:szCs w:val="14"/>
          <w:color w:val="FF0000"/>
          <w:strike w:val="1"/>
        </w:rPr>
        <w:t>110</w:t>
      </w:r>
      <w:r>
        <w:rPr>
          <w:rFonts w:ascii="Times New Roman" w:cs="Times New Roman" w:eastAsia="Times New Roman" w:hAnsi="Times New Roman"/>
          <w:sz w:val="14"/>
          <w:szCs w:val="14"/>
          <w:u w:val="single" w:color="auto"/>
          <w:color w:val="0000FF"/>
        </w:rPr>
        <w:t>175</w:t>
      </w:r>
      <w:r>
        <w:rPr>
          <w:rFonts w:ascii="Times New Roman" w:cs="Times New Roman" w:eastAsia="Times New Roman" w:hAnsi="Times New Roman"/>
          <w:sz w:val="14"/>
          <w:szCs w:val="14"/>
          <w:color w:val="auto"/>
        </w:rPr>
        <w:t xml:space="preserve"> million and (b) 30%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any Investment pursuant to this </w:t>
      </w:r>
      <w:r>
        <w:rPr>
          <w:rFonts w:ascii="Times New Roman" w:cs="Times New Roman" w:eastAsia="Times New Roman" w:hAnsi="Times New Roman"/>
          <w:sz w:val="14"/>
          <w:szCs w:val="14"/>
          <w:u w:val="single" w:color="auto"/>
          <w:color w:val="auto"/>
        </w:rPr>
        <w:t>clause (viii)</w:t>
      </w:r>
      <w:r>
        <w:rPr>
          <w:rFonts w:ascii="Times New Roman" w:cs="Times New Roman" w:eastAsia="Times New Roman" w:hAnsi="Times New Roman"/>
          <w:sz w:val="14"/>
          <w:szCs w:val="14"/>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and shall cease to have been made pursuant to this </w:t>
      </w:r>
      <w:r>
        <w:rPr>
          <w:rFonts w:ascii="Times New Roman" w:cs="Times New Roman" w:eastAsia="Times New Roman" w:hAnsi="Times New Roman"/>
          <w:sz w:val="14"/>
          <w:szCs w:val="14"/>
          <w:u w:val="single" w:color="auto"/>
          <w:color w:val="auto"/>
        </w:rPr>
        <w:t>clause (viii)</w:t>
      </w:r>
      <w:r>
        <w:rPr>
          <w:rFonts w:ascii="Times New Roman" w:cs="Times New Roman" w:eastAsia="Times New Roman" w:hAnsi="Times New Roman"/>
          <w:sz w:val="14"/>
          <w:szCs w:val="14"/>
          <w:color w:val="auto"/>
        </w:rPr>
        <w:t xml:space="preserve"> for so long as such Person continues to be a Restricted Subsidiary;</w:t>
      </w:r>
    </w:p>
    <w:p>
      <w:pPr>
        <w:spacing w:after="0" w:line="2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2" w:name="page133"/>
    <w:bookmarkEnd w:id="132"/>
    <w:p>
      <w:pPr>
        <w:jc w:val="both"/>
        <w:ind w:left="1660" w:right="1159" w:firstLine="290"/>
        <w:spacing w:after="0" w:line="275" w:lineRule="auto"/>
        <w:tabs>
          <w:tab w:leader="none" w:pos="2234"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the payment for which consists of Equity Interests of the Borrower or any direct or indirect parent company of the Borrower (exclusive of Disqualified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Equity Interests will not increase the amount available for Restricted Payments under </w:t>
      </w:r>
      <w:r>
        <w:rPr>
          <w:rFonts w:ascii="Times New Roman" w:cs="Times New Roman" w:eastAsia="Times New Roman" w:hAnsi="Times New Roman"/>
          <w:sz w:val="14"/>
          <w:szCs w:val="14"/>
          <w:u w:val="single" w:color="auto"/>
          <w:color w:val="auto"/>
        </w:rPr>
        <w:t>Section 10.5(a)(iii)</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660" w:right="1159" w:firstLine="287"/>
        <w:spacing w:after="0" w:line="293" w:lineRule="auto"/>
        <w:rPr>
          <w:sz w:val="20"/>
          <w:szCs w:val="20"/>
          <w:color w:val="auto"/>
        </w:rPr>
      </w:pPr>
      <w:r>
        <w:rPr>
          <w:rFonts w:ascii="Times New Roman" w:cs="Times New Roman" w:eastAsia="Times New Roman" w:hAnsi="Times New Roman"/>
          <w:sz w:val="14"/>
          <w:szCs w:val="14"/>
          <w:color w:val="auto"/>
        </w:rPr>
        <w:t xml:space="preserve">(x) guarantees of Indebtedness permitted under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and Investments to the extent constituting Permitted Liens;</w:t>
      </w:r>
    </w:p>
    <w:p>
      <w:pPr>
        <w:spacing w:after="0" w:line="123" w:lineRule="exact"/>
        <w:rPr>
          <w:sz w:val="20"/>
          <w:szCs w:val="20"/>
          <w:color w:val="auto"/>
        </w:rPr>
      </w:pPr>
    </w:p>
    <w:p>
      <w:pPr>
        <w:ind w:left="1660" w:right="1159" w:firstLine="290"/>
        <w:spacing w:after="0" w:line="293" w:lineRule="auto"/>
        <w:tabs>
          <w:tab w:leader="none" w:pos="223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transaction to the extent it constitutes an Investment that is permitted and made in accordance with the provisions of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(except transactions described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such paragraph);</w:t>
      </w:r>
    </w:p>
    <w:p>
      <w:pPr>
        <w:spacing w:after="0" w:line="123" w:lineRule="exact"/>
        <w:rPr>
          <w:rFonts w:ascii="Times New Roman" w:cs="Times New Roman" w:eastAsia="Times New Roman" w:hAnsi="Times New Roman"/>
          <w:sz w:val="14"/>
          <w:szCs w:val="14"/>
          <w:color w:val="auto"/>
        </w:rPr>
      </w:pPr>
    </w:p>
    <w:p>
      <w:pPr>
        <w:ind w:left="1660" w:right="1179" w:firstLine="290"/>
        <w:spacing w:after="0" w:line="293" w:lineRule="auto"/>
        <w:tabs>
          <w:tab w:leader="none" w:pos="223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purchases and acquisitions of inventory, supplies, material, equipment, or other similar assets in the ordinary course of business;</w:t>
      </w:r>
    </w:p>
    <w:p>
      <w:pPr>
        <w:spacing w:after="0" w:line="123" w:lineRule="exact"/>
        <w:rPr>
          <w:rFonts w:ascii="Times New Roman" w:cs="Times New Roman" w:eastAsia="Times New Roman" w:hAnsi="Times New Roman"/>
          <w:sz w:val="14"/>
          <w:szCs w:val="14"/>
          <w:color w:val="auto"/>
        </w:rPr>
      </w:pPr>
    </w:p>
    <w:p>
      <w:pPr>
        <w:jc w:val="both"/>
        <w:ind w:left="1660" w:right="1159" w:firstLine="290"/>
        <w:spacing w:after="0" w:line="260" w:lineRule="auto"/>
        <w:tabs>
          <w:tab w:leader="none" w:pos="2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additional Investments having an aggregate Fair Market Value, taken together with all other Investments made pursuant to this </w:t>
      </w:r>
      <w:r>
        <w:rPr>
          <w:rFonts w:ascii="Times New Roman" w:cs="Times New Roman" w:eastAsia="Times New Roman" w:hAnsi="Times New Roman"/>
          <w:sz w:val="14"/>
          <w:szCs w:val="14"/>
          <w:u w:val="single" w:color="auto"/>
          <w:color w:val="auto"/>
        </w:rPr>
        <w:t>clause (xiii)</w:t>
      </w:r>
      <w:r>
        <w:rPr>
          <w:rFonts w:ascii="Times New Roman" w:cs="Times New Roman" w:eastAsia="Times New Roman" w:hAnsi="Times New Roman"/>
          <w:sz w:val="14"/>
          <w:szCs w:val="14"/>
          <w:color w:val="auto"/>
        </w:rPr>
        <w:t xml:space="preserve"> that are at that time outstanding (without giving effect to the sale of an Unrestricted Subsidiary to the extent the proceeds of such sale do not consist of cash or marketable securities), not to exceed the greater of (a) $</w:t>
      </w:r>
      <w:r>
        <w:rPr>
          <w:rFonts w:ascii="Times New Roman" w:cs="Times New Roman" w:eastAsia="Times New Roman" w:hAnsi="Times New Roman"/>
          <w:sz w:val="14"/>
          <w:szCs w:val="14"/>
          <w:color w:val="FF0000"/>
          <w:strike w:val="1"/>
        </w:rPr>
        <w:t>140</w:t>
      </w:r>
      <w:r>
        <w:rPr>
          <w:rFonts w:ascii="Times New Roman" w:cs="Times New Roman" w:eastAsia="Times New Roman" w:hAnsi="Times New Roman"/>
          <w:sz w:val="14"/>
          <w:szCs w:val="14"/>
          <w:u w:val="single" w:color="auto"/>
          <w:color w:val="0000FF"/>
        </w:rPr>
        <w:t>220</w:t>
      </w:r>
      <w:r>
        <w:rPr>
          <w:rFonts w:ascii="Times New Roman" w:cs="Times New Roman" w:eastAsia="Times New Roman" w:hAnsi="Times New Roman"/>
          <w:sz w:val="14"/>
          <w:szCs w:val="14"/>
          <w:color w:val="auto"/>
        </w:rPr>
        <w:t xml:space="preserve"> million and (b) 37.5%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if any Investment pursuant to this </w:t>
      </w:r>
      <w:r>
        <w:rPr>
          <w:rFonts w:ascii="Times New Roman" w:cs="Times New Roman" w:eastAsia="Times New Roman" w:hAnsi="Times New Roman"/>
          <w:sz w:val="14"/>
          <w:szCs w:val="14"/>
          <w:u w:val="single" w:color="auto"/>
          <w:color w:val="auto"/>
        </w:rPr>
        <w:t>clause (xiii)</w:t>
      </w:r>
      <w:r>
        <w:rPr>
          <w:rFonts w:ascii="Times New Roman" w:cs="Times New Roman" w:eastAsia="Times New Roman" w:hAnsi="Times New Roman"/>
          <w:sz w:val="14"/>
          <w:szCs w:val="14"/>
          <w:color w:val="auto"/>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and shall cease to have been made pursuant to this </w:t>
      </w:r>
      <w:r>
        <w:rPr>
          <w:rFonts w:ascii="Times New Roman" w:cs="Times New Roman" w:eastAsia="Times New Roman" w:hAnsi="Times New Roman"/>
          <w:sz w:val="14"/>
          <w:szCs w:val="14"/>
          <w:u w:val="single" w:color="auto"/>
          <w:color w:val="auto"/>
        </w:rPr>
        <w:t>clause (xiii)</w:t>
      </w:r>
      <w:r>
        <w:rPr>
          <w:rFonts w:ascii="Times New Roman" w:cs="Times New Roman" w:eastAsia="Times New Roman" w:hAnsi="Times New Roman"/>
          <w:sz w:val="14"/>
          <w:szCs w:val="14"/>
          <w:color w:val="auto"/>
        </w:rPr>
        <w:t xml:space="preserve"> for so long as such Person continues to be a Restricted Subsidiary;</w:t>
      </w:r>
    </w:p>
    <w:p>
      <w:pPr>
        <w:spacing w:after="0" w:line="147"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relating to any Receivables Subsidiary that, in the good faith determination of the board of directors of the Borrower, are necessary or advisable to effect a Receivables Facility or any repurchases or other transactions in connection therewith;</w:t>
      </w:r>
    </w:p>
    <w:p>
      <w:pPr>
        <w:spacing w:after="0" w:line="135"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23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to, or guarantees of Indebtedness of, employees not in excess of the greater of (a) $</w:t>
      </w:r>
      <w:r>
        <w:rPr>
          <w:rFonts w:ascii="Times New Roman" w:cs="Times New Roman" w:eastAsia="Times New Roman" w:hAnsi="Times New Roman"/>
          <w:sz w:val="14"/>
          <w:szCs w:val="14"/>
          <w:color w:val="FF0000"/>
          <w:strike w:val="1"/>
        </w:rPr>
        <w:t>20</w:t>
      </w:r>
      <w:r>
        <w:rPr>
          <w:rFonts w:ascii="Times New Roman" w:cs="Times New Roman" w:eastAsia="Times New Roman" w:hAnsi="Times New Roman"/>
          <w:sz w:val="14"/>
          <w:szCs w:val="14"/>
          <w:u w:val="single" w:color="auto"/>
          <w:color w:val="0000FF"/>
        </w:rPr>
        <w:t>30</w:t>
      </w:r>
      <w:r>
        <w:rPr>
          <w:rFonts w:ascii="Times New Roman" w:cs="Times New Roman" w:eastAsia="Times New Roman" w:hAnsi="Times New Roman"/>
          <w:sz w:val="14"/>
          <w:szCs w:val="14"/>
          <w:color w:val="auto"/>
        </w:rPr>
        <w:t xml:space="preserve"> million and (b) 5% of Consolidated EBITDA for the most recently ended Test Period (calculated on a Pro Forma Basis) at the time of such Investment;</w:t>
      </w:r>
    </w:p>
    <w:p>
      <w:pPr>
        <w:spacing w:after="0" w:line="103" w:lineRule="exact"/>
        <w:rPr>
          <w:rFonts w:ascii="Times New Roman" w:cs="Times New Roman" w:eastAsia="Times New Roman" w:hAnsi="Times New Roman"/>
          <w:sz w:val="14"/>
          <w:szCs w:val="14"/>
          <w:color w:val="auto"/>
        </w:rPr>
      </w:pPr>
    </w:p>
    <w:p>
      <w:pPr>
        <w:jc w:val="both"/>
        <w:ind w:left="1660" w:right="1159" w:firstLine="290"/>
        <w:spacing w:after="0" w:line="178" w:lineRule="exact"/>
        <w:tabs>
          <w:tab w:leader="none" w:pos="2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loans and advances to officers, directors, managers, and employees for business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related travel expenses, moving expenses, and other similar expenses, in each case, incurred in the ordinary course of business or consistent with past practices or to fund such Person’s purchase of Equity Interests of the Borrower or any direct or indirect parent company thereof, (b) promissory notes received from equity holders of the Borrower, any direct or indirect parent company of the Borrower or any Subsidiary in connection with the exercise of stock options in respect of the Equity Interests of the Borrower, any direct or indirect parent company of the Borrower and the Subsidiaries and (c) advances of payroll payments to employees in the ordinary course of business;</w:t>
      </w:r>
    </w:p>
    <w:p>
      <w:pPr>
        <w:spacing w:after="0" w:line="158" w:lineRule="exact"/>
        <w:rPr>
          <w:rFonts w:ascii="Times New Roman" w:cs="Times New Roman" w:eastAsia="Times New Roman" w:hAnsi="Times New Roman"/>
          <w:sz w:val="14"/>
          <w:szCs w:val="14"/>
          <w:color w:val="auto"/>
        </w:rPr>
      </w:pPr>
    </w:p>
    <w:p>
      <w:pPr>
        <w:ind w:left="2520" w:hanging="570"/>
        <w:spacing w:after="0"/>
        <w:tabs>
          <w:tab w:leader="none" w:pos="2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consisting of extensions of trade credit in the ordinary course of business;</w:t>
      </w:r>
    </w:p>
    <w:p>
      <w:pPr>
        <w:spacing w:after="0" w:line="183"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03" w:lineRule="exact"/>
        <w:rPr>
          <w:rFonts w:ascii="Times New Roman" w:cs="Times New Roman" w:eastAsia="Times New Roman" w:hAnsi="Times New Roman"/>
          <w:sz w:val="14"/>
          <w:szCs w:val="14"/>
          <w:color w:val="auto"/>
        </w:rPr>
      </w:pPr>
    </w:p>
    <w:p>
      <w:pPr>
        <w:ind w:left="1660" w:right="1159" w:firstLine="290"/>
        <w:spacing w:after="0" w:line="187" w:lineRule="exact"/>
        <w:tabs>
          <w:tab w:leader="none" w:pos="25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Investments in connection with tax planning and reorganization activities;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any such activities, the security interests of the Lenders in the Collateral, taken as a whole, would not be materially impaired;</w:t>
      </w:r>
    </w:p>
    <w:p>
      <w:pPr>
        <w:spacing w:after="0" w:line="160" w:lineRule="exact"/>
        <w:rPr>
          <w:rFonts w:ascii="Times New Roman" w:cs="Times New Roman" w:eastAsia="Times New Roman" w:hAnsi="Times New Roman"/>
          <w:sz w:val="14"/>
          <w:szCs w:val="14"/>
          <w:color w:val="auto"/>
        </w:rPr>
      </w:pPr>
    </w:p>
    <w:p>
      <w:pPr>
        <w:ind w:left="1660" w:right="1159" w:firstLine="290"/>
        <w:spacing w:after="0" w:line="293" w:lineRule="auto"/>
        <w:tabs>
          <w:tab w:leader="none" w:pos="2234"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made in the ordinary course of business in connection with obtaining, maintaining or renewing client, franchisee and customer contracts and loans or advances made to, and</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3" w:name="page134"/>
    <w:bookmarkEnd w:id="133"/>
    <w:p>
      <w:pPr>
        <w:ind w:left="1660" w:right="1159"/>
        <w:spacing w:after="0" w:line="293" w:lineRule="auto"/>
        <w:rPr>
          <w:sz w:val="20"/>
          <w:szCs w:val="20"/>
          <w:color w:val="auto"/>
        </w:rPr>
      </w:pPr>
      <w:r>
        <w:rPr>
          <w:rFonts w:ascii="Times New Roman" w:cs="Times New Roman" w:eastAsia="Times New Roman" w:hAnsi="Times New Roman"/>
          <w:sz w:val="14"/>
          <w:szCs w:val="14"/>
          <w:color w:val="auto"/>
        </w:rPr>
        <w:t>guarantees with respect to obligations of, franchisees, distributors, suppliers, licensors and licensees in the ordinary course of business;</w:t>
      </w:r>
    </w:p>
    <w:p>
      <w:pPr>
        <w:spacing w:after="0" w:line="123" w:lineRule="exact"/>
        <w:rPr>
          <w:sz w:val="20"/>
          <w:szCs w:val="20"/>
          <w:color w:val="auto"/>
        </w:rPr>
      </w:pPr>
    </w:p>
    <w:p>
      <w:pPr>
        <w:ind w:left="1660" w:right="1159" w:firstLine="290"/>
        <w:spacing w:after="0" w:line="293" w:lineRule="auto"/>
        <w:tabs>
          <w:tab w:leader="none" w:pos="2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licensing and contribution of Intellectual Property pursuant to joint development, venture or marketing arrangements with other Persons, in the ordinary course of business;</w:t>
      </w:r>
    </w:p>
    <w:p>
      <w:pPr>
        <w:spacing w:after="0" w:line="123" w:lineRule="exact"/>
        <w:rPr>
          <w:rFonts w:ascii="Times New Roman" w:cs="Times New Roman" w:eastAsia="Times New Roman" w:hAnsi="Times New Roman"/>
          <w:sz w:val="14"/>
          <w:szCs w:val="14"/>
          <w:color w:val="auto"/>
        </w:rPr>
      </w:pPr>
    </w:p>
    <w:p>
      <w:pPr>
        <w:ind w:left="1660" w:right="1159" w:firstLine="290"/>
        <w:spacing w:after="0" w:line="275" w:lineRule="auto"/>
        <w:tabs>
          <w:tab w:leader="none" w:pos="2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a “rabbi” trust for the benefit of employees, directors, consultants, independent contractors or other service providers or other grantor trust subject to claims of creditors in the case of a bankruptcy of the Borrower;</w:t>
      </w:r>
    </w:p>
    <w:p>
      <w:pPr>
        <w:spacing w:after="0" w:line="135" w:lineRule="exact"/>
        <w:rPr>
          <w:rFonts w:ascii="Times New Roman" w:cs="Times New Roman" w:eastAsia="Times New Roman" w:hAnsi="Times New Roman"/>
          <w:sz w:val="14"/>
          <w:szCs w:val="14"/>
          <w:color w:val="auto"/>
        </w:rPr>
      </w:pPr>
    </w:p>
    <w:p>
      <w:pPr>
        <w:ind w:left="2520" w:hanging="570"/>
        <w:spacing w:after="0"/>
        <w:tabs>
          <w:tab w:leader="none" w:pos="2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[reserved];</w:t>
      </w:r>
    </w:p>
    <w:p>
      <w:pPr>
        <w:spacing w:after="0" w:line="183"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by an Unrestricted Subsidiary entered into prior to the day such Unrestricted Subsidiary is redesignated as a Restricted Subsidiary pursuant to the definition of “Unrestricted Subsidiary”; and</w:t>
      </w:r>
    </w:p>
    <w:p>
      <w:pPr>
        <w:spacing w:after="0" w:line="135" w:lineRule="exact"/>
        <w:rPr>
          <w:rFonts w:ascii="Times New Roman" w:cs="Times New Roman" w:eastAsia="Times New Roman" w:hAnsi="Times New Roman"/>
          <w:sz w:val="14"/>
          <w:szCs w:val="14"/>
          <w:color w:val="auto"/>
        </w:rPr>
      </w:pPr>
    </w:p>
    <w:p>
      <w:pPr>
        <w:ind w:left="1660" w:right="1159" w:firstLine="290"/>
        <w:spacing w:after="0" w:line="265" w:lineRule="auto"/>
        <w:tabs>
          <w:tab w:leader="none" w:pos="252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of a Subsidiary acquired after the Closing Date or of a Person merged or consolidated with any Subsidiary in accordance with this definition of “Permitted Investments”,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10.3</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after the Closing Date to the extent that such Investments were not made in contemplation of or in connection with such acquisition, merger or consolidation and were in existence on the date of such acquisition, merger or consolidation.</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Liens</w:t>
      </w:r>
      <w:r>
        <w:rPr>
          <w:rFonts w:ascii="Times New Roman" w:cs="Times New Roman" w:eastAsia="Times New Roman" w:hAnsi="Times New Roman"/>
          <w:sz w:val="14"/>
          <w:szCs w:val="14"/>
          <w:color w:val="auto"/>
        </w:rPr>
        <w:t>” shall mean, with respect to any Person:</w:t>
      </w:r>
    </w:p>
    <w:p>
      <w:pPr>
        <w:spacing w:after="0" w:line="185" w:lineRule="exact"/>
        <w:rPr>
          <w:sz w:val="20"/>
          <w:szCs w:val="20"/>
          <w:color w:val="auto"/>
        </w:rPr>
      </w:pPr>
    </w:p>
    <w:p>
      <w:pPr>
        <w:ind w:left="1660" w:right="1159" w:firstLine="290"/>
        <w:spacing w:after="0" w:line="262" w:lineRule="auto"/>
        <w:tabs>
          <w:tab w:leader="none" w:pos="223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47" w:lineRule="exact"/>
        <w:rPr>
          <w:rFonts w:ascii="Times New Roman" w:cs="Times New Roman" w:eastAsia="Times New Roman" w:hAnsi="Times New Roman"/>
          <w:sz w:val="14"/>
          <w:szCs w:val="14"/>
          <w:color w:val="auto"/>
        </w:rPr>
      </w:pPr>
    </w:p>
    <w:p>
      <w:pPr>
        <w:ind w:left="1660" w:right="1159" w:firstLine="290"/>
        <w:spacing w:after="0" w:line="262" w:lineRule="auto"/>
        <w:tabs>
          <w:tab w:leader="none" w:pos="223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imposed by law, such as carriers’, warehousemen’s, materialmen’s, repairmen’s, and mechanics’ Liens, in each case, for sums not yet overdue for a period of more than 60 days or, if more than 60 days overdue, are unfiled and no other action has been taken to enforce such Lien or that are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47" w:lineRule="exact"/>
        <w:rPr>
          <w:rFonts w:ascii="Times New Roman" w:cs="Times New Roman" w:eastAsia="Times New Roman" w:hAnsi="Times New Roman"/>
          <w:sz w:val="14"/>
          <w:szCs w:val="14"/>
          <w:color w:val="auto"/>
        </w:rPr>
      </w:pPr>
    </w:p>
    <w:p>
      <w:pPr>
        <w:jc w:val="both"/>
        <w:ind w:left="1660" w:right="1159" w:firstLine="290"/>
        <w:spacing w:after="0" w:line="264" w:lineRule="auto"/>
        <w:tabs>
          <w:tab w:leader="none" w:pos="223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Times New Roman" w:cs="Times New Roman" w:eastAsia="Times New Roman" w:hAnsi="Times New Roman"/>
          <w:sz w:val="14"/>
          <w:szCs w:val="14"/>
          <w:u w:val="single" w:color="auto"/>
          <w:color w:val="auto"/>
        </w:rPr>
        <w:t>Section 8.11</w:t>
      </w:r>
      <w:r>
        <w:rPr>
          <w:rFonts w:ascii="Times New Roman" w:cs="Times New Roman" w:eastAsia="Times New Roman" w:hAnsi="Times New Roman"/>
          <w:sz w:val="14"/>
          <w:szCs w:val="14"/>
          <w:color w:val="auto"/>
        </w:rPr>
        <w:t>, or for property taxes on property of such Person, which Person has determined to abandon if the sole recourse for such tax, assessment, charge, levy, or claim is to such property;</w:t>
      </w:r>
    </w:p>
    <w:p>
      <w:pPr>
        <w:spacing w:after="0" w:line="142" w:lineRule="exact"/>
        <w:rPr>
          <w:rFonts w:ascii="Times New Roman" w:cs="Times New Roman" w:eastAsia="Times New Roman" w:hAnsi="Times New Roman"/>
          <w:sz w:val="14"/>
          <w:szCs w:val="14"/>
          <w:color w:val="auto"/>
        </w:rPr>
      </w:pPr>
    </w:p>
    <w:p>
      <w:pPr>
        <w:jc w:val="both"/>
        <w:ind w:left="1660" w:right="1159" w:firstLine="290"/>
        <w:spacing w:after="0" w:line="268" w:lineRule="auto"/>
        <w:tabs>
          <w:tab w:leader="none" w:pos="223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41" w:lineRule="exact"/>
        <w:rPr>
          <w:rFonts w:ascii="Times New Roman" w:cs="Times New Roman" w:eastAsia="Times New Roman" w:hAnsi="Times New Roman"/>
          <w:sz w:val="14"/>
          <w:szCs w:val="14"/>
          <w:color w:val="auto"/>
        </w:rPr>
      </w:pPr>
    </w:p>
    <w:p>
      <w:pPr>
        <w:jc w:val="both"/>
        <w:ind w:left="1660" w:right="1159" w:firstLine="290"/>
        <w:spacing w:after="0" w:line="177" w:lineRule="exact"/>
        <w:tabs>
          <w:tab w:leader="none" w:pos="2234"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minor survey exceptions, minor encumbrances, ground leases, leases, easements, or reservations of, or rights of others for, licenses, rights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way, servitudes, sewers, electric lines, drains, telegraph and telephone and cable television lines, gas and oil pipelines, and other similar purposes, or</w:t>
      </w: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4" w:name="page135"/>
    <w:bookmarkEnd w:id="134"/>
    <w:p>
      <w:pPr>
        <w:jc w:val="both"/>
        <w:ind w:left="1660" w:right="1159"/>
        <w:spacing w:after="0" w:line="265" w:lineRule="auto"/>
        <w:rPr>
          <w:sz w:val="20"/>
          <w:szCs w:val="20"/>
          <w:color w:val="auto"/>
        </w:rPr>
      </w:pPr>
      <w:r>
        <w:rPr>
          <w:rFonts w:ascii="Times New Roman" w:cs="Times New Roman" w:eastAsia="Times New Roman" w:hAnsi="Times New Roman"/>
          <w:sz w:val="14"/>
          <w:szCs w:val="14"/>
          <w:color w:val="auto"/>
        </w:rPr>
        <w:t>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44" w:lineRule="exact"/>
        <w:rPr>
          <w:sz w:val="20"/>
          <w:szCs w:val="20"/>
          <w:color w:val="auto"/>
        </w:rPr>
      </w:pPr>
    </w:p>
    <w:p>
      <w:pPr>
        <w:jc w:val="both"/>
        <w:ind w:left="1660" w:right="1159" w:firstLine="290"/>
        <w:spacing w:after="0" w:line="257" w:lineRule="auto"/>
        <w:tabs>
          <w:tab w:leader="none" w:pos="223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permitted to be outstanding pursuant to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(so long as such Liens are subject to the Second Lien Intercreditor Agreement),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(y)</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in the case of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such Lien may not extend to any property or equipment (or assets affixed or appurtenant thereto) other than the property or equipment being financed or refinanced under such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Times New Roman" w:cs="Times New Roman" w:eastAsia="Times New Roman" w:hAnsi="Times New Roman"/>
          <w:sz w:val="14"/>
          <w:szCs w:val="14"/>
          <w:u w:val="single" w:color="auto"/>
          <w:color w:val="auto"/>
        </w:rPr>
        <w:t>clause (r)</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such Lien may not extend to any assets other than the assets owned by non-Credit Parties; (c) in the case of Liens securing Permitted Other Indebtedness Obligations that constitute First Lien Obligations pursuant to this </w:t>
      </w:r>
      <w:r>
        <w:rPr>
          <w:rFonts w:ascii="Times New Roman" w:cs="Times New Roman" w:eastAsia="Times New Roman" w:hAnsi="Times New Roman"/>
          <w:sz w:val="14"/>
          <w:szCs w:val="14"/>
          <w:u w:val="single" w:color="auto"/>
          <w:color w:val="auto"/>
        </w:rPr>
        <w:t>clause (vi)</w:t>
      </w:r>
      <w:r>
        <w:rPr>
          <w:rFonts w:ascii="Times New Roman" w:cs="Times New Roman" w:eastAsia="Times New Roman" w:hAnsi="Times New Roman"/>
          <w:sz w:val="14"/>
          <w:szCs w:val="14"/>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(1) 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Times New Roman" w:cs="Times New Roman" w:eastAsia="Times New Roman" w:hAnsi="Times New Roman"/>
          <w:sz w:val="14"/>
          <w:szCs w:val="14"/>
          <w:u w:val="single" w:color="auto"/>
          <w:color w:val="auto"/>
        </w:rPr>
        <w:t>clause (vi)</w:t>
      </w:r>
      <w:r>
        <w:rPr>
          <w:rFonts w:ascii="Times New Roman" w:cs="Times New Roman" w:eastAsia="Times New Roman" w:hAnsi="Times New Roman"/>
          <w:sz w:val="14"/>
          <w:szCs w:val="14"/>
          <w:color w:val="auto"/>
        </w:rPr>
        <w:t xml:space="preserve">,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 w:cs="Times New Roman" w:eastAsia="Times New Roman" w:hAnsi="Times New Roman"/>
          <w:sz w:val="14"/>
          <w:szCs w:val="14"/>
          <w:u w:val="single" w:color="auto"/>
          <w:color w:val="auto"/>
        </w:rPr>
        <w:t>clause (vi)</w:t>
      </w:r>
      <w:r>
        <w:rPr>
          <w:rFonts w:ascii="Times New Roman" w:cs="Times New Roman" w:eastAsia="Times New Roman" w:hAnsi="Times New Roman"/>
          <w:sz w:val="14"/>
          <w:szCs w:val="14"/>
          <w:color w:val="auto"/>
        </w:rPr>
        <w:t>;</w:t>
      </w:r>
    </w:p>
    <w:p>
      <w:pPr>
        <w:spacing w:after="0" w:line="164" w:lineRule="exact"/>
        <w:rPr>
          <w:rFonts w:ascii="Times New Roman" w:cs="Times New Roman" w:eastAsia="Times New Roman" w:hAnsi="Times New Roman"/>
          <w:sz w:val="14"/>
          <w:szCs w:val="14"/>
          <w:color w:val="auto"/>
        </w:rPr>
      </w:pPr>
    </w:p>
    <w:p>
      <w:pPr>
        <w:jc w:val="both"/>
        <w:ind w:left="1660" w:right="1159" w:firstLine="290"/>
        <w:spacing w:after="0" w:line="264" w:lineRule="auto"/>
        <w:tabs>
          <w:tab w:leader="none" w:pos="2234"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9.14</w:t>
      </w:r>
      <w:r>
        <w:rPr>
          <w:rFonts w:ascii="Times New Roman" w:cs="Times New Roman" w:eastAsia="Times New Roman" w:hAnsi="Times New Roman"/>
          <w:sz w:val="14"/>
          <w:szCs w:val="14"/>
          <w:color w:val="auto"/>
        </w:rPr>
        <w:t xml:space="preserve">, other than with respect to Mortgaged Property, Liens existing on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Lien securing Indebtedness or other obligations in excess of (a) $7.5 million individually or (b) $20 million in the aggregate (when taken together with all other Liens securing obligations outstanding in reliance on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that are not listed on </w:t>
      </w:r>
      <w:r>
        <w:rPr>
          <w:rFonts w:ascii="Times New Roman" w:cs="Times New Roman" w:eastAsia="Times New Roman" w:hAnsi="Times New Roman"/>
          <w:sz w:val="14"/>
          <w:szCs w:val="14"/>
          <w:u w:val="single" w:color="auto"/>
          <w:color w:val="auto"/>
        </w:rPr>
        <w:t>Schedule 10.2</w:t>
      </w:r>
      <w:r>
        <w:rPr>
          <w:rFonts w:ascii="Times New Roman" w:cs="Times New Roman" w:eastAsia="Times New Roman" w:hAnsi="Times New Roman"/>
          <w:sz w:val="14"/>
          <w:szCs w:val="14"/>
          <w:color w:val="auto"/>
        </w:rPr>
        <w:t xml:space="preserve">) shall only be permitted if set forth on </w:t>
      </w:r>
      <w:r>
        <w:rPr>
          <w:rFonts w:ascii="Times New Roman" w:cs="Times New Roman" w:eastAsia="Times New Roman" w:hAnsi="Times New Roman"/>
          <w:sz w:val="14"/>
          <w:szCs w:val="14"/>
          <w:u w:val="single" w:color="auto"/>
          <w:color w:val="auto"/>
        </w:rPr>
        <w:t>Schedule 10.2</w:t>
      </w:r>
      <w:r>
        <w:rPr>
          <w:rFonts w:ascii="Times New Roman" w:cs="Times New Roman" w:eastAsia="Times New Roman" w:hAnsi="Times New Roman"/>
          <w:sz w:val="14"/>
          <w:szCs w:val="14"/>
          <w:color w:val="auto"/>
        </w:rPr>
        <w:t>, and, in each case, any modifications, replacements, renewals, refinancings or extensions thereof;</w:t>
      </w:r>
    </w:p>
    <w:p>
      <w:pPr>
        <w:spacing w:after="0" w:line="142" w:lineRule="exact"/>
        <w:rPr>
          <w:rFonts w:ascii="Times New Roman" w:cs="Times New Roman" w:eastAsia="Times New Roman" w:hAnsi="Times New Roman"/>
          <w:sz w:val="14"/>
          <w:szCs w:val="14"/>
          <w:color w:val="auto"/>
        </w:rPr>
      </w:pPr>
    </w:p>
    <w:p>
      <w:pPr>
        <w:ind w:left="1660" w:right="1159" w:firstLine="290"/>
        <w:spacing w:after="0" w:line="175" w:lineRule="exact"/>
        <w:tabs>
          <w:tab w:leader="none" w:pos="25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property or shares of stock of a Person at the time such Person becomes a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such Liens are not created or incurred in connection with, or in contemplation of, such other Person becoming a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Liens may not extend to any other property owned by the Borrower or any Restricted Subsidiary (other than, with respect to such Person, any replacements of such property or assets and additions and accessions thereto,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acquired property subject to a Lien securing Indebtedness and other obligations incurred prior to such time and which Indebtedness and other obligations are permitted hereunder that require, pursuant to their terms at such time, a pledge of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4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5" w:name="page136"/>
    <w:bookmarkEnd w:id="135"/>
    <w:p>
      <w:pPr>
        <w:jc w:val="both"/>
        <w:ind w:left="1660" w:right="1159" w:firstLine="290"/>
        <w:spacing w:after="0" w:line="174" w:lineRule="exact"/>
        <w:tabs>
          <w:tab w:leader="none" w:pos="223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property at the time the Borrower or a Restricted Subsidiary acquired the property, including any acquisition by means of a merger or consolidation with or into the Borrower or any Restricted Subsidiary or the designation of an Unrestricted Subsidiary as a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Liens are not created or incurred in connection with, or in contemplation of, such acquisition, merger, consolidation, or designation;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such Liens may not extend to any other property owned by the Borrower or any Restricted Subsidiary (other than, with respect to such property, any replacements of such property or assets and additions and accessions thereto,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acquired property subject to a Lien securing Indebtedness and other obligations incurred prior to such time and which Indebtedness and other obligations are permitted hereunder that require, pursuant to their terms at such time, a pledge of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323"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23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property of any Restricted Subsidiary that is not a Credit Party, which Liens secure Indebtedness of such Restricted Subsidiary or another Restricted Subsidiary that is not a Credit Party, in each case, to the extent permitted under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w:t>
      </w:r>
    </w:p>
    <w:p>
      <w:pPr>
        <w:spacing w:after="0" w:line="135" w:lineRule="exact"/>
        <w:rPr>
          <w:rFonts w:ascii="Times New Roman" w:cs="Times New Roman" w:eastAsia="Times New Roman" w:hAnsi="Times New Roman"/>
          <w:sz w:val="14"/>
          <w:szCs w:val="14"/>
          <w:color w:val="auto"/>
        </w:rPr>
      </w:pPr>
    </w:p>
    <w:p>
      <w:pPr>
        <w:ind w:left="1660" w:right="1159" w:firstLine="290"/>
        <w:spacing w:after="0" w:line="275" w:lineRule="auto"/>
        <w:tabs>
          <w:tab w:leader="none" w:pos="223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35"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23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35" w:lineRule="exact"/>
        <w:rPr>
          <w:rFonts w:ascii="Times New Roman" w:cs="Times New Roman" w:eastAsia="Times New Roman" w:hAnsi="Times New Roman"/>
          <w:sz w:val="14"/>
          <w:szCs w:val="14"/>
          <w:color w:val="auto"/>
        </w:rPr>
      </w:pPr>
    </w:p>
    <w:p>
      <w:pPr>
        <w:ind w:left="2520" w:hanging="570"/>
        <w:spacing w:after="0"/>
        <w:tabs>
          <w:tab w:leader="none" w:pos="2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or subleases granted to others in the ordinary course of business;</w:t>
      </w:r>
    </w:p>
    <w:p>
      <w:pPr>
        <w:spacing w:after="0" w:line="183" w:lineRule="exact"/>
        <w:rPr>
          <w:rFonts w:ascii="Times New Roman" w:cs="Times New Roman" w:eastAsia="Times New Roman" w:hAnsi="Times New Roman"/>
          <w:sz w:val="14"/>
          <w:szCs w:val="14"/>
          <w:color w:val="auto"/>
        </w:rPr>
      </w:pPr>
    </w:p>
    <w:p>
      <w:pPr>
        <w:ind w:left="1660" w:right="1159" w:firstLine="290"/>
        <w:spacing w:after="0" w:line="275" w:lineRule="auto"/>
        <w:tabs>
          <w:tab w:leader="none" w:pos="2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from Uniform Commercial Code financing statement filings regarding operating leases or consignments entered into by the Borrower or any Restricted Subsidiary in the ordinary course of business;</w:t>
      </w:r>
    </w:p>
    <w:p>
      <w:pPr>
        <w:spacing w:after="0" w:line="135" w:lineRule="exact"/>
        <w:rPr>
          <w:rFonts w:ascii="Times New Roman" w:cs="Times New Roman" w:eastAsia="Times New Roman" w:hAnsi="Times New Roman"/>
          <w:sz w:val="14"/>
          <w:szCs w:val="14"/>
          <w:color w:val="auto"/>
        </w:rPr>
      </w:pPr>
    </w:p>
    <w:p>
      <w:pPr>
        <w:ind w:left="2240" w:hanging="290"/>
        <w:spacing w:after="0"/>
        <w:tabs>
          <w:tab w:leader="none" w:pos="22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the Borrower or any other Guarantor;</w:t>
      </w:r>
    </w:p>
    <w:p>
      <w:pPr>
        <w:spacing w:after="0" w:line="183"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equipment of the Borrower or any Restricted Subsidiary granted in the ordinary course of business to the Borrower’s or such Restricted Subsidiary’s client at which such equipment is located;</w:t>
      </w:r>
    </w:p>
    <w:p>
      <w:pPr>
        <w:spacing w:after="0" w:line="135" w:lineRule="exact"/>
        <w:rPr>
          <w:rFonts w:ascii="Times New Roman" w:cs="Times New Roman" w:eastAsia="Times New Roman" w:hAnsi="Times New Roman"/>
          <w:sz w:val="14"/>
          <w:szCs w:val="14"/>
          <w:color w:val="auto"/>
        </w:rPr>
      </w:pPr>
    </w:p>
    <w:p>
      <w:pPr>
        <w:ind w:left="2520" w:hanging="570"/>
        <w:spacing w:after="0"/>
        <w:tabs>
          <w:tab w:leader="none" w:pos="2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accounts receivable and related assets incurred in connection with a Receivables</w:t>
      </w:r>
    </w:p>
    <w:p>
      <w:pPr>
        <w:spacing w:after="0" w:line="24" w:lineRule="exact"/>
        <w:rPr>
          <w:rFonts w:ascii="Times New Roman" w:cs="Times New Roman" w:eastAsia="Times New Roman" w:hAnsi="Times New Roman"/>
          <w:sz w:val="14"/>
          <w:szCs w:val="14"/>
          <w:color w:val="auto"/>
        </w:rPr>
      </w:pPr>
    </w:p>
    <w:p>
      <w:pPr>
        <w:ind w:left="1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w:t>
      </w:r>
    </w:p>
    <w:p>
      <w:pPr>
        <w:spacing w:after="0" w:line="169" w:lineRule="exact"/>
        <w:rPr>
          <w:rFonts w:ascii="Times New Roman" w:cs="Times New Roman" w:eastAsia="Times New Roman" w:hAnsi="Times New Roman"/>
          <w:sz w:val="14"/>
          <w:szCs w:val="14"/>
          <w:color w:val="auto"/>
        </w:rPr>
      </w:pPr>
    </w:p>
    <w:p>
      <w:pPr>
        <w:ind w:left="1660" w:right="1159" w:firstLine="290"/>
        <w:spacing w:after="0" w:line="260" w:lineRule="auto"/>
        <w:tabs>
          <w:tab w:leader="none" w:pos="2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Times New Roman" w:cs="Times New Roman" w:eastAsia="Times New Roman" w:hAnsi="Times New Roman"/>
          <w:sz w:val="14"/>
          <w:szCs w:val="14"/>
          <w:u w:val="single" w:color="auto"/>
          <w:color w:val="auto"/>
        </w:rPr>
        <w:t>clauses (vi)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(xv)</w:t>
      </w:r>
      <w:r>
        <w:rPr>
          <w:rFonts w:ascii="Times New Roman" w:cs="Times New Roman" w:eastAsia="Times New Roman" w:hAnsi="Times New Roman"/>
          <w:sz w:val="14"/>
          <w:szCs w:val="14"/>
          <w:color w:val="auto"/>
        </w:rPr>
        <w:t xml:space="preserve"> of this definition of “Permitted Liens”;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new Lien shall be limited to all or part of the same property that secured the original Lien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improvements on such property), and (b) the Indebtedness secured by such Lien at such time is not increased to any amount greater than the sum of (1) the outstanding principal amount or, if greater, the committed amount of the Indebtedness described under </w:t>
      </w:r>
      <w:r>
        <w:rPr>
          <w:rFonts w:ascii="Times New Roman" w:cs="Times New Roman" w:eastAsia="Times New Roman" w:hAnsi="Times New Roman"/>
          <w:sz w:val="14"/>
          <w:szCs w:val="14"/>
          <w:u w:val="single" w:color="auto"/>
          <w:color w:val="auto"/>
        </w:rPr>
        <w:t>clauses (vi)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(viii)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(x)</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(xv)</w:t>
      </w:r>
      <w:r>
        <w:rPr>
          <w:rFonts w:ascii="Times New Roman" w:cs="Times New Roman" w:eastAsia="Times New Roman" w:hAnsi="Times New Roman"/>
          <w:sz w:val="14"/>
          <w:szCs w:val="14"/>
          <w:color w:val="auto"/>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149" w:lineRule="exact"/>
        <w:rPr>
          <w:rFonts w:ascii="Times New Roman" w:cs="Times New Roman" w:eastAsia="Times New Roman" w:hAnsi="Times New Roman"/>
          <w:sz w:val="14"/>
          <w:szCs w:val="14"/>
          <w:color w:val="auto"/>
        </w:rPr>
      </w:pPr>
    </w:p>
    <w:p>
      <w:pPr>
        <w:ind w:left="1660" w:right="1219" w:firstLine="290"/>
        <w:spacing w:after="0" w:line="191" w:lineRule="exact"/>
        <w:tabs>
          <w:tab w:leader="none" w:pos="25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deposits made or other security provided to secure liabilities to insurance carriers under insurance or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insurance arrangements in the ordinary course of business;</w:t>
      </w: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6" w:name="page137"/>
    <w:bookmarkEnd w:id="136"/>
    <w:p>
      <w:pPr>
        <w:jc w:val="both"/>
        <w:ind w:left="1660" w:right="1159" w:firstLine="290"/>
        <w:spacing w:after="0" w:line="260" w:lineRule="auto"/>
        <w:tabs>
          <w:tab w:leader="none" w:pos="2234"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Liens securing obligations (including Capitalized Lease Obligations) which do not exceed the greater of (a) $</w:t>
      </w:r>
      <w:r>
        <w:rPr>
          <w:rFonts w:ascii="Times New Roman" w:cs="Times New Roman" w:eastAsia="Times New Roman" w:hAnsi="Times New Roman"/>
          <w:sz w:val="14"/>
          <w:szCs w:val="14"/>
          <w:color w:val="FF0000"/>
          <w:strike w:val="1"/>
        </w:rPr>
        <w:t>185</w:t>
      </w:r>
      <w:r>
        <w:rPr>
          <w:rFonts w:ascii="Times New Roman" w:cs="Times New Roman" w:eastAsia="Times New Roman" w:hAnsi="Times New Roman"/>
          <w:sz w:val="14"/>
          <w:szCs w:val="14"/>
          <w:u w:val="single" w:color="auto"/>
          <w:color w:val="0000FF"/>
        </w:rPr>
        <w:t>290</w:t>
      </w:r>
      <w:r>
        <w:rPr>
          <w:rFonts w:ascii="Times New Roman" w:cs="Times New Roman" w:eastAsia="Times New Roman" w:hAnsi="Times New Roman"/>
          <w:sz w:val="14"/>
          <w:szCs w:val="14"/>
          <w:color w:val="auto"/>
        </w:rPr>
        <w:t xml:space="preserve"> million and (b) 50% of Consolidated EBITDA for the most recently ended Test Period (calculated on a Pro Forma Basis) at the time of the incurrence of such Lien;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securing Collateral such Liens shall rank junior to the Liens securing the Obligations and the Second Lien Loans; </w:t>
      </w:r>
      <w:r>
        <w:rPr>
          <w:rFonts w:ascii="Times New Roman" w:cs="Times New Roman" w:eastAsia="Times New Roman" w:hAnsi="Times New Roman"/>
          <w:sz w:val="14"/>
          <w:szCs w:val="14"/>
          <w:u w:val="single" w:color="auto"/>
          <w:color w:val="auto"/>
        </w:rPr>
        <w:t>provided further</w:t>
      </w:r>
      <w:r>
        <w:rPr>
          <w:rFonts w:ascii="Times New Roman" w:cs="Times New Roman" w:eastAsia="Times New Roman" w:hAnsi="Times New Roman"/>
          <w:sz w:val="14"/>
          <w:szCs w:val="14"/>
          <w:color w:val="auto"/>
        </w:rPr>
        <w:t xml:space="preserve"> that at the Borrower’s election, in the case of Liens securing such Permitted Other Indebtedness Obligations,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(x) in the case of the first such issuance of such Permitted Other Indebtedness, the Collateral Agent, the Administrative Agent and the representative of the holders of such Permitted Other Indebtedness Obligations shall have entered into the Second Lien Intercreditor Agreement and (y) in the case of subsequent issuances of such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as contemplated by this </w:t>
      </w:r>
      <w:r>
        <w:rPr>
          <w:rFonts w:ascii="Times New Roman" w:cs="Times New Roman" w:eastAsia="Times New Roman" w:hAnsi="Times New Roman"/>
          <w:sz w:val="14"/>
          <w:szCs w:val="14"/>
          <w:u w:val="single" w:color="auto"/>
          <w:color w:val="auto"/>
        </w:rPr>
        <w:t>clause (xx)</w:t>
      </w:r>
      <w:r>
        <w:rPr>
          <w:rFonts w:ascii="Times New Roman" w:cs="Times New Roman" w:eastAsia="Times New Roman" w:hAnsi="Times New Roman"/>
          <w:sz w:val="14"/>
          <w:szCs w:val="14"/>
          <w:color w:val="auto"/>
        </w:rPr>
        <w:t>;</w:t>
      </w:r>
    </w:p>
    <w:p>
      <w:pPr>
        <w:spacing w:after="0" w:line="146" w:lineRule="exact"/>
        <w:rPr>
          <w:rFonts w:ascii="Times New Roman" w:cs="Times New Roman" w:eastAsia="Times New Roman" w:hAnsi="Times New Roman"/>
          <w:sz w:val="14"/>
          <w:szCs w:val="14"/>
          <w:color w:val="auto"/>
        </w:rPr>
      </w:pPr>
    </w:p>
    <w:p>
      <w:pPr>
        <w:ind w:left="1660" w:right="1199" w:firstLine="290"/>
        <w:spacing w:after="0" w:line="293" w:lineRule="auto"/>
        <w:tabs>
          <w:tab w:leader="none" w:pos="25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judgments for the payment of money not constituting an Event of Default under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11.10</w:t>
      </w:r>
      <w:r>
        <w:rPr>
          <w:rFonts w:ascii="Times New Roman" w:cs="Times New Roman" w:eastAsia="Times New Roman" w:hAnsi="Times New Roman"/>
          <w:sz w:val="14"/>
          <w:szCs w:val="14"/>
          <w:color w:val="auto"/>
        </w:rPr>
        <w:t>;</w:t>
      </w:r>
    </w:p>
    <w:p>
      <w:pPr>
        <w:spacing w:after="0" w:line="123" w:lineRule="exact"/>
        <w:rPr>
          <w:rFonts w:ascii="Times New Roman" w:cs="Times New Roman" w:eastAsia="Times New Roman" w:hAnsi="Times New Roman"/>
          <w:sz w:val="14"/>
          <w:szCs w:val="14"/>
          <w:color w:val="auto"/>
        </w:rPr>
      </w:pPr>
    </w:p>
    <w:p>
      <w:pPr>
        <w:jc w:val="both"/>
        <w:ind w:left="1660" w:right="1219" w:firstLine="290"/>
        <w:spacing w:after="0" w:line="293" w:lineRule="auto"/>
        <w:tabs>
          <w:tab w:leader="none" w:pos="25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customs and revenue authorities arising as a matter of law to secure payment of customs duties in connection with the importation of goods in the ordinary course of business;</w:t>
      </w:r>
    </w:p>
    <w:p>
      <w:pPr>
        <w:spacing w:after="0" w:line="92" w:lineRule="exact"/>
        <w:rPr>
          <w:rFonts w:ascii="Times New Roman" w:cs="Times New Roman" w:eastAsia="Times New Roman" w:hAnsi="Times New Roman"/>
          <w:sz w:val="14"/>
          <w:szCs w:val="14"/>
          <w:color w:val="auto"/>
        </w:rPr>
      </w:pPr>
    </w:p>
    <w:p>
      <w:pPr>
        <w:jc w:val="both"/>
        <w:ind w:left="1660" w:right="1159" w:firstLine="290"/>
        <w:spacing w:after="0" w:line="187" w:lineRule="exact"/>
        <w:tabs>
          <w:tab w:leader="none" w:pos="252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 of a collection bank arising under Section 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210 of the Uniform Commercial Code or any comparable or successor provision on items in the course of collection, (b) attaching to commodity trading accounts or other commodity brokerage accounts incurred in the ordinary course of business, and</w:t>
      </w:r>
    </w:p>
    <w:p>
      <w:pPr>
        <w:spacing w:after="0" w:line="1" w:lineRule="exact"/>
        <w:rPr>
          <w:rFonts w:ascii="Times New Roman" w:cs="Times New Roman" w:eastAsia="Times New Roman" w:hAnsi="Times New Roman"/>
          <w:sz w:val="14"/>
          <w:szCs w:val="14"/>
          <w:color w:val="auto"/>
        </w:rPr>
      </w:pPr>
    </w:p>
    <w:p>
      <w:pPr>
        <w:jc w:val="both"/>
        <w:ind w:left="1660" w:right="1159" w:firstLine="4"/>
        <w:spacing w:after="0" w:line="172" w:lineRule="exact"/>
        <w:tabs>
          <w:tab w:leader="none" w:pos="1864"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favor of banking or other financial institutions or other electronic payment service providers arising as a matter of law encumbering deposits (including the right of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and which are within the general parameters customary in the banking or finance industry;</w:t>
      </w:r>
    </w:p>
    <w:p>
      <w:pPr>
        <w:spacing w:after="0" w:line="159"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deemed to exist in connection with Investments in repurchase agreements permitted under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Liens do not extend to any assets other than those that are the subject of such repurchase agreement;</w:t>
      </w:r>
    </w:p>
    <w:p>
      <w:pPr>
        <w:spacing w:after="0" w:line="135" w:lineRule="exact"/>
        <w:rPr>
          <w:rFonts w:ascii="Times New Roman" w:cs="Times New Roman" w:eastAsia="Times New Roman" w:hAnsi="Times New Roman"/>
          <w:sz w:val="14"/>
          <w:szCs w:val="14"/>
          <w:color w:val="auto"/>
        </w:rPr>
      </w:pPr>
    </w:p>
    <w:p>
      <w:pPr>
        <w:jc w:val="both"/>
        <w:ind w:left="1660" w:right="1159" w:firstLine="290"/>
        <w:spacing w:after="0" w:line="275" w:lineRule="auto"/>
        <w:tabs>
          <w:tab w:leader="none" w:pos="2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03" w:lineRule="exact"/>
        <w:rPr>
          <w:rFonts w:ascii="Times New Roman" w:cs="Times New Roman" w:eastAsia="Times New Roman" w:hAnsi="Times New Roman"/>
          <w:sz w:val="14"/>
          <w:szCs w:val="14"/>
          <w:color w:val="auto"/>
        </w:rPr>
      </w:pPr>
    </w:p>
    <w:p>
      <w:pPr>
        <w:jc w:val="both"/>
        <w:ind w:left="1660" w:right="1159" w:firstLine="290"/>
        <w:spacing w:after="0" w:line="180" w:lineRule="exact"/>
        <w:tabs>
          <w:tab w:leader="none" w:pos="2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that are contractual rights of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 relating to the establishment of depository relations with banks not given in connection with the issuance of Indebtedness, (b) relating to pooled deposits or sweep accounts of the Borrower or any of the Restricted Subsidiaries to permit satisfaction of overdraft or similar obligations incurred in the ordinary course of business of the Borrower and the Restricted Subsidiaries, or (c) relating to purchase orders and other agreements entered into by the Borrower or any of the Restricted Subsidiaries in the ordinary course of business;</w:t>
      </w:r>
    </w:p>
    <w:p>
      <w:pPr>
        <w:spacing w:after="0" w:line="161" w:lineRule="exact"/>
        <w:rPr>
          <w:rFonts w:ascii="Times New Roman" w:cs="Times New Roman" w:eastAsia="Times New Roman" w:hAnsi="Times New Roman"/>
          <w:sz w:val="14"/>
          <w:szCs w:val="14"/>
          <w:color w:val="auto"/>
        </w:rPr>
      </w:pPr>
    </w:p>
    <w:p>
      <w:pPr>
        <w:jc w:val="both"/>
        <w:ind w:left="1660" w:right="1159" w:firstLine="290"/>
        <w:spacing w:after="0" w:line="268" w:lineRule="auto"/>
        <w:tabs>
          <w:tab w:leader="none" w:pos="2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 solely on any cash earnest money deposits made by the Borrower or any of the Restricted Subsidiaries in connection with any letter of intent or purchase agreement permitted under this Agreement or (b) consisting of an agreement to dispose of any property pursuant to a disposition permitted hereunder;</w:t>
      </w:r>
    </w:p>
    <w:p>
      <w:pPr>
        <w:spacing w:after="0" w:line="141" w:lineRule="exact"/>
        <w:rPr>
          <w:rFonts w:ascii="Times New Roman" w:cs="Times New Roman" w:eastAsia="Times New Roman" w:hAnsi="Times New Roman"/>
          <w:sz w:val="14"/>
          <w:szCs w:val="14"/>
          <w:color w:val="auto"/>
        </w:rPr>
      </w:pPr>
    </w:p>
    <w:p>
      <w:pPr>
        <w:jc w:val="both"/>
        <w:ind w:left="1660" w:right="1159" w:firstLine="290"/>
        <w:spacing w:after="0" w:line="268" w:lineRule="auto"/>
        <w:tabs>
          <w:tab w:leader="none" w:pos="2520" w:val="left"/>
        </w:tabs>
        <w:numPr>
          <w:ilvl w:val="1"/>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rights reserved or vested in any Person by the terms of any lease, license, franchise, grant, or permit held by the Borrower or any of the Restricted Subsidiaries or by a statutory provision, to terminate any such lease, license, franchise, grant, or permit, or to require annual or periodic payments as a condition to the continuance thereof;</w:t>
      </w:r>
    </w:p>
    <w:p>
      <w:pPr>
        <w:spacing w:after="0" w:line="2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7" w:name="page138"/>
    <w:bookmarkEnd w:id="137"/>
    <w:p>
      <w:pPr>
        <w:ind w:left="1660" w:right="1159" w:firstLine="290"/>
        <w:spacing w:after="0" w:line="293" w:lineRule="auto"/>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restrictive covenants affecting the use to which real property may be put;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covenants are complied with;</w:t>
      </w:r>
    </w:p>
    <w:p>
      <w:pPr>
        <w:spacing w:after="0" w:line="123" w:lineRule="exact"/>
        <w:rPr>
          <w:rFonts w:ascii="Times New Roman" w:cs="Times New Roman" w:eastAsia="Times New Roman" w:hAnsi="Times New Roman"/>
          <w:sz w:val="14"/>
          <w:szCs w:val="14"/>
          <w:color w:val="auto"/>
        </w:rPr>
      </w:pPr>
    </w:p>
    <w:p>
      <w:pPr>
        <w:ind w:left="1660" w:right="1159" w:firstLine="290"/>
        <w:spacing w:after="0" w:line="286" w:lineRule="auto"/>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given to a public utility or any municipality or governmental authority when required by such utility or authority in connection with the operations of that Person in the ordinary course of business;</w:t>
      </w:r>
    </w:p>
    <w:p>
      <w:pPr>
        <w:spacing w:after="0" w:line="273" w:lineRule="exact"/>
        <w:rPr>
          <w:rFonts w:ascii="Times New Roman" w:cs="Times New Roman" w:eastAsia="Times New Roman" w:hAnsi="Times New Roman"/>
          <w:sz w:val="14"/>
          <w:szCs w:val="14"/>
          <w:color w:val="auto"/>
        </w:rPr>
      </w:pPr>
    </w:p>
    <w:p>
      <w:pPr>
        <w:ind w:left="1660" w:right="1219" w:firstLine="290"/>
        <w:spacing w:after="0" w:line="195" w:lineRule="exact"/>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zoning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laws and other land use restrictions, including, without limitation, site plan agreements, development agreements, and contract zoning agreements;</w:t>
      </w:r>
    </w:p>
    <w:p>
      <w:pPr>
        <w:spacing w:after="0" w:line="158" w:lineRule="exact"/>
        <w:rPr>
          <w:rFonts w:ascii="Times New Roman" w:cs="Times New Roman" w:eastAsia="Times New Roman" w:hAnsi="Times New Roman"/>
          <w:sz w:val="14"/>
          <w:szCs w:val="14"/>
          <w:color w:val="auto"/>
        </w:rPr>
      </w:pPr>
    </w:p>
    <w:p>
      <w:pPr>
        <w:jc w:val="both"/>
        <w:ind w:left="1660" w:right="1159" w:firstLine="290"/>
        <w:spacing w:after="0" w:line="286" w:lineRule="auto"/>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out of conditional sale, title retention, consignment, or similar arrangements for sale of goods entered into by the Borrower or any Restricted Subsidiary in the ordinary course of business;</w:t>
      </w:r>
    </w:p>
    <w:p>
      <w:pPr>
        <w:spacing w:after="0" w:line="304" w:lineRule="exact"/>
        <w:rPr>
          <w:rFonts w:ascii="Times New Roman" w:cs="Times New Roman" w:eastAsia="Times New Roman" w:hAnsi="Times New Roman"/>
          <w:sz w:val="14"/>
          <w:szCs w:val="14"/>
          <w:color w:val="auto"/>
        </w:rPr>
      </w:pPr>
    </w:p>
    <w:p>
      <w:pPr>
        <w:ind w:left="2520" w:hanging="570"/>
        <w:spacing w:after="0"/>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under the Security Documents;</w:t>
      </w:r>
    </w:p>
    <w:p>
      <w:pPr>
        <w:spacing w:after="0" w:line="183" w:lineRule="exact"/>
        <w:rPr>
          <w:rFonts w:ascii="Times New Roman" w:cs="Times New Roman" w:eastAsia="Times New Roman" w:hAnsi="Times New Roman"/>
          <w:sz w:val="14"/>
          <w:szCs w:val="14"/>
          <w:color w:val="auto"/>
        </w:rPr>
      </w:pPr>
    </w:p>
    <w:p>
      <w:pPr>
        <w:jc w:val="both"/>
        <w:ind w:left="1660" w:right="1179" w:firstLine="290"/>
        <w:spacing w:after="0" w:line="293" w:lineRule="auto"/>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goods purchased in the ordinary course of business, the purchase price of which is financed by a documentary letter of credit issued for the account of the Borrower or any of its Subsidiaries;</w:t>
      </w:r>
    </w:p>
    <w:p>
      <w:pPr>
        <w:spacing w:after="0" w:line="123" w:lineRule="exact"/>
        <w:rPr>
          <w:rFonts w:ascii="Times New Roman" w:cs="Times New Roman" w:eastAsia="Times New Roman" w:hAnsi="Times New Roman"/>
          <w:sz w:val="14"/>
          <w:szCs w:val="14"/>
          <w:color w:val="auto"/>
        </w:rPr>
      </w:pPr>
    </w:p>
    <w:p>
      <w:pPr>
        <w:jc w:val="both"/>
        <w:ind w:left="1660" w:right="1159" w:firstLine="290"/>
        <w:spacing w:after="0" w:line="266" w:lineRule="auto"/>
        <w:tabs>
          <w:tab w:leader="none" w:pos="2520" w:val="left"/>
        </w:tabs>
        <w:numPr>
          <w:ilvl w:val="1"/>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Liens on Equity Interests in joint ventures;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Lien is in favor of a creditor of such joint venture and such creditor is not an Affiliate of any partner to such joint venture and</w:t>
      </w:r>
    </w:p>
    <w:p>
      <w:pPr>
        <w:spacing w:after="0" w:line="1" w:lineRule="exact"/>
        <w:rPr>
          <w:rFonts w:ascii="Times New Roman" w:cs="Times New Roman" w:eastAsia="Times New Roman" w:hAnsi="Times New Roman"/>
          <w:sz w:val="14"/>
          <w:szCs w:val="14"/>
          <w:color w:val="auto"/>
        </w:rPr>
      </w:pPr>
    </w:p>
    <w:p>
      <w:pPr>
        <w:ind w:left="1660" w:right="1159" w:firstLine="4"/>
        <w:spacing w:after="0" w:line="273" w:lineRule="auto"/>
        <w:tabs>
          <w:tab w:leader="none" w:pos="1866"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options, call, and similar rights of, and restrictions for the benefit of, a third party with respect to Equity Interests held by the Borrower or any Restricted Subsidiary in joint ventures;</w:t>
      </w:r>
    </w:p>
    <w:p>
      <w:pPr>
        <w:spacing w:after="0" w:line="136" w:lineRule="exact"/>
        <w:rPr>
          <w:rFonts w:ascii="Times New Roman" w:cs="Times New Roman" w:eastAsia="Times New Roman" w:hAnsi="Times New Roman"/>
          <w:sz w:val="14"/>
          <w:szCs w:val="14"/>
          <w:color w:val="auto"/>
        </w:rPr>
      </w:pPr>
    </w:p>
    <w:p>
      <w:pPr>
        <w:jc w:val="both"/>
        <w:ind w:left="1660" w:right="1159" w:firstLine="290"/>
        <w:spacing w:after="0" w:line="262" w:lineRule="auto"/>
        <w:tabs>
          <w:tab w:leader="none" w:pos="25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on cash and Cash Equivalents that are earmarked to be used to satisfy or discharge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(a) 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47" w:lineRule="exact"/>
        <w:rPr>
          <w:rFonts w:ascii="Times New Roman" w:cs="Times New Roman" w:eastAsia="Times New Roman" w:hAnsi="Times New Roman"/>
          <w:sz w:val="14"/>
          <w:szCs w:val="14"/>
          <w:color w:val="auto"/>
        </w:rPr>
      </w:pPr>
    </w:p>
    <w:p>
      <w:pPr>
        <w:ind w:left="1660" w:right="1199" w:firstLine="290"/>
        <w:spacing w:after="0" w:line="293" w:lineRule="auto"/>
        <w:tabs>
          <w:tab w:leader="none" w:pos="2568"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Foreign Subsidiary, other Liens and privileges arising mandatorily by any Requirements of Law;</w:t>
      </w:r>
    </w:p>
    <w:p>
      <w:pPr>
        <w:spacing w:after="0" w:line="123" w:lineRule="exact"/>
        <w:rPr>
          <w:rFonts w:ascii="Times New Roman" w:cs="Times New Roman" w:eastAsia="Times New Roman" w:hAnsi="Times New Roman"/>
          <w:sz w:val="14"/>
          <w:szCs w:val="14"/>
          <w:color w:val="auto"/>
        </w:rPr>
      </w:pPr>
    </w:p>
    <w:p>
      <w:pPr>
        <w:ind w:left="1660" w:right="1199" w:firstLine="290"/>
        <w:spacing w:after="0" w:line="293" w:lineRule="auto"/>
        <w:tabs>
          <w:tab w:leader="none" w:pos="25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pursuant to a Requirements of Law, Liens on cash or Permitted Investments securing Swap Obligations in the ordinary course of business; and</w:t>
      </w:r>
    </w:p>
    <w:p>
      <w:pPr>
        <w:spacing w:after="0" w:line="123" w:lineRule="exact"/>
        <w:rPr>
          <w:rFonts w:ascii="Times New Roman" w:cs="Times New Roman" w:eastAsia="Times New Roman" w:hAnsi="Times New Roman"/>
          <w:sz w:val="14"/>
          <w:szCs w:val="14"/>
          <w:color w:val="auto"/>
        </w:rPr>
      </w:pPr>
    </w:p>
    <w:p>
      <w:pPr>
        <w:ind w:left="1660" w:right="1179" w:firstLine="290"/>
        <w:spacing w:after="0" w:line="293" w:lineRule="auto"/>
        <w:tabs>
          <w:tab w:leader="none" w:pos="2520"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any Mortgaged Property, the matters listed as exceptions to title on Schedule B of the final Title Policy covering such Mortgaged Property delivered to the Collateral Agent.</w:t>
      </w:r>
    </w:p>
    <w:p>
      <w:pPr>
        <w:spacing w:after="0" w:line="123" w:lineRule="exact"/>
        <w:rPr>
          <w:sz w:val="20"/>
          <w:szCs w:val="20"/>
          <w:color w:val="auto"/>
        </w:rPr>
      </w:pPr>
    </w:p>
    <w:p>
      <w:pPr>
        <w:ind w:left="1140" w:right="1159" w:firstLine="517"/>
        <w:spacing w:after="0" w:line="293" w:lineRule="auto"/>
        <w:rPr>
          <w:sz w:val="20"/>
          <w:szCs w:val="20"/>
          <w:color w:val="auto"/>
        </w:rPr>
      </w:pPr>
      <w:r>
        <w:rPr>
          <w:rFonts w:ascii="Times New Roman" w:cs="Times New Roman" w:eastAsia="Times New Roman" w:hAnsi="Times New Roman"/>
          <w:sz w:val="14"/>
          <w:szCs w:val="14"/>
          <w:color w:val="auto"/>
        </w:rPr>
        <w:t>For purposes of this definition, the term “Indebtedness” shall be deemed to include interest on, and fees, expenses and other obligations payable with respect to, such Indebtedness.</w:t>
      </w:r>
    </w:p>
    <w:p>
      <w:pPr>
        <w:spacing w:after="0" w:line="121" w:lineRule="exact"/>
        <w:rPr>
          <w:sz w:val="20"/>
          <w:szCs w:val="20"/>
          <w:color w:val="auto"/>
        </w:rPr>
      </w:pPr>
    </w:p>
    <w:p>
      <w:pPr>
        <w:ind w:left="1140" w:right="115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Other Indebtedness</w:t>
      </w:r>
      <w:r>
        <w:rPr>
          <w:rFonts w:ascii="Times New Roman" w:cs="Times New Roman" w:eastAsia="Times New Roman" w:hAnsi="Times New Roman"/>
          <w:sz w:val="14"/>
          <w:szCs w:val="14"/>
          <w:color w:val="auto"/>
        </w:rPr>
        <w:t xml:space="preserve">” shall mean subordinated or senior Indebtedness (which Indebtedness may (i) be unsecured, (ii) have the same lien priority as the First Lien Obligations (without regard to control of remedies);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Permitted Other Indebtedness is in the form of secured first lien term loans, then such Permitted Other Indebtedness shall be subject to any applicable MFN Protection as if such loans were New Term Loans, or (iii) be secured by a Lien ranking junior to the Liens securing the First Lien Obligations), in each case issued or incurred by the Borrower or a Guarantor, (a) the terms of which do not provide for any scheduled repayment, mandatory repayment, or redemption or sinking fund obligations prior to, at the time of incurrence, the Latest Term Loan Maturity Date (other than, in each case, customary offers or obligations to repurchase or repay upon a change of control, excess cash flow sweep, asset sale, or casualty or condemnation event, AHYDO payments and customary acceleration rights after an event of default), (b) the covenants, taken as a whole, are not materially more restrictive to the Borrower and the Restricted Subsidiaries than those herein (taken as a whole) (except for covenants applicable only to the periods after the Latest Term Loan Maturity Date) (it being</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8" w:name="page139"/>
    <w:bookmarkEnd w:id="138"/>
    <w:p>
      <w:pPr>
        <w:ind w:left="1140" w:right="1159"/>
        <w:spacing w:after="0" w:line="259" w:lineRule="auto"/>
        <w:rPr>
          <w:sz w:val="20"/>
          <w:szCs w:val="20"/>
          <w:color w:val="auto"/>
        </w:rPr>
      </w:pPr>
      <w:r>
        <w:rPr>
          <w:rFonts w:ascii="Times New Roman" w:cs="Times New Roman" w:eastAsia="Times New Roman" w:hAnsi="Times New Roman"/>
          <w:sz w:val="14"/>
          <w:szCs w:val="14"/>
          <w:color w:val="auto"/>
        </w:rPr>
        <w:t xml:space="preserve">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are only applicable after the Latest Term Loan Maturity Date at the time of such refinancing);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 which it disagrees), (c) of which no Subsidiary of the Borrower (other than the Borrower or a Guarantor) is an obligor, (d) that, if secured, is not secured by a lien any assets of the Borrower or its Subsidiaries other than the Collateral and (e) the other terms of which shall be on terms and documentation as determined by the Borrower and the lenders providing such Indebtedness.</w:t>
      </w:r>
    </w:p>
    <w:p>
      <w:pPr>
        <w:spacing w:after="0" w:line="145" w:lineRule="exact"/>
        <w:rPr>
          <w:sz w:val="20"/>
          <w:szCs w:val="20"/>
          <w:color w:val="auto"/>
        </w:rPr>
      </w:pPr>
    </w:p>
    <w:p>
      <w:pPr>
        <w:ind w:left="1140" w:right="11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Other Indebtedness Documents</w:t>
      </w:r>
      <w:r>
        <w:rPr>
          <w:rFonts w:ascii="Times New Roman" w:cs="Times New Roman" w:eastAsia="Times New Roman" w:hAnsi="Times New Roman"/>
          <w:sz w:val="14"/>
          <w:szCs w:val="14"/>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133" w:lineRule="exact"/>
        <w:rPr>
          <w:sz w:val="20"/>
          <w:szCs w:val="20"/>
          <w:color w:val="auto"/>
        </w:rPr>
      </w:pPr>
    </w:p>
    <w:p>
      <w:pPr>
        <w:ind w:left="1140" w:right="115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Other Indebtedness Obligations</w:t>
      </w:r>
      <w:r>
        <w:rPr>
          <w:rFonts w:ascii="Times New Roman" w:cs="Times New Roman" w:eastAsia="Times New Roman" w:hAnsi="Times New Roman"/>
          <w:sz w:val="14"/>
          <w:szCs w:val="14"/>
          <w:color w:val="auto"/>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spacing w:after="0" w:line="145"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Other Indebtedness Secured Parties</w:t>
      </w:r>
      <w:r>
        <w:rPr>
          <w:rFonts w:ascii="Times New Roman" w:cs="Times New Roman" w:eastAsia="Times New Roman" w:hAnsi="Times New Roman"/>
          <w:sz w:val="14"/>
          <w:szCs w:val="14"/>
          <w:color w:val="auto"/>
        </w:rPr>
        <w:t>” shall mean the holders from time to time of secured Permitted Other Indebtedness Obligations (and any representative on their behalf).</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Other Provision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Repricing Amendment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1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Sale Leaseback</w:t>
      </w:r>
      <w:r>
        <w:rPr>
          <w:rFonts w:ascii="Times New Roman" w:cs="Times New Roman" w:eastAsia="Times New Roman" w:hAnsi="Times New Roman"/>
          <w:sz w:val="14"/>
          <w:szCs w:val="14"/>
          <w:color w:val="auto"/>
        </w:rPr>
        <w:t xml:space="preserve">” shall mean any Sale Leaseback consummated by the Borrower or any of the Restricted Subsidiaries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Sale Leaseback not between the Borrower and a Restricted Subsidiary is consummated for fair value as determined at the time of consummation in good faith by (i) the Borrower or such Restricted Subsidiary or (ii) in the case of any Sale Leaseback (or series of related Sale Leasebacks) the aggregate proceeds of which exceed the greater of (a) $</w:t>
      </w:r>
      <w:r>
        <w:rPr>
          <w:rFonts w:ascii="Times New Roman" w:cs="Times New Roman" w:eastAsia="Times New Roman" w:hAnsi="Times New Roman"/>
          <w:sz w:val="14"/>
          <w:szCs w:val="14"/>
          <w:color w:val="FF0000"/>
          <w:strike w:val="1"/>
        </w:rPr>
        <w:t>150</w:t>
      </w:r>
      <w:r>
        <w:rPr>
          <w:rFonts w:ascii="Times New Roman" w:cs="Times New Roman" w:eastAsia="Times New Roman" w:hAnsi="Times New Roman"/>
          <w:sz w:val="14"/>
          <w:szCs w:val="14"/>
          <w:u w:val="single" w:color="auto"/>
          <w:color w:val="0000FF"/>
        </w:rPr>
        <w:t>235</w:t>
      </w:r>
      <w:r>
        <w:rPr>
          <w:rFonts w:ascii="Times New Roman" w:cs="Times New Roman" w:eastAsia="Times New Roman" w:hAnsi="Times New Roman"/>
          <w:sz w:val="14"/>
          <w:szCs w:val="14"/>
          <w:color w:val="auto"/>
        </w:rPr>
        <w:t xml:space="preserve"> million and (b) 40% of Consolidated EBITDA for the most recently ended Test Period (calculated on a Pro Forma Basis) at the time of the incurrence of such Sale Leaseback, the board of directors (or analogous governing body) of the Borrower or such Restricted Subsidiary (which such determination may take into account any retained interest or other Investment of the Borrower or such Restricted Subsidiary in connection with, and any other material economic terms of, such Sale Leaseback).</w:t>
      </w:r>
    </w:p>
    <w:p>
      <w:pPr>
        <w:spacing w:after="0" w:line="318"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Second Lien Exchange Notes</w:t>
      </w:r>
      <w:r>
        <w:rPr>
          <w:rFonts w:ascii="Times New Roman" w:cs="Times New Roman" w:eastAsia="Times New Roman" w:hAnsi="Times New Roman"/>
          <w:sz w:val="14"/>
          <w:szCs w:val="14"/>
          <w:color w:val="auto"/>
        </w:rPr>
        <w:t>” shall mean “Permitted Debt Exchange Notes” as defined in the Second Lien Credit Agreement that are permitted by the terms of this Agreement and the other Credit Documents.</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39" w:name="page140"/>
    <w:bookmarkEnd w:id="139"/>
    <w:p>
      <w:pPr>
        <w:ind w:left="1140" w:right="119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Transferees</w:t>
      </w:r>
      <w:r>
        <w:rPr>
          <w:rFonts w:ascii="Times New Roman" w:cs="Times New Roman" w:eastAsia="Times New Roman" w:hAnsi="Times New Roman"/>
          <w:sz w:val="14"/>
          <w:szCs w:val="14"/>
          <w:color w:val="auto"/>
        </w:rPr>
        <w:t>” shall mean, with respect to any Person that is a natural person (and any Permitted Transferee of such Person), (a) such Person’s Immediate Family Members, including his or her spouse, ex-spouse, children, step-children and their respective lineal descendants and (b) without duplication with any of the foregoing, such Person’s heirs, executors and/or administrators upon the death of such Person and any other Person who was an Affiliate of such Person upon the death of such Person and who, upon such death, directly or indirectly owned Equity Interests in the Borrower or any other IPO Entity.</w:t>
      </w:r>
    </w:p>
    <w:p>
      <w:pPr>
        <w:spacing w:after="0" w:line="143"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Person</w:t>
      </w:r>
      <w:r>
        <w:rPr>
          <w:rFonts w:ascii="Times New Roman" w:cs="Times New Roman" w:eastAsia="Times New Roman" w:hAnsi="Times New Roman"/>
          <w:sz w:val="14"/>
          <w:szCs w:val="14"/>
          <w:color w:val="auto"/>
        </w:rPr>
        <w:t>” shall mean any individual, partnership, joint venture, firm, corporation, limited liability company, association, trust, or other enterprise or any Governmental Authority.</w:t>
      </w:r>
    </w:p>
    <w:p>
      <w:pPr>
        <w:spacing w:after="0" w:line="119"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Pharmaceutical Purchasing/Distribution Term Sheet</w:t>
      </w:r>
      <w:r>
        <w:rPr>
          <w:rFonts w:ascii="Times New Roman" w:cs="Times New Roman" w:eastAsia="Times New Roman" w:hAnsi="Times New Roman"/>
          <w:sz w:val="14"/>
          <w:szCs w:val="14"/>
          <w:color w:val="auto"/>
        </w:rPr>
        <w:t>” shall mean the binding term sheet dated as of August 1, 2017, between the Company, WBA and a major pharmaceutical wholesaler.</w:t>
      </w:r>
    </w:p>
    <w:p>
      <w:pPr>
        <w:spacing w:after="0" w:line="119" w:lineRule="exact"/>
        <w:rPr>
          <w:sz w:val="20"/>
          <w:szCs w:val="20"/>
          <w:color w:val="auto"/>
        </w:rPr>
      </w:pPr>
    </w:p>
    <w:p>
      <w:pPr>
        <w:ind w:left="1140" w:right="115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with respect to any such plan that is subject to Title IV of ERISA, Section 302 of ERISA or Section 412 of the Code, any ERISA Affiliate is (or, if such plan were terminated, would under Section 4062 or Section 4069 of ERISA be reasonably likely to be deemed to be) an “employer” as defined in Section 3(5) of ERISA.</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Planned Expenditures</w:t>
      </w:r>
      <w:r>
        <w:rPr>
          <w:rFonts w:ascii="Times New Roman" w:cs="Times New Roman" w:eastAsia="Times New Roman" w:hAnsi="Times New Roman"/>
          <w:sz w:val="14"/>
          <w:szCs w:val="14"/>
          <w:color w:val="auto"/>
        </w:rPr>
        <w:t>” shall have the meaning provided in the definition of the term Excess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Cash Flow.</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Platform</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13.17(a)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5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Pledge Agreement</w:t>
      </w:r>
      <w:r>
        <w:rPr>
          <w:rFonts w:ascii="Times New Roman" w:cs="Times New Roman" w:eastAsia="Times New Roman" w:hAnsi="Times New Roman"/>
          <w:sz w:val="14"/>
          <w:szCs w:val="14"/>
          <w:color w:val="auto"/>
        </w:rPr>
        <w:t xml:space="preserve">” shall mean the First Lien Pledge Agreement entered into by the Credit Parties party thereto and the Collateral Agent for the benefit of the Secured Parties, substantially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w:t>
      </w:r>
    </w:p>
    <w:p>
      <w:pPr>
        <w:spacing w:after="0" w:line="104" w:lineRule="exact"/>
        <w:rPr>
          <w:sz w:val="20"/>
          <w:szCs w:val="20"/>
          <w:color w:val="auto"/>
        </w:rPr>
      </w:pPr>
    </w:p>
    <w:p>
      <w:pPr>
        <w:ind w:left="1140" w:right="1419" w:firstLine="1033"/>
        <w:spacing w:after="0" w:line="18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Acquisition Period</w:t>
      </w:r>
      <w:r>
        <w:rPr>
          <w:rFonts w:ascii="Times New Roman" w:cs="Times New Roman" w:eastAsia="Times New Roman" w:hAnsi="Times New Roman"/>
          <w:sz w:val="14"/>
          <w:szCs w:val="14"/>
          <w:color w:val="auto"/>
        </w:rPr>
        <w:t>” shall mean, with respect to any Permitted Acquisition, the period beginning on the date such Permitted Acquisition is consummated and ending on the last day of the eighth full consecutive fiscal quarter immediately following the date on which such Permitted Acquisition is consummated.</w:t>
      </w:r>
    </w:p>
    <w:p>
      <w:pPr>
        <w:spacing w:after="0" w:line="158" w:lineRule="exact"/>
        <w:rPr>
          <w:sz w:val="20"/>
          <w:szCs w:val="20"/>
          <w:color w:val="auto"/>
        </w:rPr>
      </w:pPr>
    </w:p>
    <w:p>
      <w:pPr>
        <w:ind w:left="1140" w:right="13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Post-Closing Option Lender</w:t>
      </w:r>
      <w:r>
        <w:rPr>
          <w:rFonts w:ascii="Times New Roman" w:cs="Times New Roman" w:eastAsia="Times New Roman" w:hAnsi="Times New Roman"/>
          <w:sz w:val="14"/>
          <w:szCs w:val="14"/>
          <w:color w:val="auto"/>
        </w:rPr>
        <w:t>” shall mean each Existing Term Loan Lender that has executed and delivered a Consent to Amendment No. 1 under the “Post-Closing Settlement Option.”</w:t>
      </w:r>
    </w:p>
    <w:p>
      <w:pPr>
        <w:spacing w:after="0" w:line="119"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Post-Closing Option Tranche B-1 Lender</w:t>
      </w:r>
      <w:r>
        <w:rPr>
          <w:rFonts w:ascii="Times New Roman" w:cs="Times New Roman" w:eastAsia="Times New Roman" w:hAnsi="Times New Roman"/>
          <w:sz w:val="14"/>
          <w:szCs w:val="14"/>
          <w:u w:val="single" w:color="auto"/>
          <w:color w:val="0000FF"/>
        </w:rPr>
        <w:t>” shall mean each Existing Tranche B-1 Term Loan Lender that has executed and delivered a Consent to Amendment No. 7 under the “Post-Closing Settlement Option” with respect to its Tranche B-1 Term Loans.</w:t>
      </w:r>
    </w:p>
    <w:p>
      <w:pPr>
        <w:spacing w:after="0" w:line="133"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Post-Closing Option Tranche B-1/B-3 Lender</w:t>
      </w:r>
      <w:r>
        <w:rPr>
          <w:rFonts w:ascii="Times New Roman" w:cs="Times New Roman" w:eastAsia="Times New Roman" w:hAnsi="Times New Roman"/>
          <w:sz w:val="14"/>
          <w:szCs w:val="14"/>
          <w:u w:val="single" w:color="auto"/>
          <w:color w:val="0000FF"/>
        </w:rPr>
        <w:t>” shall mean each Post-Closing Option Tranche B-1 Lender and Post-Closing Option Tranche B-3 Lender, as applicable.</w:t>
      </w:r>
    </w:p>
    <w:p>
      <w:pPr>
        <w:spacing w:after="0" w:line="119" w:lineRule="exact"/>
        <w:rPr>
          <w:sz w:val="20"/>
          <w:szCs w:val="20"/>
          <w:color w:val="auto"/>
        </w:rPr>
      </w:pPr>
    </w:p>
    <w:p>
      <w:pPr>
        <w:jc w:val="both"/>
        <w:ind w:left="1140" w:right="1159" w:firstLine="517"/>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Post-Closing Option Tranche B-2 Lender</w:t>
      </w:r>
      <w:r>
        <w:rPr>
          <w:rFonts w:ascii="Times New Roman" w:cs="Times New Roman" w:eastAsia="Times New Roman" w:hAnsi="Times New Roman"/>
          <w:sz w:val="14"/>
          <w:szCs w:val="14"/>
          <w:u w:val="single" w:color="auto"/>
          <w:color w:val="0000FF"/>
        </w:rPr>
        <w:t>” shall mean each Existing Tranche B-2 Term Loan Lender that has executed and delivered a Consent to Amendment No. 4 under the “Post-Closing Settlement Option.”</w:t>
      </w:r>
    </w:p>
    <w:p>
      <w:pPr>
        <w:spacing w:after="0" w:line="119" w:lineRule="exact"/>
        <w:rPr>
          <w:sz w:val="20"/>
          <w:szCs w:val="20"/>
          <w:color w:val="auto"/>
        </w:rPr>
      </w:pPr>
    </w:p>
    <w:p>
      <w:pPr>
        <w:jc w:val="both"/>
        <w:ind w:left="1140" w:right="1159" w:firstLine="517"/>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Post-Closing Option Tranche B</w:t>
      </w:r>
      <w:r>
        <w:rPr>
          <w:rFonts w:ascii="Times New Roman" w:cs="Times New Roman" w:eastAsia="Times New Roman" w:hAnsi="Times New Roman"/>
          <w:sz w:val="14"/>
          <w:szCs w:val="14"/>
          <w:b w:val="1"/>
          <w:bCs w:val="1"/>
          <w:color w:val="FF0000"/>
          <w:strike w:val="1"/>
        </w:rPr>
        <w:t>-2</w:t>
      </w:r>
      <w:r>
        <w:rPr>
          <w:rFonts w:ascii="Times New Roman" w:cs="Times New Roman" w:eastAsia="Times New Roman" w:hAnsi="Times New Roman"/>
          <w:sz w:val="14"/>
          <w:szCs w:val="14"/>
          <w:b w:val="1"/>
          <w:bCs w:val="1"/>
          <w:u w:val="single" w:color="auto"/>
          <w:color w:val="0000FF"/>
        </w:rPr>
        <w:t>-3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shall mean each Existing Tranche B</w:t>
      </w:r>
      <w:r>
        <w:rPr>
          <w:rFonts w:ascii="Times New Roman" w:cs="Times New Roman" w:eastAsia="Times New Roman" w:hAnsi="Times New Roman"/>
          <w:sz w:val="14"/>
          <w:szCs w:val="14"/>
          <w:color w:val="FF0000"/>
          <w:strike w:val="1"/>
        </w:rPr>
        <w:t>-2</w:t>
      </w:r>
      <w:r>
        <w:rPr>
          <w:rFonts w:ascii="Times New Roman" w:cs="Times New Roman" w:eastAsia="Times New Roman" w:hAnsi="Times New Roman"/>
          <w:sz w:val="14"/>
          <w:szCs w:val="14"/>
          <w:u w:val="single" w:color="auto"/>
          <w:color w:val="0000FF"/>
        </w:rPr>
        <w:t>-3</w:t>
      </w:r>
      <w:r>
        <w:rPr>
          <w:rFonts w:ascii="Times New Roman" w:cs="Times New Roman" w:eastAsia="Times New Roman" w:hAnsi="Times New Roman"/>
          <w:sz w:val="14"/>
          <w:szCs w:val="14"/>
          <w:color w:val="auto"/>
        </w:rPr>
        <w:t xml:space="preserve"> Term Loan Lender that has executed and delivered a Consent to Amendment No. </w:t>
      </w:r>
      <w:r>
        <w:rPr>
          <w:rFonts w:ascii="Times New Roman" w:cs="Times New Roman" w:eastAsia="Times New Roman" w:hAnsi="Times New Roman"/>
          <w:sz w:val="14"/>
          <w:szCs w:val="14"/>
          <w:color w:val="FF0000"/>
          <w:strike w:val="1"/>
        </w:rPr>
        <w:t>4</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auto"/>
        </w:rPr>
        <w:t xml:space="preserve"> under the “Post-Closing Settlement Option</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with respect to its Tranche B-3 Term Loans.</w:t>
      </w:r>
    </w:p>
    <w:p>
      <w:pPr>
        <w:spacing w:after="0" w:line="133" w:lineRule="exact"/>
        <w:rPr>
          <w:sz w:val="20"/>
          <w:szCs w:val="20"/>
          <w:color w:val="auto"/>
        </w:rPr>
      </w:pPr>
    </w:p>
    <w:p>
      <w:pPr>
        <w:ind w:left="1140" w:right="12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Prepayment Event</w:t>
      </w:r>
      <w:r>
        <w:rPr>
          <w:rFonts w:ascii="Times New Roman" w:cs="Times New Roman" w:eastAsia="Times New Roman" w:hAnsi="Times New Roman"/>
          <w:sz w:val="14"/>
          <w:szCs w:val="14"/>
          <w:color w:val="auto"/>
        </w:rPr>
        <w:t>” shall mean any Asset Sale Prepayment Event, Debt Incurrence Prepayment Event, Casualty Event, or any Permitted Sale Leaseback.</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0" w:name="page141"/>
    <w:bookmarkEnd w:id="140"/>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Prepayment Trigger</w:t>
      </w:r>
      <w:r>
        <w:rPr>
          <w:rFonts w:ascii="Times New Roman" w:cs="Times New Roman" w:eastAsia="Times New Roman" w:hAnsi="Times New Roman"/>
          <w:sz w:val="14"/>
          <w:szCs w:val="14"/>
          <w:color w:val="auto"/>
        </w:rPr>
        <w:t>” shall have the meaning provided in the definition of the term “Asset Sale Prepayment Event.”</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Previous Holdings</w:t>
      </w:r>
      <w:r>
        <w:rPr>
          <w:rFonts w:ascii="Times New Roman" w:cs="Times New Roman" w:eastAsia="Times New Roman" w:hAnsi="Times New Roman"/>
          <w:sz w:val="14"/>
          <w:szCs w:val="14"/>
          <w:color w:val="auto"/>
        </w:rPr>
        <w:t>” shall have the meaning provided in the definition of the term “Holdings.”</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primary obligation</w:t>
      </w:r>
      <w:r>
        <w:rPr>
          <w:rFonts w:ascii="Times New Roman" w:cs="Times New Roman" w:eastAsia="Times New Roman" w:hAnsi="Times New Roman"/>
          <w:sz w:val="14"/>
          <w:szCs w:val="14"/>
          <w:color w:val="auto"/>
        </w:rPr>
        <w:t>” shall have the meaning provided in the definition of the term “Contingent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Obligations.”</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primary obligor</w:t>
      </w:r>
      <w:r>
        <w:rPr>
          <w:rFonts w:ascii="Times New Roman" w:cs="Times New Roman" w:eastAsia="Times New Roman" w:hAnsi="Times New Roman"/>
          <w:sz w:val="14"/>
          <w:szCs w:val="14"/>
          <w:color w:val="auto"/>
        </w:rPr>
        <w:t>” shall have the meaning provided in the definition of the term “Contingent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Obligations.”</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 Forma Adjustment</w:t>
      </w:r>
      <w:r>
        <w:rPr>
          <w:rFonts w:ascii="Times New Roman" w:cs="Times New Roman" w:eastAsia="Times New Roman" w:hAnsi="Times New Roman"/>
          <w:sz w:val="14"/>
          <w:szCs w:val="14"/>
          <w:color w:val="auto"/>
        </w:rPr>
        <w:t>” shall mean, for any Test Period that includes all or any part of a fiscal</w:t>
      </w:r>
    </w:p>
    <w:p>
      <w:pPr>
        <w:spacing w:after="0" w:line="27"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quarter included in any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Acquisition Period, with respect to the Acquired EBITDA of the applicable Acquired</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Entity or Business or Converted Restricted Subsidiary or the Consolidated EBITDA of the Borrower, the pro forma</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increase in such Acquired EBITDA or such Consolidated EBITDA, as the case may be, projected by the Borrower</w:t>
      </w:r>
    </w:p>
    <w:p>
      <w:pPr>
        <w:spacing w:after="0" w:line="11"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in good faith as a result of (i) actions taken during such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Acquisition Period for the purposes of realizing</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reasonably identifiable and factually supportable cost savings or (ii) any additional costs incurred during such</w:t>
      </w:r>
    </w:p>
    <w:p>
      <w:pPr>
        <w:spacing w:after="0" w:line="9"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Acquisition Period, in each case, in connection with the combination of the operations of such Acquired Entity</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or Business or Converted Restricted Subsidiary with the operations of the Borrower and the Restricted Subsidiaries;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at the election of the Borrower, such Pro Forma Adjustment shall not be required to be determined</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for any Acquired Entity or Business or Converted Restricted Subsidiary to the extent the aggregate consideration</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paid in connection with such acquisition was less than $10 million; and (b) so long as such actions are taken during</w:t>
      </w:r>
    </w:p>
    <w:p>
      <w:pPr>
        <w:spacing w:after="0" w:line="11" w:lineRule="exact"/>
        <w:rPr>
          <w:sz w:val="20"/>
          <w:szCs w:val="20"/>
          <w:color w:val="auto"/>
        </w:rPr>
      </w:pPr>
    </w:p>
    <w:p>
      <w:pPr>
        <w:ind w:left="1140"/>
        <w:spacing w:after="0" w:line="161" w:lineRule="exact"/>
        <w:rPr>
          <w:sz w:val="20"/>
          <w:szCs w:val="20"/>
          <w:color w:val="auto"/>
        </w:rPr>
      </w:pPr>
      <w:r>
        <w:rPr>
          <w:rFonts w:ascii="Times New Roman" w:cs="Times New Roman" w:eastAsia="Times New Roman" w:hAnsi="Times New Roman"/>
          <w:sz w:val="14"/>
          <w:szCs w:val="14"/>
          <w:color w:val="auto"/>
        </w:rPr>
        <w:t>such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Acquisition Period or such costs are incurred during such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Acquisition Period, as applicable, it may</w:t>
      </w:r>
    </w:p>
    <w:p>
      <w:pPr>
        <w:spacing w:after="0" w:line="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be assumed, for purposes of projecting such pro forma increase or decrease to such Acquired EBITDA or such</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Consolidated EBITDA, as the case may be, that the applicable amount of such cost savings will be realizable during</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the entirety of such Test Period, or the applicable amount of such additional costs, as applicable, will be incurred</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during the entirety of such Test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such pro forma increase or decrease to such</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Acquired EBITDA or such Consolidated EBITDA, as the case may be, shall be without duplication for cost savings</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or additional costs already included in such Acquired EBITDA, such Consolidated EBITDA or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 as the</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case may be, for such Test Period.</w:t>
      </w:r>
    </w:p>
    <w:p>
      <w:pPr>
        <w:spacing w:after="0" w:line="168" w:lineRule="exact"/>
        <w:rPr>
          <w:sz w:val="20"/>
          <w:szCs w:val="20"/>
          <w:color w:val="auto"/>
        </w:rPr>
      </w:pPr>
    </w:p>
    <w:p>
      <w:pPr>
        <w:ind w:left="1140" w:right="1179" w:firstLine="103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 Forma Basis</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Pro Forma Compliance</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Pro Forma Effect</w:t>
      </w:r>
      <w:r>
        <w:rPr>
          <w:rFonts w:ascii="Times New Roman" w:cs="Times New Roman" w:eastAsia="Times New Roman" w:hAnsi="Times New Roman"/>
          <w:sz w:val="14"/>
          <w:szCs w:val="14"/>
          <w:color w:val="auto"/>
        </w:rPr>
        <w:t xml:space="preserve">”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 (a) income statement items (whether positive or negative) attributable to the property or Person subject to such Specified Transaction, (1) in the case of a sale, transfer, or other disposition of all or substantially all Capital Stock in any Subsidiary of the Borrower or any division, product line, or facility used for operations of the Borrower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the Borrower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without limiting the application of the Pro Forma Adjustment pursuant to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the foregoing pro forma adjustments may be applied to any such test or covenant solely to the extent that such adjustments are consistent with the definition of Consolidated EBITDA and give effect to operating expense reductions and operating enhancements that are (x)(1) directly attributable to such transaction, (2) expected to have a continuing impact on the Borrower or any of the other Restricted Subsidiaries, and (3) factually supportable or (y) otherwise consistent with the definition of Pro Forma Adjustment.</w:t>
      </w:r>
    </w:p>
    <w:p>
      <w:pPr>
        <w:spacing w:after="0" w:line="3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 Forma Entity</w:t>
      </w:r>
      <w:r>
        <w:rPr>
          <w:rFonts w:ascii="Times New Roman" w:cs="Times New Roman" w:eastAsia="Times New Roman" w:hAnsi="Times New Roman"/>
          <w:sz w:val="14"/>
          <w:szCs w:val="14"/>
          <w:color w:val="auto"/>
        </w:rPr>
        <w:t>” shall have the meaning provided in the definition of the term Acquired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EBITDA.</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 Forma Financial Statements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6.12</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1" w:name="page142"/>
    <w:bookmarkEnd w:id="141"/>
    <w:p>
      <w:pPr>
        <w:ind w:left="1140" w:right="11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Prohibited Transaction</w:t>
      </w:r>
      <w:r>
        <w:rPr>
          <w:rFonts w:ascii="Times New Roman" w:cs="Times New Roman" w:eastAsia="Times New Roman" w:hAnsi="Times New Roman"/>
          <w:sz w:val="14"/>
          <w:szCs w:val="14"/>
          <w:color w:val="auto"/>
        </w:rPr>
        <w:t>” shall have the meaning assigned to such term in Section 406 of ERISA and Section 4975(c) of the Code.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9.1(c)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Qualified Proceeds</w:t>
      </w:r>
      <w:r>
        <w:rPr>
          <w:rFonts w:ascii="Times New Roman" w:cs="Times New Roman" w:eastAsia="Times New Roman" w:hAnsi="Times New Roman"/>
          <w:sz w:val="14"/>
          <w:szCs w:val="14"/>
          <w:color w:val="auto"/>
        </w:rPr>
        <w:t>” shall mean assets that are used or useful in, or Capital Stock of any Person engaged in, a Similar Business.</w:t>
      </w:r>
    </w:p>
    <w:p>
      <w:pPr>
        <w:spacing w:after="0" w:line="119"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Qualified Stock</w:t>
      </w:r>
      <w:r>
        <w:rPr>
          <w:rFonts w:ascii="Times New Roman" w:cs="Times New Roman" w:eastAsia="Times New Roman" w:hAnsi="Times New Roman"/>
          <w:sz w:val="14"/>
          <w:szCs w:val="14"/>
          <w:color w:val="auto"/>
        </w:rPr>
        <w:t>” of any Person shall mean Capital Stock of such Person other than Disqualified Stock of such Person.</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Real Estate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9.1(f)</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17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Receivables Facility</w:t>
      </w:r>
      <w:r>
        <w:rPr>
          <w:rFonts w:ascii="Times New Roman" w:cs="Times New Roman" w:eastAsia="Times New Roman" w:hAnsi="Times New Roman"/>
          <w:sz w:val="14"/>
          <w:szCs w:val="14"/>
          <w:color w:val="auto"/>
        </w:rPr>
        <w:t>” shall mean any of one or more receivables financing facilities (and any guarantee of such financing facility), as amended, supplemented, modified, extended, renewed, restated, or refunded from time to time, the obligations of which are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recourse (except for customary representations, warranties, covenants, and indemnities made in connection with such facilities) to the Borrower and the Restricted Subsidiaries (other than a Receivables Subsidiary) pursuant to which the Borrower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158" w:lineRule="exact"/>
        <w:rPr>
          <w:sz w:val="20"/>
          <w:szCs w:val="20"/>
          <w:color w:val="auto"/>
        </w:rPr>
      </w:pPr>
    </w:p>
    <w:p>
      <w:pPr>
        <w:ind w:left="1140" w:right="11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Receivables Fee</w:t>
      </w:r>
      <w:r>
        <w:rPr>
          <w:rFonts w:ascii="Times New Roman" w:cs="Times New Roman" w:eastAsia="Times New Roman" w:hAnsi="Times New Roman"/>
          <w:sz w:val="14"/>
          <w:szCs w:val="14"/>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33" w:lineRule="exact"/>
        <w:rPr>
          <w:sz w:val="20"/>
          <w:szCs w:val="20"/>
          <w:color w:val="auto"/>
        </w:rPr>
      </w:pPr>
    </w:p>
    <w:p>
      <w:pPr>
        <w:ind w:left="1140" w:right="133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Receivables Subsidiary</w:t>
      </w:r>
      <w:r>
        <w:rPr>
          <w:rFonts w:ascii="Times New Roman" w:cs="Times New Roman" w:eastAsia="Times New Roman" w:hAnsi="Times New Roman"/>
          <w:sz w:val="14"/>
          <w:szCs w:val="14"/>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the Borrower or any Subsidiary makes an Investment and to which the Borrower or any Subsidiary transfers accounts receivables and related assets.</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refinance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10.1(m)</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Refinanced Term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Refinancing Indebtedness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10.1(m)</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Refunding Capital Stock</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10.5(b)(2)</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13.6(b)(iv)</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5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Regulation T</w:t>
      </w:r>
      <w:r>
        <w:rPr>
          <w:rFonts w:ascii="Times New Roman" w:cs="Times New Roman" w:eastAsia="Times New Roman" w:hAnsi="Times New Roman"/>
          <w:sz w:val="14"/>
          <w:szCs w:val="14"/>
          <w:color w:val="auto"/>
        </w:rPr>
        <w:t>” shall mean Regulation T of the Board as from time to time in effect and any successor to all or a portion thereof establishing margin requirements.</w:t>
      </w:r>
    </w:p>
    <w:p>
      <w:pPr>
        <w:spacing w:after="0" w:line="119" w:lineRule="exact"/>
        <w:rPr>
          <w:sz w:val="20"/>
          <w:szCs w:val="20"/>
          <w:color w:val="auto"/>
        </w:rPr>
      </w:pPr>
    </w:p>
    <w:p>
      <w:pPr>
        <w:ind w:left="1140" w:right="14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Regulation U</w:t>
      </w:r>
      <w:r>
        <w:rPr>
          <w:rFonts w:ascii="Times New Roman" w:cs="Times New Roman" w:eastAsia="Times New Roman" w:hAnsi="Times New Roman"/>
          <w:sz w:val="14"/>
          <w:szCs w:val="14"/>
          <w:color w:val="auto"/>
        </w:rPr>
        <w:t>” shall mean Regulation U of the Board as from time to time in effect and any successor to all or a portion thereof establishing margin requirements.</w:t>
      </w:r>
    </w:p>
    <w:p>
      <w:pPr>
        <w:spacing w:after="0" w:line="119" w:lineRule="exact"/>
        <w:rPr>
          <w:sz w:val="20"/>
          <w:szCs w:val="20"/>
          <w:color w:val="auto"/>
        </w:rPr>
      </w:pPr>
    </w:p>
    <w:p>
      <w:pPr>
        <w:ind w:left="1140" w:right="14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Regulation X</w:t>
      </w:r>
      <w:r>
        <w:rPr>
          <w:rFonts w:ascii="Times New Roman" w:cs="Times New Roman" w:eastAsia="Times New Roman" w:hAnsi="Times New Roman"/>
          <w:sz w:val="14"/>
          <w:szCs w:val="14"/>
          <w:color w:val="auto"/>
        </w:rPr>
        <w:t>” shall mean Regulation X of the Board as from time to time in effect and any successor to all or a portion thereof establishing margin requirements.</w:t>
      </w:r>
    </w:p>
    <w:p>
      <w:pPr>
        <w:spacing w:after="0" w:line="119" w:lineRule="exact"/>
        <w:rPr>
          <w:sz w:val="20"/>
          <w:szCs w:val="20"/>
          <w:color w:val="auto"/>
        </w:rPr>
      </w:pPr>
    </w:p>
    <w:p>
      <w:pPr>
        <w:ind w:left="1140" w:right="15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Reimbursement Obligations</w:t>
      </w:r>
      <w:r>
        <w:rPr>
          <w:rFonts w:ascii="Times New Roman" w:cs="Times New Roman" w:eastAsia="Times New Roman" w:hAnsi="Times New Roman"/>
          <w:sz w:val="14"/>
          <w:szCs w:val="14"/>
          <w:color w:val="auto"/>
        </w:rPr>
        <w:t xml:space="preserve">” shall mean the Borrower’s obligation to reimburse Unpaid Drawings pursuant to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2" w:name="page143"/>
    <w:bookmarkEnd w:id="142"/>
    <w:p>
      <w:pPr>
        <w:ind w:left="1140" w:right="12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Reinvestment Period</w:t>
      </w:r>
      <w:r>
        <w:rPr>
          <w:rFonts w:ascii="Times New Roman" w:cs="Times New Roman" w:eastAsia="Times New Roman" w:hAnsi="Times New Roman"/>
          <w:sz w:val="14"/>
          <w:szCs w:val="14"/>
          <w:color w:val="auto"/>
        </w:rPr>
        <w:t>” shall mean 365 days following the date of receipt of Net Cash Proceeds of an Asset Sale Prepayment Event, Casualty Event, or Permitted Sale Leaseback.</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Rejection Notice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5.2(f)</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Related Business Assets</w:t>
      </w:r>
      <w:r>
        <w:rPr>
          <w:rFonts w:ascii="Times New Roman" w:cs="Times New Roman" w:eastAsia="Times New Roman" w:hAnsi="Times New Roman"/>
          <w:sz w:val="14"/>
          <w:szCs w:val="14"/>
          <w:color w:val="auto"/>
        </w:rPr>
        <w:t xml:space="preserve">” shall mean assets (other than cash or Cash Equivalents) used or useful in a Similar Business;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assets received by the Borrower or the Restricted Subsidiaries in exchange for assets transferred by the Borrower or a Restricted Subsidiary shall not be deemed to be Related Business Assets if they consist of securities of a Person, unless upon receipt of the securities of such Person, such Person would become a Restricted Subsidiary.</w:t>
      </w:r>
    </w:p>
    <w:p>
      <w:pPr>
        <w:spacing w:after="0" w:line="141"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Related Fund</w:t>
      </w:r>
      <w:r>
        <w:rPr>
          <w:rFonts w:ascii="Times New Roman" w:cs="Times New Roman" w:eastAsia="Times New Roman" w:hAnsi="Times New Roman"/>
          <w:sz w:val="14"/>
          <w:szCs w:val="14"/>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33" w:lineRule="exact"/>
        <w:rPr>
          <w:sz w:val="20"/>
          <w:szCs w:val="20"/>
          <w:color w:val="auto"/>
        </w:rPr>
      </w:pPr>
    </w:p>
    <w:p>
      <w:pPr>
        <w:ind w:left="1140" w:right="131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Related Parties</w:t>
      </w:r>
      <w:r>
        <w:rPr>
          <w:rFonts w:ascii="Times New Roman" w:cs="Times New Roman" w:eastAsia="Times New Roman" w:hAnsi="Times New Roman"/>
          <w:sz w:val="14"/>
          <w:szCs w:val="14"/>
          <w:color w:val="auto"/>
        </w:rPr>
        <w:t>” shall mean, with respect to any specified Person, such Person’s Affiliates and the directors, officers, partners,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39"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Release</w:t>
      </w:r>
      <w:r>
        <w:rPr>
          <w:rFonts w:ascii="Times New Roman" w:cs="Times New Roman" w:eastAsia="Times New Roman" w:hAnsi="Times New Roman"/>
          <w:sz w:val="14"/>
          <w:szCs w:val="14"/>
          <w:color w:val="auto"/>
        </w:rPr>
        <w:t>” shall mean any release, spill, emission, discharge, disposal, escaping, leaking, pumping, pouring, dumping, emptying, injection, or leaching into or migration through the environment.</w:t>
      </w:r>
    </w:p>
    <w:p>
      <w:pPr>
        <w:spacing w:after="0" w:line="119" w:lineRule="exact"/>
        <w:rPr>
          <w:sz w:val="20"/>
          <w:szCs w:val="20"/>
          <w:color w:val="auto"/>
        </w:rPr>
      </w:pPr>
    </w:p>
    <w:p>
      <w:pPr>
        <w:ind w:left="1140" w:right="13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Relevant Governmental Body</w:t>
      </w:r>
      <w:r>
        <w:rPr>
          <w:rFonts w:ascii="Times New Roman" w:cs="Times New Roman" w:eastAsia="Times New Roman" w:hAnsi="Times New Roman"/>
          <w:sz w:val="14"/>
          <w:szCs w:val="14"/>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Removal Effective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12.9(b)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Repayment Amount</w:t>
      </w:r>
      <w:r>
        <w:rPr>
          <w:rFonts w:ascii="Times New Roman" w:cs="Times New Roman" w:eastAsia="Times New Roman" w:hAnsi="Times New Roman"/>
          <w:sz w:val="14"/>
          <w:szCs w:val="14"/>
          <w:color w:val="auto"/>
        </w:rPr>
        <w:t>” shall mean the Tranche B</w:t>
      </w:r>
      <w:r>
        <w:rPr>
          <w:rFonts w:ascii="Times New Roman" w:cs="Times New Roman" w:eastAsia="Times New Roman" w:hAnsi="Times New Roman"/>
          <w:sz w:val="14"/>
          <w:szCs w:val="14"/>
          <w:color w:val="FF0000"/>
          <w:strike w:val="1"/>
        </w:rPr>
        <w:t>-1 Term Loan Repayment Amount,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Term Loan Repayment Amount, a New Term Loan Repayment Amount with respect to any Series, or an Extended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Term Loan Repayment Amount with respect to any Extension Series, as applicable.</w:t>
      </w:r>
    </w:p>
    <w:p>
      <w:pPr>
        <w:spacing w:after="0" w:line="133" w:lineRule="exact"/>
        <w:rPr>
          <w:sz w:val="20"/>
          <w:szCs w:val="20"/>
          <w:color w:val="auto"/>
        </w:rPr>
      </w:pPr>
    </w:p>
    <w:p>
      <w:pPr>
        <w:ind w:left="1140" w:right="12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Replacement Term Loan Commitment</w:t>
      </w:r>
      <w:r>
        <w:rPr>
          <w:rFonts w:ascii="Times New Roman" w:cs="Times New Roman" w:eastAsia="Times New Roman" w:hAnsi="Times New Roman"/>
          <w:sz w:val="14"/>
          <w:szCs w:val="14"/>
          <w:color w:val="auto"/>
        </w:rPr>
        <w:t>” shall mean the commitments of the Lenders to make Replacement Term Loans.</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Replacement Term Loans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Reportable Event</w:t>
      </w:r>
      <w:r>
        <w:rPr>
          <w:rFonts w:ascii="Times New Roman" w:cs="Times New Roman" w:eastAsia="Times New Roman" w:hAnsi="Times New Roman"/>
          <w:sz w:val="14"/>
          <w:szCs w:val="14"/>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spacing w:after="0" w:line="139" w:lineRule="exact"/>
        <w:rPr>
          <w:sz w:val="20"/>
          <w:szCs w:val="20"/>
          <w:color w:val="auto"/>
        </w:rPr>
      </w:pPr>
    </w:p>
    <w:p>
      <w:pPr>
        <w:ind w:left="1140" w:right="119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Repricing Transaction</w:t>
      </w:r>
      <w:r>
        <w:rPr>
          <w:rFonts w:ascii="Times New Roman" w:cs="Times New Roman" w:eastAsia="Times New Roman" w:hAnsi="Times New Roman"/>
          <w:sz w:val="14"/>
          <w:szCs w:val="14"/>
          <w:color w:val="auto"/>
        </w:rPr>
        <w:t>” shall mean (i) the incurrence by the Borrower of any Indebtedness in the form of a similar term B loan that is broadly marketed or syndicated to banks and other institutional investors (a) having an Effective Yield for the respective Type of such Indebtedness that is less than the Effective Yield for the Tranche B</w:t>
      </w:r>
      <w:r>
        <w:rPr>
          <w:rFonts w:ascii="Times New Roman" w:cs="Times New Roman" w:eastAsia="Times New Roman" w:hAnsi="Times New Roman"/>
          <w:sz w:val="14"/>
          <w:szCs w:val="14"/>
          <w:color w:val="FF0000"/>
          <w:strike w:val="1"/>
        </w:rPr>
        <w:t>-1 Term Loans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of the respective equivalent Type, but excluding Indebtedness incurred in connection with an IPO, Change of Control, Transformative Acquisition or Transformative Disposition and (b) the proceeds of which are used to prepay (or, in the case of a conversion, deemed to prepay or replace), in whole or in part, outstanding principal of Tranche B</w:t>
      </w:r>
      <w:r>
        <w:rPr>
          <w:rFonts w:ascii="Times New Roman" w:cs="Times New Roman" w:eastAsia="Times New Roman" w:hAnsi="Times New Roman"/>
          <w:sz w:val="14"/>
          <w:szCs w:val="14"/>
          <w:color w:val="FF0000"/>
          <w:strike w:val="1"/>
        </w:rPr>
        <w:t>-1 Term Loans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or (ii) any effective reduction in the Effective Yield for the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w:t>
      </w:r>
      <w:r>
        <w:rPr>
          <w:rFonts w:ascii="Times New Roman" w:cs="Times New Roman" w:eastAsia="Times New Roman" w:hAnsi="Times New Roman"/>
          <w:sz w:val="14"/>
          <w:szCs w:val="14"/>
          <w:color w:val="FF0000"/>
          <w:strike w:val="1"/>
        </w:rPr>
        <w:t>Loans or Tranche B-3 Term</w:t>
      </w:r>
      <w:r>
        <w:rPr>
          <w:rFonts w:ascii="Times New Roman" w:cs="Times New Roman" w:eastAsia="Times New Roman" w:hAnsi="Times New Roman"/>
          <w:sz w:val="14"/>
          <w:szCs w:val="14"/>
          <w:color w:val="auto"/>
        </w:rPr>
        <w:t xml:space="preserve"> Loans (e.g., by way of amendment, waiver or otherwise), except for a reduction in connection with an IPO, Change of Control, Transformative Acquisition or Transformative Disposition;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determination by the Administrative Agent with respect to whether a Repricing Transaction shall have occurred shall be conclusive and binding on all Lenders holding the Tranche B</w:t>
      </w:r>
      <w:r>
        <w:rPr>
          <w:rFonts w:ascii="Times New Roman" w:cs="Times New Roman" w:eastAsia="Times New Roman" w:hAnsi="Times New Roman"/>
          <w:sz w:val="14"/>
          <w:szCs w:val="14"/>
          <w:color w:val="FF0000"/>
          <w:strike w:val="1"/>
        </w:rPr>
        <w:t>-1 Term Loans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3" w:name="page144"/>
    <w:bookmarkEnd w:id="143"/>
    <w:p>
      <w:pPr>
        <w:jc w:val="both"/>
        <w:ind w:left="1140" w:right="1159" w:firstLine="517"/>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2020 Additional Revolving Credit Lenders</w:t>
      </w:r>
      <w:r>
        <w:rPr>
          <w:rFonts w:ascii="Times New Roman" w:cs="Times New Roman" w:eastAsia="Times New Roman" w:hAnsi="Times New Roman"/>
          <w:sz w:val="14"/>
          <w:szCs w:val="14"/>
          <w:color w:val="auto"/>
        </w:rPr>
        <w:t>” shall mean, at any date, Non-Defaulting Lenders holding a majority of the Adjusted Total 2020 Letter of Credit Commitment at such date (or, if the Total 2020 Letter of Credit Commitment has been terminated at such time, a majority of the 2020 Letter of Credit Exposure (excluding 2020 Letter of Credit Exposure of Defaulting Lenders) at such time).</w:t>
      </w:r>
    </w:p>
    <w:p>
      <w:pPr>
        <w:spacing w:after="0" w:line="139"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Lenders</w:t>
      </w:r>
      <w:r>
        <w:rPr>
          <w:rFonts w:ascii="Times New Roman" w:cs="Times New Roman" w:eastAsia="Times New Roman" w:hAnsi="Times New Roman"/>
          <w:sz w:val="14"/>
          <w:szCs w:val="14"/>
          <w:color w:val="auto"/>
        </w:rPr>
        <w:t xml:space="preserve">” shall mean, at any date, (a) Non-Defaulting Lenders having or holding a majority of the sum of (i) the Adjusted Total Revolving Credit Commitment (exclusive of Swingline Commitments) at such date, (ii) the Adjusted Total 2020 Letter of Credit Commitment, (iii) the Adjusted Total Term Loan Commitment at such date and (iv) the aggregate outstanding principal amount of the Term Loans (excluding Term Loans held by Defaulting Lenders) at such date or (b) if the Total Revolving Credit Commitment and the Total Term Loan Commitment have been terminated or for the purposes of acceleration pursuant to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Non-Defaulting Lenders having or holding a majority of the outstanding principal amount of the Loans and Letter of Credit Exposure (excluding the Loans and Letter of Credit Exposure of Defaulting Lenders) in the aggregate at such date.</w:t>
      </w:r>
    </w:p>
    <w:p>
      <w:pPr>
        <w:spacing w:after="0" w:line="143" w:lineRule="exact"/>
        <w:rPr>
          <w:sz w:val="20"/>
          <w:szCs w:val="20"/>
          <w:color w:val="auto"/>
        </w:rPr>
      </w:pPr>
    </w:p>
    <w:p>
      <w:pPr>
        <w:jc w:val="both"/>
        <w:ind w:left="1140" w:right="1159" w:firstLine="517"/>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Revolving Credit Lenders</w:t>
      </w:r>
      <w:r>
        <w:rPr>
          <w:rFonts w:ascii="Times New Roman" w:cs="Times New Roman" w:eastAsia="Times New Roman" w:hAnsi="Times New Roman"/>
          <w:sz w:val="14"/>
          <w:szCs w:val="14"/>
          <w:color w:val="auto"/>
        </w:rPr>
        <w:t>” shall mean, at any date, Non-Defaulting Lenders holding a majority of the Adjusted Total Revolving Credit Commitment (exclusive of Swingline Commitments) at such date (or, if the Total Revolving Credit Commitment has been terminated at such time, a majority of the Revolving Credit Exposure (excluding Revolving Credit Exposure of Defaulting Lenders) at such time).</w:t>
      </w:r>
    </w:p>
    <w:p>
      <w:pPr>
        <w:spacing w:after="0" w:line="139" w:lineRule="exact"/>
        <w:rPr>
          <w:sz w:val="20"/>
          <w:szCs w:val="20"/>
          <w:color w:val="auto"/>
        </w:rPr>
      </w:pPr>
    </w:p>
    <w:p>
      <w:pPr>
        <w:jc w:val="both"/>
        <w:ind w:left="1140" w:right="1159" w:firstLine="517"/>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Required Term Loan Lenders</w:t>
      </w:r>
      <w:r>
        <w:rPr>
          <w:rFonts w:ascii="Times New Roman" w:cs="Times New Roman" w:eastAsia="Times New Roman" w:hAnsi="Times New Roman"/>
          <w:sz w:val="14"/>
          <w:szCs w:val="14"/>
          <w:color w:val="auto"/>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04" w:lineRule="exact"/>
        <w:rPr>
          <w:sz w:val="20"/>
          <w:szCs w:val="20"/>
          <w:color w:val="auto"/>
        </w:rPr>
      </w:pPr>
    </w:p>
    <w:p>
      <w:pPr>
        <w:ind w:left="1140" w:right="1179" w:firstLine="1033"/>
        <w:spacing w:after="0" w:line="184"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Requirements of Law</w:t>
      </w:r>
      <w:r>
        <w:rPr>
          <w:rFonts w:ascii="Times New Roman" w:cs="Times New Roman" w:eastAsia="Times New Roman" w:hAnsi="Times New Roman"/>
          <w:sz w:val="14"/>
          <w:szCs w:val="14"/>
          <w:color w:val="auto"/>
        </w:rPr>
        <w:t>” shall mean, as to any Person, the certificate of incorporation and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5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Resignation Effective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12.9(a)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47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Resolution Authority</w:t>
      </w:r>
      <w:r>
        <w:rPr>
          <w:rFonts w:ascii="Times New Roman" w:cs="Times New Roman" w:eastAsia="Times New Roman" w:hAnsi="Times New Roman"/>
          <w:sz w:val="14"/>
          <w:szCs w:val="14"/>
          <w:u w:val="single" w:color="auto"/>
          <w:color w:val="0000FF"/>
        </w:rPr>
        <w:t>” shall mean an EEA Resolution Authority or, with respect to any UK Financial Institution, a UK Resolution Authority.</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Investment</w:t>
      </w:r>
      <w:r>
        <w:rPr>
          <w:rFonts w:ascii="Times New Roman" w:cs="Times New Roman" w:eastAsia="Times New Roman" w:hAnsi="Times New Roman"/>
          <w:sz w:val="14"/>
          <w:szCs w:val="14"/>
          <w:color w:val="auto"/>
        </w:rPr>
        <w:t>” shall mean an Investment other than a Permitted Investment.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Payments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10.5(a)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Restricted Subsidiary</w:t>
      </w:r>
      <w:r>
        <w:rPr>
          <w:rFonts w:ascii="Times New Roman" w:cs="Times New Roman" w:eastAsia="Times New Roman" w:hAnsi="Times New Roman"/>
          <w:sz w:val="14"/>
          <w:szCs w:val="14"/>
          <w:color w:val="auto"/>
        </w:rPr>
        <w:t>” shall mean any Subsidiary of the Borrower other than an Unrestricted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Subsidiary.</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Retained Declined Proceeds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5.2(f)</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Retired Capital Stock</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10.5(b)(2)</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5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Commitment</w:t>
      </w:r>
      <w:r>
        <w:rPr>
          <w:rFonts w:ascii="Times New Roman" w:cs="Times New Roman" w:eastAsia="Times New Roman" w:hAnsi="Times New Roman"/>
          <w:sz w:val="14"/>
          <w:szCs w:val="14"/>
          <w:color w:val="auto"/>
        </w:rPr>
        <w:t xml:space="preserve">” shall mean, as to each Revolving Credit Lender, its obligation to make Revolving Credit Loans to the Borrower pursuant to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 xml:space="preserve">, in an aggregate principal amount at any one time outstanding not to exceed the amount set forth opposite such Lender’s name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to Amendment No. 6 under the caption “Amendment No. 6 Revolving Credit Commitment” or in the Assignment and Acceptance pursuant to which such Lender becomes a party hereto, as applicable, as such amount may be adjusted from time to time in accordance with this Agreement (including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The aggregate Revolving Credit Commitments of all Revolving Credit Lenders shall be $475,000,000 on the Amendment No. 6 Effective Date (the “</w:t>
      </w:r>
      <w:r>
        <w:rPr>
          <w:rFonts w:ascii="Times New Roman" w:cs="Times New Roman" w:eastAsia="Times New Roman" w:hAnsi="Times New Roman"/>
          <w:sz w:val="14"/>
          <w:szCs w:val="14"/>
          <w:b w:val="1"/>
          <w:bCs w:val="1"/>
          <w:color w:val="auto"/>
        </w:rPr>
        <w:t>Initial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Revolving Credit Commitments</w:t>
      </w:r>
      <w:r>
        <w:rPr>
          <w:rFonts w:ascii="Times New Roman" w:cs="Times New Roman" w:eastAsia="Times New Roman" w:hAnsi="Times New Roman"/>
          <w:sz w:val="14"/>
          <w:szCs w:val="14"/>
          <w:color w:val="auto"/>
        </w:rPr>
        <w:t>”), as such amount may be adjusted from time to time in accordance with the terms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this Agreement.</w:t>
      </w:r>
    </w:p>
    <w:p>
      <w:pPr>
        <w:spacing w:after="0" w:line="2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4" w:name="page145"/>
    <w:bookmarkEnd w:id="144"/>
    <w:p>
      <w:pPr>
        <w:ind w:left="1140" w:right="123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Commitment Percentage</w:t>
      </w:r>
      <w:r>
        <w:rPr>
          <w:rFonts w:ascii="Times New Roman" w:cs="Times New Roman" w:eastAsia="Times New Roman" w:hAnsi="Times New Roman"/>
          <w:sz w:val="14"/>
          <w:szCs w:val="14"/>
          <w:color w:val="auto"/>
        </w:rPr>
        <w:t xml:space="preserve">” shall mean at any time, for each Lender, the percentage obtained by dividing (i) such Lender’s Revolving Credit Commitment at such time by (ii) the amount of the Total Revolving Credit Commitment at such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43" w:lineRule="exact"/>
        <w:rPr>
          <w:sz w:val="20"/>
          <w:szCs w:val="20"/>
          <w:color w:val="auto"/>
        </w:rPr>
      </w:pPr>
    </w:p>
    <w:p>
      <w:pPr>
        <w:ind w:left="1140" w:right="12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Exposure</w:t>
      </w:r>
      <w:r>
        <w:rPr>
          <w:rFonts w:ascii="Times New Roman" w:cs="Times New Roman" w:eastAsia="Times New Roman" w:hAnsi="Times New Roman"/>
          <w:sz w:val="14"/>
          <w:szCs w:val="14"/>
          <w:color w:val="auto"/>
        </w:rPr>
        <w:t>” shall mean, with respect to any Lender at any time, the sum of (i) the aggregate principal amount of Revolving Loans of such Lender then outstanding and (ii) such Lender’s Revolving Letter of Credit Exposure and Swingline Exposure at such time.</w:t>
      </w:r>
    </w:p>
    <w:p>
      <w:pPr>
        <w:spacing w:after="0" w:line="133" w:lineRule="exact"/>
        <w:rPr>
          <w:sz w:val="20"/>
          <w:szCs w:val="20"/>
          <w:color w:val="auto"/>
        </w:rPr>
      </w:pPr>
    </w:p>
    <w:p>
      <w:pPr>
        <w:jc w:val="both"/>
        <w:ind w:left="1140" w:right="14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Facility</w:t>
      </w:r>
      <w:r>
        <w:rPr>
          <w:rFonts w:ascii="Times New Roman" w:cs="Times New Roman" w:eastAsia="Times New Roman" w:hAnsi="Times New Roman"/>
          <w:sz w:val="14"/>
          <w:szCs w:val="14"/>
          <w:color w:val="auto"/>
        </w:rPr>
        <w:t>” shall mean, at any time, the aggregate amount of the Revolving Credit Lenders’ Revolving Credit Commitments at such time and the provisions herein related to the Revolving Credit Loans, Swingline Loans and Letters of Credit.</w:t>
      </w:r>
    </w:p>
    <w:p>
      <w:pPr>
        <w:spacing w:after="0" w:line="133" w:lineRule="exact"/>
        <w:rPr>
          <w:sz w:val="20"/>
          <w:szCs w:val="20"/>
          <w:color w:val="auto"/>
        </w:rPr>
      </w:pPr>
    </w:p>
    <w:p>
      <w:pPr>
        <w:ind w:left="1140" w:right="12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Lender</w:t>
      </w:r>
      <w:r>
        <w:rPr>
          <w:rFonts w:ascii="Times New Roman" w:cs="Times New Roman" w:eastAsia="Times New Roman" w:hAnsi="Times New Roman"/>
          <w:sz w:val="14"/>
          <w:szCs w:val="14"/>
          <w:color w:val="auto"/>
        </w:rPr>
        <w:t>” shall mean, at any time, any Lender that has a Revolving Credit Commitment, Incremental Revolving Credit Commitment or Extended Revolving Credit Commitment at such time.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Loan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2.1(c)</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140" w:right="119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Maturity Date</w:t>
      </w:r>
      <w:r>
        <w:rPr>
          <w:rFonts w:ascii="Times New Roman" w:cs="Times New Roman" w:eastAsia="Times New Roman" w:hAnsi="Times New Roman"/>
          <w:sz w:val="14"/>
          <w:szCs w:val="14"/>
          <w:color w:val="auto"/>
        </w:rPr>
        <w:t xml:space="preserve">” shall mean </w:t>
      </w:r>
      <w:r>
        <w:rPr>
          <w:rFonts w:ascii="Times New Roman" w:cs="Times New Roman" w:eastAsia="Times New Roman" w:hAnsi="Times New Roman"/>
          <w:sz w:val="14"/>
          <w:szCs w:val="14"/>
          <w:color w:val="FF0000"/>
          <w:strike w:val="1"/>
        </w:rPr>
        <w:t>the earlier of (a)</w:t>
      </w:r>
      <w:r>
        <w:rPr>
          <w:rFonts w:ascii="Times New Roman" w:cs="Times New Roman" w:eastAsia="Times New Roman" w:hAnsi="Times New Roman"/>
          <w:sz w:val="14"/>
          <w:szCs w:val="14"/>
          <w:color w:val="auto"/>
        </w:rPr>
        <w:t xml:space="preserve"> five years after the Amendment No. 6 Effective Date, </w:t>
      </w:r>
      <w:r>
        <w:rPr>
          <w:rFonts w:ascii="Times New Roman" w:cs="Times New Roman" w:eastAsia="Times New Roman" w:hAnsi="Times New Roman"/>
          <w:sz w:val="14"/>
          <w:szCs w:val="14"/>
          <w:color w:val="FF0000"/>
          <w:strike w:val="1"/>
        </w:rPr>
        <w:t>(b) if greater than $500,000,000 in aggregate principal amount of Term Loans are outstanding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 xml:space="preserve">on December 4, 2025, December 4, 2025 and (c) if any Second Lien Loans are outstanding on December 4, 2026, December 4, 2026, </w:t>
      </w:r>
      <w:r>
        <w:rPr>
          <w:rFonts w:ascii="Times New Roman" w:cs="Times New Roman" w:eastAsia="Times New Roman" w:hAnsi="Times New Roman"/>
          <w:sz w:val="14"/>
          <w:szCs w:val="14"/>
          <w:color w:val="000000"/>
          <w:strike w:val="1"/>
        </w:rPr>
        <w:t>or if such date is not a Business Day, the immediately preceding Business Day.</w:t>
      </w:r>
    </w:p>
    <w:p>
      <w:pPr>
        <w:spacing w:after="0" w:line="139" w:lineRule="exact"/>
        <w:rPr>
          <w:sz w:val="20"/>
          <w:szCs w:val="20"/>
          <w:color w:val="auto"/>
        </w:rPr>
      </w:pPr>
    </w:p>
    <w:p>
      <w:pPr>
        <w:ind w:left="1140" w:right="12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Credit Termination Date</w:t>
      </w:r>
      <w:r>
        <w:rPr>
          <w:rFonts w:ascii="Times New Roman" w:cs="Times New Roman" w:eastAsia="Times New Roman" w:hAnsi="Times New Roman"/>
          <w:sz w:val="14"/>
          <w:szCs w:val="14"/>
          <w:color w:val="auto"/>
        </w:rPr>
        <w:t>” shall mean the date on which the Revolving Credit Commitments shall have terminated and no Revolving Credit Loans shall be outstanding and the Revolving Letters of Credit Outstanding shall have been reduced to zero or Cash Collateralized.</w:t>
      </w:r>
    </w:p>
    <w:p>
      <w:pPr>
        <w:spacing w:after="0" w:line="133" w:lineRule="exact"/>
        <w:rPr>
          <w:sz w:val="20"/>
          <w:szCs w:val="20"/>
          <w:color w:val="auto"/>
        </w:rPr>
      </w:pPr>
    </w:p>
    <w:p>
      <w:pPr>
        <w:ind w:left="1140" w:right="11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L/C Borrowing</w:t>
      </w:r>
      <w:r>
        <w:rPr>
          <w:rFonts w:ascii="Times New Roman" w:cs="Times New Roman" w:eastAsia="Times New Roman" w:hAnsi="Times New Roman"/>
          <w:sz w:val="14"/>
          <w:szCs w:val="14"/>
          <w:color w:val="auto"/>
        </w:rPr>
        <w:t>” shall mean an extension of credit resulting from a drawing under any Revolving Letter of Credit which has not been reimbursed on the date when made or refinanced as a Borrowing.</w:t>
      </w:r>
    </w:p>
    <w:p>
      <w:pPr>
        <w:spacing w:after="0" w:line="119"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L/C Facility Maturity Date</w:t>
      </w:r>
      <w:r>
        <w:rPr>
          <w:rFonts w:ascii="Times New Roman" w:cs="Times New Roman" w:eastAsia="Times New Roman" w:hAnsi="Times New Roman"/>
          <w:sz w:val="14"/>
          <w:szCs w:val="14"/>
          <w:color w:val="auto"/>
        </w:rPr>
        <w:t>” shall mean the date that is three Business Days prior to the Revolving Credit Maturity Date; provided that the Revolving L/C Facility Maturity Date may be extended beyond such date with the consent of the applicable Revolving Letter of Credit Issuer.</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L/C Fronting Fee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4.1(d)</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L/C Obligations</w:t>
      </w:r>
      <w:r>
        <w:rPr>
          <w:rFonts w:ascii="Times New Roman" w:cs="Times New Roman" w:eastAsia="Times New Roman" w:hAnsi="Times New Roman"/>
          <w:sz w:val="14"/>
          <w:szCs w:val="14"/>
          <w:color w:val="auto"/>
        </w:rPr>
        <w:t xml:space="preserve">” shall mean, as at any date of determination, the aggregate amount available to be drawn under all outstanding Revolving Letters of Credit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aggregate of all Unpaid Drawings, including all Revolving L/C Borrowings. For all purposes of this Agreement, if on any date of determination a Revolving Letter of Credit has expired by its terms but any amount may still be drawn thereunder by reason of the operation of Rule 13.13 or Rule 3.14 of the International Standby Practices (ISP98), Article 29 of the Uniform Customs and Practice for Documentary Credits (UCP600), or similar terms expressed in the Revolving Letter of Credit, such Revolving Letter of Credit shall be deemed to be “outstanding” in the amount so remaining available to be drawn. Unless otherwise specified herein, the amount of a Revolving Letter of Credit at any time shall be deemed to be the Stated Amount of such Revolving Letter of Credit at such time.</w:t>
      </w:r>
    </w:p>
    <w:p>
      <w:pPr>
        <w:spacing w:after="0" w:line="146"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L/C Participant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L/C Participation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3.3(a)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Letter of Credit</w:t>
      </w:r>
      <w:r>
        <w:rPr>
          <w:rFonts w:ascii="Times New Roman" w:cs="Times New Roman" w:eastAsia="Times New Roman" w:hAnsi="Times New Roman"/>
          <w:sz w:val="14"/>
          <w:szCs w:val="14"/>
          <w:color w:val="auto"/>
        </w:rPr>
        <w:t xml:space="preserve">” shall mean each letter of credit issued 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5" w:name="page146"/>
    <w:bookmarkEnd w:id="145"/>
    <w:p>
      <w:pPr>
        <w:ind w:left="1140" w:right="121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Letter of Credit Commitment</w:t>
      </w:r>
      <w:r>
        <w:rPr>
          <w:rFonts w:ascii="Times New Roman" w:cs="Times New Roman" w:eastAsia="Times New Roman" w:hAnsi="Times New Roman"/>
          <w:sz w:val="14"/>
          <w:szCs w:val="14"/>
          <w:color w:val="auto"/>
        </w:rPr>
        <w:t xml:space="preserve">” shall mean, with respect to each Revolving Letter of Credit Issuer, the amount set forth opposite such Revolving Letter of Credit Issuer’s name on </w:t>
      </w:r>
      <w:r>
        <w:rPr>
          <w:rFonts w:ascii="Times New Roman" w:cs="Times New Roman" w:eastAsia="Times New Roman" w:hAnsi="Times New Roman"/>
          <w:sz w:val="14"/>
          <w:szCs w:val="14"/>
          <w:u w:val="single" w:color="auto"/>
          <w:color w:val="auto"/>
        </w:rPr>
        <w:t>Schedule I</w:t>
      </w:r>
      <w:r>
        <w:rPr>
          <w:rFonts w:ascii="Times New Roman" w:cs="Times New Roman" w:eastAsia="Times New Roman" w:hAnsi="Times New Roman"/>
          <w:sz w:val="14"/>
          <w:szCs w:val="14"/>
          <w:color w:val="auto"/>
        </w:rPr>
        <w:t xml:space="preserve"> to Amendment No. 6, as the same may be reduced from time to time pursuant to </w:t>
      </w:r>
      <w:r>
        <w:rPr>
          <w:rFonts w:ascii="Times New Roman" w:cs="Times New Roman" w:eastAsia="Times New Roman" w:hAnsi="Times New Roman"/>
          <w:sz w:val="14"/>
          <w:szCs w:val="14"/>
          <w:u w:val="single" w:color="auto"/>
          <w:color w:val="auto"/>
        </w:rPr>
        <w:t>Section 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Revolving Letter of Credit Commitment of any Revolving Letter of Credit Issuer may be increased if agreed in writing between the Borrower and such Revolving Letter of Credit Issuer (each acting in its sole discretion) and notified to the Administrative Agent.</w:t>
      </w:r>
    </w:p>
    <w:p>
      <w:pPr>
        <w:spacing w:after="0" w:line="143" w:lineRule="exact"/>
        <w:rPr>
          <w:sz w:val="20"/>
          <w:szCs w:val="20"/>
          <w:color w:val="auto"/>
        </w:rPr>
      </w:pPr>
    </w:p>
    <w:p>
      <w:pPr>
        <w:ind w:left="1140" w:right="1239" w:firstLine="1069"/>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Letter of Credit Exposure</w:t>
      </w:r>
      <w:r>
        <w:rPr>
          <w:rFonts w:ascii="Times New Roman" w:cs="Times New Roman" w:eastAsia="Times New Roman" w:hAnsi="Times New Roman"/>
          <w:sz w:val="14"/>
          <w:szCs w:val="14"/>
          <w:color w:val="auto"/>
        </w:rPr>
        <w:t xml:space="preserve">” shall mean, with respect to any Lender, at any time, the sum of (i) the amount of the principal amount of any Revolving Unpaid Drawings in respect of which such lender has made (or is required to have made) payments to the Revolving Letter of Credit Issuer pursuant to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 xml:space="preserve"> at such time and (ii) such Lender’s Revolving Credit Commitment Percentage of the Revolving Letter of Credit Obligations at such time (excluding the portion thereof consisting of Revolving Unpaid Drawings in respect of which the Lenders have made (or are required to have made) payments to the applicable Revolving Letter of Credit Issuers pursuant to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Letter of Credit Fee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4.1(b)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Letter of Credit Issuer</w:t>
      </w:r>
      <w:r>
        <w:rPr>
          <w:rFonts w:ascii="Times New Roman" w:cs="Times New Roman" w:eastAsia="Times New Roman" w:hAnsi="Times New Roman"/>
          <w:sz w:val="14"/>
          <w:szCs w:val="14"/>
          <w:color w:val="auto"/>
        </w:rPr>
        <w:t xml:space="preserve">” shall mean the Revolving Credit Lenders listed on </w:t>
      </w:r>
      <w:r>
        <w:rPr>
          <w:rFonts w:ascii="Times New Roman" w:cs="Times New Roman" w:eastAsia="Times New Roman" w:hAnsi="Times New Roman"/>
          <w:sz w:val="14"/>
          <w:szCs w:val="14"/>
          <w:u w:val="single" w:color="auto"/>
          <w:color w:val="auto"/>
        </w:rPr>
        <w:t>Schedule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xml:space="preserve"> of Amendment No. 6 and any of their Affiliates or branches and any replacement, additional issuer or successor pursuant to </w:t>
      </w:r>
      <w:r>
        <w:rPr>
          <w:rFonts w:ascii="Times New Roman" w:cs="Times New Roman" w:eastAsia="Times New Roman" w:hAnsi="Times New Roman"/>
          <w:sz w:val="14"/>
          <w:szCs w:val="14"/>
          <w:u w:val="single" w:color="auto"/>
          <w:color w:val="auto"/>
        </w:rPr>
        <w:t>Section 3.6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Revolving Credit Lenders shall only be required to issue standby Revolving Letters of Credit and such Revolving Credit Lenders will cause Revolving Letters of Credit to be issued by unaffiliated financial institutions and such Revolving Letters of Credit shall be treated as issued by such Revolving Credit Lenders for all purposes under the Credit Documents. In the event that there is more than one Revolving Letter of Credit Issuer at any time, references herein and in the other Credit Documents to the Revolving Letter of Credit Issuer shall be deemed to refer to the Revolving Letter of Credit Issuer in respect of the applicable Revolving Letter of Credit or to all Revolving Letter of Credit Issuers, as the context requires.</w:t>
      </w:r>
    </w:p>
    <w:p>
      <w:pPr>
        <w:spacing w:after="0" w:line="146" w:lineRule="exact"/>
        <w:rPr>
          <w:sz w:val="20"/>
          <w:szCs w:val="20"/>
          <w:color w:val="auto"/>
        </w:rPr>
      </w:pPr>
    </w:p>
    <w:p>
      <w:pPr>
        <w:ind w:left="1140" w:right="1399" w:firstLine="1069"/>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Letters of Credit Outstanding</w:t>
      </w:r>
      <w:r>
        <w:rPr>
          <w:rFonts w:ascii="Times New Roman" w:cs="Times New Roman" w:eastAsia="Times New Roman" w:hAnsi="Times New Roman"/>
          <w:sz w:val="14"/>
          <w:szCs w:val="14"/>
          <w:color w:val="auto"/>
        </w:rPr>
        <w:t>” shall mean, at any time the sum of, without duplication, (i) the aggregate Stated Amount of all outstanding Revolving Letters of Credit and (ii) the aggregate amount of the principal amount of all Revolving Unpaid Drawings.</w:t>
      </w:r>
    </w:p>
    <w:p>
      <w:pPr>
        <w:spacing w:after="0" w:line="133" w:lineRule="exact"/>
        <w:rPr>
          <w:sz w:val="20"/>
          <w:szCs w:val="20"/>
          <w:color w:val="auto"/>
        </w:rPr>
      </w:pPr>
    </w:p>
    <w:p>
      <w:pPr>
        <w:ind w:left="1140" w:right="12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Loan</w:t>
      </w:r>
      <w:r>
        <w:rPr>
          <w:rFonts w:ascii="Times New Roman" w:cs="Times New Roman" w:eastAsia="Times New Roman" w:hAnsi="Times New Roman"/>
          <w:sz w:val="14"/>
          <w:szCs w:val="14"/>
          <w:color w:val="auto"/>
        </w:rPr>
        <w:t>” shall mean, collectively or individually as the context may require, any (i) Revolving Credit Loan, (ii) Extended Revolving Credit Loan, (iii) New Revolving Credit Loan and (iv) Additional Revolving Credit Loan, in each case made pursuant to and in accordance with the terms and conditions of this Agreement.</w:t>
      </w:r>
    </w:p>
    <w:p>
      <w:pPr>
        <w:spacing w:after="0" w:line="13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Reimbursement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Revolving Unpaid Drawing</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S&amp;P</w:t>
      </w:r>
      <w:r>
        <w:rPr>
          <w:rFonts w:ascii="Times New Roman" w:cs="Times New Roman" w:eastAsia="Times New Roman" w:hAnsi="Times New Roman"/>
          <w:sz w:val="14"/>
          <w:szCs w:val="14"/>
          <w:color w:val="auto"/>
        </w:rPr>
        <w:t>” shall mean S&amp;P Global Ratings or any successor by merger or consolidation to its</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business.</w:t>
      </w:r>
    </w:p>
    <w:p>
      <w:pPr>
        <w:spacing w:after="0" w:line="168"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 Leaseback</w:t>
      </w:r>
      <w:r>
        <w:rPr>
          <w:rFonts w:ascii="Times New Roman" w:cs="Times New Roman" w:eastAsia="Times New Roman" w:hAnsi="Times New Roman"/>
          <w:sz w:val="14"/>
          <w:szCs w:val="14"/>
          <w:color w:val="auto"/>
        </w:rPr>
        <w:t>” shall mean any arrangement with any Person providing for the leasing by the Borrower or any Restricted Subsidiary of any real or tangible personal property, which property has been or is to be sold or transferred by the Borrower or such Restricted Subsidiary to such Person in contemplation of such leasing.</w:t>
      </w:r>
    </w:p>
    <w:p>
      <w:pPr>
        <w:spacing w:after="0" w:line="133" w:lineRule="exact"/>
        <w:rPr>
          <w:sz w:val="20"/>
          <w:szCs w:val="20"/>
          <w:color w:val="auto"/>
        </w:rPr>
      </w:pPr>
    </w:p>
    <w:p>
      <w:pPr>
        <w:jc w:val="both"/>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Sanctions</w:t>
      </w:r>
      <w:r>
        <w:rPr>
          <w:rFonts w:ascii="Times New Roman" w:cs="Times New Roman" w:eastAsia="Times New Roman" w:hAnsi="Times New Roman"/>
          <w:sz w:val="14"/>
          <w:szCs w:val="14"/>
          <w:color w:val="auto"/>
        </w:rPr>
        <w:t>” shall mean any sanctions administered or enforced by the government of the United States (including without limitation, OFAC and the U.S. Department of State), the United Nations Security Council, the European Union (or its member states), His Majesty’s Treasury (“</w:t>
      </w:r>
      <w:r>
        <w:rPr>
          <w:rFonts w:ascii="Times New Roman" w:cs="Times New Roman" w:eastAsia="Times New Roman" w:hAnsi="Times New Roman"/>
          <w:sz w:val="14"/>
          <w:szCs w:val="14"/>
          <w:b w:val="1"/>
          <w:bCs w:val="1"/>
          <w:color w:val="auto"/>
        </w:rPr>
        <w:t>HMT</w:t>
      </w:r>
      <w:r>
        <w:rPr>
          <w:rFonts w:ascii="Times New Roman" w:cs="Times New Roman" w:eastAsia="Times New Roman" w:hAnsi="Times New Roman"/>
          <w:sz w:val="14"/>
          <w:szCs w:val="14"/>
          <w:color w:val="auto"/>
        </w:rPr>
        <w:t>”) or other relevant sanctions authority.</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w:t>
      </w:r>
      <w:r>
        <w:rPr>
          <w:rFonts w:ascii="Times New Roman" w:cs="Times New Roman" w:eastAsia="Times New Roman" w:hAnsi="Times New Roman"/>
          <w:sz w:val="14"/>
          <w:szCs w:val="14"/>
          <w:color w:val="auto"/>
        </w:rPr>
        <w:t>” shall mean the Securities and Exchange Commission or any successor thereto.</w:t>
      </w:r>
    </w:p>
    <w:p>
      <w:pPr>
        <w:spacing w:after="0" w:line="183" w:lineRule="exact"/>
        <w:rPr>
          <w:sz w:val="20"/>
          <w:szCs w:val="20"/>
          <w:color w:val="auto"/>
        </w:rPr>
      </w:pPr>
    </w:p>
    <w:p>
      <w:pPr>
        <w:ind w:left="1140" w:right="20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Administrative Agent</w:t>
      </w:r>
      <w:r>
        <w:rPr>
          <w:rFonts w:ascii="Times New Roman" w:cs="Times New Roman" w:eastAsia="Times New Roman" w:hAnsi="Times New Roman"/>
          <w:sz w:val="14"/>
          <w:szCs w:val="14"/>
          <w:color w:val="auto"/>
        </w:rPr>
        <w:t>” shall have the meaning assigned to the term “Administrative Agent” in the Second Lien Credit Agreement.</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6" w:name="page147"/>
    <w:bookmarkEnd w:id="146"/>
    <w:p>
      <w:pPr>
        <w:ind w:left="1140" w:right="1159" w:firstLine="103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Base Incremental Amount</w:t>
      </w:r>
      <w:r>
        <w:rPr>
          <w:rFonts w:ascii="Times New Roman" w:cs="Times New Roman" w:eastAsia="Times New Roman" w:hAnsi="Times New Roman"/>
          <w:sz w:val="14"/>
          <w:szCs w:val="14"/>
          <w:color w:val="auto"/>
        </w:rPr>
        <w:t>”, as of any date, shall mean the sum of (i) the aggregate principal amount of New Loans and New Loan Commitments (in each case, as defined in the Second Lien Credit Agreement) (including any unused commitments obtained) incurred in reliance on clause (i)(a) of the definition of Maximum Incremental Facilities Amount in the Second Lien Credit Agreement on or prior to such date and (ii) the aggregate principal amount of Permitted Other Indebtedness issued or incurred (including any unused commitment obtained) pursuant to Section 10.1(x)(i)(a) of the Second Lien Credit Agreement incurred in reliance on clause (i)(a) of the definition of Maximum Incremental Facilities Amount in the Second Lien Credit Agreement on or prior to such date.</w:t>
      </w:r>
    </w:p>
    <w:p>
      <w:pPr>
        <w:spacing w:after="0" w:line="143" w:lineRule="exact"/>
        <w:rPr>
          <w:sz w:val="20"/>
          <w:szCs w:val="20"/>
          <w:color w:val="auto"/>
        </w:rPr>
      </w:pPr>
    </w:p>
    <w:p>
      <w:pPr>
        <w:jc w:val="both"/>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Collateral Agent</w:t>
      </w:r>
      <w:r>
        <w:rPr>
          <w:rFonts w:ascii="Times New Roman" w:cs="Times New Roman" w:eastAsia="Times New Roman" w:hAnsi="Times New Roman"/>
          <w:sz w:val="14"/>
          <w:szCs w:val="14"/>
          <w:color w:val="auto"/>
        </w:rPr>
        <w:t>” shall have the meaning assigned to the term “Collateral Agent” in the Second Lien Credit Agreement.</w:t>
      </w:r>
    </w:p>
    <w:p>
      <w:pPr>
        <w:spacing w:after="0" w:line="119"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Credit Agreement</w:t>
      </w:r>
      <w:r>
        <w:rPr>
          <w:rFonts w:ascii="Times New Roman" w:cs="Times New Roman" w:eastAsia="Times New Roman" w:hAnsi="Times New Roman"/>
          <w:sz w:val="14"/>
          <w:szCs w:val="14"/>
          <w:color w:val="auto"/>
        </w:rPr>
        <w:t>” shall mean the Second Lien Credit Agreement, dated as of the date hereof, among Holdings, the Borrower, the lenders from time to time party thereto and Wilmington Trust, National Association, as the Second Lien Administrative Agent (as such agreement may be amended, supplemented, waived or otherwise modified from time to time or refunded, refinanced, restructured, replaced, renewed, repaid, increased or extended from time to time (whether in whole or in part, whether with the original administrative agent and lenders or other agents and lenders or otherwise, and whether provided under the original Second Lien Credit Agreement or other credit agreements or otherwise, unless such agreement, instrument or document expressly provides that it is not intended to be and is not a Second Lien Credit Agreement)).</w:t>
      </w:r>
    </w:p>
    <w:p>
      <w:pPr>
        <w:spacing w:after="0" w:line="143"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Credit Documents</w:t>
      </w:r>
      <w:r>
        <w:rPr>
          <w:rFonts w:ascii="Times New Roman" w:cs="Times New Roman" w:eastAsia="Times New Roman" w:hAnsi="Times New Roman"/>
          <w:sz w:val="14"/>
          <w:szCs w:val="14"/>
          <w:color w:val="auto"/>
        </w:rPr>
        <w:t>” shall mean the Second Lien Credit Agreement and each other document executed in connection therewith or pursuant thereto.</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Facility</w:t>
      </w:r>
      <w:r>
        <w:rPr>
          <w:rFonts w:ascii="Times New Roman" w:cs="Times New Roman" w:eastAsia="Times New Roman" w:hAnsi="Times New Roman"/>
          <w:sz w:val="14"/>
          <w:szCs w:val="14"/>
          <w:color w:val="auto"/>
        </w:rPr>
        <w:t>” shall have the meaning provided in the recitals to this Agreement.</w:t>
      </w:r>
    </w:p>
    <w:p>
      <w:pPr>
        <w:spacing w:after="0" w:line="183" w:lineRule="exact"/>
        <w:rPr>
          <w:sz w:val="20"/>
          <w:szCs w:val="20"/>
          <w:color w:val="auto"/>
        </w:rPr>
      </w:pPr>
    </w:p>
    <w:p>
      <w:pPr>
        <w:ind w:left="1140" w:right="1339" w:firstLine="1033"/>
        <w:spacing w:after="0" w:line="17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Intercreditor Agreement</w:t>
      </w:r>
      <w:r>
        <w:rPr>
          <w:rFonts w:ascii="Times New Roman" w:cs="Times New Roman" w:eastAsia="Times New Roman" w:hAnsi="Times New Roman"/>
          <w:sz w:val="14"/>
          <w:szCs w:val="14"/>
          <w:color w:val="auto"/>
        </w:rPr>
        <w:t xml:space="preserve">” shall mean the First Lien/Second Lien Intercreditor Agreement substantially in the form of </w:t>
      </w:r>
      <w:r>
        <w:rPr>
          <w:rFonts w:ascii="Times New Roman" w:cs="Times New Roman" w:eastAsia="Times New Roman" w:hAnsi="Times New Roman"/>
          <w:sz w:val="14"/>
          <w:szCs w:val="14"/>
          <w:u w:val="single" w:color="auto"/>
          <w:color w:val="auto"/>
        </w:rPr>
        <w:t>Exhibit H</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(with such changes to such form as may be reasonably acceptable to the Administrative Agent and the Borrower) among the Administrative Agent, the Collateral Agent, the Second Lien Administrative Agent, and the representatives for purposes thereof for any other Permitted Other Indebtedness Secured Parties that are holders of Permitted Other Indebtedness Obligations having a Lien on the Collateral ranking junior to the Lien securing the Obligations.</w:t>
      </w:r>
    </w:p>
    <w:p>
      <w:pPr>
        <w:spacing w:after="0" w:line="159" w:lineRule="exact"/>
        <w:rPr>
          <w:sz w:val="20"/>
          <w:szCs w:val="20"/>
          <w:color w:val="auto"/>
        </w:rPr>
      </w:pPr>
    </w:p>
    <w:p>
      <w:pPr>
        <w:ind w:left="1140" w:right="13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Second Lien Loans</w:t>
      </w:r>
      <w:r>
        <w:rPr>
          <w:rFonts w:ascii="Times New Roman" w:cs="Times New Roman" w:eastAsia="Times New Roman" w:hAnsi="Times New Roman"/>
          <w:sz w:val="14"/>
          <w:szCs w:val="14"/>
          <w:color w:val="auto"/>
        </w:rPr>
        <w:t>” shall have the meaning provided to the term “Loans” in the Second Lien Credit Agreement and any modification, replacement, refinancing, refunding, renewal, or extension thereof permitted by the Credit Documents.</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2.14 Additional Amendment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2.14(g)(iv)</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6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Section 9.1 Financials</w:t>
      </w:r>
      <w:r>
        <w:rPr>
          <w:rFonts w:ascii="Times New Roman" w:cs="Times New Roman" w:eastAsia="Times New Roman" w:hAnsi="Times New Roman"/>
          <w:sz w:val="14"/>
          <w:szCs w:val="14"/>
          <w:color w:val="auto"/>
        </w:rPr>
        <w:t xml:space="preserve">” shall mean the financial statements delivered, or required to be delivered, pursuant to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together with the accompanying officer’s certificate delivered, or required to be delivered, pursuant to </w:t>
      </w:r>
      <w:r>
        <w:rPr>
          <w:rFonts w:ascii="Times New Roman" w:cs="Times New Roman" w:eastAsia="Times New Roman" w:hAnsi="Times New Roman"/>
          <w:sz w:val="14"/>
          <w:szCs w:val="14"/>
          <w:u w:val="single" w:color="auto"/>
          <w:color w:val="auto"/>
        </w:rPr>
        <w:t>Section 9.1(d)</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jc w:val="both"/>
        <w:ind w:left="1140" w:right="1159" w:firstLine="517"/>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Secured Cash Management Agreement</w:t>
      </w:r>
      <w:r>
        <w:rPr>
          <w:rFonts w:ascii="Times New Roman" w:cs="Times New Roman" w:eastAsia="Times New Roman" w:hAnsi="Times New Roman"/>
          <w:sz w:val="14"/>
          <w:szCs w:val="14"/>
          <w:color w:val="auto"/>
        </w:rPr>
        <w:t>” shall mean any Cash Management Agreement that is entered into by and between the Borrower or any of the Restricted Subsidiaries and any Cash Management Bank, which is specified in writing by the Borrower to the Administrative Agent as constituting a Secured Cash Management Agreement hereunder.</w:t>
      </w:r>
    </w:p>
    <w:p>
      <w:pPr>
        <w:spacing w:after="0" w:line="139" w:lineRule="exact"/>
        <w:rPr>
          <w:sz w:val="20"/>
          <w:szCs w:val="20"/>
          <w:color w:val="auto"/>
        </w:rPr>
      </w:pPr>
    </w:p>
    <w:p>
      <w:pPr>
        <w:ind w:left="1140" w:right="17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Secured Cash Management Obligations</w:t>
      </w:r>
      <w:r>
        <w:rPr>
          <w:rFonts w:ascii="Times New Roman" w:cs="Times New Roman" w:eastAsia="Times New Roman" w:hAnsi="Times New Roman"/>
          <w:sz w:val="14"/>
          <w:szCs w:val="14"/>
          <w:color w:val="auto"/>
        </w:rPr>
        <w:t>” shall mean Obligations under Secured Cash Management Agreements.</w:t>
      </w:r>
    </w:p>
    <w:p>
      <w:pPr>
        <w:spacing w:after="0" w:line="141" w:lineRule="exact"/>
        <w:rPr>
          <w:sz w:val="20"/>
          <w:szCs w:val="20"/>
          <w:color w:val="auto"/>
        </w:rPr>
      </w:pPr>
    </w:p>
    <w:p>
      <w:pPr>
        <w:ind w:left="1140" w:right="117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Secured Hedge Agreement</w:t>
      </w:r>
      <w:r>
        <w:rPr>
          <w:rFonts w:ascii="Times New Roman" w:cs="Times New Roman" w:eastAsia="Times New Roman" w:hAnsi="Times New Roman"/>
          <w:sz w:val="14"/>
          <w:szCs w:val="14"/>
          <w:color w:val="auto"/>
        </w:rPr>
        <w:t>” shall mean any Hedge Agreement that is entered into by and between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w:t>
      </w: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7" w:name="page148"/>
    <w:bookmarkEnd w:id="147"/>
    <w:p>
      <w:pPr>
        <w:ind w:left="1140" w:right="1219"/>
        <w:spacing w:after="0" w:line="265" w:lineRule="auto"/>
        <w:rPr>
          <w:sz w:val="20"/>
          <w:szCs w:val="20"/>
          <w:color w:val="auto"/>
        </w:rPr>
      </w:pPr>
      <w:r>
        <w:rPr>
          <w:rFonts w:ascii="Times New Roman" w:cs="Times New Roman" w:eastAsia="Times New Roman" w:hAnsi="Times New Roman"/>
          <w:sz w:val="14"/>
          <w:szCs w:val="14"/>
          <w:color w:val="auto"/>
        </w:rPr>
        <w:t>a specified Master Agreement as “Secured Hedge Agreements”. Notwithstanding anything to the contrary, a Hedge Agreement entered into by a Restricted Subsidiary shall remain a Secured Hedge Agreement notwithstanding that such Restricted Subsidiary is subsequently designated an Unrestricted Subsidiary (but not any Hedge Agreement entered into after the date of such designation), unless otherwise agreed between such Restricted Subsidiary and Hedge Bank.</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Secured Hedge Obligations</w:t>
      </w:r>
      <w:r>
        <w:rPr>
          <w:rFonts w:ascii="Times New Roman" w:cs="Times New Roman" w:eastAsia="Times New Roman" w:hAnsi="Times New Roman"/>
          <w:sz w:val="14"/>
          <w:szCs w:val="14"/>
          <w:color w:val="auto"/>
        </w:rPr>
        <w:t>” shall mean Obligations under Secured Hedge Agreements.</w:t>
      </w:r>
    </w:p>
    <w:p>
      <w:pPr>
        <w:spacing w:after="0" w:line="183" w:lineRule="exact"/>
        <w:rPr>
          <w:sz w:val="20"/>
          <w:szCs w:val="20"/>
          <w:color w:val="auto"/>
        </w:rPr>
      </w:pPr>
    </w:p>
    <w:p>
      <w:pPr>
        <w:ind w:left="1140" w:right="1199" w:firstLine="1033"/>
        <w:spacing w:after="0" w:line="17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Secured Parties</w:t>
      </w:r>
      <w:r>
        <w:rPr>
          <w:rFonts w:ascii="Times New Roman" w:cs="Times New Roman" w:eastAsia="Times New Roman" w:hAnsi="Times New Roman"/>
          <w:sz w:val="14"/>
          <w:szCs w:val="14"/>
          <w:color w:val="auto"/>
        </w:rPr>
        <w:t>” shall mean the Administrative Agent, the Collateral Agent, the Letter of Credit Issuer, the Swingline Lender and each Lender, each Hedge Bank that is party to any Secured Hedge Agreement with the Borrower or any Restricted Subsidiary, each Cash Management Bank that is party to a Secured Cash Management Agreement with Holdings or any Restricted Subsidiary and each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agent pursuant to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appointed by the Administrative Agent with respect to matters relating to the Credit Facilities or the Collateral Agent with respect to matters relating to any Security Document.</w:t>
      </w:r>
    </w:p>
    <w:p>
      <w:pPr>
        <w:spacing w:after="0" w:line="15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Securities Exchange Act</w:t>
      </w:r>
      <w:r>
        <w:rPr>
          <w:rFonts w:ascii="Times New Roman" w:cs="Times New Roman" w:eastAsia="Times New Roman" w:hAnsi="Times New Roman"/>
          <w:sz w:val="14"/>
          <w:szCs w:val="14"/>
          <w:color w:val="auto"/>
        </w:rPr>
        <w:t>” shall mean Securities Exchange Act of 1934, as amended.</w:t>
      </w:r>
    </w:p>
    <w:p>
      <w:pPr>
        <w:spacing w:after="0" w:line="183" w:lineRule="exact"/>
        <w:rPr>
          <w:sz w:val="20"/>
          <w:szCs w:val="20"/>
          <w:color w:val="auto"/>
        </w:rPr>
      </w:pPr>
    </w:p>
    <w:p>
      <w:pPr>
        <w:ind w:left="1140" w:right="13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Agreement</w:t>
      </w:r>
      <w:r>
        <w:rPr>
          <w:rFonts w:ascii="Times New Roman" w:cs="Times New Roman" w:eastAsia="Times New Roman" w:hAnsi="Times New Roman"/>
          <w:sz w:val="14"/>
          <w:szCs w:val="14"/>
          <w:color w:val="auto"/>
        </w:rPr>
        <w:t xml:space="preserve">” shall mean the First Lien Security Agreement entered into by the Holdings, the Borrower, the other Guarantors party thereto and the Collateral Agent for the benefit of the Secured Parties,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w:t>
      </w:r>
    </w:p>
    <w:p>
      <w:pPr>
        <w:spacing w:after="0" w:line="133" w:lineRule="exact"/>
        <w:rPr>
          <w:sz w:val="20"/>
          <w:szCs w:val="20"/>
          <w:color w:val="auto"/>
        </w:rPr>
      </w:pPr>
    </w:p>
    <w:p>
      <w:pPr>
        <w:ind w:left="1140" w:right="1159" w:firstLine="1033"/>
        <w:spacing w:after="0" w:line="26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Security Documents</w:t>
      </w:r>
      <w:r>
        <w:rPr>
          <w:rFonts w:ascii="Times New Roman" w:cs="Times New Roman" w:eastAsia="Times New Roman" w:hAnsi="Times New Roman"/>
          <w:sz w:val="14"/>
          <w:szCs w:val="14"/>
          <w:color w:val="auto"/>
        </w:rPr>
        <w:t xml:space="preserve">” shall mean, collectively, the Pledge Agreement, the Security Agreement, the Mortgages, if any, the Second Lien Intercreditor Agreement and each other security agreement or other instrument or document executed and delivered pursuant to </w:t>
      </w:r>
      <w:r>
        <w:rPr>
          <w:rFonts w:ascii="Times New Roman" w:cs="Times New Roman" w:eastAsia="Times New Roman" w:hAnsi="Times New Roman"/>
          <w:sz w:val="14"/>
          <w:szCs w:val="14"/>
          <w:u w:val="single" w:color="auto"/>
          <w:color w:val="auto"/>
        </w:rPr>
        <w:t>Sections 9.11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9.12,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9.14</w:t>
      </w:r>
      <w:r>
        <w:rPr>
          <w:rFonts w:ascii="Times New Roman" w:cs="Times New Roman" w:eastAsia="Times New Roman" w:hAnsi="Times New Roman"/>
          <w:sz w:val="14"/>
          <w:szCs w:val="14"/>
          <w:color w:val="auto"/>
        </w:rPr>
        <w:t xml:space="preserve"> or pursuant to any other such Security Documents to secure the Obligations or to govern the lien priorities of the holders of Liens on the Collateral.</w:t>
      </w:r>
    </w:p>
    <w:p>
      <w:pPr>
        <w:spacing w:after="0" w:line="31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Series</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7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Significant Subsidiary</w:t>
      </w:r>
      <w:r>
        <w:rPr>
          <w:rFonts w:ascii="Times New Roman" w:cs="Times New Roman" w:eastAsia="Times New Roman" w:hAnsi="Times New Roman"/>
          <w:sz w:val="14"/>
          <w:szCs w:val="14"/>
          <w:color w:val="auto"/>
        </w:rPr>
        <w:t xml:space="preserve">”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the Borrower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would constitute a “Significant Subsidiary” under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w:t>
      </w:r>
    </w:p>
    <w:p>
      <w:pPr>
        <w:spacing w:after="0" w:line="143" w:lineRule="exact"/>
        <w:rPr>
          <w:sz w:val="20"/>
          <w:szCs w:val="20"/>
          <w:color w:val="auto"/>
        </w:rPr>
      </w:pPr>
    </w:p>
    <w:p>
      <w:pPr>
        <w:ind w:left="1140" w:right="145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Similar Business</w:t>
      </w:r>
      <w:r>
        <w:rPr>
          <w:rFonts w:ascii="Times New Roman" w:cs="Times New Roman" w:eastAsia="Times New Roman" w:hAnsi="Times New Roman"/>
          <w:sz w:val="14"/>
          <w:szCs w:val="14"/>
          <w:color w:val="auto"/>
        </w:rPr>
        <w:t>” shall mean any business conducted or proposed to be conducted by the Borrower and the Restricted Subsidiaries on the Closing Date or any business that is similar, reasonably related, synergistic, incidental, or ancillary thereto.</w:t>
      </w:r>
    </w:p>
    <w:p>
      <w:pPr>
        <w:spacing w:after="0" w:line="133" w:lineRule="exact"/>
        <w:rPr>
          <w:sz w:val="20"/>
          <w:szCs w:val="20"/>
          <w:color w:val="auto"/>
        </w:rPr>
      </w:pPr>
    </w:p>
    <w:p>
      <w:pPr>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SOFR</w:t>
      </w:r>
      <w:r>
        <w:rPr>
          <w:rFonts w:ascii="Times New Roman" w:cs="Times New Roman" w:eastAsia="Times New Roman" w:hAnsi="Times New Roman"/>
          <w:sz w:val="14"/>
          <w:szCs w:val="14"/>
          <w:color w:val="auto"/>
        </w:rPr>
        <w:t>” means a rate equal to the secured overnight financing rate as administered by the SOFR Administrator.</w:t>
      </w:r>
    </w:p>
    <w:p>
      <w:pPr>
        <w:spacing w:after="0" w:line="119" w:lineRule="exact"/>
        <w:rPr>
          <w:sz w:val="20"/>
          <w:szCs w:val="20"/>
          <w:color w:val="auto"/>
        </w:rPr>
      </w:pPr>
    </w:p>
    <w:p>
      <w:pPr>
        <w:ind w:left="1140" w:right="18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SOFR Administrator</w:t>
      </w:r>
      <w:r>
        <w:rPr>
          <w:rFonts w:ascii="Times New Roman" w:cs="Times New Roman" w:eastAsia="Times New Roman" w:hAnsi="Times New Roman"/>
          <w:sz w:val="14"/>
          <w:szCs w:val="14"/>
          <w:color w:val="auto"/>
        </w:rPr>
        <w:t>” means the Federal Reserve Bank of New York (or a successor administrator of the secured overnight financing rate).</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SOFR Borrowing</w:t>
      </w:r>
      <w:r>
        <w:rPr>
          <w:rFonts w:ascii="Times New Roman" w:cs="Times New Roman" w:eastAsia="Times New Roman" w:hAnsi="Times New Roman"/>
          <w:sz w:val="14"/>
          <w:szCs w:val="14"/>
          <w:color w:val="auto"/>
        </w:rPr>
        <w:t>” means, as to any Borrowing of SOFR Loans, the SOFR Loans comprising</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such Borrowing.</w:t>
      </w:r>
    </w:p>
    <w:p>
      <w:pPr>
        <w:spacing w:after="0" w:line="168"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SOFR Loan</w:t>
      </w:r>
      <w:r>
        <w:rPr>
          <w:rFonts w:ascii="Times New Roman" w:cs="Times New Roman" w:eastAsia="Times New Roman" w:hAnsi="Times New Roman"/>
          <w:sz w:val="14"/>
          <w:szCs w:val="14"/>
          <w:color w:val="auto"/>
        </w:rPr>
        <w:t>” means a Loan that bears interest at a rate based on the Adjusted Term SOFR Rate, other than pursuant to clause (iii) of the definition of ABR.</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48" w:name="page149"/>
    <w:bookmarkEnd w:id="148"/>
    <w:p>
      <w:pPr>
        <w:ind w:left="1140" w:right="1739" w:firstLine="1069"/>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Sold Entity or Business</w:t>
      </w:r>
      <w:r>
        <w:rPr>
          <w:rFonts w:ascii="Times New Roman" w:cs="Times New Roman" w:eastAsia="Times New Roman" w:hAnsi="Times New Roman"/>
          <w:sz w:val="14"/>
          <w:szCs w:val="14"/>
          <w:color w:val="auto"/>
        </w:rPr>
        <w:t>” shall have the meaning provided in the definition of the term “Consolidated EBITDA.”</w:t>
      </w:r>
    </w:p>
    <w:p>
      <w:pPr>
        <w:spacing w:after="0" w:line="119" w:lineRule="exact"/>
        <w:rPr>
          <w:sz w:val="20"/>
          <w:szCs w:val="20"/>
          <w:color w:val="auto"/>
        </w:rPr>
      </w:pPr>
    </w:p>
    <w:p>
      <w:pPr>
        <w:ind w:left="1140" w:right="1159" w:firstLine="103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Solvent</w:t>
      </w:r>
      <w:r>
        <w:rPr>
          <w:rFonts w:ascii="Times New Roman" w:cs="Times New Roman" w:eastAsia="Times New Roman" w:hAnsi="Times New Roman"/>
          <w:sz w:val="14"/>
          <w:szCs w:val="14"/>
          <w:color w:val="auto"/>
        </w:rPr>
        <w:t xml:space="preserve">” shall mean, after giving effect to the consummation of the Transactions </w:t>
      </w:r>
      <w:r>
        <w:rPr>
          <w:rFonts w:ascii="Times New Roman" w:cs="Times New Roman" w:eastAsia="Times New Roman" w:hAnsi="Times New Roman"/>
          <w:sz w:val="14"/>
          <w:szCs w:val="14"/>
          <w:color w:val="FF0000"/>
        </w:rPr>
        <w:t>and</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the Amendment No. 5 </w:t>
      </w:r>
      <w:r>
        <w:rPr>
          <w:rFonts w:ascii="Times New Roman" w:cs="Times New Roman" w:eastAsia="Times New Roman" w:hAnsi="Times New Roman"/>
          <w:sz w:val="14"/>
          <w:szCs w:val="14"/>
          <w:u w:val="single" w:color="auto"/>
          <w:color w:val="0000FF"/>
        </w:rPr>
        <w:t>Transactions and the Amendment No. 7</w:t>
      </w:r>
      <w:r>
        <w:rPr>
          <w:rFonts w:ascii="Times New Roman" w:cs="Times New Roman" w:eastAsia="Times New Roman" w:hAnsi="Times New Roman"/>
          <w:sz w:val="14"/>
          <w:szCs w:val="14"/>
          <w:color w:val="auto"/>
        </w:rPr>
        <w:t xml:space="preserve"> Transactions, (i) the sum of the liabilities (including contingent liabilities) of the Borrower and its Restricted Subsidiaries, on a consolidated basis, does not exceed the present fair saleable value of the present assets of Holdings, the Borrower and its Restricted Subsidiaries, on a consolidated basis; (ii) the fair value of the property of the Borrower and its Restricted Subsidiaries, on a consolidated basis, is greater than the total amount of liabilities (including contingent liabilities) of the Borrower and its Restricted Subsidiaries, on a consolidated basis; (iii) the capital of the Borrower and its Restricted Subsidiaries, on a consolidated basis, is not unreasonably small in relation to their business as contemplated on the date hereof; and (iv) the Borrower and its Restricted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-1158875</wp:posOffset>
            </wp:positionV>
            <wp:extent cx="15430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6">
                      <a:extLst>
                        <a:ext uri="{28A0092B-C50C-407E-A947-70E740481C1C}"/>
                      </a:extLst>
                    </a:blip>
                    <a:srcRect/>
                    <a:stretch>
                      <a:fillRect/>
                    </a:stretch>
                  </pic:blipFill>
                  <pic:spPr bwMode="auto">
                    <a:xfrm>
                      <a:off x="0" y="0"/>
                      <a:ext cx="154305" cy="6985"/>
                    </a:xfrm>
                    <a:prstGeom prst="rect">
                      <a:avLst/>
                    </a:prstGeom>
                    <a:noFill/>
                  </pic:spPr>
                </pic:pic>
              </a:graphicData>
            </a:graphic>
          </wp:anchor>
        </w:drawing>
      </w:r>
    </w:p>
    <w:p>
      <w:pPr>
        <w:spacing w:after="0" w:line="12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Existing Revolving Credit Commitment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2.14(g)(ii)</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1140" w:right="115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Representations</w:t>
      </w:r>
      <w:r>
        <w:rPr>
          <w:rFonts w:ascii="Times New Roman" w:cs="Times New Roman" w:eastAsia="Times New Roman" w:hAnsi="Times New Roman"/>
          <w:sz w:val="14"/>
          <w:szCs w:val="14"/>
          <w:color w:val="auto"/>
        </w:rPr>
        <w:t xml:space="preserve">” shall mean the representations and warranties with respect to the Borrower and the Guarantors set forth in </w:t>
      </w:r>
      <w:r>
        <w:rPr>
          <w:rFonts w:ascii="Times New Roman" w:cs="Times New Roman" w:eastAsia="Times New Roman" w:hAnsi="Times New Roman"/>
          <w:sz w:val="14"/>
          <w:szCs w:val="14"/>
          <w:u w:val="single" w:color="auto"/>
          <w:color w:val="auto"/>
        </w:rPr>
        <w:t>Sections 8.1(a)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8.2</w:t>
      </w:r>
      <w:r>
        <w:rPr>
          <w:rFonts w:ascii="Times New Roman" w:cs="Times New Roman" w:eastAsia="Times New Roman" w:hAnsi="Times New Roman"/>
          <w:sz w:val="14"/>
          <w:szCs w:val="14"/>
          <w:color w:val="auto"/>
        </w:rPr>
        <w:t xml:space="preserve"> (as related to the borrowing under, guaranteeing under, granting of security interests in the Collateral to, and performance of, the Credit Documents), </w:t>
      </w:r>
      <w:r>
        <w:rPr>
          <w:rFonts w:ascii="Times New Roman" w:cs="Times New Roman" w:eastAsia="Times New Roman" w:hAnsi="Times New Roman"/>
          <w:sz w:val="14"/>
          <w:szCs w:val="14"/>
          <w:u w:val="single" w:color="auto"/>
          <w:color w:val="auto"/>
        </w:rPr>
        <w:t>8.3(c)</w:t>
      </w:r>
      <w:r>
        <w:rPr>
          <w:rFonts w:ascii="Times New Roman" w:cs="Times New Roman" w:eastAsia="Times New Roman" w:hAnsi="Times New Roman"/>
          <w:sz w:val="14"/>
          <w:szCs w:val="14"/>
          <w:color w:val="auto"/>
        </w:rPr>
        <w:t xml:space="preserve"> (as related to the borrowing under, guaranteeing under, granting of security interests in the Collateral to, and performance of, the Credit Documents), </w:t>
      </w:r>
      <w:r>
        <w:rPr>
          <w:rFonts w:ascii="Times New Roman" w:cs="Times New Roman" w:eastAsia="Times New Roman" w:hAnsi="Times New Roman"/>
          <w:sz w:val="14"/>
          <w:szCs w:val="14"/>
          <w:u w:val="single" w:color="auto"/>
          <w:color w:val="auto"/>
        </w:rPr>
        <w:t>8.5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8.10(c)(1)(x)</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8.17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8.18</w:t>
      </w:r>
      <w:r>
        <w:rPr>
          <w:rFonts w:ascii="Times New Roman" w:cs="Times New Roman" w:eastAsia="Times New Roman" w:hAnsi="Times New Roman"/>
          <w:sz w:val="14"/>
          <w:szCs w:val="14"/>
          <w:color w:val="auto"/>
        </w:rPr>
        <w:t xml:space="preserve"> (which, for purposes of this definition, shall not be limited by “in any material respect”), and in Section 3.2(a) and (b) of the Security Agreement and Section 4(d) of the Pledge Agreement, except with respect to items referred to on </w:t>
      </w:r>
      <w:r>
        <w:rPr>
          <w:rFonts w:ascii="Times New Roman" w:cs="Times New Roman" w:eastAsia="Times New Roman" w:hAnsi="Times New Roman"/>
          <w:sz w:val="14"/>
          <w:szCs w:val="14"/>
          <w:u w:val="single" w:color="auto"/>
          <w:color w:val="auto"/>
        </w:rPr>
        <w:t>Schedule 9.14</w:t>
      </w:r>
      <w:r>
        <w:rPr>
          <w:rFonts w:ascii="Times New Roman" w:cs="Times New Roman" w:eastAsia="Times New Roman" w:hAnsi="Times New Roman"/>
          <w:sz w:val="14"/>
          <w:szCs w:val="14"/>
          <w:color w:val="auto"/>
        </w:rPr>
        <w:t xml:space="preserve"> of this Agreement.</w:t>
      </w:r>
    </w:p>
    <w:p>
      <w:pPr>
        <w:spacing w:after="0" w:line="142" w:lineRule="exact"/>
        <w:rPr>
          <w:sz w:val="20"/>
          <w:szCs w:val="20"/>
          <w:color w:val="auto"/>
        </w:rPr>
      </w:pPr>
    </w:p>
    <w:p>
      <w:pPr>
        <w:ind w:left="1140" w:right="127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Specified Transaction</w:t>
      </w:r>
      <w:r>
        <w:rPr>
          <w:rFonts w:ascii="Times New Roman" w:cs="Times New Roman" w:eastAsia="Times New Roman" w:hAnsi="Times New Roman"/>
          <w:sz w:val="14"/>
          <w:szCs w:val="14"/>
          <w:color w:val="auto"/>
        </w:rPr>
        <w:t>” shall mean, with respect to any period, any Investment (including a Permitted Acquisition), any asset sale, incurrence or repayment of Indebtedness, Restricted Payment, Subsidiary designation, New Term Loan, Incremental Revolving Credit Commitment or other event or action that in each case by the terms of this Agreement requires Pro Forma Compliance with a test or covenant hereunder or requires such test or covenant to be calculated on a Pro Forma Basis.</w:t>
      </w:r>
    </w:p>
    <w:p>
      <w:pPr>
        <w:spacing w:after="0" w:line="141"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Sponsor</w:t>
      </w:r>
      <w:r>
        <w:rPr>
          <w:rFonts w:ascii="Times New Roman" w:cs="Times New Roman" w:eastAsia="Times New Roman" w:hAnsi="Times New Roman"/>
          <w:sz w:val="14"/>
          <w:szCs w:val="14"/>
          <w:color w:val="auto"/>
        </w:rPr>
        <w:t>” shall mean any of KKR, WBA and their respective Affiliates (but excluding portfolio companies of any of the foregoing).</w:t>
      </w:r>
    </w:p>
    <w:p>
      <w:pPr>
        <w:spacing w:after="0" w:line="119" w:lineRule="exact"/>
        <w:rPr>
          <w:sz w:val="20"/>
          <w:szCs w:val="20"/>
          <w:color w:val="auto"/>
        </w:rPr>
      </w:pPr>
    </w:p>
    <w:p>
      <w:pPr>
        <w:ind w:left="1140" w:right="1319" w:firstLine="1033"/>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Sponsor Management Agreement</w:t>
      </w:r>
      <w:r>
        <w:rPr>
          <w:rFonts w:ascii="Times New Roman" w:cs="Times New Roman" w:eastAsia="Times New Roman" w:hAnsi="Times New Roman"/>
          <w:sz w:val="14"/>
          <w:szCs w:val="14"/>
          <w:color w:val="auto"/>
        </w:rPr>
        <w:t>” shall mean that amended and restated monitoring agreement, dated as of March 5, 2019, by and among PharMerica Corporation, Phoenix Guarantor Inc., Kohlberg Kravis Roberts &amp; Co. L.P. and Walgreens Boots Alliance, Inc., as the same may be amended, supplemented or otherwise modified from time to time in accordance with its terms.</w:t>
      </w:r>
    </w:p>
    <w:p>
      <w:pPr>
        <w:spacing w:after="0" w:line="139" w:lineRule="exact"/>
        <w:rPr>
          <w:sz w:val="20"/>
          <w:szCs w:val="20"/>
          <w:color w:val="auto"/>
        </w:rPr>
      </w:pPr>
    </w:p>
    <w:p>
      <w:pPr>
        <w:ind w:left="1140" w:right="121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Spot Rate</w:t>
      </w:r>
      <w:r>
        <w:rPr>
          <w:rFonts w:ascii="Times New Roman" w:cs="Times New Roman" w:eastAsia="Times New Roman" w:hAnsi="Times New Roman"/>
          <w:sz w:val="14"/>
          <w:szCs w:val="14"/>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SPV</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13.6(g)</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1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Stated Amount</w:t>
      </w:r>
      <w:r>
        <w:rPr>
          <w:rFonts w:ascii="Times New Roman" w:cs="Times New Roman" w:eastAsia="Times New Roman" w:hAnsi="Times New Roman"/>
          <w:sz w:val="14"/>
          <w:szCs w:val="14"/>
          <w:color w:val="auto"/>
        </w:rPr>
        <w:t>” of any Letter of Credit shall mean the maximum amount from time to time available to be drawn thereunder, determined without regard to whether any conditions to drawing could then be met; provided, however, that with respect to any Letter of Credit that by its terms provides for one or more automatic increases in the amount available thereunder, the Stated Amount shall be deemed to be the maximum amount available under such Letter of Credit after giving effect to all such increases, whether or not such maximum amount that may be drawn at such time.</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49" w:name="page150"/>
    <w:bookmarkEnd w:id="149"/>
    <w:p>
      <w:pPr>
        <w:ind w:left="1140" w:right="12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Stock Equivalents</w:t>
      </w:r>
      <w:r>
        <w:rPr>
          <w:rFonts w:ascii="Times New Roman" w:cs="Times New Roman" w:eastAsia="Times New Roman" w:hAnsi="Times New Roman"/>
          <w:sz w:val="14"/>
          <w:szCs w:val="14"/>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Subject Lien</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10.2(a)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Subordinated Indebtedness</w:t>
      </w:r>
      <w:r>
        <w:rPr>
          <w:rFonts w:ascii="Times New Roman" w:cs="Times New Roman" w:eastAsia="Times New Roman" w:hAnsi="Times New Roman"/>
          <w:sz w:val="14"/>
          <w:szCs w:val="14"/>
          <w:color w:val="auto"/>
        </w:rPr>
        <w:t>” shall mean Indebtedness of the Borrower or any Restricted Subsidiary that is by its terms subordinated in right of payment to the obligations of the Borrower or such Guarantor, as applicable, under this Agreement or the Guarantee, as applicable.</w:t>
      </w:r>
    </w:p>
    <w:p>
      <w:pPr>
        <w:spacing w:after="0" w:line="133" w:lineRule="exact"/>
        <w:rPr>
          <w:sz w:val="20"/>
          <w:szCs w:val="20"/>
          <w:color w:val="auto"/>
        </w:rPr>
      </w:pPr>
    </w:p>
    <w:p>
      <w:pPr>
        <w:ind w:left="1140" w:right="1239" w:firstLine="1033"/>
        <w:spacing w:after="0" w:line="26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Subsidiary</w:t>
      </w:r>
      <w:r>
        <w:rPr>
          <w:rFonts w:ascii="Times New Roman" w:cs="Times New Roman" w:eastAsia="Times New Roman" w:hAnsi="Times New Roman"/>
          <w:sz w:val="14"/>
          <w:szCs w:val="14"/>
          <w:color w:val="auto"/>
        </w:rPr>
        <w:t>” of any Person shall mean and include (i) any corporation more than 50% of whose Capital Stock of any class or classes having by the terms thereof ordinary voting power to elect a majority of the directors of 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the Borrower.</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Successor Borrower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10.3(a)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jc w:val="both"/>
        <w:ind w:left="1140" w:right="11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Swap Obligation</w:t>
      </w:r>
      <w:r>
        <w:rPr>
          <w:rFonts w:ascii="Times New Roman" w:cs="Times New Roman" w:eastAsia="Times New Roman" w:hAnsi="Times New Roman"/>
          <w:sz w:val="14"/>
          <w:szCs w:val="14"/>
          <w:color w:val="auto"/>
        </w:rPr>
        <w:t>” shall mean, with respect to any Credit Party, any obligation to pay or perform under any agreement, contract, or transaction that constitutes a “swap” within the meaning of Section 1(a)(47) of the Commodity Exchange Act.</w:t>
      </w:r>
    </w:p>
    <w:p>
      <w:pPr>
        <w:spacing w:after="0" w:line="1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Swingline Commitment</w:t>
      </w:r>
      <w:r>
        <w:rPr>
          <w:rFonts w:ascii="Times New Roman" w:cs="Times New Roman" w:eastAsia="Times New Roman" w:hAnsi="Times New Roman"/>
          <w:sz w:val="14"/>
          <w:szCs w:val="14"/>
          <w:color w:val="auto"/>
        </w:rPr>
        <w:t>” means the commitment of each Swingline Lender to make Swingline Loans.</w:t>
      </w:r>
    </w:p>
    <w:p>
      <w:pPr>
        <w:spacing w:after="0" w:line="183" w:lineRule="exact"/>
        <w:rPr>
          <w:sz w:val="20"/>
          <w:szCs w:val="20"/>
          <w:color w:val="auto"/>
        </w:rPr>
      </w:pPr>
    </w:p>
    <w:p>
      <w:pPr>
        <w:ind w:left="1140" w:right="1579" w:firstLine="517"/>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Swingline Exposure</w:t>
      </w:r>
      <w:r>
        <w:rPr>
          <w:rFonts w:ascii="Times New Roman" w:cs="Times New Roman" w:eastAsia="Times New Roman" w:hAnsi="Times New Roman"/>
          <w:sz w:val="14"/>
          <w:szCs w:val="14"/>
          <w:color w:val="auto"/>
        </w:rPr>
        <w:t>” means, at any time, the aggregate principal amount of all Swingline Loans outstanding at such time. The Swingline Exposure of any Revolving Credit Lender at any time shall equal its Revolving Credit Commitment Percentage of the aggregate Swingline Exposure at such time.</w:t>
      </w:r>
    </w:p>
    <w:p>
      <w:pPr>
        <w:spacing w:after="0" w:line="133" w:lineRule="exact"/>
        <w:rPr>
          <w:sz w:val="20"/>
          <w:szCs w:val="20"/>
          <w:color w:val="auto"/>
        </w:rPr>
      </w:pPr>
    </w:p>
    <w:p>
      <w:pPr>
        <w:jc w:val="both"/>
        <w:ind w:left="1140" w:right="1179" w:firstLine="517"/>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Swingline Lender</w:t>
      </w:r>
      <w:r>
        <w:rPr>
          <w:rFonts w:ascii="Times New Roman" w:cs="Times New Roman" w:eastAsia="Times New Roman" w:hAnsi="Times New Roman"/>
          <w:sz w:val="14"/>
          <w:szCs w:val="14"/>
          <w:color w:val="auto"/>
        </w:rPr>
        <w:t xml:space="preserve">” means (a) MSSF, in its capacity as lender of Swingline Loans hereunder and (b) each Revolving Credit Lender that shall have become a Swingline Lender hereunder as provided in </w:t>
      </w:r>
      <w:r>
        <w:rPr>
          <w:rFonts w:ascii="Times New Roman" w:cs="Times New Roman" w:eastAsia="Times New Roman" w:hAnsi="Times New Roman"/>
          <w:sz w:val="14"/>
          <w:szCs w:val="14"/>
          <w:u w:val="single" w:color="auto"/>
          <w:color w:val="auto"/>
        </w:rPr>
        <w:t>Section 2.17(d)</w:t>
      </w:r>
      <w:r>
        <w:rPr>
          <w:rFonts w:ascii="Times New Roman" w:cs="Times New Roman" w:eastAsia="Times New Roman" w:hAnsi="Times New Roman"/>
          <w:sz w:val="14"/>
          <w:szCs w:val="14"/>
          <w:color w:val="auto"/>
        </w:rPr>
        <w:t xml:space="preserve"> (other than any Person that shall have ceased to be a Swingline Lender as provided in </w:t>
      </w:r>
      <w:r>
        <w:rPr>
          <w:rFonts w:ascii="Times New Roman" w:cs="Times New Roman" w:eastAsia="Times New Roman" w:hAnsi="Times New Roman"/>
          <w:sz w:val="14"/>
          <w:szCs w:val="14"/>
          <w:u w:val="single" w:color="auto"/>
          <w:color w:val="auto"/>
        </w:rPr>
        <w:t>Section 2.17(e)</w:t>
      </w:r>
      <w:r>
        <w:rPr>
          <w:rFonts w:ascii="Times New Roman" w:cs="Times New Roman" w:eastAsia="Times New Roman" w:hAnsi="Times New Roman"/>
          <w:sz w:val="14"/>
          <w:szCs w:val="14"/>
          <w:color w:val="auto"/>
        </w:rPr>
        <w:t>), each in its capacity as a lender of Swingline Loans hereunder.</w:t>
      </w:r>
    </w:p>
    <w:p>
      <w:pPr>
        <w:spacing w:after="0" w:line="13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Swingline Loan</w:t>
      </w:r>
      <w:r>
        <w:rPr>
          <w:rFonts w:ascii="Times New Roman" w:cs="Times New Roman" w:eastAsia="Times New Roman" w:hAnsi="Times New Roman"/>
          <w:sz w:val="14"/>
          <w:szCs w:val="14"/>
          <w:color w:val="auto"/>
        </w:rPr>
        <w:t xml:space="preserve">” means a Loan made pursuant to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Swingline Sublimit</w:t>
      </w:r>
      <w:r>
        <w:rPr>
          <w:rFonts w:ascii="Times New Roman" w:cs="Times New Roman" w:eastAsia="Times New Roman" w:hAnsi="Times New Roman"/>
          <w:sz w:val="14"/>
          <w:szCs w:val="14"/>
          <w:color w:val="auto"/>
        </w:rPr>
        <w:t>” means $50 million.</w:t>
      </w:r>
    </w:p>
    <w:p>
      <w:pPr>
        <w:spacing w:after="0" w:line="183" w:lineRule="exact"/>
        <w:rPr>
          <w:sz w:val="20"/>
          <w:szCs w:val="20"/>
          <w:color w:val="auto"/>
        </w:rPr>
      </w:pPr>
    </w:p>
    <w:p>
      <w:pPr>
        <w:ind w:left="1140" w:right="11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Taxes</w:t>
      </w:r>
      <w:r>
        <w:rPr>
          <w:rFonts w:ascii="Times New Roman" w:cs="Times New Roman" w:eastAsia="Times New Roman" w:hAnsi="Times New Roman"/>
          <w:sz w:val="14"/>
          <w:szCs w:val="14"/>
          <w:color w:val="auto"/>
        </w:rPr>
        <w:t>” shall mean any and all present or future direct or indirect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33" w:lineRule="exact"/>
        <w:rPr>
          <w:sz w:val="20"/>
          <w:szCs w:val="20"/>
          <w:color w:val="auto"/>
        </w:rPr>
      </w:pPr>
    </w:p>
    <w:p>
      <w:pPr>
        <w:jc w:val="both"/>
        <w:ind w:left="1140" w:right="11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Commitment</w:t>
      </w:r>
      <w:r>
        <w:rPr>
          <w:rFonts w:ascii="Times New Roman" w:cs="Times New Roman" w:eastAsia="Times New Roman" w:hAnsi="Times New Roman"/>
          <w:sz w:val="14"/>
          <w:szCs w:val="14"/>
          <w:color w:val="auto"/>
        </w:rPr>
        <w:t>” shall mean, with respect to each Lender, such Lender’s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Term Loan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Commitment, Tranche B-3 Term Loan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Commitment and, if applicable, New Term Loan Commitment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with respect to any Series and Replacement Term Loan Commitment with respect to any Series.</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Extension Request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27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 Lender</w:t>
      </w:r>
      <w:r>
        <w:rPr>
          <w:rFonts w:ascii="Times New Roman" w:cs="Times New Roman" w:eastAsia="Times New Roman" w:hAnsi="Times New Roman"/>
          <w:sz w:val="14"/>
          <w:szCs w:val="14"/>
          <w:color w:val="auto"/>
        </w:rPr>
        <w:t>” shall mean, at any time, any Lender that has a Term Loan Commitment or an outstanding Term Loan.</w:t>
      </w:r>
    </w:p>
    <w:p>
      <w:pPr>
        <w:spacing w:after="0" w:line="119" w:lineRule="exact"/>
        <w:rPr>
          <w:sz w:val="20"/>
          <w:szCs w:val="20"/>
          <w:color w:val="auto"/>
        </w:rPr>
      </w:pPr>
    </w:p>
    <w:p>
      <w:pPr>
        <w:ind w:left="1140" w:right="14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Loans</w:t>
      </w:r>
      <w:r>
        <w:rPr>
          <w:rFonts w:ascii="Times New Roman" w:cs="Times New Roman" w:eastAsia="Times New Roman" w:hAnsi="Times New Roman"/>
          <w:sz w:val="14"/>
          <w:szCs w:val="14"/>
          <w:color w:val="auto"/>
        </w:rPr>
        <w:t>” shall mean the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w:t>
      </w:r>
      <w:r>
        <w:rPr>
          <w:rFonts w:ascii="Times New Roman" w:cs="Times New Roman" w:eastAsia="Times New Roman" w:hAnsi="Times New Roman"/>
          <w:sz w:val="14"/>
          <w:szCs w:val="14"/>
          <w:color w:val="FF0000"/>
          <w:strike w:val="1"/>
        </w:rPr>
        <w:t>Loans, Tranche B-3 Term</w:t>
      </w:r>
      <w:r>
        <w:rPr>
          <w:rFonts w:ascii="Times New Roman" w:cs="Times New Roman" w:eastAsia="Times New Roman" w:hAnsi="Times New Roman"/>
          <w:sz w:val="14"/>
          <w:szCs w:val="14"/>
          <w:color w:val="auto"/>
        </w:rPr>
        <w:t xml:space="preserve"> Loans, any New Term Loans, any Replacement Term Loans, and any Extended Term Loans, collectively.</w:t>
      </w:r>
    </w:p>
    <w:p>
      <w:pPr>
        <w:spacing w:after="0" w:line="20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5" w:right="1440" w:bottom="1440" w:gutter="0" w:footer="0" w:header="0"/>
        </w:sectPr>
      </w:pPr>
    </w:p>
    <w:bookmarkStart w:id="150" w:name="page151"/>
    <w:bookmarkEnd w:id="150"/>
    <w:p>
      <w:pPr>
        <w:jc w:val="both"/>
        <w:ind w:left="1140" w:right="1159" w:firstLine="517"/>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SOFR</w:t>
      </w:r>
      <w:r>
        <w:rPr>
          <w:rFonts w:ascii="Times New Roman" w:cs="Times New Roman" w:eastAsia="Times New Roman" w:hAnsi="Times New Roman"/>
          <w:sz w:val="14"/>
          <w:szCs w:val="14"/>
          <w:color w:val="auto"/>
        </w:rPr>
        <w:t>” shall mean, for any calculation with respect to a SOFR Loan, the Term SOFR Reference Rate for a tenor comparable to the applicable Interest Period on the day (such day, the “Determination Day”) that is two (2) U.S. Government Securities Business Days prior to the first day of such Interest Period, as such rate is published by the Term SOFR Administrator; provided, however, that if as of 5:00 p.m. (New York City time) on any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published by the Term SOFR Administrator on the first preceding U.S. Government Securities Business Day for which such first preceding Term SOFR Reference Rate for such tenor was published by the Term SOFR Administrator so long as such U.S. Government Securities Business Day is not more than three (3) U.S. Government Securities Business Days prior to such Determination Day.</w:t>
      </w:r>
    </w:p>
    <w:p>
      <w:pPr>
        <w:spacing w:after="0" w:line="322" w:lineRule="exact"/>
        <w:rPr>
          <w:sz w:val="20"/>
          <w:szCs w:val="20"/>
          <w:color w:val="auto"/>
        </w:rPr>
      </w:pPr>
    </w:p>
    <w:p>
      <w:pPr>
        <w:jc w:val="both"/>
        <w:ind w:left="1140" w:right="1159" w:firstLine="517"/>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SOFR Adjustment</w:t>
      </w:r>
      <w:r>
        <w:rPr>
          <w:rFonts w:ascii="Times New Roman" w:cs="Times New Roman" w:eastAsia="Times New Roman" w:hAnsi="Times New Roman"/>
          <w:sz w:val="14"/>
          <w:szCs w:val="14"/>
          <w:color w:val="auto"/>
        </w:rPr>
        <w:t xml:space="preserve">” shall mean </w:t>
      </w:r>
      <w:r>
        <w:rPr>
          <w:rFonts w:ascii="Times New Roman" w:cs="Times New Roman" w:eastAsia="Times New Roman" w:hAnsi="Times New Roman"/>
          <w:sz w:val="14"/>
          <w:szCs w:val="14"/>
          <w:color w:val="FF0000"/>
          <w:strike w:val="1"/>
        </w:rPr>
        <w:t>(i)</w:t>
      </w:r>
      <w:r>
        <w:rPr>
          <w:rFonts w:ascii="Times New Roman" w:cs="Times New Roman" w:eastAsia="Times New Roman" w:hAnsi="Times New Roman"/>
          <w:sz w:val="14"/>
          <w:szCs w:val="14"/>
          <w:color w:val="auto"/>
        </w:rPr>
        <w:t xml:space="preserve"> with respect to Term Loans</w:t>
      </w:r>
      <w:r>
        <w:rPr>
          <w:rFonts w:ascii="Times New Roman" w:cs="Times New Roman" w:eastAsia="Times New Roman" w:hAnsi="Times New Roman"/>
          <w:sz w:val="14"/>
          <w:szCs w:val="14"/>
          <w:color w:val="FF0000"/>
          <w:strike w:val="1"/>
        </w:rPr>
        <w:t>, a percentage per annum equal to (i)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 xml:space="preserve">0.11448% (11.448 basis points) for an Interest Period of one-month’s duration, (ii) 0.26161% (26.161 basis points) for an Interest Period of three-month’s duration, and (iii) 0.42826% (42.826 basis points) for an Interest Period of six-months’ duration and (ii) with respect to </w:t>
      </w:r>
      <w:r>
        <w:rPr>
          <w:rFonts w:ascii="Times New Roman" w:cs="Times New Roman" w:eastAsia="Times New Roman" w:hAnsi="Times New Roman"/>
          <w:sz w:val="14"/>
          <w:szCs w:val="14"/>
          <w:u w:val="single" w:color="auto"/>
          <w:color w:val="0000FF"/>
          <w:strike w:val="1"/>
        </w:rPr>
        <w:t>and</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Revolving Credit Loans, 0.00%.</w:t>
      </w:r>
    </w:p>
    <w:p>
      <w:pPr>
        <w:spacing w:after="0" w:line="139" w:lineRule="exact"/>
        <w:rPr>
          <w:sz w:val="20"/>
          <w:szCs w:val="20"/>
          <w:color w:val="auto"/>
        </w:rPr>
      </w:pPr>
    </w:p>
    <w:p>
      <w:pPr>
        <w:jc w:val="both"/>
        <w:ind w:left="1140" w:right="1159" w:firstLine="56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SOFR Administrator</w:t>
      </w:r>
      <w:r>
        <w:rPr>
          <w:rFonts w:ascii="Times New Roman" w:cs="Times New Roman" w:eastAsia="Times New Roman" w:hAnsi="Times New Roman"/>
          <w:sz w:val="14"/>
          <w:szCs w:val="14"/>
          <w:color w:val="auto"/>
        </w:rPr>
        <w:t>” shall mean CME Group Benchmark Administration Limited (CBA) (or a successor administrator of the Term SOFR Reference Rate selected by the Administrative Agent in its reasonable discretion).</w:t>
      </w:r>
    </w:p>
    <w:p>
      <w:pPr>
        <w:spacing w:after="0" w:line="1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 SOFR Reference Rate</w:t>
      </w:r>
      <w:r>
        <w:rPr>
          <w:rFonts w:ascii="Times New Roman" w:cs="Times New Roman" w:eastAsia="Times New Roman" w:hAnsi="Times New Roman"/>
          <w:sz w:val="14"/>
          <w:szCs w:val="14"/>
          <w:color w:val="auto"/>
        </w:rPr>
        <w:t>” shall mean the forward-looking term rate based on SOFR.</w:t>
      </w:r>
    </w:p>
    <w:p>
      <w:pPr>
        <w:spacing w:after="0" w:line="183" w:lineRule="exact"/>
        <w:rPr>
          <w:sz w:val="20"/>
          <w:szCs w:val="20"/>
          <w:color w:val="auto"/>
        </w:rPr>
      </w:pPr>
    </w:p>
    <w:p>
      <w:pPr>
        <w:ind w:left="1140" w:right="1219" w:firstLine="1033"/>
        <w:spacing w:after="0" w:line="26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Termination Date</w:t>
      </w:r>
      <w:r>
        <w:rPr>
          <w:rFonts w:ascii="Times New Roman" w:cs="Times New Roman" w:eastAsia="Times New Roman" w:hAnsi="Times New Roman"/>
          <w:sz w:val="14"/>
          <w:szCs w:val="14"/>
          <w:color w:val="auto"/>
        </w:rPr>
        <w:t>” shall mean the date on which the Commitments have terminated and each Letter of Credit has terminated or been Cash Collateralized in accordance with the terms of this Agreement and the Loans and Unpaid Drawings, together with interest, Fees and all other Obligations (other than contingent indemnity obligations as to which no valid demand has been made, Secured Hedge Obligations, Secured Cash Management Obligations and Letters of Credit Cash Collateralized in accordance with the terms of this Agreement), are paid in full.</w:t>
      </w:r>
    </w:p>
    <w:p>
      <w:pPr>
        <w:spacing w:after="0" w:line="316" w:lineRule="exact"/>
        <w:rPr>
          <w:sz w:val="20"/>
          <w:szCs w:val="20"/>
          <w:color w:val="auto"/>
        </w:rPr>
      </w:pPr>
    </w:p>
    <w:p>
      <w:pPr>
        <w:ind w:left="1140" w:right="119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Test Period</w:t>
      </w:r>
      <w:r>
        <w:rPr>
          <w:rFonts w:ascii="Times New Roman" w:cs="Times New Roman" w:eastAsia="Times New Roman" w:hAnsi="Times New Roman"/>
          <w:sz w:val="14"/>
          <w:szCs w:val="14"/>
          <w:color w:val="auto"/>
        </w:rPr>
        <w:t>” shall mean, for any determination under this Agreement, the four consecutive fiscal quarters of the Borrower most recently ended on or prior to such date of determination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4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Title Policy</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9.14(c)</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4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2020 Letter of Credit Commitment</w:t>
      </w:r>
      <w:r>
        <w:rPr>
          <w:rFonts w:ascii="Times New Roman" w:cs="Times New Roman" w:eastAsia="Times New Roman" w:hAnsi="Times New Roman"/>
          <w:sz w:val="14"/>
          <w:szCs w:val="14"/>
          <w:color w:val="auto"/>
        </w:rPr>
        <w:t>” shall mean the sum of the 2020 Letter of Credit Commitments of all the 2020 Additional Revolving Credit Lenders.</w:t>
      </w:r>
    </w:p>
    <w:p>
      <w:pPr>
        <w:spacing w:after="0" w:line="119" w:lineRule="exact"/>
        <w:rPr>
          <w:sz w:val="20"/>
          <w:szCs w:val="20"/>
          <w:color w:val="auto"/>
        </w:rPr>
      </w:pPr>
    </w:p>
    <w:p>
      <w:pPr>
        <w:ind w:left="1140" w:right="1219" w:firstLine="103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Credit Exposure</w:t>
      </w:r>
      <w:r>
        <w:rPr>
          <w:rFonts w:ascii="Times New Roman" w:cs="Times New Roman" w:eastAsia="Times New Roman" w:hAnsi="Times New Roman"/>
          <w:sz w:val="14"/>
          <w:szCs w:val="14"/>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the aggregate outstanding principal amount of all Term Loans at such date.</w:t>
      </w:r>
    </w:p>
    <w:p>
      <w:pPr>
        <w:spacing w:after="0" w:line="141" w:lineRule="exact"/>
        <w:rPr>
          <w:sz w:val="20"/>
          <w:szCs w:val="20"/>
          <w:color w:val="auto"/>
        </w:rPr>
      </w:pPr>
    </w:p>
    <w:p>
      <w:pPr>
        <w:ind w:left="1140" w:right="19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Revolving Credit Commitment</w:t>
      </w:r>
      <w:r>
        <w:rPr>
          <w:rFonts w:ascii="Times New Roman" w:cs="Times New Roman" w:eastAsia="Times New Roman" w:hAnsi="Times New Roman"/>
          <w:sz w:val="14"/>
          <w:szCs w:val="14"/>
          <w:color w:val="auto"/>
        </w:rPr>
        <w:t>” shall mean the sum of the Revolving Credit Commitments of all the Lenders.</w:t>
      </w:r>
    </w:p>
    <w:p>
      <w:pPr>
        <w:spacing w:after="0" w:line="119" w:lineRule="exact"/>
        <w:rPr>
          <w:sz w:val="20"/>
          <w:szCs w:val="20"/>
          <w:color w:val="auto"/>
        </w:rPr>
      </w:pPr>
    </w:p>
    <w:p>
      <w:pPr>
        <w:ind w:left="1140" w:right="125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Term Loan Commitment</w:t>
      </w:r>
      <w:r>
        <w:rPr>
          <w:rFonts w:ascii="Times New Roman" w:cs="Times New Roman" w:eastAsia="Times New Roman" w:hAnsi="Times New Roman"/>
          <w:sz w:val="14"/>
          <w:szCs w:val="14"/>
          <w:color w:val="auto"/>
        </w:rPr>
        <w:t xml:space="preserve">” shall mean the sum of (i) prior to the funding of Tranche B-1 Term Loans on the Amendment No. 1 Effective Date, the Tranche B-1 Term Loan Commitments, (ii) prior to the funding of Tranche B-2 Term Loans on the Amendment No. 3 Effective Date, the Tranche B-2 Term Loan Commitments, (iii) prior to the funding (or deemed funding) of Initial Tranche B-3 Term Loans on the Amendment No. 4 Effective Date, the Initial Tranche B-3 Term Loan Commitments, (iv) prior to the funding </w:t>
      </w:r>
      <w:r>
        <w:rPr>
          <w:rFonts w:ascii="Times New Roman" w:cs="Times New Roman" w:eastAsia="Times New Roman" w:hAnsi="Times New Roman"/>
          <w:sz w:val="14"/>
          <w:szCs w:val="14"/>
          <w:u w:val="single" w:color="auto"/>
          <w:color w:val="0000FF"/>
        </w:rPr>
        <w:t>(or deemed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funding) of Tranche B-4 Term Loans on the Amendment No. 7 Effective Date, the Tranche B-4 Term Loan</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51" w:name="page152"/>
    <w:bookmarkEnd w:id="151"/>
    <w:p>
      <w:pPr>
        <w:ind w:left="1140" w:right="1479"/>
        <w:spacing w:after="0" w:line="275" w:lineRule="auto"/>
        <w:rPr>
          <w:sz w:val="20"/>
          <w:szCs w:val="20"/>
          <w:color w:val="auto"/>
        </w:rPr>
      </w:pPr>
      <w:r>
        <w:rPr>
          <w:rFonts w:ascii="Times New Roman" w:cs="Times New Roman" w:eastAsia="Times New Roman" w:hAnsi="Times New Roman"/>
          <w:sz w:val="14"/>
          <w:szCs w:val="14"/>
          <w:u w:val="single" w:color="auto"/>
          <w:color w:val="0000FF"/>
        </w:rPr>
        <w:t>Commitments, (v) prior to the funding</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of Amendment No. 5 Incremental Term Loans on the Amendment No. 5</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Effective Date, the Amendment No. 5 Incremental Term Loan Commitments and (</w:t>
      </w:r>
      <w:r>
        <w:rPr>
          <w:rFonts w:ascii="Times New Roman" w:cs="Times New Roman" w:eastAsia="Times New Roman" w:hAnsi="Times New Roman"/>
          <w:sz w:val="14"/>
          <w:szCs w:val="14"/>
          <w:color w:val="FF0000"/>
          <w:strike w:val="1"/>
        </w:rPr>
        <w:t>v</w:t>
      </w:r>
      <w:r>
        <w:rPr>
          <w:rFonts w:ascii="Times New Roman" w:cs="Times New Roman" w:eastAsia="Times New Roman" w:hAnsi="Times New Roman"/>
          <w:sz w:val="14"/>
          <w:szCs w:val="14"/>
          <w:u w:val="single" w:color="auto"/>
          <w:color w:val="0000FF"/>
        </w:rPr>
        <w:t>vi</w:t>
      </w:r>
      <w:r>
        <w:rPr>
          <w:rFonts w:ascii="Times New Roman" w:cs="Times New Roman" w:eastAsia="Times New Roman" w:hAnsi="Times New Roman"/>
          <w:sz w:val="14"/>
          <w:szCs w:val="14"/>
          <w:color w:val="000000"/>
        </w:rPr>
        <w:t>) the New Term Loan Commitments, if applicable, of all the Lenders.</w:t>
      </w:r>
    </w:p>
    <w:p>
      <w:pPr>
        <w:spacing w:after="0" w:line="133" w:lineRule="exact"/>
        <w:rPr>
          <w:sz w:val="20"/>
          <w:szCs w:val="20"/>
          <w:color w:val="auto"/>
        </w:rPr>
      </w:pPr>
    </w:p>
    <w:p>
      <w:pPr>
        <w:ind w:left="1140" w:right="12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 Term Loan Maturity Date</w:t>
      </w:r>
      <w:r>
        <w:rPr>
          <w:rFonts w:ascii="Times New Roman" w:cs="Times New Roman" w:eastAsia="Times New Roman" w:hAnsi="Times New Roman"/>
          <w:sz w:val="14"/>
          <w:szCs w:val="14"/>
          <w:color w:val="auto"/>
        </w:rPr>
        <w:t>” shall mean with respect to the Tranche B</w:t>
      </w:r>
      <w:r>
        <w:rPr>
          <w:rFonts w:ascii="Times New Roman" w:cs="Times New Roman" w:eastAsia="Times New Roman" w:hAnsi="Times New Roman"/>
          <w:sz w:val="14"/>
          <w:szCs w:val="14"/>
          <w:color w:val="FF0000"/>
          <w:strike w:val="1"/>
        </w:rPr>
        <w:t>-1 Term Loans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and the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 Loans,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March 5, 2026</w:t>
      </w:r>
      <w:r>
        <w:rPr>
          <w:rFonts w:ascii="Times New Roman" w:cs="Times New Roman" w:eastAsia="Times New Roman" w:hAnsi="Times New Roman"/>
          <w:sz w:val="14"/>
          <w:szCs w:val="14"/>
          <w:u w:val="single" w:color="auto"/>
          <w:color w:val="0000FF"/>
        </w:rPr>
        <w:t>February 21, 2031</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or, if such date is not a Business Day, the</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immediately preceding Business Day.</w:t>
      </w:r>
    </w:p>
    <w:p>
      <w:pPr>
        <w:spacing w:after="0" w:line="133" w:lineRule="exact"/>
        <w:rPr>
          <w:sz w:val="20"/>
          <w:szCs w:val="20"/>
          <w:color w:val="auto"/>
        </w:rPr>
      </w:pPr>
    </w:p>
    <w:p>
      <w:pPr>
        <w:ind w:left="1140" w:right="1159" w:firstLine="517"/>
        <w:spacing w:after="0" w:line="296" w:lineRule="auto"/>
        <w:rPr>
          <w:sz w:val="20"/>
          <w:szCs w:val="20"/>
          <w:color w:val="auto"/>
        </w:rPr>
      </w:pP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b w:val="1"/>
          <w:bCs w:val="1"/>
          <w:color w:val="FF0000"/>
          <w:strike w:val="1"/>
        </w:rPr>
        <w:t>Total Tranche B-1</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b w:val="1"/>
          <w:bCs w:val="1"/>
          <w:color w:val="008000"/>
          <w:strike w:val="1"/>
        </w:rPr>
        <w:t>Term Loan Commitment</w:t>
      </w:r>
      <w:r>
        <w:rPr>
          <w:rFonts w:ascii="Times New Roman" w:cs="Times New Roman" w:eastAsia="Times New Roman" w:hAnsi="Times New Roman"/>
          <w:sz w:val="14"/>
          <w:szCs w:val="14"/>
          <w:color w:val="008000"/>
          <w:strike w:val="1"/>
        </w:rPr>
        <w:t>” shall mean</w:t>
      </w:r>
      <w:r>
        <w:rPr>
          <w:rFonts w:ascii="Times New Roman" w:cs="Times New Roman" w:eastAsia="Times New Roman" w:hAnsi="Times New Roman"/>
          <w:sz w:val="14"/>
          <w:szCs w:val="14"/>
          <w:color w:val="FF0000"/>
          <w:strike w:val="1"/>
        </w:rPr>
        <w:t xml:space="preserve"> the sum of the Tranche B-1 Term Loan Commitments of all Lenders.</w:t>
      </w:r>
    </w:p>
    <w:p>
      <w:pPr>
        <w:spacing w:after="0" w:line="119" w:lineRule="exact"/>
        <w:rPr>
          <w:sz w:val="20"/>
          <w:szCs w:val="20"/>
          <w:color w:val="auto"/>
        </w:rPr>
      </w:pPr>
    </w:p>
    <w:p>
      <w:pPr>
        <w:ind w:left="1140" w:right="123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B-1 Term Loan</w:t>
      </w:r>
      <w:r>
        <w:rPr>
          <w:rFonts w:ascii="Times New Roman" w:cs="Times New Roman" w:eastAsia="Times New Roman" w:hAnsi="Times New Roman"/>
          <w:sz w:val="14"/>
          <w:szCs w:val="14"/>
          <w:color w:val="auto"/>
        </w:rPr>
        <w:t xml:space="preserve">” shall mean, collectively, (i) a Term Loan in Dollars made pursuant to </w:t>
      </w:r>
      <w:r>
        <w:rPr>
          <w:rFonts w:ascii="Times New Roman" w:cs="Times New Roman" w:eastAsia="Times New Roman" w:hAnsi="Times New Roman"/>
          <w:sz w:val="14"/>
          <w:szCs w:val="14"/>
          <w:u w:val="single" w:color="auto"/>
          <w:color w:val="auto"/>
        </w:rPr>
        <w:t>Section 2.1(d)(i)</w:t>
      </w:r>
      <w:r>
        <w:rPr>
          <w:rFonts w:ascii="Times New Roman" w:cs="Times New Roman" w:eastAsia="Times New Roman" w:hAnsi="Times New Roman"/>
          <w:sz w:val="14"/>
          <w:szCs w:val="14"/>
          <w:color w:val="auto"/>
        </w:rPr>
        <w:t xml:space="preserve"> on the Amendment No. 1 Effective Date and (ii) each Additional Tranche B-1 Term Loan.</w:t>
      </w:r>
    </w:p>
    <w:p>
      <w:pPr>
        <w:spacing w:after="0" w:line="119" w:lineRule="exact"/>
        <w:rPr>
          <w:sz w:val="20"/>
          <w:szCs w:val="20"/>
          <w:color w:val="auto"/>
        </w:rPr>
      </w:pPr>
    </w:p>
    <w:p>
      <w:pPr>
        <w:ind w:left="1140" w:right="1279" w:firstLine="103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B-1 Term Loan Commitment</w:t>
      </w:r>
      <w:r>
        <w:rPr>
          <w:rFonts w:ascii="Times New Roman" w:cs="Times New Roman" w:eastAsia="Times New Roman" w:hAnsi="Times New Roman"/>
          <w:sz w:val="14"/>
          <w:szCs w:val="14"/>
          <w:color w:val="auto"/>
        </w:rPr>
        <w:t>” shall mean (i) with respect to a Cashless Option Lender, the agreement of such Cashless Option Lender to exchange its Existing Term Loans for an equal aggregate principal amount of Tranche B-1 Term Loans (or such lesser amount as determined by the Amendment No. 1 Arrangers) on the Amendment No. 1 Effective Date, as evidenced by such Existing Term Loan Lender executing and delivering Amendment No. 1 and (ii) with respect to an Additional Tranche B-1 Term Loan Lender, such Lender’s Additional Tranche B-1 Term Loan Commitment.</w:t>
      </w:r>
    </w:p>
    <w:p>
      <w:pPr>
        <w:spacing w:after="0" w:line="141"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B-1 Term Loan Facility</w:t>
      </w:r>
      <w:r>
        <w:rPr>
          <w:rFonts w:ascii="Times New Roman" w:cs="Times New Roman" w:eastAsia="Times New Roman" w:hAnsi="Times New Roman"/>
          <w:sz w:val="14"/>
          <w:szCs w:val="14"/>
          <w:color w:val="auto"/>
        </w:rPr>
        <w:t>” shall mean the Credit Facility consisting of the Tranche B-1 Term Loan Commitments and the Tranche B-1 Term Loans.</w:t>
      </w:r>
    </w:p>
    <w:p>
      <w:pPr>
        <w:spacing w:after="0" w:line="119" w:lineRule="exact"/>
        <w:rPr>
          <w:sz w:val="20"/>
          <w:szCs w:val="20"/>
          <w:color w:val="auto"/>
        </w:rPr>
      </w:pPr>
    </w:p>
    <w:p>
      <w:pPr>
        <w:ind w:left="1140" w:right="123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B-1 Term Loan Lender</w:t>
      </w:r>
      <w:r>
        <w:rPr>
          <w:rFonts w:ascii="Times New Roman" w:cs="Times New Roman" w:eastAsia="Times New Roman" w:hAnsi="Times New Roman"/>
          <w:sz w:val="14"/>
          <w:szCs w:val="14"/>
          <w:color w:val="auto"/>
        </w:rPr>
        <w:t>” shall mean, collectively, (i) each Existing Term Loan Lender that executes and delivers a Consent to Amendment No. 1 on or prior to the Amendment No. 1 Effective Date and (ii) each Additional Tranche B-1 Term Loan Lender.</w:t>
      </w:r>
    </w:p>
    <w:p>
      <w:pPr>
        <w:spacing w:after="0" w:line="1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B-1 Term Loan Repayment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2.5(b)</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B-1 Term Loan Repayment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2.5(b)</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B-2 Term Loan</w:t>
      </w:r>
      <w:r>
        <w:rPr>
          <w:rFonts w:ascii="Times New Roman" w:cs="Times New Roman" w:eastAsia="Times New Roman" w:hAnsi="Times New Roman"/>
          <w:sz w:val="14"/>
          <w:szCs w:val="14"/>
          <w:color w:val="auto"/>
        </w:rPr>
        <w:t xml:space="preserve">” shall mean the Tranche B-2 Term Loans made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2.1(e)</w:t>
      </w:r>
      <w:r>
        <w:rPr>
          <w:rFonts w:ascii="Times New Roman" w:cs="Times New Roman" w:eastAsia="Times New Roman" w:hAnsi="Times New Roman"/>
          <w:sz w:val="14"/>
          <w:szCs w:val="14"/>
          <w:color w:val="auto"/>
        </w:rPr>
        <w:t xml:space="preserve"> on the Amendment No. 3 Effective Date.</w:t>
      </w:r>
    </w:p>
    <w:p>
      <w:pPr>
        <w:spacing w:after="0" w:line="119" w:lineRule="exact"/>
        <w:rPr>
          <w:sz w:val="20"/>
          <w:szCs w:val="20"/>
          <w:color w:val="auto"/>
        </w:rPr>
      </w:pPr>
    </w:p>
    <w:p>
      <w:pPr>
        <w:ind w:left="1140" w:right="1219" w:firstLine="1069"/>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B-2 Term Loan Commitment</w:t>
      </w:r>
      <w:r>
        <w:rPr>
          <w:rFonts w:ascii="Times New Roman" w:cs="Times New Roman" w:eastAsia="Times New Roman" w:hAnsi="Times New Roman"/>
          <w:sz w:val="14"/>
          <w:szCs w:val="14"/>
          <w:color w:val="auto"/>
        </w:rPr>
        <w:t xml:space="preserve">” shall mean, in the case of each Tranche B-2 Term Loan Lender, the amount set forth opposite such Lender’s name on </w:t>
      </w:r>
      <w:r>
        <w:rPr>
          <w:rFonts w:ascii="Times New Roman" w:cs="Times New Roman" w:eastAsia="Times New Roman" w:hAnsi="Times New Roman"/>
          <w:sz w:val="14"/>
          <w:szCs w:val="14"/>
          <w:u w:val="single" w:color="auto"/>
          <w:color w:val="auto"/>
        </w:rPr>
        <w:t>Annex A</w:t>
      </w:r>
      <w:r>
        <w:rPr>
          <w:rFonts w:ascii="Times New Roman" w:cs="Times New Roman" w:eastAsia="Times New Roman" w:hAnsi="Times New Roman"/>
          <w:sz w:val="14"/>
          <w:szCs w:val="14"/>
          <w:color w:val="auto"/>
        </w:rPr>
        <w:t xml:space="preserve"> to Amendment No. 3 as such Lender’s Tranche B-2 Term Loan Commitment. The aggregate amount of the Tranche B-2 Term Loan Commitments as of the Amendment No. 3 Effective Date is $550,000,000.</w:t>
      </w:r>
    </w:p>
    <w:p>
      <w:pPr>
        <w:spacing w:after="0" w:line="139"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B-2 Term Loan Facility</w:t>
      </w:r>
      <w:r>
        <w:rPr>
          <w:rFonts w:ascii="Times New Roman" w:cs="Times New Roman" w:eastAsia="Times New Roman" w:hAnsi="Times New Roman"/>
          <w:sz w:val="14"/>
          <w:szCs w:val="14"/>
          <w:color w:val="auto"/>
        </w:rPr>
        <w:t>” shall mean the Credit Facility consisting of the Tranche B-2 Term Loan Commitments and the Tranche B-2 Term Loans.</w:t>
      </w:r>
    </w:p>
    <w:p>
      <w:pPr>
        <w:spacing w:after="0" w:line="119" w:lineRule="exact"/>
        <w:rPr>
          <w:sz w:val="20"/>
          <w:szCs w:val="20"/>
          <w:color w:val="auto"/>
        </w:rPr>
      </w:pPr>
    </w:p>
    <w:p>
      <w:pPr>
        <w:ind w:left="1140" w:right="169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B-2 Term Loan Lender</w:t>
      </w:r>
      <w:r>
        <w:rPr>
          <w:rFonts w:ascii="Times New Roman" w:cs="Times New Roman" w:eastAsia="Times New Roman" w:hAnsi="Times New Roman"/>
          <w:sz w:val="14"/>
          <w:szCs w:val="14"/>
          <w:color w:val="auto"/>
        </w:rPr>
        <w:t>” shall mean a Person with an Tranche B-2 Term Loan Commitment on the Amendment No. 3 Effective Date.</w:t>
      </w:r>
    </w:p>
    <w:p>
      <w:pPr>
        <w:spacing w:after="0" w:line="119"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B-3 Term Loan</w:t>
      </w:r>
      <w:r>
        <w:rPr>
          <w:rFonts w:ascii="Times New Roman" w:cs="Times New Roman" w:eastAsia="Times New Roman" w:hAnsi="Times New Roman"/>
          <w:sz w:val="14"/>
          <w:szCs w:val="14"/>
          <w:color w:val="auto"/>
        </w:rPr>
        <w:t>” shall mean the Initial Tranche B-3 Term Loans and the Amendment No. 5 Incremental Term Loans.</w:t>
      </w:r>
    </w:p>
    <w:p>
      <w:pPr>
        <w:spacing w:after="0" w:line="119" w:lineRule="exact"/>
        <w:rPr>
          <w:sz w:val="20"/>
          <w:szCs w:val="20"/>
          <w:color w:val="auto"/>
        </w:rPr>
      </w:pPr>
    </w:p>
    <w:p>
      <w:pPr>
        <w:ind w:left="1140" w:right="1719" w:firstLine="1033"/>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B-3 Term Loan Commitment</w:t>
      </w:r>
      <w:r>
        <w:rPr>
          <w:rFonts w:ascii="Times New Roman" w:cs="Times New Roman" w:eastAsia="Times New Roman" w:hAnsi="Times New Roman"/>
          <w:sz w:val="14"/>
          <w:szCs w:val="14"/>
          <w:color w:val="auto"/>
        </w:rPr>
        <w:t>” shall mean the Initial Tranche B-3 Term Loan Commitments and the Amendment No. 5 Incremental Term Loan Commitments.</w:t>
      </w:r>
    </w:p>
    <w:p>
      <w:pPr>
        <w:spacing w:after="0" w:line="109" w:lineRule="exact"/>
        <w:rPr>
          <w:sz w:val="20"/>
          <w:szCs w:val="20"/>
          <w:color w:val="auto"/>
        </w:rPr>
      </w:pPr>
    </w:p>
    <w:p>
      <w:pPr>
        <w:ind w:left="1140" w:right="17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B-3 Term Loan Lender</w:t>
      </w:r>
      <w:r>
        <w:rPr>
          <w:rFonts w:ascii="Times New Roman" w:cs="Times New Roman" w:eastAsia="Times New Roman" w:hAnsi="Times New Roman"/>
          <w:sz w:val="14"/>
          <w:szCs w:val="14"/>
          <w:color w:val="auto"/>
        </w:rPr>
        <w:t>” shall mean a Person with a Tranche B-3 Term Loan Commitment or a Tranche B-3 Term Loan.</w:t>
      </w: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2" w:name="page153"/>
    <w:bookmarkEnd w:id="152"/>
    <w:p>
      <w:pPr>
        <w:ind w:left="1140" w:right="1239" w:firstLine="1033"/>
        <w:spacing w:after="0" w:line="27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Tranche B-4 Term Loan”</w:t>
      </w:r>
      <w:r>
        <w:rPr>
          <w:rFonts w:ascii="Times New Roman" w:cs="Times New Roman" w:eastAsia="Times New Roman" w:hAnsi="Times New Roman"/>
          <w:sz w:val="14"/>
          <w:szCs w:val="14"/>
          <w:u w:val="single" w:color="auto"/>
          <w:color w:val="0000FF"/>
        </w:rPr>
        <w:t xml:space="preserve"> shall mean, collectively, (i) a Term Loan in Dollars made (or deemed made) pursuant to Section 2.1(h)(i) on the Amendment No. 7 Effective Date and (ii) each Additional Tranche B-4 Term Loan.</w:t>
      </w:r>
    </w:p>
    <w:p>
      <w:pPr>
        <w:spacing w:after="0" w:line="133" w:lineRule="exact"/>
        <w:rPr>
          <w:sz w:val="20"/>
          <w:szCs w:val="20"/>
          <w:color w:val="auto"/>
        </w:rPr>
      </w:pPr>
    </w:p>
    <w:p>
      <w:pPr>
        <w:ind w:left="1140" w:right="1179" w:firstLine="1033"/>
        <w:spacing w:after="0" w:line="262"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Tranche B-4 Term Loan Commitment”</w:t>
      </w:r>
      <w:r>
        <w:rPr>
          <w:rFonts w:ascii="Times New Roman" w:cs="Times New Roman" w:eastAsia="Times New Roman" w:hAnsi="Times New Roman"/>
          <w:sz w:val="14"/>
          <w:szCs w:val="14"/>
          <w:u w:val="single" w:color="auto"/>
          <w:color w:val="0000FF"/>
        </w:rPr>
        <w:t xml:space="preserve"> shall mean (i) with respect to a Cashless Option Tranche B-1/B-3 Lender, the agreement of such Cashless Option Tranche B-1/B-3 Lender to exchange its Tranche B-1 Term Loans and/</w:t>
      </w:r>
      <w:r>
        <w:rPr>
          <w:rFonts w:ascii="Times New Roman" w:cs="Times New Roman" w:eastAsia="Times New Roman" w:hAnsi="Times New Roman"/>
          <w:sz w:val="14"/>
          <w:szCs w:val="14"/>
          <w:u w:val="single" w:color="auto"/>
          <w:color w:val="008000"/>
        </w:rPr>
        <w:t>or Tranche B-3 Term Loans</w:t>
      </w:r>
      <w:r>
        <w:rPr>
          <w:rFonts w:ascii="Times New Roman" w:cs="Times New Roman" w:eastAsia="Times New Roman" w:hAnsi="Times New Roman"/>
          <w:sz w:val="14"/>
          <w:szCs w:val="14"/>
          <w:u w:val="single" w:color="auto"/>
          <w:color w:val="0000FF"/>
        </w:rPr>
        <w:t xml:space="preserve"> (in each case, or such lesser amount as determined by the Amendment No. 7 Arrangers), as applicable, for an equal aggregate principal amount of Tranche B-4 Term Loans on the Amendment No. 7 Effective Date, as evidenced by such Existing Tranche B-1/B-3 Term Loan Lender executing and delivering a Consent to Amendment No. 7 and (ii) with respect to an Additional Tranche B-4 Term Loan Lender, such Lender’s Additional Tranche B-4 Term Loan Commitment. The aggregate amount of the Tranche B-4 Term Loan Commitments as of the Amendment No. 7 Effective Date is $2,566,000,000.</w:t>
      </w:r>
    </w:p>
    <w:p>
      <w:pPr>
        <w:spacing w:after="0" w:line="143" w:lineRule="exact"/>
        <w:rPr>
          <w:sz w:val="20"/>
          <w:szCs w:val="20"/>
          <w:color w:val="auto"/>
        </w:rPr>
      </w:pPr>
    </w:p>
    <w:p>
      <w:pPr>
        <w:ind w:left="1140" w:right="133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Tranche B-4 Term Loan Lender”</w:t>
      </w:r>
      <w:r>
        <w:rPr>
          <w:rFonts w:ascii="Times New Roman" w:cs="Times New Roman" w:eastAsia="Times New Roman" w:hAnsi="Times New Roman"/>
          <w:sz w:val="14"/>
          <w:szCs w:val="14"/>
          <w:u w:val="single" w:color="auto"/>
          <w:color w:val="0000FF"/>
        </w:rPr>
        <w:t xml:space="preserve"> shall mean, at any time, any Lender that has a Tranche B-4 Term Loan Commitment or an outstanding Tranche B-4 Term Loan.</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w:t>
      </w:r>
      <w:r>
        <w:rPr>
          <w:rFonts w:ascii="Times New Roman" w:cs="Times New Roman" w:eastAsia="Times New Roman" w:hAnsi="Times New Roman"/>
          <w:sz w:val="14"/>
          <w:szCs w:val="14"/>
          <w:b w:val="1"/>
          <w:bCs w:val="1"/>
          <w:color w:val="FF0000"/>
          <w:strike w:val="1"/>
        </w:rPr>
        <w:t>-3</w:t>
      </w:r>
      <w:r>
        <w:rPr>
          <w:rFonts w:ascii="Times New Roman" w:cs="Times New Roman" w:eastAsia="Times New Roman" w:hAnsi="Times New Roman"/>
          <w:sz w:val="14"/>
          <w:szCs w:val="14"/>
          <w:b w:val="1"/>
          <w:bCs w:val="1"/>
          <w:u w:val="single" w:color="auto"/>
          <w:color w:val="0000FF"/>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 Loan Repayment Amount</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2.5(d)</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Tranche B</w:t>
      </w:r>
      <w:r>
        <w:rPr>
          <w:rFonts w:ascii="Times New Roman" w:cs="Times New Roman" w:eastAsia="Times New Roman" w:hAnsi="Times New Roman"/>
          <w:sz w:val="14"/>
          <w:szCs w:val="14"/>
          <w:b w:val="1"/>
          <w:bCs w:val="1"/>
          <w:color w:val="FF0000"/>
          <w:strike w:val="1"/>
        </w:rPr>
        <w:t>-3</w:t>
      </w:r>
      <w:r>
        <w:rPr>
          <w:rFonts w:ascii="Times New Roman" w:cs="Times New Roman" w:eastAsia="Times New Roman" w:hAnsi="Times New Roman"/>
          <w:sz w:val="14"/>
          <w:szCs w:val="14"/>
          <w:b w:val="1"/>
          <w:bCs w:val="1"/>
          <w:u w:val="single" w:color="auto"/>
          <w:color w:val="0000FF"/>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 Loan Repayment Date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u w:val="single" w:color="auto"/>
          <w:color w:val="auto"/>
        </w:rPr>
        <w:t>2.5(d)</w:t>
      </w:r>
      <w:r>
        <w:rPr>
          <w:rFonts w:ascii="Times New Roman" w:cs="Times New Roman" w:eastAsia="Times New Roman" w:hAnsi="Times New Roman"/>
          <w:sz w:val="14"/>
          <w:szCs w:val="14"/>
          <w:color w:val="auto"/>
        </w:rPr>
        <w:t>.</w:t>
      </w:r>
    </w:p>
    <w:p>
      <w:pPr>
        <w:spacing w:after="0" w:line="168" w:lineRule="exact"/>
        <w:rPr>
          <w:sz w:val="20"/>
          <w:szCs w:val="20"/>
          <w:color w:val="auto"/>
        </w:rPr>
      </w:pPr>
    </w:p>
    <w:p>
      <w:pPr>
        <w:ind w:left="1140" w:right="117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 Expenses</w:t>
      </w:r>
      <w:r>
        <w:rPr>
          <w:rFonts w:ascii="Times New Roman" w:cs="Times New Roman" w:eastAsia="Times New Roman" w:hAnsi="Times New Roman"/>
          <w:sz w:val="14"/>
          <w:szCs w:val="14"/>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33" w:lineRule="exact"/>
        <w:rPr>
          <w:sz w:val="20"/>
          <w:szCs w:val="20"/>
          <w:color w:val="auto"/>
        </w:rPr>
      </w:pPr>
    </w:p>
    <w:p>
      <w:pPr>
        <w:ind w:left="1140" w:right="129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Transactions</w:t>
      </w:r>
      <w:r>
        <w:rPr>
          <w:rFonts w:ascii="Times New Roman" w:cs="Times New Roman" w:eastAsia="Times New Roman" w:hAnsi="Times New Roman"/>
          <w:sz w:val="14"/>
          <w:szCs w:val="14"/>
          <w:color w:val="auto"/>
        </w:rPr>
        <w:t>” shall mean, collectively, the transactions contemplated by this Agreement, the Second Lien Credit Agreement, the Acquisition, the Equity Investments, the Closing Date Refinancing and the consummation of any other transactions in connection with the foregoing (including (x) in connection with the Acquisition Agreement and the payment of the fees and expenses incurred in connection with any of the foregoing (including the Transaction Expenses) and (y) any restructuring or rollover of Equity Interests in connection with Acquisition).</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Transferee</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13.6(e)</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19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Transformative Acquisition</w:t>
      </w:r>
      <w:r>
        <w:rPr>
          <w:rFonts w:ascii="Times New Roman" w:cs="Times New Roman" w:eastAsia="Times New Roman" w:hAnsi="Times New Roman"/>
          <w:sz w:val="14"/>
          <w:szCs w:val="14"/>
          <w:color w:val="auto"/>
        </w:rPr>
        <w:t>” shall mean any acquisition by the Borrower or any Restricted Subsidiary that (i) is not permitted by the terms of the Credit Documents immediately prior to the consummation of such acquisition, (ii) if permitted by the terms of the Credit Documents immediately prior to the consummation of such acquisition, would not provide the Borrower and the Restricted Subsidiaries with adequate flexibility under the Credit Documents for the continuation and/or expansion of their combined operations following such consummation, as determined by the Borrower acting in good faith, or (iii) results in a refinancing of the Tranche B</w:t>
      </w:r>
      <w:r>
        <w:rPr>
          <w:rFonts w:ascii="Times New Roman" w:cs="Times New Roman" w:eastAsia="Times New Roman" w:hAnsi="Times New Roman"/>
          <w:sz w:val="14"/>
          <w:szCs w:val="14"/>
          <w:color w:val="FF0000"/>
          <w:strike w:val="1"/>
        </w:rPr>
        <w:t>-1 Term Loans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 Loans that involves an upsizing in connection with such acquisition.</w:t>
      </w:r>
    </w:p>
    <w:p>
      <w:pPr>
        <w:spacing w:after="0" w:line="142" w:lineRule="exact"/>
        <w:rPr>
          <w:sz w:val="20"/>
          <w:szCs w:val="20"/>
          <w:color w:val="auto"/>
        </w:rPr>
      </w:pPr>
    </w:p>
    <w:p>
      <w:pPr>
        <w:ind w:left="1140" w:right="1219" w:firstLine="1033"/>
        <w:spacing w:after="0" w:line="26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Transformative Disposition</w:t>
      </w:r>
      <w:r>
        <w:rPr>
          <w:rFonts w:ascii="Times New Roman" w:cs="Times New Roman" w:eastAsia="Times New Roman" w:hAnsi="Times New Roman"/>
          <w:sz w:val="14"/>
          <w:szCs w:val="14"/>
          <w:color w:val="auto"/>
        </w:rPr>
        <w:t>” shall mean any disposition by the Borrower or any restricted Subsidiary that (a) is not permitted by the terms of the Credit Documents immediately prior to the consummation of such disposition, (b) if permitted by the terms of the Credit Documents immediately prior to the consummation of such disposition, would not provide the Borrower and the other restricted subsidiaries with a durable capital structure, as determined by the Borrower acting in good faith or (c) results in a refinancing of the Term Loans that involves a downsizing in connection with such disposition.</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Type</w:t>
      </w:r>
      <w:r>
        <w:rPr>
          <w:rFonts w:ascii="Times New Roman" w:cs="Times New Roman" w:eastAsia="Times New Roman" w:hAnsi="Times New Roman"/>
          <w:sz w:val="14"/>
          <w:szCs w:val="14"/>
          <w:color w:val="auto"/>
        </w:rPr>
        <w:t>” shall mean as to any Loan, its nature as an ABR Loan or a SOFR Loan.</w:t>
      </w:r>
    </w:p>
    <w:p>
      <w:pPr>
        <w:spacing w:after="0" w:line="183" w:lineRule="exact"/>
        <w:rPr>
          <w:sz w:val="20"/>
          <w:szCs w:val="20"/>
          <w:color w:val="auto"/>
        </w:rPr>
      </w:pPr>
    </w:p>
    <w:p>
      <w:pPr>
        <w:ind w:left="1140" w:right="141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UCP</w:t>
      </w:r>
      <w:r>
        <w:rPr>
          <w:rFonts w:ascii="Times New Roman" w:cs="Times New Roman" w:eastAsia="Times New Roman" w:hAnsi="Times New Roman"/>
          <w:sz w:val="14"/>
          <w:szCs w:val="14"/>
          <w:color w:val="auto"/>
        </w:rPr>
        <w:t>” shall mean, with respect to any Letter of Credit, the Uniform Customs and Practice for Documentary Credits, International Chamber of Commerce (“ICC”) Publication No. 600 (or such later version thereof as may be in effect at the time of issuance).</w:t>
      </w:r>
    </w:p>
    <w:p>
      <w:pPr>
        <w:spacing w:after="0" w:line="2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53" w:name="page154"/>
    <w:bookmarkEnd w:id="153"/>
    <w:p>
      <w:pPr>
        <w:ind w:left="1140" w:right="1159" w:firstLine="1033"/>
        <w:spacing w:after="0" w:line="26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UK Financial Institution</w:t>
      </w:r>
      <w:r>
        <w:rPr>
          <w:rFonts w:ascii="Times New Roman" w:cs="Times New Roman" w:eastAsia="Times New Roman" w:hAnsi="Times New Roman"/>
          <w:sz w:val="14"/>
          <w:szCs w:val="14"/>
          <w:u w:val="single" w:color="auto"/>
          <w:color w:val="0000FF"/>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20" w:lineRule="exact"/>
        <w:rPr>
          <w:sz w:val="20"/>
          <w:szCs w:val="20"/>
          <w:color w:val="auto"/>
        </w:rPr>
      </w:pPr>
    </w:p>
    <w:p>
      <w:pPr>
        <w:spacing w:after="0" w:line="121" w:lineRule="exact"/>
        <w:rPr>
          <w:sz w:val="20"/>
          <w:szCs w:val="20"/>
          <w:color w:val="auto"/>
        </w:rPr>
      </w:pPr>
    </w:p>
    <w:p>
      <w:pPr>
        <w:ind w:left="1140" w:right="1559" w:firstLine="1033"/>
        <w:spacing w:after="0" w:line="296" w:lineRule="auto"/>
        <w:rPr>
          <w:sz w:val="20"/>
          <w:szCs w:val="20"/>
          <w:color w:val="auto"/>
        </w:rPr>
      </w:pP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b w:val="1"/>
          <w:bCs w:val="1"/>
          <w:u w:val="single" w:color="auto"/>
          <w:color w:val="0000FF"/>
        </w:rPr>
        <w:t>UK Resolution Authority</w:t>
      </w:r>
      <w:r>
        <w:rPr>
          <w:rFonts w:ascii="Times New Roman" w:cs="Times New Roman" w:eastAsia="Times New Roman" w:hAnsi="Times New Roman"/>
          <w:sz w:val="14"/>
          <w:szCs w:val="14"/>
          <w:u w:val="single" w:color="auto"/>
          <w:color w:val="0000FF"/>
        </w:rPr>
        <w:t>” means the Bank of England or any other public administrative authority having responsibility for the resolution of any UK Financial Institution.</w:t>
      </w:r>
    </w:p>
    <w:p>
      <w:pPr>
        <w:spacing w:after="0" w:line="119" w:lineRule="exact"/>
        <w:rPr>
          <w:sz w:val="20"/>
          <w:szCs w:val="20"/>
          <w:color w:val="auto"/>
        </w:rPr>
      </w:pPr>
    </w:p>
    <w:p>
      <w:pPr>
        <w:ind w:left="1140" w:right="1159" w:firstLine="517"/>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Unadjusted Benchmark Replacement</w:t>
      </w:r>
      <w:r>
        <w:rPr>
          <w:rFonts w:ascii="Times New Roman" w:cs="Times New Roman" w:eastAsia="Times New Roman" w:hAnsi="Times New Roman"/>
          <w:sz w:val="14"/>
          <w:szCs w:val="14"/>
          <w:color w:val="auto"/>
        </w:rPr>
        <w:t>” shall mean the applicable Benchmark Replacement excluding the Benchmark Replacement Adjustment.</w:t>
      </w:r>
    </w:p>
    <w:p>
      <w:pPr>
        <w:spacing w:after="0" w:line="119" w:lineRule="exact"/>
        <w:rPr>
          <w:sz w:val="20"/>
          <w:szCs w:val="20"/>
          <w:color w:val="auto"/>
        </w:rPr>
      </w:pPr>
    </w:p>
    <w:p>
      <w:pPr>
        <w:ind w:left="1140" w:right="1199" w:firstLine="1069"/>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Undisclosed Administration</w:t>
      </w:r>
      <w:r>
        <w:rPr>
          <w:rFonts w:ascii="Times New Roman" w:cs="Times New Roman" w:eastAsia="Times New Roman" w:hAnsi="Times New Roman"/>
          <w:sz w:val="14"/>
          <w:szCs w:val="14"/>
          <w:color w:val="auto"/>
        </w:rPr>
        <w:t>” shall mean in relation to a Lender or its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is not to be publicly disclosed.</w:t>
      </w:r>
    </w:p>
    <w:p>
      <w:pPr>
        <w:spacing w:after="0" w:line="141" w:lineRule="exact"/>
        <w:rPr>
          <w:sz w:val="20"/>
          <w:szCs w:val="20"/>
          <w:color w:val="auto"/>
        </w:rPr>
      </w:pPr>
    </w:p>
    <w:p>
      <w:pPr>
        <w:ind w:left="1140" w:right="1179" w:firstLine="1033"/>
        <w:spacing w:after="0" w:line="26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Uniform Commercial Code</w:t>
      </w:r>
      <w:r>
        <w:rPr>
          <w:rFonts w:ascii="Times New Roman" w:cs="Times New Roman" w:eastAsia="Times New Roman" w:hAnsi="Times New Roman"/>
          <w:sz w:val="14"/>
          <w:szCs w:val="14"/>
          <w:color w:val="auto"/>
        </w:rPr>
        <w:t>” shall mean the Uniform Commercial Code as from time to time in effect in the State of New York; provided, however, that, in the event that, by reason of any provisions of law, any of the attachment, perfection or priority of the Collateral Agent’s and the Secured Parties’ security interest in any Collateral is governed by the Uniform Commercial Code as in effect in a jurisdiction other than the State of New York, the term “UCC” shall mean the Uniform Commercial Code as in effect in such other jurisdiction for purposes of the provisions hereof relating to such attachment, perfection or priority and for purposes of definitions related to such provisions.</w:t>
      </w:r>
    </w:p>
    <w:p>
      <w:pPr>
        <w:spacing w:after="0" w:line="142" w:lineRule="exact"/>
        <w:rPr>
          <w:sz w:val="20"/>
          <w:szCs w:val="20"/>
          <w:color w:val="auto"/>
        </w:rPr>
      </w:pPr>
    </w:p>
    <w:p>
      <w:pPr>
        <w:ind w:left="1140" w:right="15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Unpaid Drawing</w:t>
      </w:r>
      <w:r>
        <w:rPr>
          <w:rFonts w:ascii="Times New Roman" w:cs="Times New Roman" w:eastAsia="Times New Roman" w:hAnsi="Times New Roman"/>
          <w:sz w:val="14"/>
          <w:szCs w:val="14"/>
          <w:color w:val="auto"/>
        </w:rPr>
        <w:t>” shall mean any 2020 Letter of Credit Unpaid Drawing or any Revolving Unpaid Drawing, as the case may be.</w:t>
      </w:r>
    </w:p>
    <w:p>
      <w:pPr>
        <w:spacing w:after="0" w:line="119" w:lineRule="exact"/>
        <w:rPr>
          <w:sz w:val="20"/>
          <w:szCs w:val="20"/>
          <w:color w:val="auto"/>
        </w:rPr>
      </w:pPr>
    </w:p>
    <w:p>
      <w:pPr>
        <w:jc w:val="both"/>
        <w:ind w:left="1140" w:right="1399" w:firstLine="1033"/>
        <w:spacing w:after="0" w:line="27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Unrestricted Subsidiary</w:t>
      </w:r>
      <w:r>
        <w:rPr>
          <w:rFonts w:ascii="Times New Roman" w:cs="Times New Roman" w:eastAsia="Times New Roman" w:hAnsi="Times New Roman"/>
          <w:sz w:val="14"/>
          <w:szCs w:val="14"/>
          <w:color w:val="auto"/>
        </w:rPr>
        <w:t>” shall mean (i) any Subsidiary of the Borrower which at the time of determination is an Unrestricted Subsidiary (as designated by the board of directors of the Borrower, as provided below) and (ii) any Subsidiary of an Unrestricted Subsidiary.</w:t>
      </w:r>
    </w:p>
    <w:p>
      <w:pPr>
        <w:spacing w:after="0" w:line="135" w:lineRule="exact"/>
        <w:rPr>
          <w:sz w:val="20"/>
          <w:szCs w:val="20"/>
          <w:color w:val="auto"/>
        </w:rPr>
      </w:pPr>
    </w:p>
    <w:p>
      <w:pPr>
        <w:ind w:left="1140" w:right="1279" w:firstLine="1033"/>
        <w:spacing w:after="0" w:line="265" w:lineRule="auto"/>
        <w:rPr>
          <w:sz w:val="20"/>
          <w:szCs w:val="20"/>
          <w:color w:val="auto"/>
        </w:rPr>
      </w:pPr>
      <w:r>
        <w:rPr>
          <w:rFonts w:ascii="Times New Roman" w:cs="Times New Roman" w:eastAsia="Times New Roman" w:hAnsi="Times New Roman"/>
          <w:sz w:val="14"/>
          <w:szCs w:val="14"/>
          <w:color w:val="auto"/>
        </w:rPr>
        <w:t xml:space="preserve">The board of directors of the Borrower may designate any Subsidiary of the Borrower (including any existing Subsidiary and any newly acquired or newly formed Subsidiary), unless such Subsidiary or any of its Subsidiaries owns any Equity Interests or Indebtedness of, or owns or holds any Lien on, any property of, the Borrower or any Subsidiary of the Borrower (other than any Subsidiary of the Subsidiary to be so designated or an Unrestricted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44" w:lineRule="exact"/>
        <w:rPr>
          <w:sz w:val="20"/>
          <w:szCs w:val="20"/>
          <w:color w:val="auto"/>
        </w:rPr>
      </w:pPr>
    </w:p>
    <w:p>
      <w:pPr>
        <w:ind w:left="2460" w:hanging="280"/>
        <w:spacing w:after="0"/>
        <w:tabs>
          <w:tab w:leader="none" w:pos="246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designation complies with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and</w:t>
      </w:r>
    </w:p>
    <w:p>
      <w:pPr>
        <w:spacing w:after="0" w:line="183" w:lineRule="exact"/>
        <w:rPr>
          <w:rFonts w:ascii="Times New Roman" w:cs="Times New Roman" w:eastAsia="Times New Roman" w:hAnsi="Times New Roman"/>
          <w:sz w:val="14"/>
          <w:szCs w:val="14"/>
          <w:color w:val="auto"/>
        </w:rPr>
      </w:pPr>
    </w:p>
    <w:p>
      <w:pPr>
        <w:ind w:left="1660" w:right="1159" w:firstLine="520"/>
        <w:spacing w:after="0" w:line="293" w:lineRule="auto"/>
        <w:tabs>
          <w:tab w:leader="none" w:pos="246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immediately after giving effect to such designation, no Event of Default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shall have occurred and be continuing.</w:t>
      </w:r>
    </w:p>
    <w:p>
      <w:pPr>
        <w:spacing w:after="0" w:line="123" w:lineRule="exact"/>
        <w:rPr>
          <w:sz w:val="20"/>
          <w:szCs w:val="20"/>
          <w:color w:val="auto"/>
        </w:rPr>
      </w:pPr>
    </w:p>
    <w:p>
      <w:pPr>
        <w:ind w:left="1140" w:right="1239" w:firstLine="1033"/>
        <w:spacing w:after="0" w:line="275" w:lineRule="auto"/>
        <w:rPr>
          <w:sz w:val="20"/>
          <w:szCs w:val="20"/>
          <w:color w:val="auto"/>
        </w:rPr>
      </w:pPr>
      <w:r>
        <w:rPr>
          <w:rFonts w:ascii="Times New Roman" w:cs="Times New Roman" w:eastAsia="Times New Roman" w:hAnsi="Times New Roman"/>
          <w:sz w:val="14"/>
          <w:szCs w:val="14"/>
          <w:color w:val="auto"/>
        </w:rPr>
        <w:t xml:space="preserve">The board of directors of the Borrower may designate any Unrestricted Subsidiary to be a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immediately after giving effect to such designation, no Event of Default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shall have occurred and be continuing.</w:t>
      </w:r>
    </w:p>
    <w:p>
      <w:pPr>
        <w:spacing w:after="0" w:line="135" w:lineRule="exact"/>
        <w:rPr>
          <w:sz w:val="20"/>
          <w:szCs w:val="20"/>
          <w:color w:val="auto"/>
        </w:rPr>
      </w:pPr>
    </w:p>
    <w:p>
      <w:pPr>
        <w:ind w:left="1140" w:right="1259" w:firstLine="1033"/>
        <w:spacing w:after="0" w:line="268" w:lineRule="auto"/>
        <w:rPr>
          <w:sz w:val="20"/>
          <w:szCs w:val="20"/>
          <w:color w:val="auto"/>
        </w:rPr>
      </w:pPr>
      <w:r>
        <w:rPr>
          <w:rFonts w:ascii="Times New Roman" w:cs="Times New Roman" w:eastAsia="Times New Roman" w:hAnsi="Times New Roman"/>
          <w:sz w:val="14"/>
          <w:szCs w:val="14"/>
          <w:color w:val="auto"/>
        </w:rPr>
        <w:t>Any such designation by the board of directors of the Borrower shall be notified by the Borrower to the Administrative Agent by promptly delivering to the Administrative Agent a copy of the board resolution giving effect to such designation and a certificate of an Authorized Officer of the Borrower certifying that such designation complied with the foregoing provisions.</w:t>
      </w:r>
    </w:p>
    <w:p>
      <w:pPr>
        <w:spacing w:after="0" w:line="14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b w:val="1"/>
          <w:bCs w:val="1"/>
          <w:color w:val="auto"/>
        </w:rPr>
        <w:t>United States</w:t>
      </w:r>
      <w:r>
        <w:rPr>
          <w:rFonts w:ascii="Times New Roman" w:cs="Times New Roman" w:eastAsia="Times New Roman" w:hAnsi="Times New Roman"/>
          <w:sz w:val="14"/>
          <w:szCs w:val="14"/>
          <w:color w:val="auto"/>
        </w:rPr>
        <w:t>” shall mean the United States of America.</w:t>
      </w:r>
    </w:p>
    <w:p>
      <w:pPr>
        <w:spacing w:after="0" w:line="26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54" w:name="page155"/>
    <w:bookmarkEnd w:id="154"/>
    <w:p>
      <w:pPr>
        <w:jc w:val="both"/>
        <w:ind w:left="1140" w:right="1159" w:firstLine="517"/>
        <w:spacing w:after="0" w:line="27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Government Securities Business Day</w:t>
      </w:r>
      <w:r>
        <w:rPr>
          <w:rFonts w:ascii="Times New Roman" w:cs="Times New Roman" w:eastAsia="Times New Roman" w:hAnsi="Times New Roman"/>
          <w:sz w:val="14"/>
          <w:szCs w:val="14"/>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31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U.S. Lender</w:t>
      </w:r>
      <w:r>
        <w:rPr>
          <w:rFonts w:ascii="Times New Roman" w:cs="Times New Roman" w:eastAsia="Times New Roman" w:hAnsi="Times New Roman"/>
          <w:sz w:val="14"/>
          <w:szCs w:val="14"/>
          <w:color w:val="auto"/>
        </w:rPr>
        <w:t xml:space="preserve">” shall have the meaning provided in </w:t>
      </w:r>
      <w:r>
        <w:rPr>
          <w:rFonts w:ascii="Times New Roman" w:cs="Times New Roman" w:eastAsia="Times New Roman" w:hAnsi="Times New Roman"/>
          <w:sz w:val="14"/>
          <w:szCs w:val="14"/>
          <w:u w:val="single" w:color="auto"/>
          <w:color w:val="auto"/>
        </w:rPr>
        <w:t>Section 5.4(e)(ii)(A)</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3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Voting Stock</w:t>
      </w:r>
      <w:r>
        <w:rPr>
          <w:rFonts w:ascii="Times New Roman" w:cs="Times New Roman" w:eastAsia="Times New Roman" w:hAnsi="Times New Roman"/>
          <w:sz w:val="14"/>
          <w:szCs w:val="14"/>
          <w:color w:val="auto"/>
        </w:rPr>
        <w:t>” shall mean, with respect to any Person as of any date, the Capital Stock of such Person that is at the time entitled to vote in the election of the board of directors of such Person.</w:t>
      </w:r>
    </w:p>
    <w:p>
      <w:pPr>
        <w:spacing w:after="0" w:line="119"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WBA</w:t>
      </w:r>
      <w:r>
        <w:rPr>
          <w:rFonts w:ascii="Times New Roman" w:cs="Times New Roman" w:eastAsia="Times New Roman" w:hAnsi="Times New Roman"/>
          <w:sz w:val="14"/>
          <w:szCs w:val="14"/>
          <w:color w:val="auto"/>
        </w:rPr>
        <w:t>” shall mean Walgreens Boots Alliance, Inc. and its Affiliates.</w:t>
      </w:r>
    </w:p>
    <w:p>
      <w:pPr>
        <w:spacing w:after="0" w:line="154" w:lineRule="exact"/>
        <w:rPr>
          <w:sz w:val="20"/>
          <w:szCs w:val="20"/>
          <w:color w:val="auto"/>
        </w:rPr>
      </w:pPr>
    </w:p>
    <w:p>
      <w:pPr>
        <w:ind w:left="1140" w:right="1219" w:firstLine="1033"/>
        <w:spacing w:after="0" w:line="19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Wholly</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Owned Restricted Subsidiary</w:t>
      </w:r>
      <w:r>
        <w:rPr>
          <w:rFonts w:ascii="Times New Roman" w:cs="Times New Roman" w:eastAsia="Times New Roman" w:hAnsi="Times New Roman"/>
          <w:sz w:val="14"/>
          <w:szCs w:val="14"/>
          <w:color w:val="auto"/>
        </w:rPr>
        <w:t>” of any Person shall mean a Restricted Subsidiary of such Person, 100% of the outstanding Capital Stock or other ownership interests of which (other than directors’ qualifying shares) shall at the time be owned by such Person or by one or more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Subsidiaries of such Person.</w:t>
      </w:r>
    </w:p>
    <w:p>
      <w:pPr>
        <w:spacing w:after="0" w:line="277" w:lineRule="exact"/>
        <w:rPr>
          <w:sz w:val="20"/>
          <w:szCs w:val="20"/>
          <w:color w:val="auto"/>
        </w:rPr>
      </w:pPr>
    </w:p>
    <w:p>
      <w:pPr>
        <w:jc w:val="both"/>
        <w:ind w:left="1140" w:right="1199" w:firstLine="1033"/>
        <w:spacing w:after="0" w:line="19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Wholly</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Owned Subsidiary</w:t>
      </w:r>
      <w:r>
        <w:rPr>
          <w:rFonts w:ascii="Times New Roman" w:cs="Times New Roman" w:eastAsia="Times New Roman" w:hAnsi="Times New Roman"/>
          <w:sz w:val="14"/>
          <w:szCs w:val="14"/>
          <w:color w:val="auto"/>
        </w:rPr>
        <w:t>” of any Person shall mean a Subsidiary of such Person, 100% of the outstanding Capital Stock or other ownership interests of which (other than directors’ qualifying shares) shall at the time be owned by such Person or by one or more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Subsidiaries of such Person.</w:t>
      </w:r>
    </w:p>
    <w:p>
      <w:pPr>
        <w:spacing w:after="0" w:line="134" w:lineRule="exact"/>
        <w:rPr>
          <w:sz w:val="20"/>
          <w:szCs w:val="20"/>
          <w:color w:val="auto"/>
        </w:rPr>
      </w:pPr>
    </w:p>
    <w:p>
      <w:pPr>
        <w:ind w:left="1140" w:right="125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Withdrawal Liability</w:t>
      </w:r>
      <w:r>
        <w:rPr>
          <w:rFonts w:ascii="Times New Roman" w:cs="Times New Roman" w:eastAsia="Times New Roman" w:hAnsi="Times New Roman"/>
          <w:sz w:val="14"/>
          <w:szCs w:val="14"/>
          <w:color w:val="auto"/>
        </w:rPr>
        <w:t>” shall mean liability to a Multiemployer Plan as a result of a complete or partial withdrawal from such Multiemployer Plan, as such terms are defined in Title IV of ERISA.</w:t>
      </w:r>
    </w:p>
    <w:p>
      <w:pPr>
        <w:spacing w:after="0" w:line="119" w:lineRule="exact"/>
        <w:rPr>
          <w:sz w:val="20"/>
          <w:szCs w:val="20"/>
          <w:color w:val="auto"/>
        </w:rPr>
      </w:pPr>
    </w:p>
    <w:p>
      <w:pPr>
        <w:ind w:left="1140" w:right="1319" w:firstLine="1033"/>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Withholding Agent</w:t>
      </w:r>
      <w:r>
        <w:rPr>
          <w:rFonts w:ascii="Times New Roman" w:cs="Times New Roman" w:eastAsia="Times New Roman" w:hAnsi="Times New Roman"/>
          <w:sz w:val="14"/>
          <w:szCs w:val="14"/>
          <w:color w:val="auto"/>
        </w:rPr>
        <w:t>” shall mean any Credit Party, the Administrative Agent and, in the case of any U.S. federal withholding Tax, any other applicable withholding agent.</w:t>
      </w:r>
    </w:p>
    <w:p>
      <w:pPr>
        <w:spacing w:after="0" w:line="119" w:lineRule="exact"/>
        <w:rPr>
          <w:sz w:val="20"/>
          <w:szCs w:val="20"/>
          <w:color w:val="auto"/>
        </w:rPr>
      </w:pPr>
    </w:p>
    <w:p>
      <w:pPr>
        <w:ind w:left="1140" w:right="1219" w:firstLine="103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Write-Down and Conversion Powers</w:t>
      </w:r>
      <w:r>
        <w:rPr>
          <w:rFonts w:ascii="Times New Roman" w:cs="Times New Roman" w:eastAsia="Times New Roman" w:hAnsi="Times New Roman"/>
          <w:sz w:val="14"/>
          <w:szCs w:val="14"/>
          <w:color w:val="auto"/>
        </w:rPr>
        <w:t xml:space="preserve">” shall mean, </w:t>
      </w:r>
      <w:r>
        <w:rPr>
          <w:rFonts w:ascii="Times New Roman" w:cs="Times New Roman" w:eastAsia="Times New Roman" w:hAnsi="Times New Roman"/>
          <w:sz w:val="14"/>
          <w:szCs w:val="14"/>
          <w:u w:val="single" w:color="auto"/>
          <w:color w:val="0000FF"/>
        </w:rPr>
        <w:t>(a)</w:t>
      </w:r>
      <w:r>
        <w:rPr>
          <w:rFonts w:ascii="Times New Roman" w:cs="Times New Roman" w:eastAsia="Times New Roman" w:hAnsi="Times New Roman"/>
          <w:sz w:val="14"/>
          <w:szCs w:val="14"/>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 and (b) with respect to the United Kingdom, any powers of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331" w:lineRule="exact"/>
        <w:rPr>
          <w:sz w:val="20"/>
          <w:szCs w:val="20"/>
          <w:color w:val="auto"/>
        </w:rPr>
      </w:pPr>
    </w:p>
    <w:p>
      <w:pPr>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1.2 Other Interpretive Provisions</w:t>
      </w:r>
      <w:r>
        <w:rPr>
          <w:rFonts w:ascii="Times New Roman" w:cs="Times New Roman" w:eastAsia="Times New Roman" w:hAnsi="Times New Roman"/>
          <w:sz w:val="14"/>
          <w:szCs w:val="14"/>
          <w:color w:val="auto"/>
        </w:rPr>
        <w:t>. With reference to this Agreement and each other Credit Document, unless otherwise specified herein or in such other Credit Document:</w:t>
      </w:r>
    </w:p>
    <w:p>
      <w:pPr>
        <w:spacing w:after="0" w:line="134" w:lineRule="exact"/>
        <w:rPr>
          <w:sz w:val="20"/>
          <w:szCs w:val="20"/>
          <w:color w:val="auto"/>
        </w:rPr>
      </w:pPr>
    </w:p>
    <w:p>
      <w:pPr>
        <w:ind w:left="1980" w:hanging="316"/>
        <w:spacing w:after="0"/>
        <w:tabs>
          <w:tab w:leader="none" w:pos="1980" w:val="left"/>
        </w:tabs>
        <w:numPr>
          <w:ilvl w:val="0"/>
          <w:numId w:val="8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meanings of defined terms are equally applicable to the singular and plural forms of the defined</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terms.</w:t>
      </w:r>
    </w:p>
    <w:p>
      <w:pPr>
        <w:spacing w:after="0" w:line="180" w:lineRule="exact"/>
        <w:rPr>
          <w:sz w:val="20"/>
          <w:szCs w:val="20"/>
          <w:color w:val="auto"/>
        </w:rPr>
      </w:pPr>
    </w:p>
    <w:p>
      <w:pPr>
        <w:ind w:left="1140" w:right="1159" w:firstLine="524"/>
        <w:spacing w:after="0" w:line="293" w:lineRule="auto"/>
        <w:tabs>
          <w:tab w:leader="none" w:pos="1982" w:val="left"/>
        </w:tabs>
        <w:numPr>
          <w:ilvl w:val="0"/>
          <w:numId w:val="8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words “herein”, “hereto”, “hereof”, and “hereunder” and words of similar import when used in any Credit Document shall refer to such Credit Document as a whole and not to any particular provision thereof.</w:t>
      </w:r>
    </w:p>
    <w:p>
      <w:pPr>
        <w:spacing w:after="0" w:line="134" w:lineRule="exact"/>
        <w:rPr>
          <w:rFonts w:ascii="Times New Roman" w:cs="Times New Roman" w:eastAsia="Times New Roman" w:hAnsi="Times New Roman"/>
          <w:sz w:val="14"/>
          <w:szCs w:val="14"/>
          <w:color w:val="010000"/>
        </w:rPr>
      </w:pPr>
    </w:p>
    <w:p>
      <w:pPr>
        <w:ind w:left="2020" w:hanging="356"/>
        <w:spacing w:after="0"/>
        <w:tabs>
          <w:tab w:leader="none" w:pos="2020" w:val="left"/>
        </w:tabs>
        <w:numPr>
          <w:ilvl w:val="0"/>
          <w:numId w:val="8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Section, Exhibit, and Schedule references are to the Credit Document in which such reference</w:t>
      </w:r>
    </w:p>
    <w:p>
      <w:pPr>
        <w:spacing w:after="0" w:line="24" w:lineRule="exact"/>
        <w:rPr>
          <w:rFonts w:ascii="Times New Roman" w:cs="Times New Roman" w:eastAsia="Times New Roman" w:hAnsi="Times New Roman"/>
          <w:sz w:val="14"/>
          <w:szCs w:val="14"/>
          <w:color w:val="010000"/>
        </w:rPr>
      </w:pPr>
    </w:p>
    <w:p>
      <w:pPr>
        <w:ind w:left="114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appears.</w:t>
      </w:r>
    </w:p>
    <w:p>
      <w:pPr>
        <w:spacing w:after="0" w:line="180"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8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term “including” is by way of example and not limitation.</w:t>
      </w:r>
    </w:p>
    <w:p>
      <w:pPr>
        <w:spacing w:after="0" w:line="19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8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term “documents” includes any and all instruments, documents, agreements, certificates, notices, reports, financial statements and other writings, however evidenced, whether in physical or electronic form.</w:t>
      </w:r>
    </w:p>
    <w:p>
      <w:pPr>
        <w:spacing w:after="0" w:line="13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8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the computation of periods of time from a specified date to a later specified date, the word “from”</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55" w:name="page156"/>
    <w:bookmarkEnd w:id="155"/>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shall mean “from and including”; the words “to” and “until” each mean “to but excluding”; and the word “through” shall mean “to and including”.</w:t>
      </w:r>
    </w:p>
    <w:p>
      <w:pPr>
        <w:spacing w:after="0" w:line="134" w:lineRule="exact"/>
        <w:rPr>
          <w:sz w:val="20"/>
          <w:szCs w:val="20"/>
          <w:color w:val="auto"/>
        </w:rPr>
      </w:pPr>
    </w:p>
    <w:p>
      <w:pPr>
        <w:ind w:left="1140" w:right="1159" w:firstLine="524"/>
        <w:spacing w:after="0" w:line="293" w:lineRule="auto"/>
        <w:tabs>
          <w:tab w:leader="none" w:pos="1972" w:val="left"/>
        </w:tabs>
        <w:numPr>
          <w:ilvl w:val="1"/>
          <w:numId w:val="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Section headings herein and in the other Credit Documents are included for convenience of reference only and shall not affect the interpretation of this Agreement or any other Credit Document.</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1"/>
          <w:numId w:val="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words “asset” and “property” shall be construed to have the same meaning and effect and to refer to any and all tangible and intangible assets and properties, including cash, securities, accounts and contract rights.</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93" w:lineRule="auto"/>
        <w:tabs>
          <w:tab w:leader="none" w:pos="1993" w:val="left"/>
        </w:tabs>
        <w:numPr>
          <w:ilvl w:val="1"/>
          <w:numId w:val="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All references to “knowledge” or “awareness” of any Credit Party or any Restricted Subsidiary thereof shall mean the actual knowledge of an Authorized Officer of such Credit Party or such Restricted Subsidiary.</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0" w:lineRule="auto"/>
        <w:tabs>
          <w:tab w:leader="none" w:pos="1993" w:val="left"/>
        </w:tabs>
        <w:numPr>
          <w:ilvl w:val="1"/>
          <w:numId w:val="90"/>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With respect to any Default or Event of Default, the words “exists,” “is continuing” or similar expressions with respect thereto shall mean that such Default or Event of Default has occurred and has not yet been cured or waived. If any Default or Event of Default has occurred hereunder (any such Default or Event of Default, an “</w:t>
      </w:r>
      <w:r>
        <w:rPr>
          <w:rFonts w:ascii="Times New Roman" w:cs="Times New Roman" w:eastAsia="Times New Roman" w:hAnsi="Times New Roman"/>
          <w:sz w:val="14"/>
          <w:szCs w:val="14"/>
          <w:b w:val="1"/>
          <w:bCs w:val="1"/>
          <w:u w:val="single" w:color="auto"/>
          <w:color w:val="0000FF"/>
        </w:rPr>
        <w:t>Initial Default</w:t>
      </w:r>
      <w:r>
        <w:rPr>
          <w:rFonts w:ascii="Times New Roman" w:cs="Times New Roman" w:eastAsia="Times New Roman" w:hAnsi="Times New Roman"/>
          <w:sz w:val="14"/>
          <w:szCs w:val="14"/>
          <w:u w:val="single" w:color="auto"/>
          <w:color w:val="0000FF"/>
        </w:rPr>
        <w:t>”) and is subsequently cured or waived (a “</w:t>
      </w:r>
      <w:r>
        <w:rPr>
          <w:rFonts w:ascii="Times New Roman" w:cs="Times New Roman" w:eastAsia="Times New Roman" w:hAnsi="Times New Roman"/>
          <w:sz w:val="14"/>
          <w:szCs w:val="14"/>
          <w:b w:val="1"/>
          <w:bCs w:val="1"/>
          <w:u w:val="single" w:color="auto"/>
          <w:color w:val="0000FF"/>
        </w:rPr>
        <w:t>Cured Default</w:t>
      </w:r>
      <w:r>
        <w:rPr>
          <w:rFonts w:ascii="Times New Roman" w:cs="Times New Roman" w:eastAsia="Times New Roman" w:hAnsi="Times New Roman"/>
          <w:sz w:val="14"/>
          <w:szCs w:val="14"/>
          <w:u w:val="single" w:color="auto"/>
          <w:color w:val="0000FF"/>
        </w:rPr>
        <w:t>”), any other Default or Event of Default that resulted from (i) the making or deemed making of any representation or warranty by any Credit Party or</w:t>
      </w:r>
    </w:p>
    <w:p>
      <w:pPr>
        <w:spacing w:after="0" w:line="2" w:lineRule="exact"/>
        <w:rPr>
          <w:rFonts w:ascii="Times New Roman" w:cs="Times New Roman" w:eastAsia="Times New Roman" w:hAnsi="Times New Roman"/>
          <w:sz w:val="14"/>
          <w:szCs w:val="14"/>
          <w:u w:val="single" w:color="auto"/>
          <w:color w:val="0000FF"/>
        </w:rPr>
      </w:pPr>
    </w:p>
    <w:p>
      <w:pPr>
        <w:jc w:val="both"/>
        <w:ind w:left="1140" w:right="1159" w:firstLine="7"/>
        <w:spacing w:after="0" w:line="258" w:lineRule="auto"/>
        <w:tabs>
          <w:tab w:leader="none" w:pos="1363" w:val="left"/>
        </w:tabs>
        <w:numPr>
          <w:ilvl w:val="0"/>
          <w:numId w:val="91"/>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the taking of any action or failure to satisfy any condition precedent to the taking of any action by any Credit Party or any Subsidiary of any Credit Party, in each case which subsequent Default, Event of Default or failure would not have arisen had the Cured Default not been continuing at the time of such representation, warranty, action or failure to satisfy such condition precedent to the taking of any action, shall be deemed to automatically be cured or satisfied, as applicable, upon, and simultaneously with, the cure of the Cured Default, so long as at the time of such representation, warranty, action or failure to satisfy any condition precedent to the taking of any action, no Authorized Officer of the Borrower had knowledge of any such Initial Default. To the extent not already so notified, the Borrower will provide prompt written notice of any such automatic cure to the Administrative Agent after an Authorized Officer of the Borrower has knowledge of the occurrence of any such automatic cure. Any time period in this Agreement to cure any actual or alleged Default or Event of Default may be extended or stayed by a court of competent jurisdiction to the extent such actual or alleged Default or Event of Default is the subject of litigation.</w:t>
      </w:r>
    </w:p>
    <w:p>
      <w:pPr>
        <w:spacing w:after="0" w:line="159"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1.3</w:t>
      </w:r>
      <w:r>
        <w:rPr>
          <w:sz w:val="20"/>
          <w:szCs w:val="20"/>
          <w:color w:val="auto"/>
        </w:rPr>
        <w:tab/>
      </w:r>
      <w:r>
        <w:rPr>
          <w:rFonts w:ascii="Times New Roman" w:cs="Times New Roman" w:eastAsia="Times New Roman" w:hAnsi="Times New Roman"/>
          <w:sz w:val="14"/>
          <w:szCs w:val="14"/>
          <w:u w:val="single" w:color="auto"/>
          <w:color w:val="auto"/>
        </w:rPr>
        <w:t>Accounting Terms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8" w:lineRule="auto"/>
        <w:tabs>
          <w:tab w:leader="none" w:pos="1993" w:val="left"/>
        </w:tabs>
        <w:numPr>
          <w:ilvl w:val="0"/>
          <w:numId w:val="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82" w:val="left"/>
        </w:tabs>
        <w:numPr>
          <w:ilvl w:val="0"/>
          <w:numId w:val="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Notwithstanding anything to the contrary herein, for purposes of determining compliance with any test or covenant contained in this Agreement with respect to any period during which any Specified Transaction occurs, the Fixed Charge Coverage Ratio, the Consolidated Total Debt to Consolidated EBITDA Ratio, the Consolidated First Lien Secured Debt to Consolidated EBITDA Ratio and the First Lien Incremental Ratio shall each be calculated with respect to such period and such Specified Transaction on a Pro Forma Basis.</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Where reference is made to “the Borrower and the Restricted Subsidiaries on a consolidated basis” or similar language, such combination shall not include any Subsidiaries of the Borrower other than Restricted Subsidiaries.</w:t>
      </w:r>
    </w:p>
    <w:p>
      <w:pPr>
        <w:spacing w:after="0" w:line="146" w:lineRule="exact"/>
        <w:rPr>
          <w:sz w:val="20"/>
          <w:szCs w:val="20"/>
          <w:color w:val="auto"/>
        </w:rPr>
      </w:pPr>
    </w:p>
    <w:p>
      <w:pPr>
        <w:jc w:val="both"/>
        <w:ind w:left="1140" w:right="1159" w:firstLine="517"/>
        <w:spacing w:after="0" w:line="267" w:lineRule="auto"/>
        <w:rPr>
          <w:sz w:val="20"/>
          <w:szCs w:val="20"/>
          <w:color w:val="auto"/>
        </w:rPr>
      </w:pPr>
      <w:r>
        <w:rPr>
          <w:rFonts w:ascii="Times New Roman" w:cs="Times New Roman" w:eastAsia="Times New Roman" w:hAnsi="Times New Roman"/>
          <w:sz w:val="14"/>
          <w:szCs w:val="14"/>
          <w:u w:val="single" w:color="auto"/>
          <w:color w:val="auto"/>
        </w:rPr>
        <w:t>1.4 Rounding</w:t>
      </w:r>
      <w:r>
        <w:rPr>
          <w:rFonts w:ascii="Times New Roman" w:cs="Times New Roman" w:eastAsia="Times New Roman" w:hAnsi="Times New Roman"/>
          <w:sz w:val="14"/>
          <w:szCs w:val="14"/>
          <w:color w:val="auto"/>
        </w:rPr>
        <w:t>.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327"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1.5 References to Agreements, Laws, Etc</w:t>
      </w:r>
      <w:r>
        <w:rPr>
          <w:rFonts w:ascii="Times New Roman" w:cs="Times New Roman" w:eastAsia="Times New Roman" w:hAnsi="Times New Roman"/>
          <w:sz w:val="14"/>
          <w:szCs w:val="14"/>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6" w:name="page157"/>
    <w:bookmarkEnd w:id="156"/>
    <w:p>
      <w:pPr>
        <w:jc w:val="both"/>
        <w:ind w:left="1140" w:right="1159"/>
        <w:spacing w:after="0" w:line="265" w:lineRule="auto"/>
        <w:rPr>
          <w:sz w:val="20"/>
          <w:szCs w:val="20"/>
          <w:color w:val="auto"/>
        </w:rPr>
      </w:pPr>
      <w:r>
        <w:rPr>
          <w:rFonts w:ascii="Times New Roman" w:cs="Times New Roman" w:eastAsia="Times New Roman" w:hAnsi="Times New Roman"/>
          <w:sz w:val="14"/>
          <w:szCs w:val="14"/>
          <w:color w:val="auto"/>
        </w:rPr>
        <w:t>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Requirements of Law shall include all statutory and regulatory provisions consolidating, amending, replacing, supplementing, or interpreting such Requirements of Law.</w:t>
      </w:r>
    </w:p>
    <w:p>
      <w:pPr>
        <w:spacing w:after="0" w:line="155"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1.6 Exchange Rates</w:t>
      </w:r>
      <w:r>
        <w:rPr>
          <w:rFonts w:ascii="Times New Roman" w:cs="Times New Roman" w:eastAsia="Times New Roman" w:hAnsi="Times New Roman"/>
          <w:sz w:val="14"/>
          <w:szCs w:val="14"/>
          <w:color w:val="auto"/>
        </w:rPr>
        <w:t xml:space="preserve">. Notwithstanding the foregoing, for purposes of any determination under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for purposes of determining compliance with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with respect to the amount of any Indebtedness,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after such Asset Sale or Restricted Payment is made;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for the avoidance of doubt, the foregoing provisions of this </w:t>
      </w:r>
      <w:r>
        <w:rPr>
          <w:rFonts w:ascii="Times New Roman" w:cs="Times New Roman" w:eastAsia="Times New Roman" w:hAnsi="Times New Roman"/>
          <w:sz w:val="14"/>
          <w:szCs w:val="14"/>
          <w:u w:val="single" w:color="auto"/>
          <w:color w:val="auto"/>
        </w:rPr>
        <w:t>Section 1.6</w:t>
      </w:r>
      <w:r>
        <w:rPr>
          <w:rFonts w:ascii="Times New Roman" w:cs="Times New Roman" w:eastAsia="Times New Roman" w:hAnsi="Times New Roman"/>
          <w:sz w:val="14"/>
          <w:szCs w:val="14"/>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 currencies other than Dollars shall be translated into Dollars at the currency exchange rates used in preparing the most recently delivered Section 9.1 Financials.</w:t>
      </w:r>
    </w:p>
    <w:p>
      <w:pPr>
        <w:spacing w:after="0" w:line="161"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1.7 Rates</w:t>
      </w:r>
      <w:r>
        <w:rPr>
          <w:rFonts w:ascii="Times New Roman" w:cs="Times New Roman" w:eastAsia="Times New Roman" w:hAnsi="Times New Roman"/>
          <w:sz w:val="14"/>
          <w:szCs w:val="14"/>
          <w:color w:val="auto"/>
        </w:rPr>
        <w:t>. The Administrative Agent does not warrant, nor accept responsibility, nor shall the Administrative Agent have any liability with respect to the administration, submission, or any other matter related to the rates in the definition of SOFR Loans or with respect to any comparable or successor rate thereto.</w:t>
      </w:r>
    </w:p>
    <w:p>
      <w:pPr>
        <w:spacing w:after="0" w:line="146"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1.8 Times of Day</w:t>
      </w:r>
      <w:r>
        <w:rPr>
          <w:rFonts w:ascii="Times New Roman" w:cs="Times New Roman" w:eastAsia="Times New Roman" w:hAnsi="Times New Roman"/>
          <w:sz w:val="14"/>
          <w:szCs w:val="14"/>
          <w:color w:val="auto"/>
        </w:rPr>
        <w:t>. Unless otherwise specified, all references herein to times of day shall be references to Eastern time (daylight or standard, as applicable).</w:t>
      </w:r>
    </w:p>
    <w:p>
      <w:pPr>
        <w:spacing w:after="0" w:line="134"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1.9 Timing of Payment or Performance</w:t>
      </w:r>
      <w:r>
        <w:rPr>
          <w:rFonts w:ascii="Times New Roman" w:cs="Times New Roman" w:eastAsia="Times New Roman" w:hAnsi="Times New Roman"/>
          <w:sz w:val="14"/>
          <w:szCs w:val="14"/>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55"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1.10 Certifications</w:t>
      </w:r>
      <w:r>
        <w:rPr>
          <w:rFonts w:ascii="Times New Roman" w:cs="Times New Roman" w:eastAsia="Times New Roman" w:hAnsi="Times New Roman"/>
          <w:sz w:val="14"/>
          <w:szCs w:val="14"/>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46"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1.11 Compliance with Certain Sections</w:t>
      </w:r>
      <w:r>
        <w:rPr>
          <w:rFonts w:ascii="Times New Roman" w:cs="Times New Roman" w:eastAsia="Times New Roman" w:hAnsi="Times New Roman"/>
          <w:sz w:val="14"/>
          <w:szCs w:val="14"/>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or any clause or subsection of </w:t>
      </w:r>
      <w:r>
        <w:rPr>
          <w:rFonts w:ascii="Times New Roman" w:cs="Times New Roman" w:eastAsia="Times New Roman" w:hAnsi="Times New Roman"/>
          <w:sz w:val="14"/>
          <w:szCs w:val="14"/>
          <w:u w:val="single" w:color="auto"/>
          <w:color w:val="auto"/>
        </w:rPr>
        <w:t>Sections 10.1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10.6</w:t>
      </w:r>
      <w:r>
        <w:rPr>
          <w:rFonts w:ascii="Times New Roman" w:cs="Times New Roman" w:eastAsia="Times New Roman" w:hAnsi="Times New Roman"/>
          <w:sz w:val="14"/>
          <w:szCs w:val="14"/>
          <w:color w:val="auto"/>
        </w:rPr>
        <w:t>, then such transaction (or portion thereof) at any time shall be allocated to one or more of such clauses or subsections within the relevant sections as determined by the Borrower in its sole discretion at such time.</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1.12 </w:t>
      </w:r>
      <w:r>
        <w:rPr>
          <w:rFonts w:ascii="Times New Roman" w:cs="Times New Roman" w:eastAsia="Times New Roman" w:hAnsi="Times New Roman"/>
          <w:sz w:val="14"/>
          <w:szCs w:val="14"/>
          <w:u w:val="single" w:color="auto"/>
          <w:color w:val="auto"/>
        </w:rPr>
        <w:t>Pro Forma and Other Calculations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1" w:lineRule="auto"/>
        <w:tabs>
          <w:tab w:leader="none" w:pos="1972" w:val="left"/>
        </w:tabs>
        <w:numPr>
          <w:ilvl w:val="0"/>
          <w:numId w:val="9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For purposes of calculating the Fixed Charge Coverage Ratio, Consolidated First Lien Secured Debt to Consolidated EBITDA Ratio, Consolidated Total Debt to Consolidated EBITDA Ratio, Investments, acquisitions, dispositions, mergers, consolidations, and disposed operations (as determined in accordance with GAAP) that have been made by the Borrower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7" w:name="page158"/>
    <w:bookmarkEnd w:id="157"/>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Restricted Subsidiary or was merged with or into the Borrower or any Restricted Subsidiary since the beginning of such period) shall have made any Investment, acquisition, disposition, merger, consolidation, or disposed operation that would have required adjustment pursuant to this definition, then the Fixed Charge Coverage Ratio, Consolidated First Lien Secured Debt to Consolidated EBITDA Ratio and Consolidated Total Debt to Consolidated EBITDA Ratio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 the Fixed Charge Coverage Ratio, the Consolidated First Lien Secured Debt to Consolidated EBITDA Ratio and Consolidated Total Debt to Consolidated EBITDA Ratio) (any such amounts, the “</w:t>
      </w:r>
      <w:r>
        <w:rPr>
          <w:rFonts w:ascii="Times New Roman" w:cs="Times New Roman" w:eastAsia="Times New Roman" w:hAnsi="Times New Roman"/>
          <w:sz w:val="14"/>
          <w:szCs w:val="14"/>
          <w:b w:val="1"/>
          <w:bCs w:val="1"/>
          <w:color w:val="auto"/>
        </w:rPr>
        <w:t>Fixed Amounts</w:t>
      </w:r>
      <w:r>
        <w:rPr>
          <w:rFonts w:ascii="Times New Roman" w:cs="Times New Roman" w:eastAsia="Times New Roman" w:hAnsi="Times New Roman"/>
          <w:sz w:val="14"/>
          <w:szCs w:val="14"/>
          <w:color w:val="auto"/>
        </w:rPr>
        <w:t>”) substantially concurrently with any amounts incurred or transactions entered into (or consummated) in reliance on a provision of this Agreement that requires compliance with any such financial ratio or test (any such amounts, the “</w:t>
      </w:r>
      <w:r>
        <w:rPr>
          <w:rFonts w:ascii="Times New Roman" w:cs="Times New Roman" w:eastAsia="Times New Roman" w:hAnsi="Times New Roman"/>
          <w:sz w:val="14"/>
          <w:szCs w:val="14"/>
          <w:b w:val="1"/>
          <w:bCs w:val="1"/>
          <w:color w:val="auto"/>
        </w:rPr>
        <w:t>Incurrence Based Amounts</w:t>
      </w:r>
      <w:r>
        <w:rPr>
          <w:rFonts w:ascii="Times New Roman" w:cs="Times New Roman" w:eastAsia="Times New Roman" w:hAnsi="Times New Roman"/>
          <w:sz w:val="14"/>
          <w:szCs w:val="14"/>
          <w:color w:val="auto"/>
        </w:rPr>
        <w:t xml:space="preserve">”),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 account for purposes of Incurrence Based Amounts other than Incurrence Based Amounts contained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w:t>
      </w:r>
    </w:p>
    <w:p>
      <w:pPr>
        <w:spacing w:after="0" w:line="167" w:lineRule="exact"/>
        <w:rPr>
          <w:sz w:val="20"/>
          <w:szCs w:val="20"/>
          <w:color w:val="auto"/>
        </w:rPr>
      </w:pPr>
    </w:p>
    <w:p>
      <w:pPr>
        <w:jc w:val="both"/>
        <w:ind w:left="1140" w:right="1159" w:firstLine="524"/>
        <w:spacing w:after="0" w:line="257" w:lineRule="auto"/>
        <w:tabs>
          <w:tab w:leader="none" w:pos="1972" w:val="left"/>
        </w:tabs>
        <w:numPr>
          <w:ilvl w:val="1"/>
          <w:numId w:val="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operating expense enhancements and operating expense reductions resulting from such Investment, acquisition, merger, or consolidation which is being given Pro Forma Effect that have been or are expected to be realized;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costs savings, operating expense enhancements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the Borrower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w:t>
      </w:r>
    </w:p>
    <w:p>
      <w:pPr>
        <w:spacing w:after="0" w:line="9" w:lineRule="exact"/>
        <w:rPr>
          <w:rFonts w:ascii="Times New Roman" w:cs="Times New Roman" w:eastAsia="Times New Roman" w:hAnsi="Times New Roman"/>
          <w:sz w:val="14"/>
          <w:szCs w:val="14"/>
          <w:color w:val="010000"/>
        </w:rPr>
      </w:pPr>
    </w:p>
    <w:p>
      <w:pPr>
        <w:jc w:val="both"/>
        <w:ind w:left="1140" w:right="1159" w:firstLine="7"/>
        <w:spacing w:after="0" w:line="259" w:lineRule="auto"/>
        <w:tabs>
          <w:tab w:leader="none" w:pos="1346"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 For the avoidance of doubt, in connection with the incurrence of any Indebtedness under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the definitions of Required Lenders, Required Revolving Credit Lenders and Required Term Loan Lenders shall be calculated on a Pro Forma Basis in accordance with this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and the definition of Maximum Incremental Facilities Amount.</w:t>
      </w:r>
    </w:p>
    <w:p>
      <w:pPr>
        <w:spacing w:after="0" w:line="146" w:lineRule="exact"/>
        <w:rPr>
          <w:sz w:val="20"/>
          <w:szCs w:val="20"/>
          <w:color w:val="auto"/>
        </w:rPr>
      </w:pPr>
    </w:p>
    <w:p>
      <w:pPr>
        <w:ind w:left="1140" w:right="1759" w:firstLine="1033"/>
        <w:spacing w:after="0" w:line="293" w:lineRule="auto"/>
        <w:rPr>
          <w:sz w:val="20"/>
          <w:szCs w:val="20"/>
          <w:color w:val="auto"/>
        </w:rPr>
      </w:pPr>
      <w:r>
        <w:rPr>
          <w:rFonts w:ascii="Times New Roman" w:cs="Times New Roman" w:eastAsia="Times New Roman" w:hAnsi="Times New Roman"/>
          <w:sz w:val="14"/>
          <w:szCs w:val="14"/>
          <w:color w:val="auto"/>
        </w:rPr>
        <w:t>In connection with any action being taken solely in connection with a Limited Condition Transaction, for purposes of:</w:t>
      </w:r>
    </w:p>
    <w:p>
      <w:pPr>
        <w:spacing w:after="0" w:line="134" w:lineRule="exact"/>
        <w:rPr>
          <w:sz w:val="20"/>
          <w:szCs w:val="20"/>
          <w:color w:val="auto"/>
        </w:rPr>
      </w:pPr>
    </w:p>
    <w:p>
      <w:pPr>
        <w:jc w:val="both"/>
        <w:ind w:left="1140" w:right="1159" w:firstLine="524"/>
        <w:spacing w:after="0" w:line="272" w:lineRule="auto"/>
        <w:tabs>
          <w:tab w:leader="none" w:pos="1972" w:val="left"/>
        </w:tabs>
        <w:numPr>
          <w:ilvl w:val="0"/>
          <w:numId w:val="9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determining compliance with any provision of the Credit Documents which requires the calculation of the Consolidated First Lien Secured Debt to Consolidated EBITDA Ratio, Consolidated Senior Secured Debt to Consolidated EBITDA, Consolidated Total Debt to Consolidated EBITDA Ratio or the Fixed Charge Coverage Ratio;</w:t>
      </w:r>
    </w:p>
    <w:p>
      <w:pPr>
        <w:spacing w:after="0" w:line="32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9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determining the accuracy of representations and warranties in </w:t>
      </w:r>
      <w:r>
        <w:rPr>
          <w:rFonts w:ascii="Times New Roman" w:cs="Times New Roman" w:eastAsia="Times New Roman" w:hAnsi="Times New Roman"/>
          <w:sz w:val="14"/>
          <w:szCs w:val="14"/>
          <w:u w:val="single" w:color="auto"/>
          <w:color w:val="auto"/>
        </w:rPr>
        <w:t>Section 8</w:t>
      </w:r>
      <w:r>
        <w:rPr>
          <w:rFonts w:ascii="Times New Roman" w:cs="Times New Roman" w:eastAsia="Times New Roman" w:hAnsi="Times New Roman"/>
          <w:sz w:val="14"/>
          <w:szCs w:val="14"/>
          <w:color w:val="auto"/>
        </w:rPr>
        <w:t xml:space="preserve"> and/or whether a Default or Event of Default shall have occurred and be continuing under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or</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9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testing availability under baskets set forth in the Credit Documents (including baskets measured as a percentage of Consolidated EBITDA or Consolidated Total Assets);</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8" w:name="page159"/>
    <w:bookmarkEnd w:id="158"/>
    <w:p>
      <w:pPr>
        <w:ind w:left="1140" w:right="1179"/>
        <w:spacing w:after="0" w:line="258" w:lineRule="auto"/>
        <w:rPr>
          <w:sz w:val="20"/>
          <w:szCs w:val="20"/>
          <w:color w:val="auto"/>
        </w:rPr>
      </w:pPr>
      <w:r>
        <w:rPr>
          <w:rFonts w:ascii="Times New Roman" w:cs="Times New Roman" w:eastAsia="Times New Roman" w:hAnsi="Times New Roman"/>
          <w:sz w:val="14"/>
          <w:szCs w:val="14"/>
          <w:color w:val="auto"/>
        </w:rPr>
        <w:t>in each case, at the option of the Borrower (the Borrower’s election to exercise such option in connection with any Limited Condition Transaction, an “</w:t>
      </w:r>
      <w:r>
        <w:rPr>
          <w:rFonts w:ascii="Times New Roman" w:cs="Times New Roman" w:eastAsia="Times New Roman" w:hAnsi="Times New Roman"/>
          <w:sz w:val="14"/>
          <w:szCs w:val="14"/>
          <w:b w:val="1"/>
          <w:bCs w:val="1"/>
          <w:color w:val="auto"/>
        </w:rPr>
        <w:t>LCT Election</w:t>
      </w:r>
      <w:r>
        <w:rPr>
          <w:rFonts w:ascii="Times New Roman" w:cs="Times New Roman" w:eastAsia="Times New Roman" w:hAnsi="Times New Roman"/>
          <w:sz w:val="14"/>
          <w:szCs w:val="14"/>
          <w:color w:val="auto"/>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(the “</w:t>
      </w:r>
      <w:r>
        <w:rPr>
          <w:rFonts w:ascii="Times New Roman" w:cs="Times New Roman" w:eastAsia="Times New Roman" w:hAnsi="Times New Roman"/>
          <w:sz w:val="14"/>
          <w:szCs w:val="14"/>
          <w:b w:val="1"/>
          <w:bCs w:val="1"/>
          <w:color w:val="auto"/>
        </w:rPr>
        <w:t>LCT Test Date</w:t>
      </w:r>
      <w:r>
        <w:rPr>
          <w:rFonts w:ascii="Times New Roman" w:cs="Times New Roman" w:eastAsia="Times New Roman" w:hAnsi="Times New Roman"/>
          <w:sz w:val="14"/>
          <w:szCs w:val="14"/>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 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after such time as the Limited Condition Transaction has actually closed or the definitive agreement with respect thereto has been terminated or expires.</w:t>
      </w:r>
    </w:p>
    <w:p>
      <w:pPr>
        <w:spacing w:after="0" w:line="333" w:lineRule="exact"/>
        <w:rPr>
          <w:sz w:val="20"/>
          <w:szCs w:val="20"/>
          <w:color w:val="auto"/>
        </w:rPr>
      </w:pPr>
    </w:p>
    <w:p>
      <w:pPr>
        <w:jc w:val="both"/>
        <w:ind w:left="1140" w:right="1159" w:firstLine="524"/>
        <w:spacing w:after="0" w:line="265" w:lineRule="auto"/>
        <w:tabs>
          <w:tab w:leader="none" w:pos="1972" w:val="left"/>
        </w:tabs>
        <w:numPr>
          <w:ilvl w:val="0"/>
          <w:numId w:val="9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Notwithstanding anything to the contrary in this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Consolidated EBITDA attributable to any such Person, business, assets or operations shall not be excluded for any purposes hereunder) until such disposition shall have been consummated.</w:t>
      </w:r>
    </w:p>
    <w:p>
      <w:pPr>
        <w:spacing w:after="0" w:line="15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9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determination of Consolidated Total Assets shall be made by reference to the last day of the Test Period most recently ended on or prior to the relevant date of determination.</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72" w:val="left"/>
        </w:tabs>
        <w:numPr>
          <w:ilvl w:val="0"/>
          <w:numId w:val="9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Except as otherwise specifically provided herein, all computations of Excess Cash Flow, Consolidated Total Assets, Available Amount, Consolidated First Lien Secured Debt to Consolidated EBITDA Ratio, Consolidated Senior Secured Debt to Consolidated EBITDA Ratio, Consolidated Total Debt to Consolidated EBITDA Ratio, the Fixed Charge Coverage Ratio and other financial ratios and financial calculations (and all definitions (including accounting terms) used in determining any of the foregoing) and all computations and all definitions (including accounting terms) used in determining compliance with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shall be calculated, in each case, with respect to the Borrower and the Restricted Subsidiaries on a consolidated basis.</w:t>
      </w:r>
    </w:p>
    <w:p>
      <w:pPr>
        <w:spacing w:after="0" w:line="157"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82" w:val="left"/>
        </w:tabs>
        <w:numPr>
          <w:ilvl w:val="0"/>
          <w:numId w:val="9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All leases of any Person that are or would be characterized as operating leases in accordance with GAAP immediately prior to December 31, 2017 (whether or not such operating leases were in effect on such date) shall continue to be accounted for as operating leases (and not as Capital Leases) for purposes of this Agreement regardless of any change in GAAP following the date that would otherwise require such leases to be recharacterized as Capital Leases.</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97"/>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Any Fixed Amount “basket” in this Agreement (for the avoidance of doubt, excluding Section 10.1(a) and clause (vi) of the definition of “Permitted Liens” with respect to Indebtedness incurred under Section 10.1(a)) shall be deemed unused on the Amendment No. 7 Effective Date and the full amount of each such Fixed Amount “basket” shall be available to be utilized on and as of the Amendment No. 7 Effective Date.</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59" w:name="page160"/>
    <w:bookmarkEnd w:id="159"/>
    <w:p>
      <w:pPr>
        <w:ind w:left="1660"/>
        <w:spacing w:after="0"/>
        <w:rPr>
          <w:sz w:val="20"/>
          <w:szCs w:val="20"/>
          <w:color w:val="auto"/>
        </w:rPr>
      </w:pPr>
      <w:r>
        <w:rPr>
          <w:rFonts w:ascii="Times New Roman" w:cs="Times New Roman" w:eastAsia="Times New Roman" w:hAnsi="Times New Roman"/>
          <w:sz w:val="14"/>
          <w:szCs w:val="14"/>
          <w:u w:val="single" w:color="auto"/>
          <w:color w:val="auto"/>
        </w:rPr>
        <w:t>1.13 Inability to Determine Rates and Benchmark Replacement Setting</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2000" w:hanging="336"/>
        <w:spacing w:after="0"/>
        <w:tabs>
          <w:tab w:leader="none" w:pos="2000" w:val="left"/>
        </w:tabs>
        <w:numPr>
          <w:ilvl w:val="0"/>
          <w:numId w:val="9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1.13(b)</w:t>
      </w:r>
      <w:r>
        <w:rPr>
          <w:rFonts w:ascii="Times New Roman" w:cs="Times New Roman" w:eastAsia="Times New Roman" w:hAnsi="Times New Roman"/>
          <w:sz w:val="14"/>
          <w:szCs w:val="14"/>
          <w:color w:val="auto"/>
        </w:rPr>
        <w:t>, if, on or prior to the first day of any Interest Period for any SOFR Loan:</w:t>
      </w:r>
    </w:p>
    <w:p>
      <w:pPr>
        <w:spacing w:after="0" w:line="194" w:lineRule="exact"/>
        <w:rPr>
          <w:sz w:val="20"/>
          <w:szCs w:val="20"/>
          <w:color w:val="auto"/>
        </w:rPr>
      </w:pPr>
    </w:p>
    <w:p>
      <w:pPr>
        <w:ind w:left="1140" w:right="1159" w:firstLine="524"/>
        <w:spacing w:after="0" w:line="293" w:lineRule="auto"/>
        <w:tabs>
          <w:tab w:leader="none" w:pos="1982" w:val="left"/>
        </w:tabs>
        <w:numPr>
          <w:ilvl w:val="0"/>
          <w:numId w:val="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Administrative Agent determines (which determination shall be conclusive and binding absent manifest error) that “Term SOFR” cannot be determined pursuant to the definition thereof, or</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Required Lenders determine that for any reason in connection with any request for a SOFR Loan or a conversion thereto or a continuation thereof that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4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the Administrative Agent will promptly so notify the Borrower and each Lender.</w:t>
      </w:r>
    </w:p>
    <w:p>
      <w:pPr>
        <w:spacing w:after="0" w:line="183" w:lineRule="exact"/>
        <w:rPr>
          <w:sz w:val="20"/>
          <w:szCs w:val="20"/>
          <w:color w:val="auto"/>
        </w:rPr>
      </w:pPr>
    </w:p>
    <w:p>
      <w:pPr>
        <w:ind w:left="1660" w:right="1179"/>
        <w:spacing w:after="0" w:line="258" w:lineRule="auto"/>
        <w:rPr>
          <w:sz w:val="20"/>
          <w:szCs w:val="20"/>
          <w:color w:val="auto"/>
        </w:rPr>
      </w:pPr>
      <w:r>
        <w:rPr>
          <w:rFonts w:ascii="Times New Roman" w:cs="Times New Roman" w:eastAsia="Times New Roman" w:hAnsi="Times New Roman"/>
          <w:sz w:val="14"/>
          <w:szCs w:val="14"/>
          <w:color w:val="auto"/>
        </w:rPr>
        <w:t>Upon notice thereof by the Administrative Agent to the Borrower, any obligation of the Lenders to make SOFR Loans, and any right of the Borrower to continue SOFR Loans or to convert ABR Loans to SOFR Loans, shall be suspended (to the extent of the affected SOFR Loans or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at the end of the applicable Interest Period. Upon any such conversion, the Borrower shall also pay accrued interest on the amount so converted, together with any additional amounts required pursuant to Section 2.11. Subject to Section</w:t>
      </w:r>
    </w:p>
    <w:p>
      <w:pPr>
        <w:spacing w:after="0" w:line="4" w:lineRule="exact"/>
        <w:rPr>
          <w:sz w:val="20"/>
          <w:szCs w:val="20"/>
          <w:color w:val="auto"/>
        </w:rPr>
      </w:pPr>
    </w:p>
    <w:p>
      <w:pPr>
        <w:ind w:left="1660" w:right="1379"/>
        <w:spacing w:after="0" w:line="260" w:lineRule="auto"/>
        <w:rPr>
          <w:sz w:val="20"/>
          <w:szCs w:val="20"/>
          <w:color w:val="auto"/>
        </w:rPr>
      </w:pPr>
      <w:r>
        <w:rPr>
          <w:rFonts w:ascii="Times New Roman" w:cs="Times New Roman" w:eastAsia="Times New Roman" w:hAnsi="Times New Roman"/>
          <w:sz w:val="14"/>
          <w:szCs w:val="14"/>
          <w:color w:val="auto"/>
        </w:rPr>
        <w:t>2.18(b),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(iii) of the definition of “ABR” until the Administrative Agent revokes such determination.</w:t>
      </w:r>
    </w:p>
    <w:p>
      <w:pPr>
        <w:spacing w:after="0" w:line="169" w:lineRule="exact"/>
        <w:rPr>
          <w:sz w:val="20"/>
          <w:szCs w:val="20"/>
          <w:color w:val="auto"/>
        </w:rPr>
      </w:pPr>
    </w:p>
    <w:p>
      <w:pPr>
        <w:ind w:left="2000" w:hanging="336"/>
        <w:spacing w:after="0"/>
        <w:tabs>
          <w:tab w:leader="none" w:pos="2000" w:val="left"/>
        </w:tabs>
        <w:numPr>
          <w:ilvl w:val="0"/>
          <w:numId w:val="10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Benchmark Replacement Setting.</w:t>
      </w:r>
    </w:p>
    <w:p>
      <w:pPr>
        <w:spacing w:after="0" w:line="204" w:lineRule="exact"/>
        <w:rPr>
          <w:rFonts w:ascii="Times New Roman" w:cs="Times New Roman" w:eastAsia="Times New Roman" w:hAnsi="Times New Roman"/>
          <w:sz w:val="14"/>
          <w:szCs w:val="14"/>
          <w:color w:val="010000"/>
        </w:rPr>
      </w:pPr>
    </w:p>
    <w:p>
      <w:pPr>
        <w:jc w:val="both"/>
        <w:ind w:left="1660" w:right="1159" w:firstLine="520"/>
        <w:spacing w:after="0" w:line="254" w:lineRule="auto"/>
        <w:tabs>
          <w:tab w:leader="none" w:pos="2542" w:val="left"/>
        </w:tabs>
        <w:numPr>
          <w:ilvl w:val="1"/>
          <w:numId w:val="10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Notwithstanding anything to the contrary herein or in any other Credit Document, if a Benchmark Transition Event and its related Benchmark Replacement Date have occurred prior to any setting of the then-current Benchmark, then (x) if a Benchmark Replacement is determined in accordance with clause (1)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(2) of the definition of “Benchmark Replacement” for such Benchmark Replacement Date, such Benchmark Replacement will replace such Benchmark for all purposes hereunder and under any Credit Document in respect of any Benchmark setting at or after 5:00 p.m. (New York City time) on the fifth (5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Business Day after the date notice of such Benchmark Replacement is provided to the Lenders and Borrower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5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4"/>
          <w:szCs w:val="14"/>
          <w:color w:val="auto"/>
        </w:rPr>
        <w:t xml:space="preserve">No Hedge Agreement shall be deemed to be a “Credit Document” for purposes of this </w:t>
      </w:r>
      <w:r>
        <w:rPr>
          <w:rFonts w:ascii="Times New Roman" w:cs="Times New Roman" w:eastAsia="Times New Roman" w:hAnsi="Times New Roman"/>
          <w:sz w:val="14"/>
          <w:szCs w:val="14"/>
          <w:u w:val="single" w:color="auto"/>
          <w:color w:val="auto"/>
        </w:rPr>
        <w:t>Section 1.13(a)</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660" w:right="1159" w:firstLine="520"/>
        <w:spacing w:after="0" w:line="293" w:lineRule="auto"/>
        <w:tabs>
          <w:tab w:leader="none" w:pos="2607" w:val="left"/>
        </w:tabs>
        <w:numPr>
          <w:ilvl w:val="0"/>
          <w:numId w:val="10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Benchmark Replacement Conforming Changes</w:t>
      </w:r>
      <w:r>
        <w:rPr>
          <w:rFonts w:ascii="Times New Roman" w:cs="Times New Roman" w:eastAsia="Times New Roman" w:hAnsi="Times New Roman"/>
          <w:sz w:val="14"/>
          <w:szCs w:val="14"/>
          <w:color w:val="auto"/>
        </w:rPr>
        <w:t>. In connection with the uses, implementation, adoption and administration of a Benchmark Replacement, the Administrative Agent will</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160" w:name="page161"/>
    <w:bookmarkEnd w:id="160"/>
    <w:p>
      <w:pPr>
        <w:jc w:val="both"/>
        <w:ind w:left="1660" w:right="1159"/>
        <w:spacing w:after="0" w:line="268" w:lineRule="auto"/>
        <w:rPr>
          <w:sz w:val="20"/>
          <w:szCs w:val="20"/>
          <w:color w:val="auto"/>
        </w:rPr>
      </w:pPr>
      <w:r>
        <w:rPr>
          <w:rFonts w:ascii="Times New Roman" w:cs="Times New Roman" w:eastAsia="Times New Roman" w:hAnsi="Times New Roman"/>
          <w:sz w:val="14"/>
          <w:szCs w:val="14"/>
          <w:color w:val="auto"/>
        </w:rPr>
        <w:t>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(other than as provided in the definition of Conforming Changes).</w:t>
      </w:r>
    </w:p>
    <w:p>
      <w:pPr>
        <w:spacing w:after="0" w:line="163" w:lineRule="exact"/>
        <w:rPr>
          <w:sz w:val="20"/>
          <w:szCs w:val="20"/>
          <w:color w:val="auto"/>
        </w:rPr>
      </w:pPr>
    </w:p>
    <w:p>
      <w:pPr>
        <w:jc w:val="both"/>
        <w:ind w:left="1660" w:right="1159" w:firstLine="520"/>
        <w:spacing w:after="0" w:line="260" w:lineRule="auto"/>
        <w:tabs>
          <w:tab w:leader="none" w:pos="2564" w:val="left"/>
        </w:tabs>
        <w:numPr>
          <w:ilvl w:val="1"/>
          <w:numId w:val="10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Notices; Standards for Decisions and Determinations</w:t>
      </w:r>
      <w:r>
        <w:rPr>
          <w:rFonts w:ascii="Times New Roman" w:cs="Times New Roman" w:eastAsia="Times New Roman" w:hAnsi="Times New Roman"/>
          <w:sz w:val="14"/>
          <w:szCs w:val="14"/>
          <w:color w:val="auto"/>
        </w:rPr>
        <w:t xml:space="preserve">. The Administrative Agent will promptly notify the Borrower and the Lenders of (i) the commencement of any Benchmark Unavailability Period, (ii) the implementation of any Benchmark Replacement, (iii) the effectiveness of any Conforming Changes, (iv) the removal or reinstatement of any tenor of a Benchmark pursuant to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below. Any determination, decision or election that may be made by the Administrative Agent or, if applicable, any Lender (or group of Lenders) pursuant to this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w:t>
      </w:r>
    </w:p>
    <w:p>
      <w:pPr>
        <w:spacing w:after="0" w:line="168" w:lineRule="exact"/>
        <w:rPr>
          <w:rFonts w:ascii="Times New Roman" w:cs="Times New Roman" w:eastAsia="Times New Roman" w:hAnsi="Times New Roman"/>
          <w:sz w:val="14"/>
          <w:szCs w:val="14"/>
          <w:color w:val="010000"/>
        </w:rPr>
      </w:pPr>
    </w:p>
    <w:p>
      <w:pPr>
        <w:jc w:val="both"/>
        <w:ind w:left="1660" w:right="1159" w:firstLine="520"/>
        <w:spacing w:after="0" w:line="260" w:lineRule="auto"/>
        <w:tabs>
          <w:tab w:leader="none" w:pos="2521" w:val="left"/>
        </w:tabs>
        <w:numPr>
          <w:ilvl w:val="1"/>
          <w:numId w:val="10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Unavailability of Tenor of Benchmark</w:t>
      </w:r>
      <w:r>
        <w:rPr>
          <w:rFonts w:ascii="Times New Roman" w:cs="Times New Roman" w:eastAsia="Times New Roman" w:hAnsi="Times New Roman"/>
          <w:sz w:val="14"/>
          <w:szCs w:val="14"/>
          <w:color w:val="auto"/>
        </w:rPr>
        <w:t>.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w:t>
      </w:r>
    </w:p>
    <w:p>
      <w:pPr>
        <w:spacing w:after="0" w:line="2" w:lineRule="exact"/>
        <w:rPr>
          <w:rFonts w:ascii="Times New Roman" w:cs="Times New Roman" w:eastAsia="Times New Roman" w:hAnsi="Times New Roman"/>
          <w:sz w:val="14"/>
          <w:szCs w:val="14"/>
          <w:color w:val="010000"/>
        </w:rPr>
      </w:pPr>
    </w:p>
    <w:p>
      <w:pPr>
        <w:jc w:val="both"/>
        <w:ind w:left="1660" w:right="1159" w:firstLine="4"/>
        <w:spacing w:after="0" w:line="258" w:lineRule="auto"/>
        <w:tabs>
          <w:tab w:leader="none" w:pos="1928"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for all settings of such Benchmark at or after such time to reinstate such previously removed tenor.</w:t>
      </w:r>
    </w:p>
    <w:p>
      <w:pPr>
        <w:spacing w:after="0" w:line="343" w:lineRule="exact"/>
        <w:rPr>
          <w:rFonts w:ascii="Times New Roman" w:cs="Times New Roman" w:eastAsia="Times New Roman" w:hAnsi="Times New Roman"/>
          <w:sz w:val="14"/>
          <w:szCs w:val="14"/>
          <w:color w:val="auto"/>
        </w:rPr>
      </w:pPr>
    </w:p>
    <w:p>
      <w:pPr>
        <w:jc w:val="both"/>
        <w:ind w:left="1660" w:right="1159" w:firstLine="520"/>
        <w:spacing w:after="0" w:line="261" w:lineRule="auto"/>
        <w:tabs>
          <w:tab w:leader="none" w:pos="2585" w:val="left"/>
        </w:tabs>
        <w:numPr>
          <w:ilvl w:val="1"/>
          <w:numId w:val="10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Benchmark Unavailability Period</w:t>
      </w:r>
      <w:r>
        <w:rPr>
          <w:rFonts w:ascii="Times New Roman" w:cs="Times New Roman" w:eastAsia="Times New Roman" w:hAnsi="Times New Roman"/>
          <w:sz w:val="14"/>
          <w:szCs w:val="14"/>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167" w:lineRule="exact"/>
        <w:rPr>
          <w:rFonts w:ascii="Times New Roman" w:cs="Times New Roman" w:eastAsia="Times New Roman" w:hAnsi="Times New Roman"/>
          <w:sz w:val="14"/>
          <w:szCs w:val="14"/>
          <w:color w:val="010000"/>
        </w:rPr>
      </w:pPr>
    </w:p>
    <w:p>
      <w:pPr>
        <w:jc w:val="both"/>
        <w:ind w:left="1660" w:right="1159" w:firstLine="520"/>
        <w:spacing w:after="0" w:line="261" w:lineRule="auto"/>
        <w:tabs>
          <w:tab w:leader="none" w:pos="2531" w:val="left"/>
        </w:tabs>
        <w:numPr>
          <w:ilvl w:val="1"/>
          <w:numId w:val="10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Tax Matters</w:t>
      </w:r>
      <w:r>
        <w:rPr>
          <w:rFonts w:ascii="Times New Roman" w:cs="Times New Roman" w:eastAsia="Times New Roman" w:hAnsi="Times New Roman"/>
          <w:sz w:val="14"/>
          <w:szCs w:val="14"/>
          <w:color w:val="auto"/>
        </w:rPr>
        <w:t>. To the extent administratively and operationally feasible, the Administrative Agent shall consider in good faith any reasonable requests by the Borrower in order to ensure that any Benchmark Replacement shall meet the standards set forth in Section 1.1001-6 of the United States Treasury Regulations (or any successor or final version of such regulation) so as not to be treated as a “modification” (and therefore an exchange) of this Agreement for purposes of Section 1.1001-3 of the United States Treasury Regulations, it being understood that for these purposes, the substantially equivalent fair market value requirement of Treasury Regulations 1.1001-6(b)(2) shall be deemed satisfied, and it being further understood that the Administrative Agent shall not be required to take any action under this provision that would cause it any commercially unreasonable burden as determined in good faith by the Administrative Agent.</w:t>
      </w:r>
    </w:p>
    <w:p>
      <w:pPr>
        <w:spacing w:after="0" w:line="329"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1.14 Divisions</w:t>
      </w:r>
      <w:r>
        <w:rPr>
          <w:rFonts w:ascii="Times New Roman" w:cs="Times New Roman" w:eastAsia="Times New Roman" w:hAnsi="Times New Roman"/>
          <w:sz w:val="14"/>
          <w:szCs w:val="14"/>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61" w:name="page162"/>
    <w:bookmarkEnd w:id="161"/>
    <w:p>
      <w:pPr>
        <w:jc w:val="both"/>
        <w:ind w:left="1140" w:right="1159"/>
        <w:spacing w:after="0" w:line="275" w:lineRule="auto"/>
        <w:rPr>
          <w:sz w:val="20"/>
          <w:szCs w:val="20"/>
          <w:color w:val="auto"/>
        </w:rPr>
      </w:pPr>
      <w:r>
        <w:rPr>
          <w:rFonts w:ascii="Times New Roman" w:cs="Times New Roman" w:eastAsia="Times New Roman" w:hAnsi="Times New Roman"/>
          <w:sz w:val="14"/>
          <w:szCs w:val="14"/>
          <w:color w:val="auto"/>
        </w:rPr>
        <w:t>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46"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auto"/>
        </w:rPr>
        <w:t>1.15 Interest Rates</w:t>
      </w:r>
      <w:r>
        <w:rPr>
          <w:rFonts w:ascii="Times New Roman" w:cs="Times New Roman" w:eastAsia="Times New Roman" w:hAnsi="Times New Roman"/>
          <w:sz w:val="14"/>
          <w:szCs w:val="14"/>
          <w:color w:val="auto"/>
        </w:rPr>
        <w:t>. The Administrative Agent does not warrant or accept responsibility for, and shall not have any liability with respect to (a) the continuation of, administration of, submission of, calculation of or any other matter related to the ABR,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ABR,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ABR, the Term SOFR Reference Rate,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ABR, the Term SOFR Reference Rate,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325"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2.</w:t>
      </w:r>
      <w:r>
        <w:rPr>
          <w:sz w:val="20"/>
          <w:szCs w:val="20"/>
          <w:color w:val="auto"/>
        </w:rPr>
        <w:tab/>
      </w:r>
      <w:r>
        <w:rPr>
          <w:rFonts w:ascii="Times New Roman" w:cs="Times New Roman" w:eastAsia="Times New Roman" w:hAnsi="Times New Roman"/>
          <w:sz w:val="14"/>
          <w:szCs w:val="14"/>
          <w:color w:val="auto"/>
        </w:rPr>
        <w:t>Amount and Terms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165163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0">
                      <a:extLst>
                        <a:ext uri="{28A0092B-C50C-407E-A947-70E740481C1C}"/>
                      </a:extLst>
                    </a:blip>
                    <a:srcRect/>
                    <a:stretch>
                      <a:fillRect/>
                    </a:stretch>
                  </pic:blipFill>
                  <pic:spPr bwMode="auto">
                    <a:xfrm>
                      <a:off x="0" y="0"/>
                      <a:ext cx="1651635" cy="6985"/>
                    </a:xfrm>
                    <a:prstGeom prst="rect">
                      <a:avLst/>
                    </a:prstGeom>
                    <a:noFill/>
                  </pic:spPr>
                </pic:pic>
              </a:graphicData>
            </a:graphic>
          </wp:anchor>
        </w:drawing>
      </w:r>
    </w:p>
    <w:p>
      <w:pPr>
        <w:spacing w:after="0" w:line="16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2.1</w:t>
      </w:r>
      <w:r>
        <w:rPr>
          <w:sz w:val="20"/>
          <w:szCs w:val="20"/>
          <w:color w:val="auto"/>
        </w:rPr>
        <w:tab/>
      </w:r>
      <w:r>
        <w:rPr>
          <w:rFonts w:ascii="Times New Roman" w:cs="Times New Roman" w:eastAsia="Times New Roman" w:hAnsi="Times New Roman"/>
          <w:sz w:val="14"/>
          <w:szCs w:val="14"/>
          <w:u w:val="single" w:color="auto"/>
          <w:color w:val="auto"/>
        </w:rPr>
        <w:t>Commitments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1982" w:val="left"/>
        </w:tabs>
        <w:numPr>
          <w:ilvl w:val="0"/>
          <w:numId w:val="10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Subject to and upon the terms and conditions herein set forth, each Lender having an Initial Term Loan Commitment severally agrees to make a loan or loans denominated in Dollars (each, an “</w:t>
      </w:r>
      <w:r>
        <w:rPr>
          <w:rFonts w:ascii="Times New Roman" w:cs="Times New Roman" w:eastAsia="Times New Roman" w:hAnsi="Times New Roman"/>
          <w:sz w:val="14"/>
          <w:szCs w:val="14"/>
          <w:b w:val="1"/>
          <w:bCs w:val="1"/>
          <w:color w:val="auto"/>
        </w:rPr>
        <w:t>Initial Term Loan</w:t>
      </w:r>
      <w:r>
        <w:rPr>
          <w:rFonts w:ascii="Times New Roman" w:cs="Times New Roman" w:eastAsia="Times New Roman" w:hAnsi="Times New Roman"/>
          <w:sz w:val="14"/>
          <w:szCs w:val="14"/>
          <w:color w:val="auto"/>
        </w:rPr>
        <w:t xml:space="preserve">”) to the Borrower on the Closing Date, which Initial Term Loans shall not exceed for any such Lender the Initial Term Loan Commitment of such Lender and in the aggregate shall not exceed $1,650,000,000. Such Term Loans (i) may at the option of the Borrower be incurred and maintained as, and/or converted into, ABR Loans or SOFR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Term Loans made by each of the Lenders pursuant to the same Borrowing shall, unless otherwise specifically provided herein, consist entirely of Term Loans of the same Type, (ii) may be repaid or prepaid (without premium or penalty other than as set forth in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in accordance with the provisions hereof, but once repaid or prepaid, may not be reborrowed, (iii) shall not exceed for any such Lender the Initial Term Loan Commitment of such Lender, and (iv) shall not exceed in the aggregate the Total Initial Term Loan Commitment.</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82" w:val="left"/>
        </w:tabs>
        <w:numPr>
          <w:ilvl w:val="0"/>
          <w:numId w:val="10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Subject to and upon the terms and conditions herein set forth, each Lender having a Delayed Draw Term Loan Commitment severally agrees to make a loan or loans denominated in Dollars (each, a “</w:t>
      </w:r>
      <w:r>
        <w:rPr>
          <w:rFonts w:ascii="Times New Roman" w:cs="Times New Roman" w:eastAsia="Times New Roman" w:hAnsi="Times New Roman"/>
          <w:sz w:val="14"/>
          <w:szCs w:val="14"/>
          <w:b w:val="1"/>
          <w:bCs w:val="1"/>
          <w:color w:val="auto"/>
        </w:rPr>
        <w:t>Delayed Draw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 Loan</w:t>
      </w:r>
      <w:r>
        <w:rPr>
          <w:rFonts w:ascii="Times New Roman" w:cs="Times New Roman" w:eastAsia="Times New Roman" w:hAnsi="Times New Roman"/>
          <w:sz w:val="14"/>
          <w:szCs w:val="14"/>
          <w:color w:val="auto"/>
        </w:rPr>
        <w:t>” and, collectively, the “</w:t>
      </w:r>
      <w:r>
        <w:rPr>
          <w:rFonts w:ascii="Times New Roman" w:cs="Times New Roman" w:eastAsia="Times New Roman" w:hAnsi="Times New Roman"/>
          <w:sz w:val="14"/>
          <w:szCs w:val="14"/>
          <w:b w:val="1"/>
          <w:bCs w:val="1"/>
          <w:color w:val="auto"/>
        </w:rPr>
        <w:t>Delayed Draw Term Loans</w:t>
      </w:r>
      <w:r>
        <w:rPr>
          <w:rFonts w:ascii="Times New Roman" w:cs="Times New Roman" w:eastAsia="Times New Roman" w:hAnsi="Times New Roman"/>
          <w:sz w:val="14"/>
          <w:szCs w:val="14"/>
          <w:color w:val="auto"/>
        </w:rPr>
        <w:t>”) to the Borrower from time to time after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Closing Date until, but not including, the Delayed Draw Term Loan Commitment Termination Date, which Delayed Draw Term Loans (i) shall not exceed, for any such Lender, the Available Delayed Draw Term Loan Commitment of such Lender, (ii) shall not exceed, in the aggregate, the Total Delayed Draw Term Loan Commitment, (iii) may, at the option of the Borrower, be incurred and maintained as, and/or converted into, ABR Loans or SOFR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such Delayed Draw Term Loans made by each of the Lenders pursuant to the same Borrowing shall, unless otherwise specifically provided herein, consist entirely of Delayed Draw Term Loans of the same Type and (iv) may be repaid or prepaid in accordance with the provisions hereof, but once repaid or prepaid may not be reborrowed. Notwithstanding anything to the contrary in this Agreement, the Delayed Draw Term Loans (if and when funded) shall be added to and a part of the Initial Term Loans, shall have the same terms as the Initial Term Loans and the Initial Term Loans and the Delayed Draw Term Loans shall be treated as part of a single class of Initial Term Loans for all purposes, except that interest on the Delayed Draw Term Loans shall commence to accrue from the applicable Delayed Draw Funding Date thereof.</w:t>
      </w:r>
    </w:p>
    <w:p>
      <w:pPr>
        <w:spacing w:after="0" w:line="2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62" w:name="page163"/>
    <w:bookmarkEnd w:id="162"/>
    <w:p>
      <w:pPr>
        <w:jc w:val="both"/>
        <w:ind w:left="1140" w:right="1159" w:firstLine="524"/>
        <w:spacing w:after="0" w:line="258" w:lineRule="auto"/>
        <w:tabs>
          <w:tab w:leader="none" w:pos="1972" w:val="left"/>
        </w:tabs>
        <w:numPr>
          <w:ilvl w:val="1"/>
          <w:numId w:val="10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Subject to and upon the terms and conditions set forth herein each Revolving Credit Lender severally agrees to make Revolving Credit Loans denominated in Dollars to the Borrower from its applicable lending office (each, a “</w:t>
      </w:r>
      <w:r>
        <w:rPr>
          <w:rFonts w:ascii="Times New Roman" w:cs="Times New Roman" w:eastAsia="Times New Roman" w:hAnsi="Times New Roman"/>
          <w:sz w:val="14"/>
          <w:szCs w:val="14"/>
          <w:b w:val="1"/>
          <w:bCs w:val="1"/>
          <w:color w:val="auto"/>
        </w:rPr>
        <w:t>Revolving Credit Loan</w:t>
      </w:r>
      <w:r>
        <w:rPr>
          <w:rFonts w:ascii="Times New Roman" w:cs="Times New Roman" w:eastAsia="Times New Roman" w:hAnsi="Times New Roman"/>
          <w:sz w:val="14"/>
          <w:szCs w:val="14"/>
          <w:color w:val="auto"/>
        </w:rPr>
        <w:t xml:space="preserve">”) in an aggregate principal amount not to exceed at any time outstanding the amount of such Revolving Credit Lender’s Revolving Credit Commitment,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Revolving Credit Loans (A) shall be made at any time and from time to time on and after the Closing Date and prior to the Revolving Credit Maturity Date, (B) may, at the option of the Borrower be incurred and maintained as, and/or converted into, ABR Loans or SOFR Loans that are Revolving Credit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all Revolving Credit Loans may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67"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93" w:val="left"/>
        </w:tabs>
        <w:numPr>
          <w:ilvl w:val="1"/>
          <w:numId w:val="10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Subject to and upon the terms and conditions herein set forth, each Cashless Option Lender severally agrees to exchange its Existing Term Loan for a like principal amount of Tranche B-1 Term Loans (or such lesser amount as determined by the Amendment No. 1 Arrangers) on the Amendment No. 1 Effective Date. Notwithstanding anything to the contrary contained herein, the Interest Period then in effect (and the LIBOR Rate (as defined in this Agreement immediately prior to the effectiveness of Amendment No. 1) thereunder) prior to any exchange of Existing Term Loans for Tranche B-1 Term Loans shall remain in effect following any such exchange.</w:t>
      </w:r>
    </w:p>
    <w:p>
      <w:pPr>
        <w:spacing w:after="0" w:line="142" w:lineRule="exact"/>
        <w:rPr>
          <w:rFonts w:ascii="Times New Roman" w:cs="Times New Roman" w:eastAsia="Times New Roman" w:hAnsi="Times New Roman"/>
          <w:sz w:val="14"/>
          <w:szCs w:val="14"/>
          <w:color w:val="010000"/>
        </w:rPr>
      </w:pPr>
    </w:p>
    <w:p>
      <w:pPr>
        <w:jc w:val="both"/>
        <w:ind w:left="1140" w:right="1159" w:firstLine="294"/>
        <w:spacing w:after="0" w:line="261" w:lineRule="auto"/>
        <w:tabs>
          <w:tab w:leader="none" w:pos="171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and upon the terms and conditions herein set forth, each Additional Tranche B-1 Term Loan Lender severally agrees to make Additional Tranche B-1 Term Loans in Dollars to the Borrower on the Amendment No. 1 Effective Date in a principal amount not to exceed its Additional Tranche B-1 Term Loan Commitment on the Amendment No.1 Effective Date. The Borrower shall prepay all Existing Term Loans of Non-Consenting Existing Term Loan Lenders and Post-Closing Option Lenders with the gross proceeds of the Additional Tranche B-1 Term Loans. The Interest Period then in effect (and the LIBOR Rate (as defined in this Agreement immediately prior to the effectiveness of Amendment No. 1) thereunder) for the Existing Term Loans of Non-Consenting Existing Term Loan Lenders and Post-Closing Option Lenders shall remain in effect for the Additional Tranche B-1 Term Loans following any such repayment.</w:t>
      </w:r>
    </w:p>
    <w:p>
      <w:pPr>
        <w:spacing w:after="0" w:line="145" w:lineRule="exact"/>
        <w:rPr>
          <w:rFonts w:ascii="Times New Roman" w:cs="Times New Roman" w:eastAsia="Times New Roman" w:hAnsi="Times New Roman"/>
          <w:sz w:val="14"/>
          <w:szCs w:val="14"/>
          <w:color w:val="auto"/>
        </w:rPr>
      </w:pPr>
    </w:p>
    <w:p>
      <w:pPr>
        <w:jc w:val="both"/>
        <w:ind w:left="1140" w:right="1179" w:firstLine="294"/>
        <w:spacing w:after="0" w:line="293" w:lineRule="auto"/>
        <w:tabs>
          <w:tab w:leader="none" w:pos="171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pay all accrued and unpaid interest on the Existing Term Loans to the Existing Term Loan Lenders to, but not including, the Amendment No. 1 Effective Date on such Amendment No. 1 Effective Date.</w:t>
      </w:r>
    </w:p>
    <w:p>
      <w:pPr>
        <w:spacing w:after="0" w:line="123" w:lineRule="exact"/>
        <w:rPr>
          <w:rFonts w:ascii="Times New Roman" w:cs="Times New Roman" w:eastAsia="Times New Roman" w:hAnsi="Times New Roman"/>
          <w:sz w:val="14"/>
          <w:szCs w:val="14"/>
          <w:color w:val="auto"/>
        </w:rPr>
      </w:pPr>
    </w:p>
    <w:p>
      <w:pPr>
        <w:jc w:val="both"/>
        <w:ind w:left="1140" w:right="1159" w:firstLine="294"/>
        <w:spacing w:after="0" w:line="268" w:lineRule="auto"/>
        <w:tabs>
          <w:tab w:leader="none" w:pos="1714"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Tranche B-1 Term Loans shall have the same terms as the Existing Term Loans as set forth in the Credit Agreement and Credit Documents, except as modified by Amendment No. 1. For avoidance of doubt, the Tranche B-1 Term Loans, except as set forth in Amendment No. 1, shall have the same rights and obligations under this Agreement and the other Credit Documents as the Existing Term Loans.</w:t>
      </w:r>
    </w:p>
    <w:p>
      <w:pPr>
        <w:spacing w:after="0" w:line="152" w:lineRule="exact"/>
        <w:rPr>
          <w:rFonts w:ascii="Times New Roman" w:cs="Times New Roman" w:eastAsia="Times New Roman" w:hAnsi="Times New Roman"/>
          <w:sz w:val="14"/>
          <w:szCs w:val="14"/>
          <w:color w:val="auto"/>
        </w:rPr>
      </w:pPr>
    </w:p>
    <w:p>
      <w:pPr>
        <w:jc w:val="both"/>
        <w:ind w:left="1140" w:right="1159" w:firstLine="524"/>
        <w:spacing w:after="0" w:line="272" w:lineRule="auto"/>
        <w:tabs>
          <w:tab w:leader="none" w:pos="1982" w:val="left"/>
        </w:tabs>
        <w:numPr>
          <w:ilvl w:val="1"/>
          <w:numId w:val="10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Subject to and upon the terms and conditions herein set forth, each Tranche B-2 Term Loan Lender severally agrees to make Tranche B-2 Term Loans in Dollars to the Borrower on the Amendment No. 3 Effective Date in a principal amount not to exceed its Tranche B-2 Term Loan Commitment on the Amendment No. 3 Effective Date.</w:t>
      </w:r>
    </w:p>
    <w:p>
      <w:pPr>
        <w:spacing w:after="0" w:line="324"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72" w:val="left"/>
        </w:tabs>
        <w:numPr>
          <w:ilvl w:val="1"/>
          <w:numId w:val="10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Subject to and upon the terms and conditions herein set forth, each Cashless Option Tranche B-2 Lender severally agrees to exchange all of its Existing Tranche B-2 Term Loans (or such lesser amount as determined by the Amendment No. 4 Arrangers) for a like principal amount of Tranche B-3 Term Loans on the Amendment No. 4 Effective Date. Notwithstanding anything to the contrary contained herein, the Interest Period then in effect (and the LIBOR Rate (as defined in this Agreement immediately prior to the effectiveness of Amendment No. 4) thereunder) prior to any exchange of Existing Tranche B-2 Term Loans for Tranche B-3 Term Loans shall remain in effect following any such exchange.</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163" w:name="page164"/>
    <w:bookmarkEnd w:id="163"/>
    <w:p>
      <w:pPr>
        <w:jc w:val="both"/>
        <w:ind w:left="1140" w:right="1159" w:firstLine="294"/>
        <w:spacing w:after="0" w:line="261" w:lineRule="auto"/>
        <w:tabs>
          <w:tab w:leader="none" w:pos="171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and upon the terms and conditions herein set forth, each Additional Tranche B-3 Term Loan Lender severally agrees to make Additional Tranche B-3 Term Loans in Dollars to the Borrower on the Amendment No. 4 Effective Date in a principal amount not to exceed its Additional Tranche B-3 Term Loan Commitment on the Amendment No. 4 Effective Date. The Borrower shall prepay all Existing Tranche B-2 Term Loans of Non-Consenting Existing Tranche B-2 Term Loan Lenders and Post-Closing Option Tranche B-2 Lenders with the gross proceeds of the Additional Tranche B-3 Term Loans. The Interest Period then in effect (and the LIBOR Rate (as defined in this Agreement immediately prior to the effectiveness of Amendment No. 4) thereunder) for the Existing Tranche B-2 Term Loans of Non-Consenting Existing Tranche B-2 Term Loan Lenders and Post-Closing Option Tranche B-2 Lenders shall remain in effect for the Additional Tranche B-3 Term Loans following any such repayment.</w:t>
      </w:r>
    </w:p>
    <w:p>
      <w:pPr>
        <w:spacing w:after="0" w:line="318" w:lineRule="exact"/>
        <w:rPr>
          <w:rFonts w:ascii="Times New Roman" w:cs="Times New Roman" w:eastAsia="Times New Roman" w:hAnsi="Times New Roman"/>
          <w:sz w:val="14"/>
          <w:szCs w:val="14"/>
          <w:color w:val="auto"/>
        </w:rPr>
      </w:pPr>
    </w:p>
    <w:p>
      <w:pPr>
        <w:jc w:val="both"/>
        <w:ind w:left="1140" w:right="1159" w:firstLine="294"/>
        <w:spacing w:after="0" w:line="275" w:lineRule="auto"/>
        <w:tabs>
          <w:tab w:leader="none" w:pos="171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shall pay all accrued and unpaid interest on the Existing Tranche B-2 Term Loans to the Existing Tranche B-2 Term Loan Lenders to, but not including, the Amendment No. 4 Effective Date on such Amendment No. 4 Effective Date.</w:t>
      </w:r>
    </w:p>
    <w:p>
      <w:pPr>
        <w:spacing w:after="0" w:line="135" w:lineRule="exact"/>
        <w:rPr>
          <w:rFonts w:ascii="Times New Roman" w:cs="Times New Roman" w:eastAsia="Times New Roman" w:hAnsi="Times New Roman"/>
          <w:sz w:val="14"/>
          <w:szCs w:val="14"/>
          <w:color w:val="auto"/>
        </w:rPr>
      </w:pPr>
    </w:p>
    <w:p>
      <w:pPr>
        <w:jc w:val="both"/>
        <w:ind w:left="1140" w:right="1159" w:firstLine="294"/>
        <w:spacing w:after="0" w:line="268" w:lineRule="auto"/>
        <w:tabs>
          <w:tab w:leader="none" w:pos="1714"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Tranche B-3 Term Loans shall have the same terms as the Existing Tranche B-2 Term Loans as set forth in the Credit Agreement and Credit Documents, except as modified by Amendment No. 4. For avoidance of doubt, the Tranche B-3 Term Loans, except as set forth in Amendment No. 4, shall have the same rights and obligations under this Agreement and the other Credit Documents as the Existing Tranche B-2 Term Loans.</w:t>
      </w:r>
    </w:p>
    <w:p>
      <w:pPr>
        <w:spacing w:after="0" w:line="152" w:lineRule="exact"/>
        <w:rPr>
          <w:rFonts w:ascii="Times New Roman" w:cs="Times New Roman" w:eastAsia="Times New Roman" w:hAnsi="Times New Roman"/>
          <w:sz w:val="14"/>
          <w:szCs w:val="14"/>
          <w:color w:val="auto"/>
        </w:rPr>
      </w:pPr>
    </w:p>
    <w:p>
      <w:pPr>
        <w:jc w:val="both"/>
        <w:ind w:left="1140" w:right="1159" w:firstLine="524"/>
        <w:spacing w:after="0" w:line="265" w:lineRule="auto"/>
        <w:tabs>
          <w:tab w:leader="none" w:pos="1982" w:val="left"/>
        </w:tabs>
        <w:numPr>
          <w:ilvl w:val="1"/>
          <w:numId w:val="10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Subject to and upon the terms and conditions herein set forth, each Tranche B-3 Term Loan Lender severally agrees to make Tranche B-3 Term Loans in Dollars to the Borrower on the Amendment No. 5 Effective Date in a principal amount not to exceed its Amendment No. 5 Incremental Term Loan Commitment on the Amendment No. 5 Effective Date. Each Amendment No. 5 Incremental Term Loan shall initially take the form of a pro rata increase in each outstanding Borrowing of Initial Tranche B-3 Term Loans on the Amendment No. 5 Effective Date.</w:t>
      </w:r>
    </w:p>
    <w:p>
      <w:pPr>
        <w:spacing w:after="0" w:line="327"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1"/>
          <w:numId w:val="107"/>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(i) Subject to and upon the terms and conditions herein set forth, (A) each Cashless Option Tranche B-1 Lender severally agrees to exchange all of its Tranche B-1 Term Loans (or such lesser amount as determined by the Amendment No. 7 Arrangers) for a like principal amount of Tranche B-4 Term Loans on the Amendment No. 7 Effective Date and (B) each Cashless Option Tranche B-3 Lender severally agrees to exchange all of its Tranche B-3 Term Loans (or such lesser amount as determined by the Amendment No. 7 Arrangers) for a like principal amount of Tranche B-4 Term Loans on the Amendment No. 7 Effective Date.</w:t>
      </w:r>
    </w:p>
    <w:p>
      <w:pPr>
        <w:spacing w:after="0" w:line="143" w:lineRule="exact"/>
        <w:rPr>
          <w:sz w:val="20"/>
          <w:szCs w:val="20"/>
          <w:color w:val="auto"/>
        </w:rPr>
      </w:pPr>
    </w:p>
    <w:p>
      <w:pPr>
        <w:jc w:val="both"/>
        <w:ind w:left="1140" w:right="1159" w:firstLine="305"/>
        <w:spacing w:after="0" w:line="264" w:lineRule="auto"/>
        <w:tabs>
          <w:tab w:leader="none" w:pos="1735" w:val="left"/>
        </w:tabs>
        <w:numPr>
          <w:ilvl w:val="0"/>
          <w:numId w:val="108"/>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Subject to and upon the terms and conditions herein set forth, each Additional Tranche B-4 Term Loan Lender severally agrees to make Additional Tranche B-4 Term Loans in Dollars to the Borrower on the Amendment No. 7 Effective Date in a principal amount not to exceed its Additional Tranche B-4 Term Loan Commitment on the Amendment No. 7 Effective Date. The Borrower shall prepay all Existing Tranche B-1/B-3 Term Loans of Non-Consenting Existing Tranche B-1/B-3 Term Loan Lenders and Post-Closing Option Tranche B-1/B-3 Lenders with the gross proceeds of the Additional Tranche B-4 Term Loans.</w:t>
      </w:r>
    </w:p>
    <w:p>
      <w:pPr>
        <w:spacing w:after="0" w:line="143" w:lineRule="exact"/>
        <w:rPr>
          <w:sz w:val="20"/>
          <w:szCs w:val="20"/>
          <w:color w:val="auto"/>
        </w:rPr>
      </w:pPr>
    </w:p>
    <w:p>
      <w:pPr>
        <w:jc w:val="both"/>
        <w:ind w:left="1140" w:right="1159" w:firstLine="294"/>
        <w:spacing w:after="0" w:line="275" w:lineRule="auto"/>
        <w:tabs>
          <w:tab w:leader="none" w:pos="1714" w:val="left"/>
        </w:tabs>
        <w:numPr>
          <w:ilvl w:val="0"/>
          <w:numId w:val="109"/>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The Borrower shall pay all accrued and unpaid interest on the Existing Tranche B-1/B-3 Term Loans to the Existing Tranche B-1/B-3 Term Loan Lenders to, but not including, the Amendment No. 7 Effective Date on such Amendment No. 7 Effective Date.</w:t>
      </w:r>
    </w:p>
    <w:p>
      <w:pPr>
        <w:spacing w:after="0" w:line="146"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2.2 Minimum Amount of Each Borrowing; Maximum Number of Borrowings</w:t>
      </w:r>
      <w:r>
        <w:rPr>
          <w:rFonts w:ascii="Times New Roman" w:cs="Times New Roman" w:eastAsia="Times New Roman" w:hAnsi="Times New Roman"/>
          <w:sz w:val="14"/>
          <w:szCs w:val="14"/>
          <w:color w:val="auto"/>
        </w:rPr>
        <w:t xml:space="preserve">. The aggregate principal amount of each Borrowing of (i) Term Loans shall be in a minimum amount of at least the Minimum Borrowing Amount for such Type of Loans and in a multiple of $100,000 in excess thereof and (ii) Revolving Loans shall be in a minimum amount of at least the Minimum Borrowing Amount for such Type of Loans and in a multiple of $100,000 in excess thereof. More than one Borrowing may be incurred on any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no time shall there be outstanding more than three Borrowings of SOFR Loans that are Term Loans and five Borrowings of SOFR Loans that are Revolving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for each additional Class of Term Loans, an additional two Interest</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64" w:name="page165"/>
    <w:bookmarkEnd w:id="164"/>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Periods shall be permitted, and for each additional Class of Revolving Loans, an additional three Interest Periods shall be permitted, such that a maximum of fifteen Interest Periods shall be permitted.</w:t>
      </w:r>
    </w:p>
    <w:p>
      <w:pPr>
        <w:spacing w:after="0" w:line="134"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2.3</w:t>
      </w:r>
      <w:r>
        <w:rPr>
          <w:sz w:val="20"/>
          <w:szCs w:val="20"/>
          <w:color w:val="auto"/>
        </w:rPr>
        <w:tab/>
      </w:r>
      <w:r>
        <w:rPr>
          <w:rFonts w:ascii="Times New Roman" w:cs="Times New Roman" w:eastAsia="Times New Roman" w:hAnsi="Times New Roman"/>
          <w:sz w:val="14"/>
          <w:szCs w:val="14"/>
          <w:u w:val="single" w:color="auto"/>
          <w:color w:val="auto"/>
        </w:rPr>
        <w:t>Notice of Borrowing</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980" w:hanging="316"/>
        <w:spacing w:after="0"/>
        <w:tabs>
          <w:tab w:leader="none" w:pos="1980" w:val="left"/>
        </w:tabs>
        <w:numPr>
          <w:ilvl w:val="0"/>
          <w:numId w:val="110"/>
        </w:numPr>
        <w:rPr>
          <w:rFonts w:ascii="Times New Roman" w:cs="Times New Roman" w:eastAsia="Times New Roman" w:hAnsi="Times New Roman"/>
          <w:sz w:val="16"/>
          <w:szCs w:val="16"/>
          <w:color w:val="FF0000"/>
          <w:strike w:val="1"/>
        </w:rPr>
      </w:pPr>
      <w:r>
        <w:rPr>
          <w:rFonts w:ascii="Times New Roman" w:cs="Times New Roman" w:eastAsia="Times New Roman" w:hAnsi="Times New Roman"/>
          <w:sz w:val="14"/>
          <w:szCs w:val="14"/>
          <w:color w:val="FF0000"/>
          <w:strike w:val="1"/>
        </w:rPr>
        <w:t>[Reserved].</w:t>
      </w:r>
    </w:p>
    <w:p>
      <w:pPr>
        <w:spacing w:after="0" w:line="171" w:lineRule="exact"/>
        <w:rPr>
          <w:sz w:val="20"/>
          <w:szCs w:val="20"/>
          <w:color w:val="auto"/>
        </w:rPr>
      </w:pPr>
    </w:p>
    <w:p>
      <w:pPr>
        <w:jc w:val="both"/>
        <w:ind w:left="1140" w:right="1159" w:firstLine="524"/>
        <w:spacing w:after="0" w:line="260" w:lineRule="auto"/>
        <w:tabs>
          <w:tab w:leader="none" w:pos="1972" w:val="left"/>
        </w:tabs>
        <w:numPr>
          <w:ilvl w:val="0"/>
          <w:numId w:val="111"/>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 xml:space="preserve">The Borrower shall give the Administrative Agent at the Administrative Agent’s Office prior to 12:00 p.m. (New York City time) at least one Business Day’s prior written notice in the case of a Borrowing of Tranche B-4 Term Loans to be made on the Amendment No. 7 Effective Date if such Tranche B-4 Term Loans are to be SOFR Loans or ABR Loans. Such notice (a “Notice of Borrowing”, each substantially in the form of Exhibit J) shall specify (A) the </w:t>
      </w:r>
      <w:r>
        <w:rPr>
          <w:rFonts w:ascii="Times New Roman" w:cs="Times New Roman" w:eastAsia="Times New Roman" w:hAnsi="Times New Roman"/>
          <w:sz w:val="14"/>
          <w:szCs w:val="14"/>
          <w:u w:val="single" w:color="auto"/>
          <w:color w:val="008000"/>
        </w:rPr>
        <w:t>aggregate principal amount of the</w:t>
      </w:r>
      <w:r>
        <w:rPr>
          <w:rFonts w:ascii="Times New Roman" w:cs="Times New Roman" w:eastAsia="Times New Roman" w:hAnsi="Times New Roman"/>
          <w:sz w:val="14"/>
          <w:szCs w:val="14"/>
          <w:u w:val="single" w:color="auto"/>
          <w:color w:val="0000FF"/>
        </w:rPr>
        <w:t xml:space="preserve"> Term Loans to be made, (B) the date of the Borrowing (which shall be the Amendment No. 7 Effective Date) and (C) whether the Term Loans shall consist of ABR Loans and/or SOFR Loans and, if the Term Loans are to include SOFR Loans, the Interest Period to be initially applicable thereto. If no election as to the Type of Borrowing is specified in any such notice, then the requested Borrowing shall be an ABR Borrowing. If no Interest Period with respect to any Borrowing of SOFR Loans is specified in any such notice, then the Borrower shall be deemed to have selected an Interest Period of one month’s duration. The Administrative Agent shall promptly advise the applicable Lenders of any notice given pursuant to this Section 2.3(a) (and the contents thereof), and of each Lender’s pro rata share of the requested Borrowing.</w:t>
      </w:r>
    </w:p>
    <w:p>
      <w:pPr>
        <w:spacing w:after="0" w:line="155" w:lineRule="exact"/>
        <w:rPr>
          <w:rFonts w:ascii="Times New Roman" w:cs="Times New Roman" w:eastAsia="Times New Roman" w:hAnsi="Times New Roman"/>
          <w:sz w:val="14"/>
          <w:szCs w:val="14"/>
          <w:u w:val="single" w:color="auto"/>
          <w:color w:val="0000FF"/>
        </w:rPr>
      </w:pPr>
    </w:p>
    <w:p>
      <w:pPr>
        <w:ind w:left="1980" w:hanging="316"/>
        <w:spacing w:after="0"/>
        <w:tabs>
          <w:tab w:leader="none" w:pos="1980" w:val="left"/>
        </w:tabs>
        <w:numPr>
          <w:ilvl w:val="0"/>
          <w:numId w:val="1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[Reserved].</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93" w:val="left"/>
        </w:tabs>
        <w:numPr>
          <w:ilvl w:val="0"/>
          <w:numId w:val="1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Whenever the Borrower desires to incur Revolving Credit Loans (other than borrowings to repay Unpaid Drawings), the Borrower shall give the Administrative Agent at the Administrative Agent’s Office, (i) prior to 12:00 noon (New York City time) at least three U.S. Government Securities Business Days’ prior written notice of each Borrowing of SOFR Loans that are Revolving Credit Loans and (ii) prior to 10:00 a.m. (New York City time) or, if agreed by the Administrative Agent, 2:00 p.m. (New York City time) on the day of such Borrowing prior written notice of each Borrowing of Revolving Credit Loans that are ABR Loans. Each such notice (a “</w:t>
      </w:r>
      <w:r>
        <w:rPr>
          <w:rFonts w:ascii="Times New Roman" w:cs="Times New Roman" w:eastAsia="Times New Roman" w:hAnsi="Times New Roman"/>
          <w:sz w:val="14"/>
          <w:szCs w:val="14"/>
          <w:b w:val="1"/>
          <w:bCs w:val="1"/>
          <w:color w:val="auto"/>
        </w:rPr>
        <w:t>Notice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Borrowing</w:t>
      </w:r>
      <w:r>
        <w:rPr>
          <w:rFonts w:ascii="Times New Roman" w:cs="Times New Roman" w:eastAsia="Times New Roman" w:hAnsi="Times New Roman"/>
          <w:sz w:val="14"/>
          <w:szCs w:val="14"/>
          <w:color w:val="auto"/>
        </w:rPr>
        <w:t>”, each substantially in the form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except as otherwise expressly provided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specify (A) the aggregate principal amount of the Revolving Credit Loans to be made pursuant to such Borrowing, (B) the date of Borrowing (which shall be a Business Day) and (C) whether the respective Borrowing shall consist of ABR Loans or SOFR Loans that are Revolving Credit Loans and, if SOFR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160"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Borrowings to reimburse Unpaid Drawings shall be made upon the notice specified in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or</w:t>
      </w:r>
      <w:r>
        <w:rPr>
          <w:rFonts w:ascii="Times New Roman" w:cs="Times New Roman" w:eastAsia="Times New Roman" w:hAnsi="Times New Roman"/>
          <w:sz w:val="14"/>
          <w:szCs w:val="14"/>
          <w:color w:val="auto"/>
        </w:rPr>
        <w:t xml:space="preserve"> Section 3A.4(a), as applicable.</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1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the Borrower.</w:t>
      </w:r>
    </w:p>
    <w:p>
      <w:pPr>
        <w:spacing w:after="0" w:line="152"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2.4</w:t>
      </w:r>
      <w:r>
        <w:rPr>
          <w:sz w:val="20"/>
          <w:szCs w:val="20"/>
          <w:color w:val="auto"/>
        </w:rPr>
        <w:tab/>
      </w:r>
      <w:r>
        <w:rPr>
          <w:rFonts w:ascii="Times New Roman" w:cs="Times New Roman" w:eastAsia="Times New Roman" w:hAnsi="Times New Roman"/>
          <w:sz w:val="14"/>
          <w:szCs w:val="14"/>
          <w:u w:val="single" w:color="auto"/>
          <w:color w:val="auto"/>
        </w:rPr>
        <w:t>Disbursement of Funds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4" w:lineRule="auto"/>
        <w:tabs>
          <w:tab w:leader="none" w:pos="1972" w:val="left"/>
        </w:tabs>
        <w:numPr>
          <w:ilvl w:val="0"/>
          <w:numId w:val="11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 later than 2:00 p.m. (New York City time) on the date specified in each Notice of Borrowing, each Lender shall make available its pro rata portion, if any, of each Borrowing requested to be made on such date in the manner provided below;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on the Closing Date, such funds may be made available at such earlier time as may be agreed among the Lenders, the Borrower, and the Administrative Agent for the purpose of consummating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all same day ABR Revolving Loans shall be made available to the Borrower in the full amount thereof by the Administrative Agent no later than 4:00 p.m. (New York City time).</w:t>
      </w:r>
    </w:p>
    <w:p>
      <w:pPr>
        <w:spacing w:after="0" w:line="22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65" w:name="page166"/>
    <w:bookmarkEnd w:id="165"/>
    <w:p>
      <w:pPr>
        <w:jc w:val="both"/>
        <w:ind w:left="1140" w:right="1159" w:firstLine="524"/>
        <w:spacing w:after="0" w:line="174" w:lineRule="exact"/>
        <w:tabs>
          <w:tab w:leader="none" w:pos="1972" w:val="left"/>
        </w:tabs>
        <w:numPr>
          <w:ilvl w:val="0"/>
          <w:numId w:val="11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Lender shall make available all amounts it is to fund to the Borrower under any Borrowing for its applicable Commitments, and in immediately available funds, to the Administrative Agent at the Administrative Agent’s Office and the Administrative Agent will (except in the case of Borrowings to repay Unpaid Drawings) make available to the Borrower, by depositing to an account designated by the Borrower to the Administrative Agent the aggregate of the amounts so made available in Dollars. Unless the Administrative Agent shall have been notified by any Lender prior to the date of any such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applicable rate of interest or fees, calculated in accordance with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for the respective Loans.</w:t>
      </w:r>
    </w:p>
    <w:p>
      <w:pPr>
        <w:spacing w:after="0" w:line="151"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1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[Reserved].</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11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Nothing in this </w:t>
      </w:r>
      <w:r>
        <w:rPr>
          <w:rFonts w:ascii="Times New Roman" w:cs="Times New Roman" w:eastAsia="Times New Roman" w:hAnsi="Times New Roman"/>
          <w:sz w:val="14"/>
          <w:szCs w:val="14"/>
          <w:u w:val="single" w:color="auto"/>
          <w:color w:val="auto"/>
        </w:rPr>
        <w:t>Section 2.4</w:t>
      </w:r>
      <w:r>
        <w:rPr>
          <w:rFonts w:ascii="Times New Roman" w:cs="Times New Roman" w:eastAsia="Times New Roman" w:hAnsi="Times New Roman"/>
          <w:sz w:val="14"/>
          <w:szCs w:val="14"/>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52"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2.5</w:t>
      </w:r>
      <w:r>
        <w:rPr>
          <w:sz w:val="20"/>
          <w:szCs w:val="20"/>
          <w:color w:val="auto"/>
        </w:rPr>
        <w:tab/>
      </w:r>
      <w:r>
        <w:rPr>
          <w:rFonts w:ascii="Times New Roman" w:cs="Times New Roman" w:eastAsia="Times New Roman" w:hAnsi="Times New Roman"/>
          <w:sz w:val="14"/>
          <w:szCs w:val="14"/>
          <w:u w:val="single" w:color="auto"/>
          <w:color w:val="auto"/>
        </w:rPr>
        <w:t>Repayment of Loans; Evidence of Debt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1972" w:val="left"/>
        </w:tabs>
        <w:numPr>
          <w:ilvl w:val="0"/>
          <w:numId w:val="11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FF0000"/>
          <w:strike w:val="1"/>
        </w:rPr>
        <w:t xml:space="preserve">The Borrower shall repay to the Administrative Agent, for the benefit of the Tranche B-1 Term Loan Lenders, on the Tranche B Term Loan Maturity Date, the then outstanding Tranche B-1 Term Loans. </w:t>
      </w:r>
      <w:r>
        <w:rPr>
          <w:rFonts w:ascii="Times New Roman" w:cs="Times New Roman" w:eastAsia="Times New Roman" w:hAnsi="Times New Roman"/>
          <w:sz w:val="14"/>
          <w:szCs w:val="14"/>
          <w:color w:val="000000"/>
          <w:strike w:val="1"/>
        </w:rPr>
        <w:t>The Borrower</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shall repay to the Administrative Agent for the benefit of the Revolving Credit Lenders, on the Revolving Credit Maturity Date, the then outstanding Revolving Credit Loans. The Borrower shall repay to the Administrative Agent for the benefit of the Revolving Credit Lenders, on each Extended Revolving Loan Maturity Date, the then outstanding amount of Extended Revolving Credit Loans. The Borrower shall repay to the Administrative Agent for the benefit of the Incremental Revolving Loan Lenders, on each Incremental Revolving Credit Maturity Date, the then outstanding amount of Incremental Revolving Credit Loans. The Borrower shall repay to the Administrative Agent for the benefit of the 2020 Additional Revolving Credit Lenders, on the 2020 L/C Facility Maturity Date, the then outstanding 2020 L/C Obligations.</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11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w:t>
      </w:r>
      <w:r>
        <w:rPr>
          <w:rFonts w:ascii="Times New Roman" w:cs="Times New Roman" w:eastAsia="Times New Roman" w:hAnsi="Times New Roman"/>
          <w:sz w:val="14"/>
          <w:szCs w:val="14"/>
          <w:color w:val="FF0000"/>
          <w:strike w:val="1"/>
        </w:rPr>
        <w:t>Borrower shall repay to the Administrative Agent, for the benefit of the Tranche B-1 Term Loan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Lenders, (i) on the last Business Day of each of March, June, September and December, commencing with the fiscal quarter ending on March 31, 2020 (each such date, an “</w:t>
      </w:r>
      <w:r>
        <w:rPr>
          <w:rFonts w:ascii="Times New Roman" w:cs="Times New Roman" w:eastAsia="Times New Roman" w:hAnsi="Times New Roman"/>
          <w:sz w:val="14"/>
          <w:szCs w:val="14"/>
          <w:b w:val="1"/>
          <w:bCs w:val="1"/>
          <w:color w:val="FF0000"/>
          <w:strike w:val="1"/>
        </w:rPr>
        <w:t>Tranche B-1 Term Loan Repayment Date</w:t>
      </w:r>
      <w:r>
        <w:rPr>
          <w:rFonts w:ascii="Times New Roman" w:cs="Times New Roman" w:eastAsia="Times New Roman" w:hAnsi="Times New Roman"/>
          <w:sz w:val="14"/>
          <w:szCs w:val="14"/>
          <w:color w:val="FF0000"/>
          <w:strike w:val="1"/>
        </w:rPr>
        <w:t xml:space="preserve">”), a principal amount of </w:t>
      </w:r>
      <w:r>
        <w:rPr>
          <w:rFonts w:ascii="Times New Roman" w:cs="Times New Roman" w:eastAsia="Times New Roman" w:hAnsi="Times New Roman"/>
          <w:sz w:val="14"/>
          <w:szCs w:val="14"/>
          <w:color w:val="000000"/>
          <w:strike w:val="1"/>
        </w:rPr>
        <w:t>Tranche B-1 Term Loans</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8000"/>
          <w:strike w:val="1"/>
        </w:rPr>
        <w:t>equal to the aggregate outstanding principal amount of</w:t>
      </w:r>
      <w:r>
        <w:rPr>
          <w:rFonts w:ascii="Times New Roman" w:cs="Times New Roman" w:eastAsia="Times New Roman" w:hAnsi="Times New Roman"/>
          <w:sz w:val="14"/>
          <w:szCs w:val="14"/>
          <w:u w:val="single" w:color="auto"/>
          <w:color w:val="0000FF"/>
          <w:strike w:val="1"/>
        </w:rPr>
        <w:t>and the</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Tranche B</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u w:val="single" w:color="auto"/>
          <w:color w:val="0000FF"/>
          <w:strike w:val="1"/>
        </w:rPr>
        <w:t>-3</w:t>
      </w:r>
      <w:r>
        <w:rPr>
          <w:rFonts w:ascii="Times New Roman" w:cs="Times New Roman" w:eastAsia="Times New Roman" w:hAnsi="Times New Roman"/>
          <w:sz w:val="14"/>
          <w:szCs w:val="14"/>
          <w:color w:val="FF0000"/>
          <w:strike w:val="1"/>
        </w:rPr>
        <w:t xml:space="preserve"> 1</w:t>
      </w:r>
      <w:r>
        <w:rPr>
          <w:rFonts w:ascii="Times New Roman" w:cs="Times New Roman" w:eastAsia="Times New Roman" w:hAnsi="Times New Roman"/>
          <w:sz w:val="14"/>
          <w:szCs w:val="14"/>
          <w:color w:val="000000"/>
          <w:strike w:val="1"/>
        </w:rPr>
        <w:t>Term Loans</w:t>
      </w:r>
      <w:r>
        <w:rPr>
          <w:rFonts w:ascii="Times New Roman" w:cs="Times New Roman" w:eastAsia="Times New Roman" w:hAnsi="Times New Roman"/>
          <w:sz w:val="14"/>
          <w:szCs w:val="14"/>
          <w:color w:val="FF0000"/>
          <w:strike w:val="1"/>
        </w:rPr>
        <w:t xml:space="preserve"> made</w:t>
      </w:r>
      <w:r>
        <w:rPr>
          <w:rFonts w:ascii="Times New Roman" w:cs="Times New Roman" w:eastAsia="Times New Roman" w:hAnsi="Times New Roman"/>
          <w:sz w:val="14"/>
          <w:szCs w:val="14"/>
          <w:u w:val="single" w:color="auto"/>
          <w:color w:val="0000FF"/>
          <w:strike w:val="1"/>
        </w:rPr>
        <w:t>were repaid in full</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on the Amendment No.</w:t>
      </w:r>
      <w:r>
        <w:rPr>
          <w:rFonts w:ascii="Times New Roman" w:cs="Times New Roman" w:eastAsia="Times New Roman" w:hAnsi="Times New Roman"/>
          <w:sz w:val="14"/>
          <w:szCs w:val="14"/>
          <w:color w:val="FF0000"/>
          <w:strike w:val="1"/>
        </w:rPr>
        <w:t xml:space="preserve"> 1</w:t>
      </w:r>
      <w:r>
        <w:rPr>
          <w:rFonts w:ascii="Times New Roman" w:cs="Times New Roman" w:eastAsia="Times New Roman" w:hAnsi="Times New Roman"/>
          <w:sz w:val="14"/>
          <w:szCs w:val="14"/>
          <w:u w:val="single" w:color="auto"/>
          <w:color w:val="0000FF"/>
          <w:strike w:val="1"/>
        </w:rPr>
        <w:t>7</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Effective Date</w:t>
      </w:r>
      <w:r>
        <w:rPr>
          <w:rFonts w:ascii="Times New Roman" w:cs="Times New Roman" w:eastAsia="Times New Roman" w:hAnsi="Times New Roman"/>
          <w:sz w:val="14"/>
          <w:szCs w:val="14"/>
          <w:color w:val="FF0000"/>
          <w:strike w:val="1"/>
        </w:rPr>
        <w:t xml:space="preserve"> multiplied by 0.25% </w:t>
      </w:r>
      <w:r>
        <w:rPr>
          <w:rFonts w:ascii="Times New Roman" w:cs="Times New Roman" w:eastAsia="Times New Roman" w:hAnsi="Times New Roman"/>
          <w:sz w:val="14"/>
          <w:szCs w:val="14"/>
          <w:color w:val="000000"/>
          <w:strike w:val="1"/>
        </w:rPr>
        <w:t>and</w:t>
      </w:r>
      <w:r>
        <w:rPr>
          <w:rFonts w:ascii="Times New Roman" w:cs="Times New Roman" w:eastAsia="Times New Roman" w:hAnsi="Times New Roman"/>
          <w:sz w:val="14"/>
          <w:szCs w:val="14"/>
          <w:color w:val="FF0000"/>
          <w:strike w:val="1"/>
        </w:rPr>
        <w:t xml:space="preserve"> (ii) on </w:t>
      </w:r>
      <w:r>
        <w:rPr>
          <w:rFonts w:ascii="Times New Roman" w:cs="Times New Roman" w:eastAsia="Times New Roman" w:hAnsi="Times New Roman"/>
          <w:sz w:val="14"/>
          <w:szCs w:val="14"/>
          <w:color w:val="000000"/>
          <w:strike w:val="1"/>
        </w:rPr>
        <w:t>the</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 xml:space="preserve">Tranche B </w:t>
      </w:r>
      <w:r>
        <w:rPr>
          <w:rFonts w:ascii="Times New Roman" w:cs="Times New Roman" w:eastAsia="Times New Roman" w:hAnsi="Times New Roman"/>
          <w:sz w:val="14"/>
          <w:szCs w:val="14"/>
          <w:color w:val="FF0000"/>
          <w:strike w:val="1"/>
        </w:rPr>
        <w:t>Term Loan Maturity Date, any remaining outstanding amount of Tranche B-1 Term Loans (the repayment</w:t>
      </w:r>
      <w:r>
        <w:rPr>
          <w:rFonts w:ascii="Times New Roman" w:cs="Times New Roman" w:eastAsia="Times New Roman" w:hAnsi="Times New Roman"/>
          <w:sz w:val="14"/>
          <w:szCs w:val="14"/>
          <w:color w:val="000000"/>
          <w:strike w:val="1"/>
        </w:rPr>
        <w:t xml:space="preserve"> </w:t>
      </w:r>
      <w:r>
        <w:rPr>
          <w:rFonts w:ascii="Times New Roman" w:cs="Times New Roman" w:eastAsia="Times New Roman" w:hAnsi="Times New Roman"/>
          <w:sz w:val="14"/>
          <w:szCs w:val="14"/>
          <w:color w:val="FF0000"/>
          <w:strike w:val="1"/>
        </w:rPr>
        <w:t xml:space="preserve">amounts in </w:t>
      </w:r>
      <w:r>
        <w:rPr>
          <w:rFonts w:ascii="Times New Roman" w:cs="Times New Roman" w:eastAsia="Times New Roman" w:hAnsi="Times New Roman"/>
          <w:sz w:val="14"/>
          <w:szCs w:val="14"/>
          <w:u w:val="single" w:color="auto"/>
          <w:color w:val="FF0000"/>
          <w:strike w:val="1"/>
        </w:rPr>
        <w:t>clauses (i)</w:t>
      </w:r>
      <w:r>
        <w:rPr>
          <w:rFonts w:ascii="Times New Roman" w:cs="Times New Roman" w:eastAsia="Times New Roman" w:hAnsi="Times New Roman"/>
          <w:sz w:val="14"/>
          <w:szCs w:val="14"/>
          <w:color w:val="FF0000"/>
          <w:strike w:val="1"/>
        </w:rPr>
        <w:t xml:space="preserve"> and </w:t>
      </w:r>
      <w:r>
        <w:rPr>
          <w:rFonts w:ascii="Times New Roman" w:cs="Times New Roman" w:eastAsia="Times New Roman" w:hAnsi="Times New Roman"/>
          <w:sz w:val="14"/>
          <w:szCs w:val="14"/>
          <w:u w:val="single" w:color="auto"/>
          <w:color w:val="FF0000"/>
          <w:strike w:val="1"/>
        </w:rPr>
        <w:t>(ii)</w:t>
      </w:r>
      <w:r>
        <w:rPr>
          <w:rFonts w:ascii="Times New Roman" w:cs="Times New Roman" w:eastAsia="Times New Roman" w:hAnsi="Times New Roman"/>
          <w:sz w:val="14"/>
          <w:szCs w:val="14"/>
          <w:color w:val="FF0000"/>
          <w:strike w:val="1"/>
        </w:rPr>
        <w:t xml:space="preserve"> above, each, an “</w:t>
      </w:r>
      <w:r>
        <w:rPr>
          <w:rFonts w:ascii="Times New Roman" w:cs="Times New Roman" w:eastAsia="Times New Roman" w:hAnsi="Times New Roman"/>
          <w:sz w:val="14"/>
          <w:szCs w:val="14"/>
          <w:b w:val="1"/>
          <w:bCs w:val="1"/>
          <w:color w:val="FF0000"/>
          <w:strike w:val="1"/>
        </w:rPr>
        <w:t>Tranche B-1 Term Loan Repayment Amount</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u w:val="single" w:color="auto"/>
          <w:color w:val="0000FF"/>
          <w:strike w:val="1"/>
        </w:rPr>
        <w:t>-2 Term Loans</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u w:val="single" w:color="auto"/>
          <w:color w:val="0000FF"/>
          <w:strike w:val="1"/>
        </w:rPr>
        <w:t>were repaid in full on April 8, 2021.</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60" w:lineRule="auto"/>
        <w:tabs>
          <w:tab w:leader="none" w:pos="1982" w:val="left"/>
        </w:tabs>
        <w:numPr>
          <w:ilvl w:val="0"/>
          <w:numId w:val="11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the event that any New Term Loans are made, such New Term Loans shall, subject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2.14(d)</w:t>
      </w:r>
      <w:r>
        <w:rPr>
          <w:rFonts w:ascii="Times New Roman" w:cs="Times New Roman" w:eastAsia="Times New Roman" w:hAnsi="Times New Roman"/>
          <w:sz w:val="14"/>
          <w:szCs w:val="14"/>
          <w:color w:val="auto"/>
        </w:rPr>
        <w:t>, be repaid by the Borrower in the amounts (each, a “</w:t>
      </w:r>
      <w:r>
        <w:rPr>
          <w:rFonts w:ascii="Times New Roman" w:cs="Times New Roman" w:eastAsia="Times New Roman" w:hAnsi="Times New Roman"/>
          <w:sz w:val="14"/>
          <w:szCs w:val="14"/>
          <w:b w:val="1"/>
          <w:bCs w:val="1"/>
          <w:color w:val="auto"/>
        </w:rPr>
        <w:t>New Term Loan Repayment Amount</w:t>
      </w:r>
      <w:r>
        <w:rPr>
          <w:rFonts w:ascii="Times New Roman" w:cs="Times New Roman" w:eastAsia="Times New Roman" w:hAnsi="Times New Roman"/>
          <w:sz w:val="14"/>
          <w:szCs w:val="14"/>
          <w:color w:val="auto"/>
        </w:rPr>
        <w:t>”) and on the dates (each, a “</w:t>
      </w:r>
      <w:r>
        <w:rPr>
          <w:rFonts w:ascii="Times New Roman" w:cs="Times New Roman" w:eastAsia="Times New Roman" w:hAnsi="Times New Roman"/>
          <w:sz w:val="14"/>
          <w:szCs w:val="14"/>
          <w:b w:val="1"/>
          <w:bCs w:val="1"/>
          <w:color w:val="auto"/>
        </w:rPr>
        <w:t>New Term Loan Repayment Date</w:t>
      </w:r>
      <w:r>
        <w:rPr>
          <w:rFonts w:ascii="Times New Roman" w:cs="Times New Roman" w:eastAsia="Times New Roman" w:hAnsi="Times New Roman"/>
          <w:sz w:val="14"/>
          <w:szCs w:val="14"/>
          <w:color w:val="auto"/>
        </w:rPr>
        <w:t xml:space="preserve">”) set forth in the applicable Joinder Agreement and subject to any adjustment to ensure fungibility with the other Term Loans. In the event that any Incremental Revolving Credit Loans are made, such Incremental Revolving Credit Loans shall, subject to </w:t>
      </w:r>
      <w:r>
        <w:rPr>
          <w:rFonts w:ascii="Times New Roman" w:cs="Times New Roman" w:eastAsia="Times New Roman" w:hAnsi="Times New Roman"/>
          <w:sz w:val="14"/>
          <w:szCs w:val="14"/>
          <w:u w:val="single" w:color="auto"/>
          <w:color w:val="auto"/>
        </w:rPr>
        <w:t>Section 2.14(e)</w:t>
      </w:r>
      <w:r>
        <w:rPr>
          <w:rFonts w:ascii="Times New Roman" w:cs="Times New Roman" w:eastAsia="Times New Roman" w:hAnsi="Times New Roman"/>
          <w:sz w:val="14"/>
          <w:szCs w:val="14"/>
          <w:color w:val="auto"/>
        </w:rPr>
        <w:t>, be repaid by the Borrower in the amounts (each, a “</w:t>
      </w:r>
      <w:r>
        <w:rPr>
          <w:rFonts w:ascii="Times New Roman" w:cs="Times New Roman" w:eastAsia="Times New Roman" w:hAnsi="Times New Roman"/>
          <w:sz w:val="14"/>
          <w:szCs w:val="14"/>
          <w:b w:val="1"/>
          <w:bCs w:val="1"/>
          <w:color w:val="auto"/>
        </w:rPr>
        <w:t>New Revolving Loan Repayment Amount</w:t>
      </w:r>
      <w:r>
        <w:rPr>
          <w:rFonts w:ascii="Times New Roman" w:cs="Times New Roman" w:eastAsia="Times New Roman" w:hAnsi="Times New Roman"/>
          <w:sz w:val="14"/>
          <w:szCs w:val="14"/>
          <w:color w:val="auto"/>
        </w:rPr>
        <w:t>”) and on the dates (each, a “</w:t>
      </w:r>
      <w:r>
        <w:rPr>
          <w:rFonts w:ascii="Times New Roman" w:cs="Times New Roman" w:eastAsia="Times New Roman" w:hAnsi="Times New Roman"/>
          <w:sz w:val="14"/>
          <w:szCs w:val="14"/>
          <w:b w:val="1"/>
          <w:bCs w:val="1"/>
          <w:color w:val="auto"/>
        </w:rPr>
        <w:t>New</w:t>
      </w:r>
    </w:p>
    <w:p>
      <w:pPr>
        <w:ind w:left="114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b w:val="1"/>
          <w:bCs w:val="1"/>
          <w:color w:val="auto"/>
        </w:rPr>
        <w:t>Revolving Loan</w:t>
      </w:r>
    </w:p>
    <w:p>
      <w:pPr>
        <w:spacing w:after="0" w:line="2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166" w:name="page167"/>
    <w:bookmarkEnd w:id="166"/>
    <w:p>
      <w:pPr>
        <w:jc w:val="both"/>
        <w:ind w:left="1140" w:right="1159"/>
        <w:spacing w:after="0" w:line="268" w:lineRule="auto"/>
        <w:rPr>
          <w:sz w:val="20"/>
          <w:szCs w:val="20"/>
          <w:color w:val="auto"/>
        </w:rPr>
      </w:pPr>
      <w:r>
        <w:rPr>
          <w:rFonts w:ascii="Times New Roman" w:cs="Times New Roman" w:eastAsia="Times New Roman" w:hAnsi="Times New Roman"/>
          <w:sz w:val="14"/>
          <w:szCs w:val="14"/>
          <w:b w:val="1"/>
          <w:bCs w:val="1"/>
          <w:color w:val="auto"/>
        </w:rPr>
        <w:t>Repayment Date</w:t>
      </w:r>
      <w:r>
        <w:rPr>
          <w:rFonts w:ascii="Times New Roman" w:cs="Times New Roman" w:eastAsia="Times New Roman" w:hAnsi="Times New Roman"/>
          <w:sz w:val="14"/>
          <w:szCs w:val="14"/>
          <w:color w:val="auto"/>
        </w:rPr>
        <w:t>”) set forth in the applicable Joinder Agreement. In the event that any Extended Term Loans are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established, such Extended Term Loans shall, subject to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be repaid by the Borrower in the amounts (each such amount with respect to any Extended Repayment Date, an “</w:t>
      </w:r>
      <w:r>
        <w:rPr>
          <w:rFonts w:ascii="Times New Roman" w:cs="Times New Roman" w:eastAsia="Times New Roman" w:hAnsi="Times New Roman"/>
          <w:sz w:val="14"/>
          <w:szCs w:val="14"/>
          <w:b w:val="1"/>
          <w:bCs w:val="1"/>
          <w:color w:val="auto"/>
        </w:rPr>
        <w:t>Extended Term Loan Repayment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Amount</w:t>
      </w:r>
      <w:r>
        <w:rPr>
          <w:rFonts w:ascii="Times New Roman" w:cs="Times New Roman" w:eastAsia="Times New Roman" w:hAnsi="Times New Roman"/>
          <w:sz w:val="14"/>
          <w:szCs w:val="14"/>
          <w:color w:val="auto"/>
        </w:rPr>
        <w:t>”) and on the dates (each, an “</w:t>
      </w:r>
      <w:r>
        <w:rPr>
          <w:rFonts w:ascii="Times New Roman" w:cs="Times New Roman" w:eastAsia="Times New Roman" w:hAnsi="Times New Roman"/>
          <w:sz w:val="14"/>
          <w:szCs w:val="14"/>
          <w:b w:val="1"/>
          <w:bCs w:val="1"/>
          <w:color w:val="auto"/>
        </w:rPr>
        <w:t>Extended Repayment Date</w:t>
      </w:r>
      <w:r>
        <w:rPr>
          <w:rFonts w:ascii="Times New Roman" w:cs="Times New Roman" w:eastAsia="Times New Roman" w:hAnsi="Times New Roman"/>
          <w:sz w:val="14"/>
          <w:szCs w:val="14"/>
          <w:color w:val="auto"/>
        </w:rPr>
        <w:t>”) set forth in the applicable Extension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Amendment.</w:t>
      </w:r>
    </w:p>
    <w:p>
      <w:pPr>
        <w:spacing w:after="0" w:line="327" w:lineRule="exact"/>
        <w:rPr>
          <w:sz w:val="20"/>
          <w:szCs w:val="20"/>
          <w:color w:val="auto"/>
        </w:rPr>
      </w:pPr>
    </w:p>
    <w:p>
      <w:pPr>
        <w:jc w:val="both"/>
        <w:ind w:left="1140" w:right="1159" w:firstLine="524"/>
        <w:spacing w:after="0" w:line="261" w:lineRule="auto"/>
        <w:tabs>
          <w:tab w:leader="none" w:pos="1982" w:val="left"/>
        </w:tabs>
        <w:numPr>
          <w:ilvl w:val="1"/>
          <w:numId w:val="11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shall repay to the Administrative Agent, for the benefit of the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 Lenders, (i) on the last Business Day of each of March, June, September and December, commencing with June 30, </w:t>
      </w:r>
      <w:r>
        <w:rPr>
          <w:rFonts w:ascii="Times New Roman" w:cs="Times New Roman" w:eastAsia="Times New Roman" w:hAnsi="Times New Roman"/>
          <w:sz w:val="14"/>
          <w:szCs w:val="14"/>
          <w:color w:val="FF0000"/>
          <w:strike w:val="1"/>
        </w:rPr>
        <w:t>2021</w:t>
      </w:r>
      <w:r>
        <w:rPr>
          <w:rFonts w:ascii="Times New Roman" w:cs="Times New Roman" w:eastAsia="Times New Roman" w:hAnsi="Times New Roman"/>
          <w:sz w:val="14"/>
          <w:szCs w:val="14"/>
          <w:u w:val="single" w:color="auto"/>
          <w:color w:val="0000FF"/>
        </w:rPr>
        <w:t>2024</w:t>
      </w:r>
      <w:r>
        <w:rPr>
          <w:rFonts w:ascii="Times New Roman" w:cs="Times New Roman" w:eastAsia="Times New Roman" w:hAnsi="Times New Roman"/>
          <w:sz w:val="14"/>
          <w:szCs w:val="14"/>
          <w:color w:val="auto"/>
        </w:rPr>
        <w:t xml:space="preserve"> (each such date, </w:t>
      </w:r>
      <w:r>
        <w:rPr>
          <w:rFonts w:ascii="Times New Roman" w:cs="Times New Roman" w:eastAsia="Times New Roman" w:hAnsi="Times New Roman"/>
          <w:sz w:val="14"/>
          <w:szCs w:val="14"/>
          <w:color w:val="FF0000"/>
          <w:strike w:val="1"/>
        </w:rPr>
        <w:t>an</w:t>
      </w:r>
      <w:r>
        <w:rPr>
          <w:rFonts w:ascii="Times New Roman" w:cs="Times New Roman" w:eastAsia="Times New Roman" w:hAnsi="Times New Roman"/>
          <w:sz w:val="14"/>
          <w:szCs w:val="14"/>
          <w:u w:val="single" w:color="auto"/>
          <w:color w:val="0000FF"/>
        </w:rPr>
        <w:t>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Tranche B</w:t>
      </w:r>
      <w:r>
        <w:rPr>
          <w:rFonts w:ascii="Times New Roman" w:cs="Times New Roman" w:eastAsia="Times New Roman" w:hAnsi="Times New Roman"/>
          <w:sz w:val="14"/>
          <w:szCs w:val="14"/>
          <w:b w:val="1"/>
          <w:bCs w:val="1"/>
          <w:color w:val="FF0000"/>
          <w:strike w:val="1"/>
        </w:rPr>
        <w:t>-3</w:t>
      </w:r>
      <w:r>
        <w:rPr>
          <w:rFonts w:ascii="Times New Roman" w:cs="Times New Roman" w:eastAsia="Times New Roman" w:hAnsi="Times New Roman"/>
          <w:sz w:val="14"/>
          <w:szCs w:val="14"/>
          <w:b w:val="1"/>
          <w:bCs w:val="1"/>
          <w:u w:val="single" w:color="auto"/>
          <w:color w:val="0000FF"/>
        </w:rPr>
        <w:t>-4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 Loan Repayment Date</w:t>
      </w:r>
      <w:r>
        <w:rPr>
          <w:rFonts w:ascii="Times New Roman" w:cs="Times New Roman" w:eastAsia="Times New Roman" w:hAnsi="Times New Roman"/>
          <w:sz w:val="14"/>
          <w:szCs w:val="14"/>
          <w:color w:val="auto"/>
        </w:rPr>
        <w:t>”), a principal amount of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equal to the aggregate principal amount of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outstanding on the Amendment No. </w:t>
      </w:r>
      <w:r>
        <w:rPr>
          <w:rFonts w:ascii="Times New Roman" w:cs="Times New Roman" w:eastAsia="Times New Roman" w:hAnsi="Times New Roman"/>
          <w:sz w:val="14"/>
          <w:szCs w:val="14"/>
          <w:color w:val="FF0000"/>
          <w:strike w:val="1"/>
        </w:rPr>
        <w:t>5</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auto"/>
        </w:rPr>
        <w:t xml:space="preserve"> Effective Date </w:t>
      </w:r>
      <w:r>
        <w:rPr>
          <w:rFonts w:ascii="Times New Roman" w:cs="Times New Roman" w:eastAsia="Times New Roman" w:hAnsi="Times New Roman"/>
          <w:sz w:val="14"/>
          <w:szCs w:val="14"/>
          <w:color w:val="FF0000"/>
          <w:strike w:val="1"/>
        </w:rPr>
        <w:t>(immediately after giving effect to the funding of the Amendment No. 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Incremental Term Loans)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multiplied by 0.25% and (ii) on the Tranche B Term Loan Maturity Date, any remaining</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outstanding amount of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(the repayment amounts in </w:t>
      </w:r>
      <w:r>
        <w:rPr>
          <w:rFonts w:ascii="Times New Roman" w:cs="Times New Roman" w:eastAsia="Times New Roman" w:hAnsi="Times New Roman"/>
          <w:sz w:val="14"/>
          <w:szCs w:val="14"/>
          <w:u w:val="single" w:color="auto"/>
          <w:color w:val="000000"/>
        </w:rPr>
        <w:t>clauses (i)</w:t>
      </w:r>
      <w:r>
        <w:rPr>
          <w:rFonts w:ascii="Times New Roman" w:cs="Times New Roman" w:eastAsia="Times New Roman" w:hAnsi="Times New Roman"/>
          <w:sz w:val="14"/>
          <w:szCs w:val="14"/>
          <w:color w:val="000000"/>
        </w:rPr>
        <w:t xml:space="preserve"> and </w:t>
      </w:r>
      <w:r>
        <w:rPr>
          <w:rFonts w:ascii="Times New Roman" w:cs="Times New Roman" w:eastAsia="Times New Roman" w:hAnsi="Times New Roman"/>
          <w:sz w:val="14"/>
          <w:szCs w:val="14"/>
          <w:u w:val="single" w:color="auto"/>
          <w:color w:val="000000"/>
        </w:rPr>
        <w:t>(ii)</w:t>
      </w:r>
      <w:r>
        <w:rPr>
          <w:rFonts w:ascii="Times New Roman" w:cs="Times New Roman" w:eastAsia="Times New Roman" w:hAnsi="Times New Roman"/>
          <w:sz w:val="14"/>
          <w:szCs w:val="14"/>
          <w:color w:val="000000"/>
        </w:rPr>
        <w:t xml:space="preserve"> above, each, </w:t>
      </w:r>
      <w:r>
        <w:rPr>
          <w:rFonts w:ascii="Times New Roman" w:cs="Times New Roman" w:eastAsia="Times New Roman" w:hAnsi="Times New Roman"/>
          <w:sz w:val="14"/>
          <w:szCs w:val="14"/>
          <w:color w:val="FF0000"/>
          <w:strike w:val="1"/>
        </w:rPr>
        <w:t>an</w:t>
      </w:r>
      <w:r>
        <w:rPr>
          <w:rFonts w:ascii="Times New Roman" w:cs="Times New Roman" w:eastAsia="Times New Roman" w:hAnsi="Times New Roman"/>
          <w:sz w:val="14"/>
          <w:szCs w:val="14"/>
          <w:u w:val="single" w:color="auto"/>
          <w:color w:val="0000FF"/>
        </w:rPr>
        <w:t>a</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b w:val="1"/>
          <w:bCs w:val="1"/>
          <w:color w:val="000000"/>
        </w:rPr>
        <w:t>Tranche B</w:t>
      </w:r>
      <w:r>
        <w:rPr>
          <w:rFonts w:ascii="Times New Roman" w:cs="Times New Roman" w:eastAsia="Times New Roman" w:hAnsi="Times New Roman"/>
          <w:sz w:val="14"/>
          <w:szCs w:val="14"/>
          <w:b w:val="1"/>
          <w:bCs w:val="1"/>
          <w:color w:val="FF0000"/>
          <w:strike w:val="1"/>
        </w:rPr>
        <w:t>-3</w:t>
      </w:r>
      <w:r>
        <w:rPr>
          <w:rFonts w:ascii="Times New Roman" w:cs="Times New Roman" w:eastAsia="Times New Roman" w:hAnsi="Times New Roman"/>
          <w:sz w:val="14"/>
          <w:szCs w:val="14"/>
          <w:b w:val="1"/>
          <w:bCs w:val="1"/>
          <w:u w:val="single" w:color="auto"/>
          <w:color w:val="0000FF"/>
        </w:rPr>
        <w:t>-4</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b w:val="1"/>
          <w:bCs w:val="1"/>
          <w:color w:val="000000"/>
        </w:rPr>
        <w:t>Term Loan Repayment Amount</w:t>
      </w:r>
      <w:r>
        <w:rPr>
          <w:rFonts w:ascii="Times New Roman" w:cs="Times New Roman" w:eastAsia="Times New Roman" w:hAnsi="Times New Roman"/>
          <w:sz w:val="14"/>
          <w:szCs w:val="14"/>
          <w:color w:val="000000"/>
        </w:rPr>
        <w:t>”).</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1"/>
          <w:numId w:val="11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82" w:val="left"/>
        </w:tabs>
        <w:numPr>
          <w:ilvl w:val="1"/>
          <w:numId w:val="11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Administrative Agent shall maintain the Register pursuant to </w:t>
      </w:r>
      <w:r>
        <w:rPr>
          <w:rFonts w:ascii="Times New Roman" w:cs="Times New Roman" w:eastAsia="Times New Roman" w:hAnsi="Times New Roman"/>
          <w:sz w:val="14"/>
          <w:szCs w:val="14"/>
          <w:u w:val="single" w:color="auto"/>
          <w:color w:val="auto"/>
        </w:rPr>
        <w:t>Section 13.6(b)</w:t>
      </w:r>
      <w:r>
        <w:rPr>
          <w:rFonts w:ascii="Times New Roman" w:cs="Times New Roman" w:eastAsia="Times New Roman" w:hAnsi="Times New Roman"/>
          <w:sz w:val="14"/>
          <w:szCs w:val="14"/>
          <w:color w:val="auto"/>
        </w:rPr>
        <w:t>, and a subaccount for each Lender, in which Register and subaccounts (taken together) shall be recorded (i) the amount of each Loan made hereunder, whether such Loan is a Tranche B</w:t>
      </w:r>
      <w:r>
        <w:rPr>
          <w:rFonts w:ascii="Times New Roman" w:cs="Times New Roman" w:eastAsia="Times New Roman" w:hAnsi="Times New Roman"/>
          <w:sz w:val="14"/>
          <w:szCs w:val="14"/>
          <w:color w:val="FF0000"/>
          <w:strike w:val="1"/>
        </w:rPr>
        <w:t>-1 Term Loan,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 New Term Loan, Revolving Credit Loan, New Revolving Credit Loan, Additional Revolving Credit Loan, Swingline Loan or Incremental Revolving Credit Loan, the Type of each Loan made, the names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59"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1"/>
          <w:numId w:val="11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entries made in the Register and accounts and subaccounts maintained pursuant to </w:t>
      </w:r>
      <w:r>
        <w:rPr>
          <w:rFonts w:ascii="Times New Roman" w:cs="Times New Roman" w:eastAsia="Times New Roman" w:hAnsi="Times New Roman"/>
          <w:sz w:val="14"/>
          <w:szCs w:val="14"/>
          <w:u w:val="single" w:color="auto"/>
          <w:color w:val="auto"/>
        </w:rPr>
        <w:t>clauses (d)</w:t>
      </w:r>
      <w:r>
        <w:rPr>
          <w:rFonts w:ascii="Times New Roman" w:cs="Times New Roman" w:eastAsia="Times New Roman" w:hAnsi="Times New Roman"/>
          <w:sz w:val="14"/>
          <w:szCs w:val="14"/>
          <w:color w:val="auto"/>
        </w:rPr>
        <w:t xml:space="preserve"> and</w:t>
      </w:r>
    </w:p>
    <w:p>
      <w:pPr>
        <w:spacing w:after="0" w:line="24" w:lineRule="exact"/>
        <w:rPr>
          <w:rFonts w:ascii="Times New Roman" w:cs="Times New Roman" w:eastAsia="Times New Roman" w:hAnsi="Times New Roman"/>
          <w:sz w:val="14"/>
          <w:szCs w:val="14"/>
          <w:color w:val="010000"/>
        </w:rPr>
      </w:pPr>
    </w:p>
    <w:p>
      <w:pPr>
        <w:jc w:val="both"/>
        <w:ind w:left="1140" w:right="1159" w:firstLine="7"/>
        <w:spacing w:after="0" w:line="259" w:lineRule="auto"/>
        <w:tabs>
          <w:tab w:leader="none" w:pos="1342" w:val="left"/>
        </w:tabs>
        <w:numPr>
          <w:ilvl w:val="0"/>
          <w:numId w:val="116"/>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of this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shall, to the extent permitted by applicable law, be prima facie evidence of the existence and amounts of the obligations of the Borrower therein recorded;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the event of any inconsistency between the Register and any such account or subaccount, the Register shall govern;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failure of any Lender, the Swingline Lender or the Administrative Agent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58" w:lineRule="exact"/>
        <w:rPr>
          <w:rFonts w:ascii="Times New Roman" w:cs="Times New Roman" w:eastAsia="Times New Roman" w:hAnsi="Times New Roman"/>
          <w:sz w:val="14"/>
          <w:szCs w:val="14"/>
          <w:u w:val="single" w:color="auto"/>
          <w:color w:val="auto"/>
        </w:rPr>
      </w:pPr>
    </w:p>
    <w:p>
      <w:pPr>
        <w:jc w:val="both"/>
        <w:ind w:left="1140" w:right="1159" w:firstLine="524"/>
        <w:spacing w:after="0" w:line="262" w:lineRule="auto"/>
        <w:tabs>
          <w:tab w:leader="none" w:pos="1972" w:val="left"/>
        </w:tabs>
        <w:numPr>
          <w:ilvl w:val="1"/>
          <w:numId w:val="11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Times New Roman" w:cs="Times New Roman" w:eastAsia="Times New Roman" w:hAnsi="Times New Roman"/>
          <w:sz w:val="14"/>
          <w:szCs w:val="14"/>
          <w:u w:val="single" w:color="auto"/>
          <w:color w:val="auto"/>
        </w:rPr>
        <w:t>Exhibit G-1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G-2</w:t>
      </w:r>
      <w:r>
        <w:rPr>
          <w:rFonts w:ascii="Times New Roman" w:cs="Times New Roman" w:eastAsia="Times New Roman" w:hAnsi="Times New Roman"/>
          <w:sz w:val="14"/>
          <w:szCs w:val="14"/>
          <w:color w:val="auto"/>
        </w:rPr>
        <w:t>, as applicable, evidencing the Tranche B</w:t>
      </w:r>
      <w:r>
        <w:rPr>
          <w:rFonts w:ascii="Times New Roman" w:cs="Times New Roman" w:eastAsia="Times New Roman" w:hAnsi="Times New Roman"/>
          <w:sz w:val="14"/>
          <w:szCs w:val="14"/>
          <w:color w:val="FF0000"/>
          <w:strike w:val="1"/>
        </w:rPr>
        <w:t>-1 Term Loans,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New Term Loans and/or Revolving Loans owing to such Lender. Thereafter, unless otherwise agreed to by the applicable Lender, the Loans evidenced by such promissory note and interest thereon shall at all times (including after assignment pursuant to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be represented by one or more promissory notes in such form payable to such payee, to such payee and its registered assigns.</w:t>
      </w:r>
    </w:p>
    <w:p>
      <w:pPr>
        <w:spacing w:after="0" w:line="158"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2.6</w:t>
      </w:r>
      <w:r>
        <w:rPr>
          <w:sz w:val="20"/>
          <w:szCs w:val="20"/>
          <w:color w:val="auto"/>
        </w:rPr>
        <w:tab/>
      </w:r>
      <w:r>
        <w:rPr>
          <w:rFonts w:ascii="Times New Roman" w:cs="Times New Roman" w:eastAsia="Times New Roman" w:hAnsi="Times New Roman"/>
          <w:sz w:val="14"/>
          <w:szCs w:val="14"/>
          <w:u w:val="single" w:color="auto"/>
          <w:color w:val="auto"/>
        </w:rPr>
        <w:t>Conversions and Continuations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1" w:lineRule="auto"/>
        <w:tabs>
          <w:tab w:leader="none" w:pos="1972" w:val="left"/>
        </w:tabs>
        <w:numPr>
          <w:ilvl w:val="0"/>
          <w:numId w:val="11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the last sentence of this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(x) the Borrower shall have the option on any Business Day to convert all or a portion equal to at least $5,000,000 of the outstanding principal amount of Term Loans of one Type or at least the Minimum Borrowing Amount for Revolving Credit Loans of one Type into a Borrowing or Borrowings of another Type and (y) the Borrower shall have the option on any Business Day to continue the outstanding principal amount of any SOFR Loans as SOFR Loans for an additional Interest Period;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 partial conversion of SOFR Loans shall reduce the outstanding principal amount of SOFR Loans made pursuant to a single Borrowing to less than the Minimum Borrowing Amount, (ii) ABR Loans may not be converted into SOFR Loans if an Event of Default is in existence on the date of the conversion and the Administrative Agent has or the</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67" w:name="page168"/>
    <w:bookmarkEnd w:id="167"/>
    <w:p>
      <w:pPr>
        <w:jc w:val="both"/>
        <w:ind w:left="1140" w:right="1159"/>
        <w:spacing w:after="0" w:line="259" w:lineRule="auto"/>
        <w:rPr>
          <w:sz w:val="20"/>
          <w:szCs w:val="20"/>
          <w:color w:val="auto"/>
        </w:rPr>
      </w:pPr>
      <w:r>
        <w:rPr>
          <w:rFonts w:ascii="Times New Roman" w:cs="Times New Roman" w:eastAsia="Times New Roman" w:hAnsi="Times New Roman"/>
          <w:sz w:val="14"/>
          <w:szCs w:val="14"/>
          <w:color w:val="auto"/>
        </w:rPr>
        <w:t xml:space="preserve">Required Lenders have determined in its or their sole discretion not to permit such conversion, (iii) SOFR Loans may not be continued as SOFR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Times New Roman" w:cs="Times New Roman" w:eastAsia="Times New Roman" w:hAnsi="Times New Roman"/>
          <w:sz w:val="14"/>
          <w:szCs w:val="14"/>
          <w:u w:val="single" w:color="auto"/>
          <w:color w:val="auto"/>
        </w:rPr>
        <w:t>Section 2.6</w:t>
      </w:r>
      <w:r>
        <w:rPr>
          <w:rFonts w:ascii="Times New Roman" w:cs="Times New Roman" w:eastAsia="Times New Roman" w:hAnsi="Times New Roman"/>
          <w:sz w:val="14"/>
          <w:szCs w:val="14"/>
          <w:color w:val="auto"/>
        </w:rPr>
        <w:t xml:space="preserve"> shall be limited in number as provided in </w:t>
      </w:r>
      <w:r>
        <w:rPr>
          <w:rFonts w:ascii="Times New Roman" w:cs="Times New Roman" w:eastAsia="Times New Roman" w:hAnsi="Times New Roman"/>
          <w:sz w:val="14"/>
          <w:szCs w:val="14"/>
          <w:u w:val="single" w:color="auto"/>
          <w:color w:val="auto"/>
        </w:rPr>
        <w:t>Section 2.2</w:t>
      </w:r>
      <w:r>
        <w:rPr>
          <w:rFonts w:ascii="Times New Roman" w:cs="Times New Roman" w:eastAsia="Times New Roman" w:hAnsi="Times New Roman"/>
          <w:sz w:val="14"/>
          <w:szCs w:val="14"/>
          <w:color w:val="auto"/>
        </w:rPr>
        <w:t>. Each such conversion or continuation shall be effected by the Borrower by giving the Administrative Agent prior written notice at the Administrative Agent’s Office prior to 12:00 noon (New York City time) at least (i) three U.S. Government Securities Business Days prior, in the case of a continuation of or conversion to SOFR Loans (other than in the case of a notice delivered on the Closing Date, which shall be deemed to be effective on the Closing Date), or (ii) 10:00 a.m. (New York City time) on the proposed day of a conversion into ABR Loans (each, a “</w:t>
      </w:r>
      <w:r>
        <w:rPr>
          <w:rFonts w:ascii="Times New Roman" w:cs="Times New Roman" w:eastAsia="Times New Roman" w:hAnsi="Times New Roman"/>
          <w:sz w:val="14"/>
          <w:szCs w:val="14"/>
          <w:b w:val="1"/>
          <w:bCs w:val="1"/>
          <w:color w:val="auto"/>
        </w:rPr>
        <w:t>Notice of Conversion or Continuation</w:t>
      </w:r>
      <w:r>
        <w:rPr>
          <w:rFonts w:ascii="Times New Roman" w:cs="Times New Roman" w:eastAsia="Times New Roman" w:hAnsi="Times New Roman"/>
          <w:sz w:val="14"/>
          <w:szCs w:val="14"/>
          <w:color w:val="auto"/>
        </w:rPr>
        <w:t xml:space="preserve">” substantially in the form of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specifying the Loans to be so converted or continued, the Type of Loans to be converted or continued into and, if such Loans are to be converted into or continued as SOFR Loans, the Interest Period to be initially applicable thereto. If no Interest Period is specified in any such notice with respect to any conversion to or continuation as a SOFR Loan, the Borrower shall be deemed to have selected an Interest Period of one month’s duration. The Administrative Agent shall give each applicable Lender notice as promptly as practicable of any such proposed conversion or continuation affecting any of its Loans. This Section shall not apply to Swingline Loans, which may not be converted or continued.</w:t>
      </w:r>
    </w:p>
    <w:p>
      <w:pPr>
        <w:spacing w:after="0" w:line="330" w:lineRule="exact"/>
        <w:rPr>
          <w:sz w:val="20"/>
          <w:szCs w:val="20"/>
          <w:color w:val="auto"/>
        </w:rPr>
      </w:pPr>
    </w:p>
    <w:p>
      <w:pPr>
        <w:jc w:val="both"/>
        <w:ind w:left="1140" w:right="1159" w:firstLine="524"/>
        <w:spacing w:after="0" w:line="262" w:lineRule="auto"/>
        <w:tabs>
          <w:tab w:leader="none" w:pos="1972" w:val="left"/>
        </w:tabs>
        <w:numPr>
          <w:ilvl w:val="0"/>
          <w:numId w:val="11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any Event of Default is in existence at the time of any proposed continuation of any SOFR Loans denominated in Dollars and the Administrative Agent has or the Required Lenders have determined in its or their sole discretion not to permit such continuation, such SOFR Loans shall be automatically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the Borrower shall be deemed to have elected to convert such Borrowing of SOFR Loans into a Borrowing of ABR Loans, effective as of the expiration date of such current Interest Period.</w:t>
      </w:r>
    </w:p>
    <w:p>
      <w:pPr>
        <w:spacing w:after="0" w:line="158"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2.7 Pro Rata Borrowings</w:t>
      </w:r>
      <w:r>
        <w:rPr>
          <w:rFonts w:ascii="Times New Roman" w:cs="Times New Roman" w:eastAsia="Times New Roman" w:hAnsi="Times New Roman"/>
          <w:sz w:val="14"/>
          <w:szCs w:val="14"/>
          <w:color w:val="auto"/>
        </w:rPr>
        <w:t>. Each Borrowing of Tranche B</w:t>
      </w:r>
      <w:r>
        <w:rPr>
          <w:rFonts w:ascii="Times New Roman" w:cs="Times New Roman" w:eastAsia="Times New Roman" w:hAnsi="Times New Roman"/>
          <w:sz w:val="14"/>
          <w:szCs w:val="14"/>
          <w:color w:val="FF0000"/>
          <w:strike w:val="1"/>
        </w:rPr>
        <w:t>-1 Term Loans and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under this Agreement shall be made by the Lenders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on the basis of their then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applicable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 Commitments </w:t>
      </w:r>
      <w:r>
        <w:rPr>
          <w:rFonts w:ascii="Times New Roman" w:cs="Times New Roman" w:eastAsia="Times New Roman" w:hAnsi="Times New Roman"/>
          <w:sz w:val="14"/>
          <w:szCs w:val="14"/>
          <w:color w:val="FF0000"/>
        </w:rPr>
        <w:t>or Tranche B-3 Term Loan Commitments, as applicable</w:t>
      </w:r>
      <w:r>
        <w:rPr>
          <w:rFonts w:ascii="Times New Roman" w:cs="Times New Roman" w:eastAsia="Times New Roman" w:hAnsi="Times New Roman"/>
          <w:sz w:val="14"/>
          <w:szCs w:val="14"/>
          <w:color w:val="auto"/>
        </w:rPr>
        <w:t xml:space="preserve">. Each Borrowing of Revolving Credit Loans under this Agreement shall be made by the Lenders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on the basis of their then-applicable Revolving Credit Commitment Percentages. Each Borrowing of New Term Loans under this Agreement shall be made by the Lenders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on the basis of their then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applicable New Term Loan Commitments. Each Borrowing of Incremental Revolving Credit Loans under this Agreement shall be made by the Lenders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on the basis of their then-applicable Incremental Revolving Credit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1674495</wp:posOffset>
            </wp:positionH>
            <wp:positionV relativeFrom="paragraph">
              <wp:posOffset>-1151890</wp:posOffset>
            </wp:positionV>
            <wp:extent cx="211074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7">
                      <a:extLst>
                        <a:ext uri="{28A0092B-C50C-407E-A947-70E740481C1C}"/>
                      </a:extLst>
                    </a:blip>
                    <a:srcRect/>
                    <a:stretch>
                      <a:fillRect/>
                    </a:stretch>
                  </pic:blipFill>
                  <pic:spPr bwMode="auto">
                    <a:xfrm>
                      <a:off x="0" y="0"/>
                      <a:ext cx="2110740" cy="6985"/>
                    </a:xfrm>
                    <a:prstGeom prst="rect">
                      <a:avLst/>
                    </a:prstGeom>
                    <a:noFill/>
                  </pic:spPr>
                </pic:pic>
              </a:graphicData>
            </a:graphic>
          </wp:anchor>
        </w:drawing>
      </w:r>
    </w:p>
    <w:p>
      <w:pPr>
        <w:spacing w:after="0" w:line="151"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2.8</w:t>
      </w:r>
      <w:r>
        <w:rPr>
          <w:sz w:val="20"/>
          <w:szCs w:val="20"/>
          <w:color w:val="auto"/>
        </w:rPr>
        <w:tab/>
      </w: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75" w:lineRule="auto"/>
        <w:tabs>
          <w:tab w:leader="none" w:pos="1972" w:val="left"/>
        </w:tabs>
        <w:numPr>
          <w:ilvl w:val="0"/>
          <w:numId w:val="11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unpaid principal amount of each ABR Loan (including each Swingline Loan) shall bear interest from the date of the Borrowing thereof until maturity (whether by acceleration or otherwise) at a rate per annum that shall at all times be the Applicable Margin for ABR Loans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ABR, in each case, in effect from time to time.</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11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unpaid principal amount of each SOFR Loan shall bear interest from the date of the Borrowing thereof until maturity thereof (whether by acceleration or otherwise) at a rate per annum that shall at all times be the Applicable Margin for SOFR Loans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relevant Adjusted Term SOFR Rate.</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3" w:lineRule="auto"/>
        <w:tabs>
          <w:tab w:leader="none" w:pos="1972" w:val="left"/>
        </w:tabs>
        <w:numPr>
          <w:ilvl w:val="0"/>
          <w:numId w:val="11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an Event of Default has occurred and is continuing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hereto, 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Times New Roman" w:cs="Times New Roman" w:eastAsia="Times New Roman" w:hAnsi="Times New Roman"/>
          <w:sz w:val="14"/>
          <w:szCs w:val="14"/>
          <w:b w:val="1"/>
          <w:bCs w:val="1"/>
          <w:color w:val="auto"/>
        </w:rPr>
        <w:t>Default Rate</w:t>
      </w:r>
      <w:r>
        <w:rPr>
          <w:rFonts w:ascii="Times New Roman" w:cs="Times New Roman" w:eastAsia="Times New Roman" w:hAnsi="Times New Roman"/>
          <w:sz w:val="14"/>
          <w:szCs w:val="14"/>
          <w:color w:val="auto"/>
        </w:rPr>
        <w:t xml:space="preserve">”) that is (x) in the case of overdue principal, the rate that would otherwise be applicable thereto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2.00% per annum or (y) in the case of any other overdue amount, including overdue interest, to the extent permitted by applicable law, the rate described in </w:t>
      </w:r>
      <w:r>
        <w:rPr>
          <w:rFonts w:ascii="Times New Roman" w:cs="Times New Roman" w:eastAsia="Times New Roman" w:hAnsi="Times New Roman"/>
          <w:sz w:val="14"/>
          <w:szCs w:val="14"/>
          <w:u w:val="single" w:color="auto"/>
          <w:color w:val="auto"/>
        </w:rPr>
        <w:t>Section 2.8(a)</w:t>
      </w:r>
      <w:r>
        <w:rPr>
          <w:rFonts w:ascii="Times New Roman" w:cs="Times New Roman" w:eastAsia="Times New Roman" w:hAnsi="Times New Roman"/>
          <w:sz w:val="14"/>
          <w:szCs w:val="14"/>
          <w:color w:val="auto"/>
        </w:rPr>
        <w:t xml:space="preserve"> for the</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68" w:name="page169"/>
    <w:bookmarkEnd w:id="168"/>
    <w:p>
      <w:pPr>
        <w:ind w:left="1140" w:right="1159"/>
        <w:spacing w:after="0" w:line="195" w:lineRule="exact"/>
        <w:rPr>
          <w:sz w:val="20"/>
          <w:szCs w:val="20"/>
          <w:color w:val="auto"/>
        </w:rPr>
      </w:pPr>
      <w:r>
        <w:rPr>
          <w:rFonts w:ascii="Times New Roman" w:cs="Times New Roman" w:eastAsia="Times New Roman" w:hAnsi="Times New Roman"/>
          <w:sz w:val="14"/>
          <w:szCs w:val="14"/>
          <w:color w:val="auto"/>
        </w:rPr>
        <w:t xml:space="preserve">applicable Class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2.00% per annum from the date of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payment to the date on which such amount is paid in full (after as well as before judgment).</w:t>
      </w:r>
    </w:p>
    <w:p>
      <w:pPr>
        <w:spacing w:after="0" w:line="169" w:lineRule="exact"/>
        <w:rPr>
          <w:sz w:val="20"/>
          <w:szCs w:val="20"/>
          <w:color w:val="auto"/>
        </w:rPr>
      </w:pPr>
    </w:p>
    <w:p>
      <w:pPr>
        <w:jc w:val="both"/>
        <w:ind w:left="1140" w:right="1159" w:firstLine="524"/>
        <w:spacing w:after="0" w:line="260" w:lineRule="auto"/>
        <w:tabs>
          <w:tab w:leader="none" w:pos="1972" w:val="left"/>
        </w:tabs>
        <w:numPr>
          <w:ilvl w:val="0"/>
          <w:numId w:val="12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Interest on each Loan shall accrue from and including the date of any Borrowing to but excluding the date of any repayment thereof and shall be payable in Dollars;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Loan that is repaid on the same date on which it is made shall bear interest for one day. Except as provided below, interest shall be payable (i) in respect of each ABR Loan, quarterly in arrears on the last Business Day of each fiscal quarter of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event of any repayment or prepayment of any Loan, accrued interest on the principal amount repaid or prepaid shall be payable on the date of such repayment or prepayment), (ii) in respect of each SOFR Loan, on the last day of each Interest Period applicable thereto and, in the case of an Interest Period in excess of three months, on each date occurring at three-month intervals after the first day of such Interest Period and (iii) in respect of each Loan, (A) on any prepayment in respect thereof, (B) at maturity (whether by acceleration or otherwise), (C) after such maturity, on demand, and (D) in the event of any conversion of any SOFR Borrowing prior to the end of the Interest Period therefor, on the effective date of such conversion.</w:t>
      </w:r>
    </w:p>
    <w:p>
      <w:pPr>
        <w:spacing w:after="0" w:line="158"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2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All computations of interest hereunder shall be made in accordance with </w:t>
      </w:r>
      <w:r>
        <w:rPr>
          <w:rFonts w:ascii="Times New Roman" w:cs="Times New Roman" w:eastAsia="Times New Roman" w:hAnsi="Times New Roman"/>
          <w:sz w:val="14"/>
          <w:szCs w:val="14"/>
          <w:u w:val="single" w:color="auto"/>
          <w:color w:val="auto"/>
        </w:rPr>
        <w:t>Section 5.5</w:t>
      </w:r>
      <w:r>
        <w:rPr>
          <w:rFonts w:ascii="Times New Roman" w:cs="Times New Roman" w:eastAsia="Times New Roman" w:hAnsi="Times New Roman"/>
          <w:sz w:val="14"/>
          <w:szCs w:val="14"/>
          <w:color w:val="auto"/>
        </w:rPr>
        <w:t>.</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12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2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connection with the use or administration of Term SOFR,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Lenders of the effectiveness of any Conforming Changes in connection with the use or administration of Term SOFR.</w:t>
      </w:r>
    </w:p>
    <w:p>
      <w:pPr>
        <w:spacing w:after="0" w:line="153"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u w:val="single" w:color="auto"/>
          <w:color w:val="auto"/>
        </w:rPr>
        <w:t>2.9 Interest Periods</w:t>
      </w:r>
      <w:r>
        <w:rPr>
          <w:rFonts w:ascii="Times New Roman" w:cs="Times New Roman" w:eastAsia="Times New Roman" w:hAnsi="Times New Roman"/>
          <w:sz w:val="14"/>
          <w:szCs w:val="14"/>
          <w:color w:val="auto"/>
        </w:rPr>
        <w:t xml:space="preserve">. At the time the Borrower gives a Notice of Borrowing or Notice of Conversion or Continuation in respect of the making of, or conversion into or continuation as, a Borrowing of SOFR Loans in accordance with </w:t>
      </w:r>
      <w:r>
        <w:rPr>
          <w:rFonts w:ascii="Times New Roman" w:cs="Times New Roman" w:eastAsia="Times New Roman" w:hAnsi="Times New Roman"/>
          <w:sz w:val="14"/>
          <w:szCs w:val="14"/>
          <w:u w:val="single" w:color="auto"/>
          <w:color w:val="auto"/>
        </w:rPr>
        <w:t>Section 2.6(a)</w:t>
      </w:r>
      <w:r>
        <w:rPr>
          <w:rFonts w:ascii="Times New Roman" w:cs="Times New Roman" w:eastAsia="Times New Roman" w:hAnsi="Times New Roman"/>
          <w:sz w:val="14"/>
          <w:szCs w:val="14"/>
          <w:color w:val="auto"/>
        </w:rPr>
        <w:t>, the Borrower shall give the Administrative Agent written notice of the Interest Period applicable to such Borrowing, which Interest Period shall, at the option of the Borrower, be a one, three or six month period (or if approved by all the Lenders making such SOFR Loans as determined by such Lenders in good faith based on prevailing market conditions, a 12 month or shorter period).</w:t>
      </w:r>
    </w:p>
    <w:p>
      <w:pPr>
        <w:spacing w:after="0" w:line="14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Notwithstanding anything to the contrary contained above:</w:t>
      </w:r>
    </w:p>
    <w:p>
      <w:pPr>
        <w:spacing w:after="0" w:line="194" w:lineRule="exact"/>
        <w:rPr>
          <w:sz w:val="20"/>
          <w:szCs w:val="20"/>
          <w:color w:val="auto"/>
        </w:rPr>
      </w:pPr>
    </w:p>
    <w:p>
      <w:pPr>
        <w:jc w:val="both"/>
        <w:ind w:left="1140" w:right="1159" w:firstLine="524"/>
        <w:spacing w:after="0" w:line="272" w:lineRule="auto"/>
        <w:tabs>
          <w:tab w:leader="none" w:pos="1982" w:val="left"/>
        </w:tabs>
        <w:numPr>
          <w:ilvl w:val="0"/>
          <w:numId w:val="1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32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1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Interest Period in respect of a SOFR Loan would otherwise expire on a day that is not a Business Day but is a day of the month after which no further Business Day occurs in such month, such Interest Period shall expire on the immediately preceding Business Day; and</w:t>
      </w:r>
    </w:p>
    <w:p>
      <w:pPr>
        <w:spacing w:after="0" w:line="152"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0"/>
          <w:numId w:val="1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shall not be entitled to elect any Interest Period in respect of any SOFR Loan if such Interest Period would extend beyond the Maturity Date of such Loan.</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169" w:name="page170"/>
    <w:bookmarkEnd w:id="169"/>
    <w:p>
      <w:pPr>
        <w:ind w:left="1660"/>
        <w:spacing w:after="0"/>
        <w:rPr>
          <w:sz w:val="20"/>
          <w:szCs w:val="20"/>
          <w:color w:val="auto"/>
        </w:rPr>
      </w:pPr>
      <w:r>
        <w:rPr>
          <w:rFonts w:ascii="Times New Roman" w:cs="Times New Roman" w:eastAsia="Times New Roman" w:hAnsi="Times New Roman"/>
          <w:sz w:val="14"/>
          <w:szCs w:val="14"/>
          <w:color w:val="auto"/>
        </w:rPr>
        <w:t xml:space="preserve">2.10 </w:t>
      </w:r>
      <w:r>
        <w:rPr>
          <w:rFonts w:ascii="Times New Roman" w:cs="Times New Roman" w:eastAsia="Times New Roman" w:hAnsi="Times New Roman"/>
          <w:sz w:val="14"/>
          <w:szCs w:val="14"/>
          <w:u w:val="single" w:color="auto"/>
          <w:color w:val="auto"/>
        </w:rPr>
        <w:t>Increased Costs, Illegality, Etc.</w:t>
      </w:r>
    </w:p>
    <w:p>
      <w:pPr>
        <w:spacing w:after="0" w:line="194" w:lineRule="exact"/>
        <w:rPr>
          <w:sz w:val="20"/>
          <w:szCs w:val="20"/>
          <w:color w:val="auto"/>
        </w:rPr>
      </w:pPr>
    </w:p>
    <w:p>
      <w:pPr>
        <w:jc w:val="both"/>
        <w:ind w:left="1140" w:right="1159" w:firstLine="524"/>
        <w:spacing w:after="0" w:line="265" w:lineRule="auto"/>
        <w:tabs>
          <w:tab w:leader="none" w:pos="1982" w:val="left"/>
        </w:tabs>
        <w:numPr>
          <w:ilvl w:val="0"/>
          <w:numId w:val="12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the event that (x) in the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below, the Administrative Agent and (y) in the case of </w:t>
      </w:r>
      <w:r>
        <w:rPr>
          <w:rFonts w:ascii="Times New Roman" w:cs="Times New Roman" w:eastAsia="Times New Roman" w:hAnsi="Times New Roman"/>
          <w:sz w:val="14"/>
          <w:szCs w:val="14"/>
          <w:u w:val="single" w:color="auto"/>
          <w:color w:val="auto"/>
        </w:rPr>
        <w:t>clauses (ii)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below, the Required Term Loan Lenders (with respect to Term Loans), Required 2020 Additional Revolving Credit Lenders (with respect to 2020 Letter of Credit Commitments) or the Required Revolving Credit Lenders (with respect to Revolving Credit Commitments) shall have reasonably determined (which determination shall, absent clearly demonstrable error, be final and conclusive and binding upon all parties hereto):</w:t>
      </w:r>
    </w:p>
    <w:p>
      <w:pPr>
        <w:spacing w:after="0" w:line="327" w:lineRule="exact"/>
        <w:rPr>
          <w:sz w:val="20"/>
          <w:szCs w:val="20"/>
          <w:color w:val="auto"/>
        </w:rPr>
      </w:pPr>
    </w:p>
    <w:p>
      <w:pPr>
        <w:jc w:val="both"/>
        <w:ind w:left="1140" w:right="1159" w:firstLine="524"/>
        <w:spacing w:after="0" w:line="265" w:lineRule="auto"/>
        <w:tabs>
          <w:tab w:leader="none" w:pos="1972" w:val="left"/>
        </w:tabs>
        <w:numPr>
          <w:ilvl w:val="0"/>
          <w:numId w:val="12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on any date for determining the Adjusted Term SOFR Rate for any Interest Period that (x) deposits in the principal amounts and currencies of the Loans comprising such SOFR Borrowing are not generally available in the relevant market or (y) by reason of any changes arising on or after the Closing Date affecting the applicable interbank market, adequate and fair means do not exist for ascertaining the applicable interest rate on the basis provided for in the definition of Adjusted Term SOFR Rate; or</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86" w:lineRule="auto"/>
        <w:tabs>
          <w:tab w:leader="none" w:pos="1982" w:val="left"/>
        </w:tabs>
        <w:numPr>
          <w:ilvl w:val="0"/>
          <w:numId w:val="12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at any time, that such Lenders shall incur increased costs or reductions in the amounts received or receivable hereunder with respect to any SOFR Loans other than with respect to Taxes because of any Change in Law;</w:t>
      </w:r>
    </w:p>
    <w:p>
      <w:pPr>
        <w:spacing w:after="0" w:line="315"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93" w:val="left"/>
        </w:tabs>
        <w:numPr>
          <w:ilvl w:val="0"/>
          <w:numId w:val="12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that, due to a Change in Law, which shall subject any such Lenders to any Tax (other than (1) Indemnified Taxes, (2) Excluded Taxes or (3) Other Taxes) on its loans, loan principal, letters of credits, commitments or other obligations, or its deposits, reserves, other liabilities or capital attributable thereto; or</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72" w:val="left"/>
        </w:tabs>
        <w:numPr>
          <w:ilvl w:val="0"/>
          <w:numId w:val="12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at any time, that the making or continuance of any SOFR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Closing Date that materially and adversely affects the applicable interbank market;</w:t>
      </w:r>
    </w:p>
    <w:p>
      <w:pPr>
        <w:spacing w:after="0" w:line="142" w:lineRule="exact"/>
        <w:rPr>
          <w:sz w:val="20"/>
          <w:szCs w:val="20"/>
          <w:color w:val="auto"/>
        </w:rPr>
      </w:pPr>
    </w:p>
    <w:p>
      <w:pPr>
        <w:ind w:left="1140" w:right="1179"/>
        <w:spacing w:after="0" w:line="258" w:lineRule="auto"/>
        <w:rPr>
          <w:sz w:val="20"/>
          <w:szCs w:val="20"/>
          <w:color w:val="auto"/>
        </w:rPr>
      </w:pPr>
      <w:r>
        <w:rPr>
          <w:rFonts w:ascii="Times New Roman" w:cs="Times New Roman" w:eastAsia="Times New Roman" w:hAnsi="Times New Roman"/>
          <w:sz w:val="14"/>
          <w:szCs w:val="14"/>
          <w:color w:val="auto"/>
        </w:rPr>
        <w:t>(such Loans, “</w:t>
      </w:r>
      <w:r>
        <w:rPr>
          <w:rFonts w:ascii="Times New Roman" w:cs="Times New Roman" w:eastAsia="Times New Roman" w:hAnsi="Times New Roman"/>
          <w:sz w:val="14"/>
          <w:szCs w:val="14"/>
          <w:b w:val="1"/>
          <w:bCs w:val="1"/>
          <w:color w:val="auto"/>
        </w:rPr>
        <w:t>Impacted Loans</w:t>
      </w:r>
      <w:r>
        <w:rPr>
          <w:rFonts w:ascii="Times New Roman" w:cs="Times New Roman" w:eastAsia="Times New Roman" w:hAnsi="Times New Roman"/>
          <w:sz w:val="14"/>
          <w:szCs w:val="14"/>
          <w:color w:val="auto"/>
        </w:rPr>
        <w:t xml:space="preserve">”), then, and in any such event, such Required Term Loan Lenders, Required 2020 Additional Revolving Credit Lenders or Required Revolving Credit Lenders, as applicable (or the Administrative Agent, in the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shall within a reasonable time thereafter give notice (if by telephone, confirmed in writing) to the Borrower and to the Administrative Agent of such determination (which notice the Administrative Agent shall promptly transmit to each of the other Lenders). Thereafter (x) in the case of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SOFR Loans shall no longer be available until such time as the Administrative Agent notifies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or Continuation given by the Borrower with respect to SOFR Loans that have not yet been incurred shall be deemed rescinded by the Borrower, (y) in the case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the Borrower shall pay to such Lenders, promptly after receipt of written demand therefor such additional amounts (in the form of an increased rate of, or a different method of calculating, interest or otherwise as such Required Term Loan Lenders, Required 2020 Additional Revolving Credit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 (z) in the case of </w:t>
      </w:r>
      <w:r>
        <w:rPr>
          <w:rFonts w:ascii="Times New Roman" w:cs="Times New Roman" w:eastAsia="Times New Roman" w:hAnsi="Times New Roman"/>
          <w:sz w:val="14"/>
          <w:szCs w:val="14"/>
          <w:u w:val="single" w:color="auto"/>
          <w:color w:val="auto"/>
        </w:rPr>
        <w:t>subclauses (iii)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above, the Borrower shall take one of the actions specified in </w:t>
      </w:r>
      <w:r>
        <w:rPr>
          <w:rFonts w:ascii="Times New Roman" w:cs="Times New Roman" w:eastAsia="Times New Roman" w:hAnsi="Times New Roman"/>
          <w:sz w:val="14"/>
          <w:szCs w:val="14"/>
          <w:u w:val="single" w:color="auto"/>
          <w:color w:val="auto"/>
        </w:rPr>
        <w:t>subclause (x)</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(y)</w:t>
      </w:r>
      <w:r>
        <w:rPr>
          <w:rFonts w:ascii="Times New Roman" w:cs="Times New Roman" w:eastAsia="Times New Roman" w:hAnsi="Times New Roman"/>
          <w:sz w:val="14"/>
          <w:szCs w:val="14"/>
          <w:color w:val="auto"/>
        </w:rPr>
        <w:t xml:space="preserve">, as applicable, of </w:t>
      </w:r>
      <w:r>
        <w:rPr>
          <w:rFonts w:ascii="Times New Roman" w:cs="Times New Roman" w:eastAsia="Times New Roman" w:hAnsi="Times New Roman"/>
          <w:sz w:val="14"/>
          <w:szCs w:val="14"/>
          <w:u w:val="single" w:color="auto"/>
          <w:color w:val="auto"/>
        </w:rPr>
        <w:t>Section 2.10(b)</w:t>
      </w:r>
      <w:r>
        <w:rPr>
          <w:rFonts w:ascii="Times New Roman" w:cs="Times New Roman" w:eastAsia="Times New Roman" w:hAnsi="Times New Roman"/>
          <w:sz w:val="14"/>
          <w:szCs w:val="14"/>
          <w:color w:val="auto"/>
        </w:rPr>
        <w:t xml:space="preserve"> promptly and, in any event, within the time period required by law.</w:t>
      </w:r>
    </w:p>
    <w:p>
      <w:pPr>
        <w:spacing w:after="0" w:line="329" w:lineRule="exact"/>
        <w:rPr>
          <w:sz w:val="20"/>
          <w:szCs w:val="20"/>
          <w:color w:val="auto"/>
        </w:rPr>
      </w:pPr>
    </w:p>
    <w:p>
      <w:pPr>
        <w:ind w:left="1140" w:right="1199" w:firstLine="1033"/>
        <w:spacing w:after="0" w:line="261" w:lineRule="auto"/>
        <w:rPr>
          <w:sz w:val="20"/>
          <w:szCs w:val="20"/>
          <w:color w:val="auto"/>
        </w:rPr>
      </w:pPr>
      <w:r>
        <w:rPr>
          <w:rFonts w:ascii="Times New Roman" w:cs="Times New Roman" w:eastAsia="Times New Roman" w:hAnsi="Times New Roman"/>
          <w:sz w:val="14"/>
          <w:szCs w:val="14"/>
          <w:color w:val="auto"/>
        </w:rPr>
        <w:t xml:space="preserve">Notwithstanding the foregoing, if the Administrative Agent has made the determination described in </w:t>
      </w:r>
      <w:r>
        <w:rPr>
          <w:rFonts w:ascii="Times New Roman" w:cs="Times New Roman" w:eastAsia="Times New Roman" w:hAnsi="Times New Roman"/>
          <w:sz w:val="14"/>
          <w:szCs w:val="14"/>
          <w:u w:val="single" w:color="auto"/>
          <w:color w:val="auto"/>
        </w:rPr>
        <w:t>Section 2.10(a)(i)(x)</w:t>
      </w:r>
      <w:r>
        <w:rPr>
          <w:rFonts w:ascii="Times New Roman" w:cs="Times New Roman" w:eastAsia="Times New Roman" w:hAnsi="Times New Roman"/>
          <w:sz w:val="14"/>
          <w:szCs w:val="14"/>
          <w:color w:val="auto"/>
        </w:rPr>
        <w:t xml:space="preserve">, the Administrative Agent, in consultation with the Borrower and the affected Lenders, may establish an alternative interest rate for the Impacted Loans (which rate shall not be negative), in which case, such alternative rate of interest shall apply with respect to the Impacted Loans until (1) the Administrative Agent revokes the notice delivered with respect to the Impacted Loans under </w:t>
      </w:r>
      <w:r>
        <w:rPr>
          <w:rFonts w:ascii="Times New Roman" w:cs="Times New Roman" w:eastAsia="Times New Roman" w:hAnsi="Times New Roman"/>
          <w:sz w:val="14"/>
          <w:szCs w:val="14"/>
          <w:u w:val="single" w:color="auto"/>
          <w:color w:val="auto"/>
        </w:rPr>
        <w:t>clause (x)</w:t>
      </w:r>
      <w:r>
        <w:rPr>
          <w:rFonts w:ascii="Times New Roman" w:cs="Times New Roman" w:eastAsia="Times New Roman" w:hAnsi="Times New Roman"/>
          <w:sz w:val="14"/>
          <w:szCs w:val="14"/>
          <w:color w:val="auto"/>
        </w:rPr>
        <w:t xml:space="preserve"> of the first sentence of the immediately preceding paragraph, (2) the Administrative Agent or the affected Lenders notify the Administrative Agent and the Borrower that such alternative interest rate does not adequately and fairly reflect the cost to such Lenders of funding the Impacted Loans, or (3) any Lender determines that any law has made it unlawful, or that any Governmental</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170" w:name="page171"/>
    <w:bookmarkEnd w:id="170"/>
    <w:p>
      <w:pPr>
        <w:jc w:val="both"/>
        <w:ind w:left="1140" w:right="1199"/>
        <w:spacing w:after="0" w:line="268" w:lineRule="auto"/>
        <w:rPr>
          <w:sz w:val="20"/>
          <w:szCs w:val="20"/>
          <w:color w:val="auto"/>
        </w:rPr>
      </w:pPr>
      <w:r>
        <w:rPr>
          <w:rFonts w:ascii="Times New Roman" w:cs="Times New Roman" w:eastAsia="Times New Roman" w:hAnsi="Times New Roman"/>
          <w:sz w:val="14"/>
          <w:szCs w:val="14"/>
          <w:color w:val="auto"/>
        </w:rPr>
        <w:t>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52" w:lineRule="exact"/>
        <w:rPr>
          <w:sz w:val="20"/>
          <w:szCs w:val="20"/>
          <w:color w:val="auto"/>
        </w:rPr>
      </w:pPr>
    </w:p>
    <w:p>
      <w:pPr>
        <w:jc w:val="both"/>
        <w:ind w:left="1140" w:right="1159" w:firstLine="524"/>
        <w:spacing w:after="0" w:line="261" w:lineRule="auto"/>
        <w:tabs>
          <w:tab w:leader="none" w:pos="1972" w:val="left"/>
        </w:tabs>
        <w:numPr>
          <w:ilvl w:val="0"/>
          <w:numId w:val="12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At any time that any SOFR Loan is affected by the circumstances described in </w:t>
      </w:r>
      <w:r>
        <w:rPr>
          <w:rFonts w:ascii="Times New Roman" w:cs="Times New Roman" w:eastAsia="Times New Roman" w:hAnsi="Times New Roman"/>
          <w:sz w:val="14"/>
          <w:szCs w:val="14"/>
          <w:u w:val="single" w:color="auto"/>
          <w:color w:val="auto"/>
        </w:rPr>
        <w:t>Section 2.10(a)(ii)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the Borrower may (and in the case of a SOFR Loan affected pursuant to </w:t>
      </w:r>
      <w:r>
        <w:rPr>
          <w:rFonts w:ascii="Times New Roman" w:cs="Times New Roman" w:eastAsia="Times New Roman" w:hAnsi="Times New Roman"/>
          <w:sz w:val="14"/>
          <w:szCs w:val="14"/>
          <w:u w:val="single" w:color="auto"/>
          <w:color w:val="auto"/>
        </w:rPr>
        <w:t>Section 2.10(a)(iii)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shall) either (x) if a Notice of Borrowing or Notice of Conversion or Continuation with respect to the affected SOFR Loan has been submitted pursuant to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 xml:space="preserve"> but the affected SOFR Loan has not been funded or continued, cancel such requested Borrowing by giving the Administrative Agent written notice thereof on the same date that the Borrower was notified by Lenders pursuant to </w:t>
      </w:r>
      <w:r>
        <w:rPr>
          <w:rFonts w:ascii="Times New Roman" w:cs="Times New Roman" w:eastAsia="Times New Roman" w:hAnsi="Times New Roman"/>
          <w:sz w:val="14"/>
          <w:szCs w:val="14"/>
          <w:u w:val="single" w:color="auto"/>
          <w:color w:val="auto"/>
        </w:rPr>
        <w:t>Section 2.10(a)(ii)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(iv)</w:t>
      </w:r>
      <w:r>
        <w:rPr>
          <w:rFonts w:ascii="Times New Roman" w:cs="Times New Roman" w:eastAsia="Times New Roman" w:hAnsi="Times New Roman"/>
          <w:sz w:val="14"/>
          <w:szCs w:val="14"/>
          <w:color w:val="auto"/>
        </w:rPr>
        <w:t xml:space="preserve"> or (y) if the affected SOFR Loan is then outstanding, upon at least three U.S. Government Securities Business Days’ notice to the Administrative Agent, require the affected Lender to convert each such SOFR Loan into an ABR Loan;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more than one Lender is affected at any time, then all affected Lenders must be treated in the same manner pursuant to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2.10(b)</w:t>
      </w:r>
      <w:r>
        <w:rPr>
          <w:rFonts w:ascii="Times New Roman" w:cs="Times New Roman" w:eastAsia="Times New Roman" w:hAnsi="Times New Roman"/>
          <w:sz w:val="14"/>
          <w:szCs w:val="14"/>
          <w:color w:val="auto"/>
        </w:rPr>
        <w:t>.</w:t>
      </w:r>
    </w:p>
    <w:p>
      <w:pPr>
        <w:spacing w:after="0" w:line="328"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72" w:val="left"/>
        </w:tabs>
        <w:numPr>
          <w:ilvl w:val="0"/>
          <w:numId w:val="12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after the Closing Date, any Change in Law relating to capital adequacy or liquidity of any Lender or compliance by any Lender or its parent with any Change in Law relating to capital adequacy or liquidity occurring after the Closing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written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as a result of such Lender’s compliance with, or pursuant to any request or directive to comply with, any law, rule or regulation as in effect on the Closing Date or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Times New Roman" w:cs="Times New Roman" w:eastAsia="Times New Roman" w:hAnsi="Times New Roman"/>
          <w:sz w:val="14"/>
          <w:szCs w:val="14"/>
          <w:u w:val="single" w:color="auto"/>
          <w:color w:val="auto"/>
        </w:rPr>
        <w:t>Section 2.10(c)</w:t>
      </w:r>
      <w:r>
        <w:rPr>
          <w:rFonts w:ascii="Times New Roman" w:cs="Times New Roman" w:eastAsia="Times New Roman" w:hAnsi="Times New Roman"/>
          <w:sz w:val="14"/>
          <w:szCs w:val="14"/>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Times New Roman" w:cs="Times New Roman" w:eastAsia="Times New Roman" w:hAnsi="Times New Roman"/>
          <w:sz w:val="14"/>
          <w:szCs w:val="14"/>
          <w:u w:val="single" w:color="auto"/>
          <w:color w:val="auto"/>
        </w:rPr>
        <w:t>Section 2.13</w:t>
      </w:r>
      <w:r>
        <w:rPr>
          <w:rFonts w:ascii="Times New Roman" w:cs="Times New Roman" w:eastAsia="Times New Roman" w:hAnsi="Times New Roman"/>
          <w:sz w:val="14"/>
          <w:szCs w:val="14"/>
          <w:color w:val="auto"/>
        </w:rPr>
        <w:t xml:space="preserve">, release or diminish the Borrower’s obligations to pay additional amounts pursuant to this </w:t>
      </w:r>
      <w:r>
        <w:rPr>
          <w:rFonts w:ascii="Times New Roman" w:cs="Times New Roman" w:eastAsia="Times New Roman" w:hAnsi="Times New Roman"/>
          <w:sz w:val="14"/>
          <w:szCs w:val="14"/>
          <w:u w:val="single" w:color="auto"/>
          <w:color w:val="auto"/>
        </w:rPr>
        <w:t>Section 2.10(c)</w:t>
      </w:r>
      <w:r>
        <w:rPr>
          <w:rFonts w:ascii="Times New Roman" w:cs="Times New Roman" w:eastAsia="Times New Roman" w:hAnsi="Times New Roman"/>
          <w:sz w:val="14"/>
          <w:szCs w:val="14"/>
          <w:color w:val="auto"/>
        </w:rPr>
        <w:t xml:space="preserve"> promptly following receipt of such notice.</w:t>
      </w:r>
    </w:p>
    <w:p>
      <w:pPr>
        <w:spacing w:after="0" w:line="339" w:lineRule="exact"/>
        <w:rPr>
          <w:rFonts w:ascii="Times New Roman" w:cs="Times New Roman" w:eastAsia="Times New Roman" w:hAnsi="Times New Roman"/>
          <w:sz w:val="14"/>
          <w:szCs w:val="14"/>
          <w:color w:val="010000"/>
        </w:rPr>
      </w:pPr>
    </w:p>
    <w:p>
      <w:pPr>
        <w:jc w:val="both"/>
        <w:ind w:left="1140" w:right="1159" w:firstLine="524"/>
        <w:spacing w:after="0" w:line="260" w:lineRule="auto"/>
        <w:tabs>
          <w:tab w:leader="none" w:pos="1982" w:val="left"/>
        </w:tabs>
        <w:numPr>
          <w:ilvl w:val="0"/>
          <w:numId w:val="12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the Administrative Agent shall have received notice from the Required Lenders that the Adjusted Term SOFR Rate determined or to be determined for such Interest Period will not adequately and fairly reflect the cost to such Lenders (as certified by such Lenders) of making or maintaining its affected SOFR Loans during such Interest Period, the Administrative Agent shall give telecopy or telephonic notice thereof to the Borrower and the Lenders as soon as practicable thereafter (which notice shall include supporting calculations in reasonable detail). If such notice is given, (i) any SOFR Loan requested to be made on the first day of such Interest Period shall be made an ABR Loan, (ii) any Loans that were to have been converted on the first day of such Interest Period to SOFR Loans shall be continued as an ABR Loan and (iii) any outstanding SOFR Loans shall be converted, on the first day of such Interest Period, to ABR Loans. Until such notice has been withdrawn by the Administrative Agent, no further SOFR Loans shall be made or continued as such, nor shall the Borrower have the right to convert ABR Loans to SOFR Loans.</w:t>
      </w:r>
    </w:p>
    <w:p>
      <w:pPr>
        <w:spacing w:after="0" w:line="333" w:lineRule="exact"/>
        <w:rPr>
          <w:sz w:val="20"/>
          <w:szCs w:val="20"/>
          <w:color w:val="auto"/>
        </w:rPr>
      </w:pPr>
    </w:p>
    <w:p>
      <w:pPr>
        <w:jc w:val="both"/>
        <w:ind w:left="1140" w:right="1159" w:firstLine="517"/>
        <w:spacing w:after="0" w:line="260" w:lineRule="auto"/>
        <w:rPr>
          <w:sz w:val="20"/>
          <w:szCs w:val="20"/>
          <w:color w:val="auto"/>
        </w:rPr>
      </w:pPr>
      <w:r>
        <w:rPr>
          <w:rFonts w:ascii="Times New Roman" w:cs="Times New Roman" w:eastAsia="Times New Roman" w:hAnsi="Times New Roman"/>
          <w:sz w:val="14"/>
          <w:szCs w:val="14"/>
          <w:u w:val="single" w:color="auto"/>
          <w:color w:val="auto"/>
        </w:rPr>
        <w:t>2.11 Compensation</w:t>
      </w:r>
      <w:r>
        <w:rPr>
          <w:rFonts w:ascii="Times New Roman" w:cs="Times New Roman" w:eastAsia="Times New Roman" w:hAnsi="Times New Roman"/>
          <w:sz w:val="14"/>
          <w:szCs w:val="14"/>
          <w:color w:val="auto"/>
        </w:rPr>
        <w:t xml:space="preserve">. If (a) any payment of principal of any SOFR Loan is made by the Borrower to or for the account of a Lender other than on the last day of the Interest Period for such SOFR Loan as a result of a payment or conversion pursuant to </w:t>
      </w:r>
      <w:r>
        <w:rPr>
          <w:rFonts w:ascii="Times New Roman" w:cs="Times New Roman" w:eastAsia="Times New Roman" w:hAnsi="Times New Roman"/>
          <w:sz w:val="14"/>
          <w:szCs w:val="14"/>
          <w:u w:val="single" w:color="auto"/>
          <w:color w:val="auto"/>
        </w:rPr>
        <w:t>Sections 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13.7</w:t>
      </w:r>
      <w:r>
        <w:rPr>
          <w:rFonts w:ascii="Times New Roman" w:cs="Times New Roman" w:eastAsia="Times New Roman" w:hAnsi="Times New Roman"/>
          <w:sz w:val="14"/>
          <w:szCs w:val="14"/>
          <w:color w:val="auto"/>
        </w:rPr>
        <w:t xml:space="preserve">, as a result of acceleration of the maturity of the Loans pursuant to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or for any other reason, (b) any Borrowing of SOFR Loans is not made as a result of a withdrawn Notice of Borrowing or a failure to satisfy borrowing conditions, (c) any ABR Loan is not converted into SOFR Loan as a result of a withdrawn Notice of Conversion or Continuation, (d) any SOFR Loan is not continued as SOFR Loan, as the case may be, as a result of a withdrawn Notice of Conversion or Continuation or (e) any prepayment of principal of any SOFR Loan is not made as a result of a withdrawn notice of prepayment pursuant to </w:t>
      </w:r>
      <w:r>
        <w:rPr>
          <w:rFonts w:ascii="Times New Roman" w:cs="Times New Roman" w:eastAsia="Times New Roman" w:hAnsi="Times New Roman"/>
          <w:sz w:val="14"/>
          <w:szCs w:val="14"/>
          <w:u w:val="single" w:color="auto"/>
          <w:color w:val="auto"/>
        </w:rPr>
        <w:t>Sections 5.1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5.2</w:t>
      </w:r>
      <w:r>
        <w:rPr>
          <w:rFonts w:ascii="Times New Roman" w:cs="Times New Roman" w:eastAsia="Times New Roman" w:hAnsi="Times New Roman"/>
          <w:sz w:val="14"/>
          <w:szCs w:val="14"/>
          <w:color w:val="auto"/>
        </w:rPr>
        <w:t>,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w:t>
      </w:r>
    </w:p>
    <w:p>
      <w:pPr>
        <w:spacing w:after="0" w:line="40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1" w:name="page172"/>
    <w:bookmarkEnd w:id="171"/>
    <w:p>
      <w:pPr>
        <w:jc w:val="both"/>
        <w:ind w:left="1140" w:right="1159"/>
        <w:spacing w:after="0" w:line="262" w:lineRule="auto"/>
        <w:rPr>
          <w:sz w:val="20"/>
          <w:szCs w:val="20"/>
          <w:color w:val="auto"/>
        </w:rPr>
      </w:pPr>
      <w:r>
        <w:rPr>
          <w:rFonts w:ascii="Times New Roman" w:cs="Times New Roman" w:eastAsia="Times New Roman" w:hAnsi="Times New Roman"/>
          <w:sz w:val="14"/>
          <w:szCs w:val="14"/>
          <w:color w:val="auto"/>
        </w:rPr>
        <w:t xml:space="preserve">Lender may reasonably incur as a result of such payment, failure to convert, failure to continue or failure to prepay, including any loss, cost or expense (excluding loss of anticipated profits) actually incurred by reason of the liquidation or reemployment of deposits or other funds acquired by any Lender to fund or maintain such SOFR Loan. A certificate of a Lender setting forth the amount or amounts necessary to compensate such Lender as specified in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and setting forth in reasonable detail the manner in which such amount or amounts were determined shall be delivered to the Borrower and shall be conclusive, absent manifest error. The obligations of the Borrower under this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shall survive the payment in full of the Loans and the termination of this Agreement.</w:t>
      </w:r>
    </w:p>
    <w:p>
      <w:pPr>
        <w:spacing w:after="0" w:line="330"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2.12 Change of Lending Office</w:t>
      </w:r>
      <w:r>
        <w:rPr>
          <w:rFonts w:ascii="Times New Roman" w:cs="Times New Roman" w:eastAsia="Times New Roman" w:hAnsi="Times New Roman"/>
          <w:sz w:val="14"/>
          <w:szCs w:val="14"/>
          <w:color w:val="auto"/>
        </w:rPr>
        <w:t xml:space="preserve">. Each Lender agrees that, upon the occurrence of any event giving rise to the operation of </w:t>
      </w:r>
      <w:r>
        <w:rPr>
          <w:rFonts w:ascii="Times New Roman" w:cs="Times New Roman" w:eastAsia="Times New Roman" w:hAnsi="Times New Roman"/>
          <w:sz w:val="14"/>
          <w:szCs w:val="14"/>
          <w:u w:val="single" w:color="auto"/>
          <w:color w:val="auto"/>
        </w:rPr>
        <w:t>Sections 2.10(a)(ii)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2.10(a)(iii)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2.10(b)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Times New Roman" w:cs="Times New Roman" w:eastAsia="Times New Roman" w:hAnsi="Times New Roman"/>
          <w:sz w:val="14"/>
          <w:szCs w:val="14"/>
          <w:u w:val="single" w:color="auto"/>
          <w:color w:val="auto"/>
        </w:rPr>
        <w:t>Section 2.12</w:t>
      </w:r>
      <w:r>
        <w:rPr>
          <w:rFonts w:ascii="Times New Roman" w:cs="Times New Roman" w:eastAsia="Times New Roman" w:hAnsi="Times New Roman"/>
          <w:sz w:val="14"/>
          <w:szCs w:val="14"/>
          <w:color w:val="auto"/>
        </w:rPr>
        <w:t xml:space="preserve"> shall affect or postpone any of the obligations of the Borrower or the right of any Lender provided in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w:t>
      </w:r>
    </w:p>
    <w:p>
      <w:pPr>
        <w:spacing w:after="0" w:line="160"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u w:val="single" w:color="auto"/>
          <w:color w:val="auto"/>
        </w:rPr>
        <w:t>2.13 Notice of Certain Costs</w:t>
      </w:r>
      <w:r>
        <w:rPr>
          <w:rFonts w:ascii="Times New Roman" w:cs="Times New Roman" w:eastAsia="Times New Roman" w:hAnsi="Times New Roman"/>
          <w:sz w:val="14"/>
          <w:szCs w:val="14"/>
          <w:color w:val="auto"/>
        </w:rPr>
        <w:t xml:space="preserve">. Notwithstanding anything in this Agreement to the contrary, to the extent any notice required by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is given by any Lender more than 120 days after such Lender has knowledge (or should have had knowledge) of the occurrence of the event giving rise to the additional cost, reduction in amounts, loss, or other additional amounts described in such Sections, such Lender shall not be entitled to compensation under Sections </w:t>
      </w:r>
      <w:r>
        <w:rPr>
          <w:rFonts w:ascii="Times New Roman" w:cs="Times New Roman" w:eastAsia="Times New Roman" w:hAnsi="Times New Roman"/>
          <w:sz w:val="14"/>
          <w:szCs w:val="14"/>
          <w:u w:val="single" w:color="auto"/>
          <w:color w:val="auto"/>
        </w:rPr>
        <w:t>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as the case may be, for any such amounts incurred or accruing prior to the 121st day prior to the giving of such notice to the Borrower.</w:t>
      </w:r>
    </w:p>
    <w:p>
      <w:pPr>
        <w:spacing w:after="0" w:line="15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2.14 </w:t>
      </w:r>
      <w:r>
        <w:rPr>
          <w:rFonts w:ascii="Times New Roman" w:cs="Times New Roman" w:eastAsia="Times New Roman" w:hAnsi="Times New Roman"/>
          <w:sz w:val="14"/>
          <w:szCs w:val="14"/>
          <w:u w:val="single" w:color="auto"/>
          <w:color w:val="auto"/>
        </w:rPr>
        <w:t>Incremental Facilities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7" w:lineRule="auto"/>
        <w:tabs>
          <w:tab w:leader="none" w:pos="1982" w:val="left"/>
        </w:tabs>
        <w:numPr>
          <w:ilvl w:val="0"/>
          <w:numId w:val="12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may, by written notice to Administrative Agent, elect to request the establishment of one or more (x) additional tranches of term loans or increases in Term Loans of any Class (the commitments thereto, the “</w:t>
      </w:r>
      <w:r>
        <w:rPr>
          <w:rFonts w:ascii="Times New Roman" w:cs="Times New Roman" w:eastAsia="Times New Roman" w:hAnsi="Times New Roman"/>
          <w:sz w:val="14"/>
          <w:szCs w:val="14"/>
          <w:b w:val="1"/>
          <w:bCs w:val="1"/>
          <w:color w:val="auto"/>
        </w:rPr>
        <w:t>New Term Loan Commitments</w:t>
      </w:r>
      <w:r>
        <w:rPr>
          <w:rFonts w:ascii="Times New Roman" w:cs="Times New Roman" w:eastAsia="Times New Roman" w:hAnsi="Times New Roman"/>
          <w:sz w:val="14"/>
          <w:szCs w:val="14"/>
          <w:color w:val="auto"/>
        </w:rPr>
        <w:t>”), (y) increases in Revolving Credit Commitments of any Class (the “</w:t>
      </w:r>
      <w:r>
        <w:rPr>
          <w:rFonts w:ascii="Times New Roman" w:cs="Times New Roman" w:eastAsia="Times New Roman" w:hAnsi="Times New Roman"/>
          <w:sz w:val="14"/>
          <w:szCs w:val="14"/>
          <w:b w:val="1"/>
          <w:bCs w:val="1"/>
          <w:color w:val="auto"/>
        </w:rPr>
        <w:t>New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Revolving Credit Commitments</w:t>
      </w:r>
      <w:r>
        <w:rPr>
          <w:rFonts w:ascii="Times New Roman" w:cs="Times New Roman" w:eastAsia="Times New Roman" w:hAnsi="Times New Roman"/>
          <w:sz w:val="14"/>
          <w:szCs w:val="14"/>
          <w:color w:val="auto"/>
        </w:rPr>
        <w:t>”), and/or (z) additional tranches of Revolving Credit Commitments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Additional Revolving Credit Commitments</w:t>
      </w:r>
      <w:r>
        <w:rPr>
          <w:rFonts w:ascii="Times New Roman" w:cs="Times New Roman" w:eastAsia="Times New Roman" w:hAnsi="Times New Roman"/>
          <w:sz w:val="14"/>
          <w:szCs w:val="14"/>
          <w:color w:val="auto"/>
        </w:rPr>
        <w:t>” and, together with the New Revolving Credit Commitments, the “</w:t>
      </w:r>
      <w:r>
        <w:rPr>
          <w:rFonts w:ascii="Times New Roman" w:cs="Times New Roman" w:eastAsia="Times New Roman" w:hAnsi="Times New Roman"/>
          <w:sz w:val="14"/>
          <w:szCs w:val="14"/>
          <w:b w:val="1"/>
          <w:bCs w:val="1"/>
          <w:color w:val="auto"/>
        </w:rPr>
        <w:t>Incremental Revolving Credit Commitments</w:t>
      </w:r>
      <w:r>
        <w:rPr>
          <w:rFonts w:ascii="Times New Roman" w:cs="Times New Roman" w:eastAsia="Times New Roman" w:hAnsi="Times New Roman"/>
          <w:sz w:val="14"/>
          <w:szCs w:val="14"/>
          <w:color w:val="auto"/>
        </w:rPr>
        <w:t>”; together with the New Term Loan Commitments and the New Revolving Credit Commitments, the “</w:t>
      </w:r>
      <w:r>
        <w:rPr>
          <w:rFonts w:ascii="Times New Roman" w:cs="Times New Roman" w:eastAsia="Times New Roman" w:hAnsi="Times New Roman"/>
          <w:sz w:val="14"/>
          <w:szCs w:val="14"/>
          <w:b w:val="1"/>
          <w:bCs w:val="1"/>
          <w:color w:val="auto"/>
        </w:rPr>
        <w:t>New Loan Commitments</w:t>
      </w:r>
      <w:r>
        <w:rPr>
          <w:rFonts w:ascii="Times New Roman" w:cs="Times New Roman" w:eastAsia="Times New Roman" w:hAnsi="Times New Roman"/>
          <w:sz w:val="14"/>
          <w:szCs w:val="14"/>
          <w:color w:val="auto"/>
        </w:rPr>
        <w:t xml:space="preserve">”) by an aggregate amount not in excess of the 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which may be incurred in Dollars, Euros or Pounds Sterling. In connection with the incurrence of any Indebtedness under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and, subject to reclassification as set forth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classify such Indebtedness as being incurred </w:t>
      </w:r>
      <w:r>
        <w:rPr>
          <w:rFonts w:ascii="Times New Roman" w:cs="Times New Roman" w:eastAsia="Times New Roman" w:hAnsi="Times New Roman"/>
          <w:sz w:val="14"/>
          <w:szCs w:val="14"/>
          <w:color w:val="FF0000"/>
          <w:strike w:val="1"/>
        </w:rPr>
        <w:t>under</w:t>
      </w:r>
      <w:r>
        <w:rPr>
          <w:rFonts w:ascii="Times New Roman" w:cs="Times New Roman" w:eastAsia="Times New Roman" w:hAnsi="Times New Roman"/>
          <w:sz w:val="14"/>
          <w:szCs w:val="14"/>
          <w:u w:val="single" w:color="auto"/>
          <w:color w:val="0000FF"/>
        </w:rPr>
        <w:t>pursuant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the applicable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clause(</w:t>
      </w:r>
      <w:r>
        <w:rPr>
          <w:rFonts w:ascii="Times New Roman" w:cs="Times New Roman" w:eastAsia="Times New Roman" w:hAnsi="Times New Roman"/>
          <w:sz w:val="14"/>
          <w:szCs w:val="14"/>
          <w:u w:val="single" w:color="auto"/>
          <w:color w:val="FF0000"/>
          <w:strike w:val="1"/>
        </w:rPr>
        <w:t>i)</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FF0000"/>
          <w:strike w:val="1"/>
        </w:rPr>
        <w:t>clause (ii</w:t>
      </w:r>
      <w:r>
        <w:rPr>
          <w:rFonts w:ascii="Times New Roman" w:cs="Times New Roman" w:eastAsia="Times New Roman" w:hAnsi="Times New Roman"/>
          <w:sz w:val="14"/>
          <w:szCs w:val="14"/>
          <w:u w:val="single" w:color="auto"/>
          <w:color w:val="0000FF"/>
        </w:rPr>
        <w:t>s</w:t>
      </w:r>
      <w:r>
        <w:rPr>
          <w:rFonts w:ascii="Times New Roman" w:cs="Times New Roman" w:eastAsia="Times New Roman" w:hAnsi="Times New Roman"/>
          <w:sz w:val="14"/>
          <w:szCs w:val="14"/>
          <w:color w:val="000000"/>
        </w:rPr>
        <w:t>) of the definition of Maximum Incremental Facilities Amount. The Borrower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may approach any Lender or any Person (other than a natural Person) to provide all or a portion of the New Loan Commitments, subject, if applicable, to the proviso to </w:t>
      </w:r>
      <w:r>
        <w:rPr>
          <w:rFonts w:ascii="Times New Roman" w:cs="Times New Roman" w:eastAsia="Times New Roman" w:hAnsi="Times New Roman"/>
          <w:sz w:val="14"/>
          <w:szCs w:val="14"/>
          <w:u w:val="single" w:color="auto"/>
          <w:color w:val="000000"/>
        </w:rPr>
        <w:t>Section 2.14(b)</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00"/>
        </w:rPr>
        <w:t>provided</w:t>
      </w:r>
      <w:r>
        <w:rPr>
          <w:rFonts w:ascii="Times New Roman" w:cs="Times New Roman" w:eastAsia="Times New Roman" w:hAnsi="Times New Roman"/>
          <w:sz w:val="14"/>
          <w:szCs w:val="14"/>
          <w:color w:val="000000"/>
        </w:rPr>
        <w:t xml:space="preserve"> that any Lender offered or approached to provide all or a portion of the New Loan Commitments may elect or decline, in its sole discretion, to provide a New Loan Commitment. In each case, on each applicable Increased Amount Date (subject to </w:t>
      </w:r>
      <w:r>
        <w:rPr>
          <w:rFonts w:ascii="Times New Roman" w:cs="Times New Roman" w:eastAsia="Times New Roman" w:hAnsi="Times New Roman"/>
          <w:sz w:val="14"/>
          <w:szCs w:val="14"/>
          <w:u w:val="single" w:color="auto"/>
          <w:color w:val="000000"/>
        </w:rPr>
        <w:t>Section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00"/>
        </w:rPr>
        <w:t>1.12</w:t>
      </w:r>
      <w:r>
        <w:rPr>
          <w:rFonts w:ascii="Times New Roman" w:cs="Times New Roman" w:eastAsia="Times New Roman" w:hAnsi="Times New Roman"/>
          <w:sz w:val="14"/>
          <w:szCs w:val="14"/>
          <w:color w:val="000000"/>
        </w:rPr>
        <w:t xml:space="preserve">), such New Loan Commitments shall be subject to (i) no Event of Default (except in connection with an acquisition or investment (including any Permitted Acquisition or Investment), no Event of Default under </w:t>
      </w:r>
      <w:r>
        <w:rPr>
          <w:rFonts w:ascii="Times New Roman" w:cs="Times New Roman" w:eastAsia="Times New Roman" w:hAnsi="Times New Roman"/>
          <w:sz w:val="14"/>
          <w:szCs w:val="14"/>
          <w:u w:val="single" w:color="auto"/>
          <w:color w:val="000000"/>
        </w:rPr>
        <w:t>Section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00"/>
        </w:rPr>
        <w:t>11.1</w:t>
      </w:r>
      <w:r>
        <w:rPr>
          <w:rFonts w:ascii="Times New Roman" w:cs="Times New Roman" w:eastAsia="Times New Roman" w:hAnsi="Times New Roman"/>
          <w:sz w:val="14"/>
          <w:szCs w:val="14"/>
          <w:color w:val="000000"/>
        </w:rPr>
        <w:t xml:space="preserve"> or </w:t>
      </w:r>
      <w:r>
        <w:rPr>
          <w:rFonts w:ascii="Times New Roman" w:cs="Times New Roman" w:eastAsia="Times New Roman" w:hAnsi="Times New Roman"/>
          <w:sz w:val="14"/>
          <w:szCs w:val="14"/>
          <w:u w:val="single" w:color="auto"/>
          <w:color w:val="000000"/>
        </w:rPr>
        <w:t>Section 11.5</w:t>
      </w:r>
      <w:r>
        <w:rPr>
          <w:rFonts w:ascii="Times New Roman" w:cs="Times New Roman" w:eastAsia="Times New Roman" w:hAnsi="Times New Roman"/>
          <w:sz w:val="14"/>
          <w:szCs w:val="14"/>
          <w:color w:val="000000"/>
        </w:rPr>
        <w:t xml:space="preserve">) shall exist on such Increased Amount Date before or after giving effect to such New Loan Commitments, as applicable, and subject to </w:t>
      </w:r>
      <w:r>
        <w:rPr>
          <w:rFonts w:ascii="Times New Roman" w:cs="Times New Roman" w:eastAsia="Times New Roman" w:hAnsi="Times New Roman"/>
          <w:sz w:val="14"/>
          <w:szCs w:val="14"/>
          <w:u w:val="single" w:color="auto"/>
          <w:color w:val="000000"/>
        </w:rPr>
        <w:t>Section 1.12</w:t>
      </w:r>
      <w:r>
        <w:rPr>
          <w:rFonts w:ascii="Times New Roman" w:cs="Times New Roman" w:eastAsia="Times New Roman" w:hAnsi="Times New Roman"/>
          <w:sz w:val="14"/>
          <w:szCs w:val="14"/>
          <w:color w:val="000000"/>
        </w:rPr>
        <w:t xml:space="preserv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Times New Roman" w:cs="Times New Roman" w:eastAsia="Times New Roman" w:hAnsi="Times New Roman"/>
          <w:sz w:val="14"/>
          <w:szCs w:val="14"/>
          <w:u w:val="single" w:color="auto"/>
          <w:color w:val="000000"/>
        </w:rPr>
        <w:t>Section 5.4(e)</w:t>
      </w:r>
      <w:r>
        <w:rPr>
          <w:rFonts w:ascii="Times New Roman" w:cs="Times New Roman" w:eastAsia="Times New Roman" w:hAnsi="Times New Roman"/>
          <w:sz w:val="14"/>
          <w:szCs w:val="14"/>
          <w:color w:val="000000"/>
        </w:rPr>
        <w:t xml:space="preserve">, and (iii) the Borrower shall make any payments required pursuant to </w:t>
      </w:r>
      <w:r>
        <w:rPr>
          <w:rFonts w:ascii="Times New Roman" w:cs="Times New Roman" w:eastAsia="Times New Roman" w:hAnsi="Times New Roman"/>
          <w:sz w:val="14"/>
          <w:szCs w:val="14"/>
          <w:u w:val="single" w:color="auto"/>
          <w:color w:val="000000"/>
        </w:rPr>
        <w:t>Section 2.11</w:t>
      </w:r>
      <w:r>
        <w:rPr>
          <w:rFonts w:ascii="Times New Roman" w:cs="Times New Roman" w:eastAsia="Times New Roman" w:hAnsi="Times New Roman"/>
          <w:sz w:val="14"/>
          <w:szCs w:val="14"/>
          <w:color w:val="000000"/>
        </w:rPr>
        <w:t xml:space="preserve"> in connection with the New Loan Commitments, as applicable. No Lender shall have any obligation to provide any Commitments pursuant to this </w:t>
      </w:r>
      <w:r>
        <w:rPr>
          <w:rFonts w:ascii="Times New Roman" w:cs="Times New Roman" w:eastAsia="Times New Roman" w:hAnsi="Times New Roman"/>
          <w:sz w:val="14"/>
          <w:szCs w:val="14"/>
          <w:u w:val="single" w:color="auto"/>
          <w:color w:val="000000"/>
        </w:rPr>
        <w:t>Section 2.14(a)</w:t>
      </w:r>
      <w:r>
        <w:rPr>
          <w:rFonts w:ascii="Times New Roman" w:cs="Times New Roman" w:eastAsia="Times New Roman" w:hAnsi="Times New Roman"/>
          <w:sz w:val="14"/>
          <w:szCs w:val="14"/>
          <w:color w:val="000000"/>
        </w:rPr>
        <w:t>. Any New Term Loans shall, at the election of the Borrower and agreed to by Lenders providing such New Loan Commitments, be designated as (a) a separate series (a “</w:t>
      </w:r>
      <w:r>
        <w:rPr>
          <w:rFonts w:ascii="Times New Roman" w:cs="Times New Roman" w:eastAsia="Times New Roman" w:hAnsi="Times New Roman"/>
          <w:sz w:val="14"/>
          <w:szCs w:val="14"/>
          <w:b w:val="1"/>
          <w:bCs w:val="1"/>
          <w:color w:val="000000"/>
        </w:rPr>
        <w:t>Series</w:t>
      </w:r>
      <w:r>
        <w:rPr>
          <w:rFonts w:ascii="Times New Roman" w:cs="Times New Roman" w:eastAsia="Times New Roman" w:hAnsi="Times New Roman"/>
          <w:sz w:val="14"/>
          <w:szCs w:val="14"/>
          <w:color w:val="000000"/>
        </w:rPr>
        <w:t>”) of New Term Loans for all purposes of this Agreement or (b) as part of a Series of existing</w:t>
      </w:r>
    </w:p>
    <w:p>
      <w:pPr>
        <w:spacing w:after="0" w:line="200" w:lineRule="exact"/>
        <w:rPr>
          <w:sz w:val="20"/>
          <w:szCs w:val="20"/>
          <w:color w:val="auto"/>
        </w:rPr>
      </w:pPr>
    </w:p>
    <w:p>
      <w:pPr>
        <w:spacing w:after="0" w:line="2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2" w:name="page173"/>
    <w:bookmarkEnd w:id="172"/>
    <w:p>
      <w:pPr>
        <w:jc w:val="both"/>
        <w:ind w:left="1140" w:right="1159"/>
        <w:spacing w:after="0" w:line="286" w:lineRule="auto"/>
        <w:rPr>
          <w:sz w:val="20"/>
          <w:szCs w:val="20"/>
          <w:color w:val="auto"/>
        </w:rPr>
      </w:pPr>
      <w:r>
        <w:rPr>
          <w:rFonts w:ascii="Times New Roman" w:cs="Times New Roman" w:eastAsia="Times New Roman" w:hAnsi="Times New Roman"/>
          <w:sz w:val="14"/>
          <w:szCs w:val="14"/>
          <w:color w:val="auto"/>
        </w:rPr>
        <w:t>Term Loans for all purposes of this Agreement. On and after the Increased Amount Date, Additional Revolving Credit Loans shall be designated a separate Series of Additional Revolving Credit Loans for all purposes of this Agreement.</w:t>
      </w:r>
    </w:p>
    <w:p>
      <w:pPr>
        <w:spacing w:after="0" w:line="316" w:lineRule="exact"/>
        <w:rPr>
          <w:sz w:val="20"/>
          <w:szCs w:val="20"/>
          <w:color w:val="auto"/>
        </w:rPr>
      </w:pPr>
    </w:p>
    <w:p>
      <w:pPr>
        <w:jc w:val="both"/>
        <w:ind w:left="1140" w:right="1159" w:firstLine="524"/>
        <w:spacing w:after="0" w:line="258" w:lineRule="auto"/>
        <w:tabs>
          <w:tab w:leader="none" w:pos="1972" w:val="left"/>
        </w:tabs>
        <w:numPr>
          <w:ilvl w:val="0"/>
          <w:numId w:val="12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Incremental Revolving Credit Commitments shall be subject to the satisfaction of the following terms and conditions, (a) with respect to New Revolving Credit Commitments, each of the Lenders with Revolving Credit Commitments of such Class shall assign to each Lender with a New Revolving Credit Commitment (each, a “</w:t>
      </w:r>
      <w:r>
        <w:rPr>
          <w:rFonts w:ascii="Times New Roman" w:cs="Times New Roman" w:eastAsia="Times New Roman" w:hAnsi="Times New Roman"/>
          <w:sz w:val="14"/>
          <w:szCs w:val="14"/>
          <w:b w:val="1"/>
          <w:bCs w:val="1"/>
          <w:color w:val="auto"/>
        </w:rPr>
        <w:t>New</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Revolving Loan Lender</w:t>
      </w:r>
      <w:r>
        <w:rPr>
          <w:rFonts w:ascii="Times New Roman" w:cs="Times New Roman" w:eastAsia="Times New Roman" w:hAnsi="Times New Roman"/>
          <w:sz w:val="14"/>
          <w:szCs w:val="14"/>
          <w:color w:val="auto"/>
        </w:rPr>
        <w:t>”) and each of the new Revolving Loan Lenders shall purchase from each of the Lenders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revolving Credit Commitments of such Class, at the 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(b) with respect to Incremental Revolving Credit Commitments, (i) each Incremental Revolving Credit Commitment shall be deemed for all purposes a Revolving Credit Commitment and, each Loan made under a New Revolving Credit Commitment (a “</w:t>
      </w:r>
      <w:r>
        <w:rPr>
          <w:rFonts w:ascii="Times New Roman" w:cs="Times New Roman" w:eastAsia="Times New Roman" w:hAnsi="Times New Roman"/>
          <w:sz w:val="14"/>
          <w:szCs w:val="14"/>
          <w:b w:val="1"/>
          <w:bCs w:val="1"/>
          <w:color w:val="auto"/>
        </w:rPr>
        <w:t>New Revolving Credit Loan</w:t>
      </w:r>
      <w:r>
        <w:rPr>
          <w:rFonts w:ascii="Times New Roman" w:cs="Times New Roman" w:eastAsia="Times New Roman" w:hAnsi="Times New Roman"/>
          <w:sz w:val="14"/>
          <w:szCs w:val="14"/>
          <w:color w:val="auto"/>
        </w:rPr>
        <w:t>”) and each Loan made under an Additional Revolving Credit Commitment (an “</w:t>
      </w:r>
      <w:r>
        <w:rPr>
          <w:rFonts w:ascii="Times New Roman" w:cs="Times New Roman" w:eastAsia="Times New Roman" w:hAnsi="Times New Roman"/>
          <w:sz w:val="14"/>
          <w:szCs w:val="14"/>
          <w:b w:val="1"/>
          <w:bCs w:val="1"/>
          <w:color w:val="auto"/>
        </w:rPr>
        <w:t>Additional Revolving Credit Loan</w:t>
      </w:r>
      <w:r>
        <w:rPr>
          <w:rFonts w:ascii="Times New Roman" w:cs="Times New Roman" w:eastAsia="Times New Roman" w:hAnsi="Times New Roman"/>
          <w:sz w:val="14"/>
          <w:szCs w:val="14"/>
          <w:color w:val="auto"/>
        </w:rPr>
        <w:t>” and, together with new Revolving Credit Loans, the “</w:t>
      </w:r>
      <w:r>
        <w:rPr>
          <w:rFonts w:ascii="Times New Roman" w:cs="Times New Roman" w:eastAsia="Times New Roman" w:hAnsi="Times New Roman"/>
          <w:sz w:val="14"/>
          <w:szCs w:val="14"/>
          <w:b w:val="1"/>
          <w:bCs w:val="1"/>
          <w:color w:val="auto"/>
        </w:rPr>
        <w:t>Incremental Revolving Credit Loan</w:t>
      </w:r>
      <w:r>
        <w:rPr>
          <w:rFonts w:ascii="Times New Roman" w:cs="Times New Roman" w:eastAsia="Times New Roman" w:hAnsi="Times New Roman"/>
          <w:sz w:val="14"/>
          <w:szCs w:val="14"/>
          <w:color w:val="auto"/>
        </w:rPr>
        <w:t>”) shall be deemed, for all purposes, Revolving Loans and (ii) each New Revolving Loan Lender and each Lender with an Additional Revolving Credit Commitment (each, an “</w:t>
      </w:r>
      <w:r>
        <w:rPr>
          <w:rFonts w:ascii="Times New Roman" w:cs="Times New Roman" w:eastAsia="Times New Roman" w:hAnsi="Times New Roman"/>
          <w:sz w:val="14"/>
          <w:szCs w:val="14"/>
          <w:b w:val="1"/>
          <w:bCs w:val="1"/>
          <w:color w:val="auto"/>
        </w:rPr>
        <w:t>Additional Revolving Loan Lender</w:t>
      </w:r>
      <w:r>
        <w:rPr>
          <w:rFonts w:ascii="Times New Roman" w:cs="Times New Roman" w:eastAsia="Times New Roman" w:hAnsi="Times New Roman"/>
          <w:sz w:val="14"/>
          <w:szCs w:val="14"/>
          <w:color w:val="auto"/>
        </w:rPr>
        <w:t>” and, together with the New Revolving Loan Lenders, the “</w:t>
      </w:r>
      <w:r>
        <w:rPr>
          <w:rFonts w:ascii="Times New Roman" w:cs="Times New Roman" w:eastAsia="Times New Roman" w:hAnsi="Times New Roman"/>
          <w:sz w:val="14"/>
          <w:szCs w:val="14"/>
          <w:b w:val="1"/>
          <w:bCs w:val="1"/>
          <w:color w:val="auto"/>
        </w:rPr>
        <w:t>Incremental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Revolving Loan Lenders</w:t>
      </w:r>
      <w:r>
        <w:rPr>
          <w:rFonts w:ascii="Times New Roman" w:cs="Times New Roman" w:eastAsia="Times New Roman" w:hAnsi="Times New Roman"/>
          <w:sz w:val="14"/>
          <w:szCs w:val="14"/>
          <w:color w:val="auto"/>
        </w:rPr>
        <w:t>”) shall become a Lender with respect to the New Revolving Credit Commitment and all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matters relating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and the Letter of Credit Issuer shall have consented (not to be unreasonably withheld or delayed) to such Lender’s or Incremental Revolving Loan Lender’s providing such Incremental Revolving Credit Commitment to the extent such consent, if any, would be required under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13.6(b)</w:t>
      </w:r>
      <w:r>
        <w:rPr>
          <w:rFonts w:ascii="Times New Roman" w:cs="Times New Roman" w:eastAsia="Times New Roman" w:hAnsi="Times New Roman"/>
          <w:sz w:val="14"/>
          <w:szCs w:val="14"/>
          <w:color w:val="auto"/>
        </w:rPr>
        <w:t xml:space="preserve"> for an assignment of Revolving Loans or Revolving Credit Commitments, as applicable, to such Lender or Incremental Revolving Loan Lender.</w:t>
      </w:r>
    </w:p>
    <w:p>
      <w:pPr>
        <w:spacing w:after="0" w:line="162"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2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New Term Loan Commitments of any Series shall be subject to the satisfaction of the foregoing and following terms and conditions, (i) each Lender with a New Term Loan Commitment (each, a “</w:t>
      </w:r>
      <w:r>
        <w:rPr>
          <w:rFonts w:ascii="Times New Roman" w:cs="Times New Roman" w:eastAsia="Times New Roman" w:hAnsi="Times New Roman"/>
          <w:sz w:val="14"/>
          <w:szCs w:val="14"/>
          <w:b w:val="1"/>
          <w:bCs w:val="1"/>
          <w:color w:val="auto"/>
        </w:rPr>
        <w:t>New Term Loan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of any Series shall make a Loan to the Borrower (a “</w:t>
      </w:r>
      <w:r>
        <w:rPr>
          <w:rFonts w:ascii="Times New Roman" w:cs="Times New Roman" w:eastAsia="Times New Roman" w:hAnsi="Times New Roman"/>
          <w:sz w:val="14"/>
          <w:szCs w:val="14"/>
          <w:b w:val="1"/>
          <w:bCs w:val="1"/>
          <w:color w:val="auto"/>
        </w:rPr>
        <w:t>New Term Loan</w:t>
      </w:r>
      <w:r>
        <w:rPr>
          <w:rFonts w:ascii="Times New Roman" w:cs="Times New Roman" w:eastAsia="Times New Roman" w:hAnsi="Times New Roman"/>
          <w:sz w:val="14"/>
          <w:szCs w:val="14"/>
          <w:color w:val="auto"/>
        </w:rPr>
        <w:t>” and, together with the Incremental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Revolving Credit Loans, the “</w:t>
      </w:r>
      <w:r>
        <w:rPr>
          <w:rFonts w:ascii="Times New Roman" w:cs="Times New Roman" w:eastAsia="Times New Roman" w:hAnsi="Times New Roman"/>
          <w:sz w:val="14"/>
          <w:szCs w:val="14"/>
          <w:b w:val="1"/>
          <w:bCs w:val="1"/>
          <w:color w:val="auto"/>
        </w:rPr>
        <w:t>Incremental Loans</w:t>
      </w:r>
      <w:r>
        <w:rPr>
          <w:rFonts w:ascii="Times New Roman" w:cs="Times New Roman" w:eastAsia="Times New Roman" w:hAnsi="Times New Roman"/>
          <w:sz w:val="14"/>
          <w:szCs w:val="14"/>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82" w:val="left"/>
        </w:tabs>
        <w:numPr>
          <w:ilvl w:val="0"/>
          <w:numId w:val="12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terms and provisions of the New Term Loans and New Term Loan Commitments of any Series shall be on terms and documentation set forth in the Joinder Agreement as determined by the Borrower; provided that (i) the applicable New Term Loan Maturity Date of each Series shall be no earlier than the Tranche B Term Loan Maturity Date; (ii) the weighted average life to maturity of all New Term Loans shall be no shorter than the weighted average life to maturity of the then existing Tranche B</w:t>
      </w:r>
      <w:r>
        <w:rPr>
          <w:rFonts w:ascii="Times New Roman" w:cs="Times New Roman" w:eastAsia="Times New Roman" w:hAnsi="Times New Roman"/>
          <w:sz w:val="14"/>
          <w:szCs w:val="14"/>
          <w:color w:val="FF0000"/>
          <w:strike w:val="1"/>
        </w:rPr>
        <w:t>-1 Term Loans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as calculated without giving effect to any prepayments made in connection with the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w:t>
      </w:r>
      <w:r>
        <w:rPr>
          <w:rFonts w:ascii="Times New Roman" w:cs="Times New Roman" w:eastAsia="Times New Roman" w:hAnsi="Times New Roman"/>
          <w:sz w:val="14"/>
          <w:szCs w:val="14"/>
          <w:color w:val="FF0000"/>
          <w:strike w:val="1"/>
        </w:rPr>
        <w:t>Loans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Tranche B-3 Term</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Loans; (iii) the pricing, interest rate margins, discounts, premiums, rate floors, fees, and, subject</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 xml:space="preserve">to clauses (i) and (ii) above, amortization schedule applicable to any New Term Loans shall be determined by the Borrower and the Lenders thereunder; provided that only during the period commencing on the </w:t>
      </w:r>
      <w:r>
        <w:rPr>
          <w:rFonts w:ascii="Times New Roman" w:cs="Times New Roman" w:eastAsia="Times New Roman" w:hAnsi="Times New Roman"/>
          <w:sz w:val="14"/>
          <w:szCs w:val="14"/>
          <w:color w:val="FF0000"/>
          <w:strike w:val="1"/>
        </w:rPr>
        <w:t>Closing</w:t>
      </w:r>
      <w:r>
        <w:rPr>
          <w:rFonts w:ascii="Times New Roman" w:cs="Times New Roman" w:eastAsia="Times New Roman" w:hAnsi="Times New Roman"/>
          <w:sz w:val="14"/>
          <w:szCs w:val="14"/>
          <w:u w:val="single" w:color="auto"/>
          <w:color w:val="0000FF"/>
        </w:rPr>
        <w:t>Amendment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FF"/>
        </w:rPr>
        <w:t>No. 7 Effective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Date and ending on the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thirty month</w:t>
      </w:r>
      <w:r>
        <w:rPr>
          <w:rFonts w:ascii="Times New Roman" w:cs="Times New Roman" w:eastAsia="Times New Roman" w:hAnsi="Times New Roman"/>
          <w:sz w:val="14"/>
          <w:szCs w:val="14"/>
          <w:u w:val="single" w:color="auto"/>
          <w:color w:val="0000FF"/>
        </w:rPr>
        <w:t>six-month</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anniversary of the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Closing</w:t>
      </w:r>
      <w:r>
        <w:rPr>
          <w:rFonts w:ascii="Times New Roman" w:cs="Times New Roman" w:eastAsia="Times New Roman" w:hAnsi="Times New Roman"/>
          <w:sz w:val="14"/>
          <w:szCs w:val="14"/>
          <w:u w:val="single" w:color="auto"/>
          <w:color w:val="0000FF"/>
        </w:rPr>
        <w:t>Amendment No. 7</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Effective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Date, if the Effective Yield for SOFR Loans or ABR Loans in respect of</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such</w:t>
      </w:r>
      <w:r>
        <w:rPr>
          <w:rFonts w:ascii="Times New Roman" w:cs="Times New Roman" w:eastAsia="Times New Roman" w:hAnsi="Times New Roman"/>
          <w:sz w:val="14"/>
          <w:szCs w:val="14"/>
          <w:u w:val="single" w:color="auto"/>
          <w:color w:val="0000FF"/>
        </w:rPr>
        <w:t>broadly syndicated floating</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00FF"/>
        </w:rPr>
        <w:t>rate</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New Term Loans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FF0000"/>
          <w:strike w:val="1"/>
        </w:rPr>
        <w:t>consisting of Term Loans</w:t>
      </w:r>
      <w:r>
        <w:rPr>
          <w:rFonts w:ascii="Times New Roman" w:cs="Times New Roman" w:eastAsia="Times New Roman" w:hAnsi="Times New Roman"/>
          <w:sz w:val="14"/>
          <w:szCs w:val="14"/>
          <w:u w:val="single" w:color="auto"/>
          <w:color w:val="0000FF"/>
        </w:rPr>
        <w:t>denominated in Dollars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that are secured by the Collateral on a pari</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passu basis with the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w:t>
      </w:r>
      <w:r>
        <w:rPr>
          <w:rFonts w:ascii="Times New Roman" w:cs="Times New Roman" w:eastAsia="Times New Roman" w:hAnsi="Times New Roman"/>
          <w:sz w:val="14"/>
          <w:szCs w:val="14"/>
          <w:color w:val="FF0000"/>
          <w:strike w:val="1"/>
        </w:rPr>
        <w:t>Loans and the Tranche B-3 Term</w:t>
      </w:r>
      <w:r>
        <w:rPr>
          <w:rFonts w:ascii="Times New Roman" w:cs="Times New Roman" w:eastAsia="Times New Roman" w:hAnsi="Times New Roman"/>
          <w:sz w:val="14"/>
          <w:szCs w:val="14"/>
          <w:color w:val="000000"/>
        </w:rPr>
        <w:t xml:space="preserve"> Loans (other than any New Term Loans incurred in connection with a Permitted Acquisition or other Permitted Investment) exceeds the Effective Yield for SOFR Loans or ABR Loans in respect of the then existing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w:t>
      </w:r>
      <w:r>
        <w:rPr>
          <w:rFonts w:ascii="Times New Roman" w:cs="Times New Roman" w:eastAsia="Times New Roman" w:hAnsi="Times New Roman"/>
          <w:sz w:val="14"/>
          <w:szCs w:val="14"/>
          <w:color w:val="008000"/>
          <w:strike w:val="1"/>
        </w:rPr>
        <w:t>or Tranche B-3 Term Loans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FF0000"/>
          <w:strike w:val="1"/>
        </w:rPr>
        <w:t>of like currency</w:t>
      </w:r>
      <w:r>
        <w:rPr>
          <w:rFonts w:ascii="Times New Roman" w:cs="Times New Roman" w:eastAsia="Times New Roman" w:hAnsi="Times New Roman"/>
          <w:sz w:val="14"/>
          <w:szCs w:val="14"/>
          <w:u w:val="single" w:color="auto"/>
          <w:color w:val="0000FF"/>
        </w:rPr>
        <w:t>denominated in Dollars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by more than 0.50%, the Applicable Margin for SOFR Loans or ABR Loans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 xml:space="preserve">in respect of </w:t>
      </w:r>
      <w:r>
        <w:rPr>
          <w:rFonts w:ascii="Times New Roman" w:cs="Times New Roman" w:eastAsia="Times New Roman" w:hAnsi="Times New Roman"/>
          <w:sz w:val="14"/>
          <w:szCs w:val="14"/>
          <w:color w:val="FF0000"/>
          <w:strike w:val="1"/>
        </w:rPr>
        <w:t>the</w:t>
      </w:r>
      <w:r>
        <w:rPr>
          <w:rFonts w:ascii="Times New Roman" w:cs="Times New Roman" w:eastAsia="Times New Roman" w:hAnsi="Times New Roman"/>
          <w:sz w:val="14"/>
          <w:szCs w:val="14"/>
          <w:u w:val="single" w:color="auto"/>
          <w:color w:val="0000FF"/>
        </w:rPr>
        <w:t>such</w:t>
      </w:r>
      <w:r>
        <w:rPr>
          <w:rFonts w:ascii="Times New Roman" w:cs="Times New Roman" w:eastAsia="Times New Roman" w:hAnsi="Times New Roman"/>
          <w:sz w:val="14"/>
          <w:szCs w:val="14"/>
          <w:color w:val="000000"/>
        </w:rPr>
        <w:t xml:space="preserve"> then existing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shall be adjusted so that the Effective Yield in respect of </w:t>
      </w:r>
      <w:r>
        <w:rPr>
          <w:rFonts w:ascii="Times New Roman" w:cs="Times New Roman" w:eastAsia="Times New Roman" w:hAnsi="Times New Roman"/>
          <w:sz w:val="14"/>
          <w:szCs w:val="14"/>
          <w:color w:val="FF0000"/>
          <w:strike w:val="1"/>
        </w:rPr>
        <w:t>the</w:t>
      </w:r>
      <w:r>
        <w:rPr>
          <w:rFonts w:ascii="Times New Roman" w:cs="Times New Roman" w:eastAsia="Times New Roman" w:hAnsi="Times New Roman"/>
          <w:sz w:val="14"/>
          <w:szCs w:val="14"/>
          <w:u w:val="single" w:color="auto"/>
          <w:color w:val="0000FF"/>
        </w:rPr>
        <w:t>such</w:t>
      </w:r>
      <w:r>
        <w:rPr>
          <w:rFonts w:ascii="Times New Roman" w:cs="Times New Roman" w:eastAsia="Times New Roman" w:hAnsi="Times New Roman"/>
          <w:sz w:val="14"/>
          <w:szCs w:val="14"/>
          <w:color w:val="000000"/>
        </w:rPr>
        <w:t xml:space="preserve"> then existing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w:t>
      </w:r>
      <w:r>
        <w:rPr>
          <w:rFonts w:ascii="Times New Roman" w:cs="Times New Roman" w:eastAsia="Times New Roman" w:hAnsi="Times New Roman"/>
          <w:sz w:val="14"/>
          <w:szCs w:val="14"/>
          <w:color w:val="FF0000"/>
          <w:strike w:val="1"/>
        </w:rPr>
        <w:t>or Tranche B-3 Term Loans, as applicable,</w:t>
      </w:r>
      <w:r>
        <w:rPr>
          <w:rFonts w:ascii="Times New Roman" w:cs="Times New Roman" w:eastAsia="Times New Roman" w:hAnsi="Times New Roman"/>
          <w:sz w:val="14"/>
          <w:szCs w:val="14"/>
          <w:color w:val="000000"/>
        </w:rPr>
        <w:t xml:space="preserve"> is equal to the Effective Yield for SOFR Loans or ABR Loans in respect of the New Term Loans minus 0.50% (the terms of this proviso to this clause (iii), the “</w:t>
      </w:r>
      <w:r>
        <w:rPr>
          <w:rFonts w:ascii="Times New Roman" w:cs="Times New Roman" w:eastAsia="Times New Roman" w:hAnsi="Times New Roman"/>
          <w:sz w:val="14"/>
          <w:szCs w:val="14"/>
          <w:b w:val="1"/>
          <w:bCs w:val="1"/>
          <w:color w:val="000000"/>
        </w:rPr>
        <w:t>MFN Protection</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FF"/>
        </w:rPr>
        <w:t>provided that the MFN Protection shall not apply to (I) New</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FF"/>
        </w:rPr>
        <w:t>Term Loans (as selected by the Borrower) in an amount up to the greater of (A) $1,170 million and (B) 200.0% of Consolidated EBITDA for the Test Period most recently ended on or prior to such date of determination (measured as of such date), (II) any New Term Loans incurred pursuant to clauses (ii) or (iii) of the definition of “Maximum Incremental Facilities</w:t>
      </w: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3" w:name="page174"/>
    <w:bookmarkEnd w:id="173"/>
    <w:p>
      <w:pPr>
        <w:jc w:val="both"/>
        <w:ind w:left="1140" w:right="1159"/>
        <w:spacing w:after="0" w:line="261" w:lineRule="auto"/>
        <w:rPr>
          <w:sz w:val="20"/>
          <w:szCs w:val="20"/>
          <w:color w:val="auto"/>
        </w:rPr>
      </w:pPr>
      <w:r>
        <w:rPr>
          <w:rFonts w:ascii="Times New Roman" w:cs="Times New Roman" w:eastAsia="Times New Roman" w:hAnsi="Times New Roman"/>
          <w:sz w:val="14"/>
          <w:szCs w:val="14"/>
          <w:u w:val="single" w:color="auto"/>
          <w:color w:val="0000FF"/>
        </w:rPr>
        <w:t>Amount” or (III) any New Term Loans that mature later than</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u w:val="single" w:color="auto"/>
          <w:color w:val="008000"/>
        </w:rPr>
        <w:t>the Tranche B Term Loan Maturity Date</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and (iv) to</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the extent such terms and documentation are not consistent with the then existing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w:t>
      </w:r>
      <w:r>
        <w:rPr>
          <w:rFonts w:ascii="Times New Roman" w:cs="Times New Roman" w:eastAsia="Times New Roman" w:hAnsi="Times New Roman"/>
          <w:sz w:val="14"/>
          <w:szCs w:val="14"/>
          <w:color w:val="FF0000"/>
          <w:strike w:val="1"/>
        </w:rPr>
        <w:t>or</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FF0000"/>
          <w:strike w:val="1"/>
        </w:rPr>
        <w:t>Tranche B-3 Term Loans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(except to the extent permitted by clause (i), (ii) or (iii) above), they shall be reasonably</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Term Loans remaining outstanding after the issuance or incurrence of such Indebtedness or (2) no consent shall be required by the Administrative Agent or any of the Lenders if any covenants or other provisions are only applicable after the Latest Term Loan Maturity Date).</w:t>
      </w:r>
    </w:p>
    <w:p>
      <w:pPr>
        <w:spacing w:after="0" w:line="157" w:lineRule="exact"/>
        <w:rPr>
          <w:sz w:val="20"/>
          <w:szCs w:val="20"/>
          <w:color w:val="auto"/>
        </w:rPr>
      </w:pPr>
    </w:p>
    <w:p>
      <w:pPr>
        <w:jc w:val="both"/>
        <w:ind w:left="1140" w:right="1159" w:firstLine="524"/>
        <w:spacing w:after="0" w:line="268" w:lineRule="auto"/>
        <w:tabs>
          <w:tab w:leader="none" w:pos="2004" w:val="left"/>
        </w:tabs>
        <w:numPr>
          <w:ilvl w:val="0"/>
          <w:numId w:val="12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Incremental Revolving Credit Commitments and Incremental Revolving Credit Loans shall be identical to the Initial Revolving Credit Commitments and the related Revolving Credit Loans, other than the Maturity Date and as set forth in this </w:t>
      </w:r>
      <w:r>
        <w:rPr>
          <w:rFonts w:ascii="Times New Roman" w:cs="Times New Roman" w:eastAsia="Times New Roman" w:hAnsi="Times New Roman"/>
          <w:sz w:val="14"/>
          <w:szCs w:val="14"/>
          <w:u w:val="single" w:color="auto"/>
          <w:color w:val="auto"/>
        </w:rPr>
        <w:t>Section 2.14(e)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in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otherwise:</w:t>
      </w:r>
    </w:p>
    <w:p>
      <w:pPr>
        <w:spacing w:after="0" w:line="152" w:lineRule="exact"/>
        <w:rPr>
          <w:sz w:val="20"/>
          <w:szCs w:val="20"/>
          <w:color w:val="auto"/>
        </w:rPr>
      </w:pPr>
    </w:p>
    <w:p>
      <w:pPr>
        <w:ind w:left="1140" w:right="1159" w:firstLine="524"/>
        <w:spacing w:after="0" w:line="293" w:lineRule="auto"/>
        <w:tabs>
          <w:tab w:leader="none" w:pos="1982"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such Incremental Revolving Credit Commitments or Incremental Revolving Credit Loans shall rank equal in right of payment and of security with the Revolving Credit Loans and the Term Loans,</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such Incremental Revolving Credit Commitments or Incremental Revolving Credit Loans shall not mature earlier than the Initial Revolving Credit Commitments and related Revolving Credit Loans at the time of incurrence of such Incremental Revolving Credit Commitments,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93"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borrowing and repayment (except for (1) payments of interest and fees at different rates on Incremental Revolving Credit Commitments (and related outstandings), (2) repayments required upon the maturity date of the Incremental Revolving Credit Commitments, and (3) repayment made in connection with a permanent repayment and termination of commitments (subject to </w:t>
      </w:r>
      <w:r>
        <w:rPr>
          <w:rFonts w:ascii="Times New Roman" w:cs="Times New Roman" w:eastAsia="Times New Roman" w:hAnsi="Times New Roman"/>
          <w:sz w:val="14"/>
          <w:szCs w:val="14"/>
          <w:u w:val="single" w:color="auto"/>
          <w:color w:val="auto"/>
        </w:rPr>
        <w:t>clause (v)</w:t>
      </w:r>
      <w:r>
        <w:rPr>
          <w:rFonts w:ascii="Times New Roman" w:cs="Times New Roman" w:eastAsia="Times New Roman" w:hAnsi="Times New Roman"/>
          <w:sz w:val="14"/>
          <w:szCs w:val="14"/>
          <w:color w:val="auto"/>
        </w:rPr>
        <w:t xml:space="preserve"> below)) of Loans with respect to Incremental Revolving Credit Commitments after the associated Increased Amount Date shall be made on a pro rata basis with all other Revolving Credit Commitments on such Increased Amount Date,</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3" w:lineRule="auto"/>
        <w:tabs>
          <w:tab w:leader="none" w:pos="1993"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the provisions of </w:t>
      </w:r>
      <w:r>
        <w:rPr>
          <w:rFonts w:ascii="Times New Roman" w:cs="Times New Roman" w:eastAsia="Times New Roman" w:hAnsi="Times New Roman"/>
          <w:sz w:val="14"/>
          <w:szCs w:val="14"/>
          <w:u w:val="single" w:color="auto"/>
          <w:color w:val="auto"/>
        </w:rPr>
        <w:t>Section 3.12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3A.12</w:t>
      </w:r>
      <w:r>
        <w:rPr>
          <w:rFonts w:ascii="Times New Roman" w:cs="Times New Roman" w:eastAsia="Times New Roman" w:hAnsi="Times New Roman"/>
          <w:sz w:val="14"/>
          <w:szCs w:val="14"/>
          <w:color w:val="auto"/>
        </w:rPr>
        <w:t xml:space="preserve"> to the extent dealing with Letters of Credit which mature or expire after a maturity date when there exists Incremental Revolving Credit Commitments with a longer maturity date, all Letters of Credit shall be participated on a pro rata basis by all Lenders with Revolving Credit Commitments of the same Series in accordance with their percentage of such Revolving Credit Commitments on the applicable Increased Amount Date (and except as provided in </w:t>
      </w:r>
      <w:r>
        <w:rPr>
          <w:rFonts w:ascii="Times New Roman" w:cs="Times New Roman" w:eastAsia="Times New Roman" w:hAnsi="Times New Roman"/>
          <w:sz w:val="14"/>
          <w:szCs w:val="14"/>
          <w:u w:val="single" w:color="auto"/>
          <w:color w:val="auto"/>
        </w:rPr>
        <w:t>Section 3.12</w:t>
      </w:r>
      <w:r>
        <w:rPr>
          <w:rFonts w:ascii="Times New Roman" w:cs="Times New Roman" w:eastAsia="Times New Roman" w:hAnsi="Times New Roman"/>
          <w:sz w:val="14"/>
          <w:szCs w:val="14"/>
          <w:color w:val="auto"/>
        </w:rPr>
        <w:t>, without giving effect to changes thereto on an earlier maturity date with respect to Letters of Credit theretofore incurred or issued in respect of such Series),</w:t>
      </w:r>
    </w:p>
    <w:p>
      <w:pPr>
        <w:spacing w:after="0" w:line="329"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72"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permanent repayment of Revolving Credit Loans with respect to, and termination of, Incremental Revolving Credit Commitments after the associated Increased Amount Date shall be made on a pro rata basis with all other Revolving Credit Commitments on such Increased Amount Date, except that the Borrower shall be permitted to permanently repay and terminate commitments of any such Class on a better than a pro rata basis as compared to any other Class with a later maturity date than such Class,</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2004"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assignments and participations of Incremental Revolving Credit Commitments and Incremental Revolving Credit Loans shall be governed by the same assignment and participation provisions applicable to Revolving Credit Commitments and Revolving Credit Loans on the applicable Increased Amount Date,</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Incremental Revolving Credit Commitments may constitute a separate Class or Classes, as the case may be, of Commitments from the Classes constituting the applicable Revolving Credit Commitments prior to such Increased Amount Date,</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pricing, fees, maturity and other immaterial terms of the Additional Revolving Credit Loans may be different and shall be determined by the Borrower and the Lenders thereunder so long as the final maturity date and the weighted average maturity of any Additional Revolving Credit Loans and Additional Revolving Credit Commitments, as applicable, shall not be earlier than, or shorter than, as the case may be, the maturity date or the</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4" w:name="page175"/>
    <w:bookmarkEnd w:id="174"/>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weighted average life, as applicable, of the Initial Revolving Credit Commitments and related Revolving Credit Loans, and</w:t>
      </w:r>
    </w:p>
    <w:p>
      <w:pPr>
        <w:spacing w:after="0" w:line="134" w:lineRule="exact"/>
        <w:rPr>
          <w:sz w:val="20"/>
          <w:szCs w:val="20"/>
          <w:color w:val="auto"/>
        </w:rPr>
      </w:pPr>
    </w:p>
    <w:p>
      <w:pPr>
        <w:jc w:val="both"/>
        <w:ind w:left="1140" w:right="1159" w:firstLine="524"/>
        <w:spacing w:after="0" w:line="268" w:lineRule="auto"/>
        <w:tabs>
          <w:tab w:leader="none" w:pos="2015" w:val="left"/>
        </w:tabs>
        <w:numPr>
          <w:ilvl w:val="0"/>
          <w:numId w:val="12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w:t>
      </w:r>
    </w:p>
    <w:p>
      <w:pPr>
        <w:spacing w:after="0" w:line="152" w:lineRule="exact"/>
        <w:rPr>
          <w:sz w:val="20"/>
          <w:szCs w:val="20"/>
          <w:color w:val="auto"/>
        </w:rPr>
      </w:pPr>
    </w:p>
    <w:p>
      <w:pPr>
        <w:jc w:val="both"/>
        <w:ind w:left="1140" w:right="1159" w:firstLine="524"/>
        <w:spacing w:after="0" w:line="275" w:lineRule="auto"/>
        <w:tabs>
          <w:tab w:leader="none" w:pos="2004" w:val="left"/>
        </w:tabs>
        <w:numPr>
          <w:ilvl w:val="1"/>
          <w:numId w:val="13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173" w:lineRule="exact"/>
        <w:tabs>
          <w:tab w:leader="none" w:pos="1972" w:val="left"/>
        </w:tabs>
        <w:numPr>
          <w:ilvl w:val="1"/>
          <w:numId w:val="13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The Borrower may at any time, and from time to time, request that all or a portion of the Term Loans of any Class (an “</w:t>
      </w:r>
      <w:r>
        <w:rPr>
          <w:rFonts w:ascii="Times New Roman" w:cs="Times New Roman" w:eastAsia="Times New Roman" w:hAnsi="Times New Roman"/>
          <w:sz w:val="14"/>
          <w:szCs w:val="14"/>
          <w:b w:val="1"/>
          <w:bCs w:val="1"/>
          <w:color w:val="auto"/>
        </w:rPr>
        <w:t>Existing Term Loan Class</w:t>
      </w:r>
      <w:r>
        <w:rPr>
          <w:rFonts w:ascii="Times New Roman" w:cs="Times New Roman" w:eastAsia="Times New Roman" w:hAnsi="Times New Roman"/>
          <w:sz w:val="14"/>
          <w:szCs w:val="14"/>
          <w:color w:val="auto"/>
        </w:rPr>
        <w:t>”) be converted to extend the scheduled maturity date(s) of any payment of principal with respect to all or a portion of any principal amount of such Term Loans (any such Term Loans which have been so converted, “</w:t>
      </w:r>
      <w:r>
        <w:rPr>
          <w:rFonts w:ascii="Times New Roman" w:cs="Times New Roman" w:eastAsia="Times New Roman" w:hAnsi="Times New Roman"/>
          <w:sz w:val="14"/>
          <w:szCs w:val="14"/>
          <w:b w:val="1"/>
          <w:bCs w:val="1"/>
          <w:color w:val="auto"/>
        </w:rPr>
        <w:t>Extended Term Loans</w:t>
      </w:r>
      <w:r>
        <w:rPr>
          <w:rFonts w:ascii="Times New Roman" w:cs="Times New Roman" w:eastAsia="Times New Roman" w:hAnsi="Times New Roman"/>
          <w:sz w:val="14"/>
          <w:szCs w:val="14"/>
          <w:color w:val="auto"/>
        </w:rPr>
        <w:t xml:space="preserve">”) and to provide for other terms consistent with this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In order to establish any Extended Term Loans, the Borrower shall provide a notice to the Administrative Agent (who shall provide a copy of such notice to each of the Lenders of the applicable Existing Term Loan Class which such request shall be offered equally to all such Lenders) (a “</w:t>
      </w:r>
      <w:r>
        <w:rPr>
          <w:rFonts w:ascii="Times New Roman" w:cs="Times New Roman" w:eastAsia="Times New Roman" w:hAnsi="Times New Roman"/>
          <w:sz w:val="14"/>
          <w:szCs w:val="14"/>
          <w:b w:val="1"/>
          <w:bCs w:val="1"/>
          <w:color w:val="auto"/>
        </w:rPr>
        <w:t>Term Loan Extension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Request</w:t>
      </w:r>
      <w:r>
        <w:rPr>
          <w:rFonts w:ascii="Times New Roman" w:cs="Times New Roman" w:eastAsia="Times New Roman" w:hAnsi="Times New Roman"/>
          <w:sz w:val="14"/>
          <w:szCs w:val="14"/>
          <w:color w:val="auto"/>
        </w:rPr>
        <w:t>”) setting forth the proposed terms of the Extended Term Loans to be established, which shall not be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materially more restrictive to the Credit Parties (as determined in good faith by the Borrower), when taken as a whole, than the terms of the Term Loans of the Existing Term Loan Class unless (x) the Lenders of the Term Loans of such applicable Existing Term Loan Class receive the benefit of such more restrictive terms or (y) any such provisions apply after the Tranche B Term Loan Maturity Date (a “</w:t>
      </w:r>
      <w:r>
        <w:rPr>
          <w:rFonts w:ascii="Times New Roman" w:cs="Times New Roman" w:eastAsia="Times New Roman" w:hAnsi="Times New Roman"/>
          <w:sz w:val="14"/>
          <w:szCs w:val="14"/>
          <w:b w:val="1"/>
          <w:bCs w:val="1"/>
          <w:color w:val="auto"/>
        </w:rPr>
        <w:t>Permitted Other Provision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or in the Joinder Agreement, as the case may be, with respect to the Existing Term Loan Class from which such Extended Term Loans were converted, in each case as more particularly set forth in </w:t>
      </w:r>
      <w:r>
        <w:rPr>
          <w:rFonts w:ascii="Times New Roman" w:cs="Times New Roman" w:eastAsia="Times New Roman" w:hAnsi="Times New Roman"/>
          <w:sz w:val="14"/>
          <w:szCs w:val="14"/>
          <w:u w:val="single" w:color="auto"/>
          <w:color w:val="auto"/>
        </w:rPr>
        <w:t>paragraph (iv)</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xml:space="preserve"> below), (y) (A) the interest margins with respect to the Extended Term Loans may be higher or lower than the interest margins for the Term Loans of such Existing Term Loan Class and/or (B) additional fees, premiums or applicable high</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yield discount obligation (“</w:t>
      </w:r>
      <w:r>
        <w:rPr>
          <w:rFonts w:ascii="Times New Roman" w:cs="Times New Roman" w:eastAsia="Times New Roman" w:hAnsi="Times New Roman"/>
          <w:sz w:val="14"/>
          <w:szCs w:val="14"/>
          <w:b w:val="1"/>
          <w:bCs w:val="1"/>
          <w:color w:val="auto"/>
        </w:rPr>
        <w:t>AHYDO</w:t>
      </w:r>
      <w:r>
        <w:rPr>
          <w:rFonts w:ascii="Times New Roman" w:cs="Times New Roman" w:eastAsia="Times New Roman" w:hAnsi="Times New Roman"/>
          <w:sz w:val="14"/>
          <w:szCs w:val="14"/>
          <w:color w:val="auto"/>
        </w:rPr>
        <w:t xml:space="preserve">”) payments may be payable to the Lenders providing such Extended Term Loans in addition to or in lieu of any increased margins contemplated by the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or if such Permitted Other Provision applies only after the Tranche B Term Loan Maturity Date . Notwithstanding anything to the contrary in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otherwise, no Extended Term Loans may be optionally prepaid prior to the date on which the Existing Term Loan Class from which they were converted is repaid in full, except in accordance with the last sentence of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336" w:lineRule="exact"/>
        <w:rPr>
          <w:rFonts w:ascii="Times New Roman" w:cs="Times New Roman" w:eastAsia="Times New Roman" w:hAnsi="Times New Roman"/>
          <w:sz w:val="14"/>
          <w:szCs w:val="14"/>
          <w:color w:val="010000"/>
        </w:rPr>
      </w:pPr>
    </w:p>
    <w:p>
      <w:pPr>
        <w:jc w:val="both"/>
        <w:ind w:left="1140" w:right="1159" w:firstLine="294"/>
        <w:spacing w:after="0" w:line="260" w:lineRule="auto"/>
        <w:tabs>
          <w:tab w:leader="none" w:pos="1714"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Borrower may at any time and from time to time request that all or a portion of the Revolving Credit Commitments of any Class, any Extended Revolving Credit Commitments and/or any Incremental Revolving Credit Commitments, each existing at the time of such request (each, an “</w:t>
      </w:r>
      <w:r>
        <w:rPr>
          <w:rFonts w:ascii="Times New Roman" w:cs="Times New Roman" w:eastAsia="Times New Roman" w:hAnsi="Times New Roman"/>
          <w:sz w:val="14"/>
          <w:szCs w:val="14"/>
          <w:b w:val="1"/>
          <w:bCs w:val="1"/>
          <w:color w:val="auto"/>
        </w:rPr>
        <w:t>Existing Revolving Credit Commitment</w:t>
      </w:r>
      <w:r>
        <w:rPr>
          <w:rFonts w:ascii="Times New Roman" w:cs="Times New Roman" w:eastAsia="Times New Roman" w:hAnsi="Times New Roman"/>
          <w:sz w:val="14"/>
          <w:szCs w:val="14"/>
          <w:color w:val="auto"/>
        </w:rPr>
        <w:t>” and any related revolving credit loans thereunder, “</w:t>
      </w:r>
      <w:r>
        <w:rPr>
          <w:rFonts w:ascii="Times New Roman" w:cs="Times New Roman" w:eastAsia="Times New Roman" w:hAnsi="Times New Roman"/>
          <w:sz w:val="14"/>
          <w:szCs w:val="14"/>
          <w:b w:val="1"/>
          <w:bCs w:val="1"/>
          <w:color w:val="auto"/>
        </w:rPr>
        <w:t>Existing Revolving Credit Loans</w:t>
      </w:r>
      <w:r>
        <w:rPr>
          <w:rFonts w:ascii="Times New Roman" w:cs="Times New Roman" w:eastAsia="Times New Roman" w:hAnsi="Times New Roman"/>
          <w:sz w:val="14"/>
          <w:szCs w:val="14"/>
          <w:color w:val="auto"/>
        </w:rPr>
        <w:t>”; each Existing Revolving Credit Commitment and related Existing Revolving Credit Loans together being referred to as an “</w:t>
      </w:r>
      <w:r>
        <w:rPr>
          <w:rFonts w:ascii="Times New Roman" w:cs="Times New Roman" w:eastAsia="Times New Roman" w:hAnsi="Times New Roman"/>
          <w:sz w:val="14"/>
          <w:szCs w:val="14"/>
          <w:b w:val="1"/>
          <w:bCs w:val="1"/>
          <w:color w:val="auto"/>
        </w:rPr>
        <w:t>Existing Revolving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Credit Class</w:t>
      </w:r>
      <w:r>
        <w:rPr>
          <w:rFonts w:ascii="Times New Roman" w:cs="Times New Roman" w:eastAsia="Times New Roman" w:hAnsi="Times New Roman"/>
          <w:sz w:val="14"/>
          <w:szCs w:val="14"/>
          <w:color w:val="auto"/>
        </w:rPr>
        <w:t>”) be converted to extend the termination date thereof and the scheduled maturity date(s) of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payment of principal with respect to all or a portion of any principal amount of Loans related to such Existing Revolving Credit Commitments (any such Existing Revolving Credit Commitments which have been so extended, “</w:t>
      </w:r>
      <w:r>
        <w:rPr>
          <w:rFonts w:ascii="Times New Roman" w:cs="Times New Roman" w:eastAsia="Times New Roman" w:hAnsi="Times New Roman"/>
          <w:sz w:val="14"/>
          <w:szCs w:val="14"/>
          <w:b w:val="1"/>
          <w:bCs w:val="1"/>
          <w:color w:val="auto"/>
        </w:rPr>
        <w:t>Extended Revolving Credit Commitments</w:t>
      </w:r>
      <w:r>
        <w:rPr>
          <w:rFonts w:ascii="Times New Roman" w:cs="Times New Roman" w:eastAsia="Times New Roman" w:hAnsi="Times New Roman"/>
          <w:sz w:val="14"/>
          <w:szCs w:val="14"/>
          <w:color w:val="auto"/>
        </w:rPr>
        <w:t>” and any related Loans, “</w:t>
      </w:r>
      <w:r>
        <w:rPr>
          <w:rFonts w:ascii="Times New Roman" w:cs="Times New Roman" w:eastAsia="Times New Roman" w:hAnsi="Times New Roman"/>
          <w:sz w:val="14"/>
          <w:szCs w:val="14"/>
          <w:b w:val="1"/>
          <w:bCs w:val="1"/>
          <w:color w:val="auto"/>
        </w:rPr>
        <w:t>Extended Revolving Credit Loans</w:t>
      </w:r>
      <w:r>
        <w:rPr>
          <w:rFonts w:ascii="Times New Roman" w:cs="Times New Roman" w:eastAsia="Times New Roman" w:hAnsi="Times New Roman"/>
          <w:sz w:val="14"/>
          <w:szCs w:val="14"/>
          <w:color w:val="auto"/>
        </w:rPr>
        <w:t xml:space="preserve">”) and to provide for other terms consistent with this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In order to establish any Extended Revolving Credit Commitments, the Borrower shall provide a notice to the Administrative Agent (who shall provide a copy of such notice to each of</w:t>
      </w:r>
    </w:p>
    <w:p>
      <w:pPr>
        <w:spacing w:after="0" w:line="40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5" w:name="page176"/>
    <w:bookmarkEnd w:id="175"/>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Times New Roman" w:cs="Times New Roman" w:eastAsia="Times New Roman" w:hAnsi="Times New Roman"/>
          <w:sz w:val="14"/>
          <w:szCs w:val="14"/>
          <w:b w:val="1"/>
          <w:bCs w:val="1"/>
          <w:color w:val="auto"/>
        </w:rPr>
        <w:t>Specified Existing Revolving Credit Commitment</w:t>
      </w:r>
      <w:r>
        <w:rPr>
          <w:rFonts w:ascii="Times New Roman" w:cs="Times New Roman" w:eastAsia="Times New Roman" w:hAnsi="Times New Roman"/>
          <w:sz w:val="14"/>
          <w:szCs w:val="14"/>
          <w:color w:val="auto"/>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provided, however, that (w) all or any of the final maturity dates of such Extended Revolving Credit Commitments may be delayed to later dates than the final maturity dates of the Specified Existing Revolving Credit Commitments, (x) (A) the interest margins with respect to the Extended Revolving Credit 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to the contrary in this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 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13.6</w:t>
      </w:r>
      <w:r>
        <w:rPr>
          <w:rFonts w:ascii="Times New Roman" w:cs="Times New Roman" w:eastAsia="Times New Roman" w:hAnsi="Times New Roman"/>
          <w:sz w:val="14"/>
          <w:szCs w:val="14"/>
          <w:color w:val="auto"/>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146" w:lineRule="exact"/>
        <w:rPr>
          <w:sz w:val="20"/>
          <w:szCs w:val="20"/>
          <w:color w:val="auto"/>
        </w:rPr>
      </w:pPr>
    </w:p>
    <w:p>
      <w:pPr>
        <w:jc w:val="both"/>
        <w:ind w:left="1140" w:right="1159" w:firstLine="294"/>
        <w:spacing w:after="0" w:line="258" w:lineRule="auto"/>
        <w:tabs>
          <w:tab w:leader="none" w:pos="1714"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Lender (an “ </w:t>
      </w:r>
      <w:r>
        <w:rPr>
          <w:rFonts w:ascii="Times New Roman" w:cs="Times New Roman" w:eastAsia="Times New Roman" w:hAnsi="Times New Roman"/>
          <w:sz w:val="14"/>
          <w:szCs w:val="14"/>
          <w:b w:val="1"/>
          <w:bCs w:val="1"/>
          <w:color w:val="auto"/>
        </w:rPr>
        <w:t>Extending Lender</w:t>
      </w:r>
      <w:r>
        <w:rPr>
          <w:rFonts w:ascii="Times New Roman" w:cs="Times New Roman" w:eastAsia="Times New Roman" w:hAnsi="Times New Roman"/>
          <w:sz w:val="14"/>
          <w:szCs w:val="14"/>
          <w:color w:val="auto"/>
        </w:rPr>
        <w:t>”) wishing to have all or a portion of its Term Loans, Revolving Credit Commitments, Incremental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Times New Roman" w:cs="Times New Roman" w:eastAsia="Times New Roman" w:hAnsi="Times New Roman"/>
          <w:sz w:val="14"/>
          <w:szCs w:val="14"/>
          <w:b w:val="1"/>
          <w:bCs w:val="1"/>
          <w:color w:val="auto"/>
        </w:rPr>
        <w:t>Extension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Election</w:t>
      </w:r>
      <w:r>
        <w:rPr>
          <w:rFonts w:ascii="Times New Roman" w:cs="Times New Roman" w:eastAsia="Times New Roman" w:hAnsi="Times New Roman"/>
          <w:sz w:val="14"/>
          <w:szCs w:val="14"/>
          <w:color w:val="auto"/>
        </w:rPr>
        <w:t>”) on or prior to the date specified in such Extension Request of the amount of its Term Loans, Revolving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Credit Commitments, Incremental Revolving 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Incremental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Incremental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Incremental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Letters of Credit under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except that the applicable Extension Amendment may provide that the L/C Facility Maturity Date may be extended and the related obligations to issue Letters of Credit may be continued so long as the Letter of Credit Issuer, as applicable, have consented to such extensions in their sole discretion (it being understood that no consent of any other Lender shall be required in connection with any such extension).</w:t>
      </w:r>
    </w:p>
    <w:p>
      <w:pPr>
        <w:spacing w:after="0" w:line="153" w:lineRule="exact"/>
        <w:rPr>
          <w:rFonts w:ascii="Times New Roman" w:cs="Times New Roman" w:eastAsia="Times New Roman" w:hAnsi="Times New Roman"/>
          <w:sz w:val="14"/>
          <w:szCs w:val="14"/>
          <w:color w:val="auto"/>
        </w:rPr>
      </w:pPr>
    </w:p>
    <w:p>
      <w:pPr>
        <w:jc w:val="both"/>
        <w:ind w:left="1140" w:right="1159" w:firstLine="294"/>
        <w:spacing w:after="0" w:line="268" w:lineRule="auto"/>
        <w:tabs>
          <w:tab w:leader="none" w:pos="1714"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Extended Term Loans or Extended Revolving Credit Commitments, as applicable, shall be established pursuant to an amendment (an “</w:t>
      </w:r>
      <w:r>
        <w:rPr>
          <w:rFonts w:ascii="Times New Roman" w:cs="Times New Roman" w:eastAsia="Times New Roman" w:hAnsi="Times New Roman"/>
          <w:sz w:val="14"/>
          <w:szCs w:val="14"/>
          <w:b w:val="1"/>
          <w:bCs w:val="1"/>
          <w:color w:val="auto"/>
        </w:rPr>
        <w:t>Extension Amendment</w:t>
      </w:r>
      <w:r>
        <w:rPr>
          <w:rFonts w:ascii="Times New Roman" w:cs="Times New Roman" w:eastAsia="Times New Roman" w:hAnsi="Times New Roman"/>
          <w:sz w:val="14"/>
          <w:szCs w:val="14"/>
          <w:color w:val="auto"/>
        </w:rPr>
        <w:t xml:space="preserve">”) to this Agreement (which, except to the extent expressly contemplated by the penultimate sentence of this </w:t>
      </w:r>
      <w:r>
        <w:rPr>
          <w:rFonts w:ascii="Times New Roman" w:cs="Times New Roman" w:eastAsia="Times New Roman" w:hAnsi="Times New Roman"/>
          <w:sz w:val="14"/>
          <w:szCs w:val="14"/>
          <w:u w:val="single" w:color="auto"/>
          <w:color w:val="auto"/>
        </w:rPr>
        <w:t>Section 2.14(g)(iv)</w:t>
      </w:r>
      <w:r>
        <w:rPr>
          <w:rFonts w:ascii="Times New Roman" w:cs="Times New Roman" w:eastAsia="Times New Roman" w:hAnsi="Times New Roman"/>
          <w:sz w:val="14"/>
          <w:szCs w:val="14"/>
          <w:color w:val="auto"/>
        </w:rPr>
        <w:t xml:space="preserve"> and notwithstanding anything to the contrary set forth in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shall not require the consent of any Lender other than the Extending Lenders with</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6" w:name="page177"/>
    <w:bookmarkEnd w:id="176"/>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 xml:space="preserve">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 xml:space="preserve">, each Extension Amendment (x) shall amend the scheduled amortization payments pursuant to </w:t>
      </w:r>
      <w:r>
        <w:rPr>
          <w:rFonts w:ascii="Times New Roman" w:cs="Times New Roman" w:eastAsia="Times New Roman" w:hAnsi="Times New Roman"/>
          <w:sz w:val="14"/>
          <w:szCs w:val="14"/>
          <w:u w:val="single" w:color="auto"/>
          <w:color w:val="auto"/>
        </w:rPr>
        <w:t>Section 2.5</w:t>
      </w:r>
      <w:r>
        <w:rPr>
          <w:rFonts w:ascii="Times New Roman" w:cs="Times New Roman" w:eastAsia="Times New Roman" w:hAnsi="Times New Roman"/>
          <w:sz w:val="14"/>
          <w:szCs w:val="14"/>
          <w:color w:val="auto"/>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xml:space="preserve"> and without limiting the generality or applicability of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to any Section 2.14 Additional Amendments, any Extension Amendment may provide for additional terms and/or additional amendments other than those referred to or contemplated above (any such additional amendment, a “</w:t>
      </w:r>
      <w:r>
        <w:rPr>
          <w:rFonts w:ascii="Times New Roman" w:cs="Times New Roman" w:eastAsia="Times New Roman" w:hAnsi="Times New Roman"/>
          <w:sz w:val="14"/>
          <w:szCs w:val="14"/>
          <w:b w:val="1"/>
          <w:bCs w:val="1"/>
          <w:color w:val="auto"/>
        </w:rPr>
        <w:t>Section 2.14 Additional Amendment</w:t>
      </w:r>
      <w:r>
        <w:rPr>
          <w:rFonts w:ascii="Times New Roman" w:cs="Times New Roman" w:eastAsia="Times New Roman" w:hAnsi="Times New Roman"/>
          <w:sz w:val="14"/>
          <w:szCs w:val="14"/>
          <w:color w:val="auto"/>
        </w:rPr>
        <w:t xml:space="preserve">”) to this Agreement and the other Credit Documents;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Section 2.14 Additional Amendments are within the requirements of </w:t>
      </w:r>
      <w:r>
        <w:rPr>
          <w:rFonts w:ascii="Times New Roman" w:cs="Times New Roman" w:eastAsia="Times New Roman" w:hAnsi="Times New Roman"/>
          <w:sz w:val="14"/>
          <w:szCs w:val="14"/>
          <w:u w:val="single" w:color="auto"/>
          <w:color w:val="auto"/>
        </w:rPr>
        <w:t>Section 2.14(g)(i)</w:t>
      </w:r>
      <w:r>
        <w:rPr>
          <w:rFonts w:ascii="Times New Roman" w:cs="Times New Roman" w:eastAsia="Times New Roman" w:hAnsi="Times New Roman"/>
          <w:sz w:val="14"/>
          <w:szCs w:val="14"/>
          <w:color w:val="auto"/>
        </w:rPr>
        <w:t xml:space="preserve"> and do not become effective prior to the time that such Section 2.14 Additional Amendments have been consented to (including, without limitation, pursuant to (1) consents applicable to holders of New Term Loans or Extended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323" w:lineRule="exact"/>
        <w:rPr>
          <w:sz w:val="20"/>
          <w:szCs w:val="20"/>
          <w:color w:val="auto"/>
        </w:rPr>
      </w:pPr>
    </w:p>
    <w:p>
      <w:pPr>
        <w:jc w:val="both"/>
        <w:ind w:left="1140" w:right="1159" w:firstLine="294"/>
        <w:spacing w:after="0" w:line="258" w:lineRule="auto"/>
        <w:tabs>
          <w:tab w:leader="none" w:pos="1714"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anything to the contrary contained in this Agreement, (A) on any date on which any Existing Class is converted to extend the related scheduled maturity date(s) in accordance with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(an “</w:t>
      </w:r>
      <w:r>
        <w:rPr>
          <w:rFonts w:ascii="Times New Roman" w:cs="Times New Roman" w:eastAsia="Times New Roman" w:hAnsi="Times New Roman"/>
          <w:sz w:val="14"/>
          <w:szCs w:val="14"/>
          <w:b w:val="1"/>
          <w:bCs w:val="1"/>
          <w:color w:val="auto"/>
        </w:rPr>
        <w:t>Extension Date</w:t>
      </w:r>
      <w:r>
        <w:rPr>
          <w:rFonts w:ascii="Times New Roman" w:cs="Times New Roman" w:eastAsia="Times New Roman" w:hAnsi="Times New Roman"/>
          <w:sz w:val="14"/>
          <w:szCs w:val="14"/>
          <w:color w:val="auto"/>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328" w:lineRule="exact"/>
        <w:rPr>
          <w:rFonts w:ascii="Times New Roman" w:cs="Times New Roman" w:eastAsia="Times New Roman" w:hAnsi="Times New Roman"/>
          <w:sz w:val="14"/>
          <w:szCs w:val="14"/>
          <w:color w:val="auto"/>
        </w:rPr>
      </w:pPr>
    </w:p>
    <w:p>
      <w:pPr>
        <w:ind w:left="1140" w:right="1159" w:firstLine="294"/>
        <w:spacing w:after="0" w:line="263" w:lineRule="auto"/>
        <w:tabs>
          <w:tab w:leader="none" w:pos="1714"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Administrative Agent and the Lenders hereby consent to the consummation of the transactions contemplated by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w:t>
      </w:r>
    </w:p>
    <w:p>
      <w:pPr>
        <w:spacing w:after="0" w:line="3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2.15 </w:t>
      </w:r>
      <w:r>
        <w:rPr>
          <w:rFonts w:ascii="Times New Roman" w:cs="Times New Roman" w:eastAsia="Times New Roman" w:hAnsi="Times New Roman"/>
          <w:sz w:val="14"/>
          <w:szCs w:val="14"/>
          <w:u w:val="single" w:color="auto"/>
          <w:color w:val="auto"/>
        </w:rPr>
        <w:t>Permitted Debt Exchanges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8" w:lineRule="auto"/>
        <w:tabs>
          <w:tab w:leader="none" w:pos="1972" w:val="left"/>
        </w:tabs>
        <w:numPr>
          <w:ilvl w:val="0"/>
          <w:numId w:val="1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Notwithstanding anything to the contrary contained in this Agreement, pursuant to one or more offers (each, a “</w:t>
      </w:r>
      <w:r>
        <w:rPr>
          <w:rFonts w:ascii="Times New Roman" w:cs="Times New Roman" w:eastAsia="Times New Roman" w:hAnsi="Times New Roman"/>
          <w:sz w:val="14"/>
          <w:szCs w:val="14"/>
          <w:b w:val="1"/>
          <w:bCs w:val="1"/>
          <w:color w:val="auto"/>
        </w:rPr>
        <w:t>Permitted Debt Exchange Offer</w:t>
      </w:r>
      <w:r>
        <w:rPr>
          <w:rFonts w:ascii="Times New Roman" w:cs="Times New Roman" w:eastAsia="Times New Roman" w:hAnsi="Times New Roman"/>
          <w:sz w:val="14"/>
          <w:szCs w:val="14"/>
          <w:color w:val="auto"/>
        </w:rPr>
        <w:t>”) made from time to time by the Borrower, the Borrower may from time to time following the Closing Date consummate one or more exchanges of Term Loans for Permitted Other Indebtedness in the form of notes (such notes, “</w:t>
      </w:r>
      <w:r>
        <w:rPr>
          <w:rFonts w:ascii="Times New Roman" w:cs="Times New Roman" w:eastAsia="Times New Roman" w:hAnsi="Times New Roman"/>
          <w:sz w:val="14"/>
          <w:szCs w:val="14"/>
          <w:b w:val="1"/>
          <w:bCs w:val="1"/>
          <w:color w:val="auto"/>
        </w:rPr>
        <w:t>Permitted Debt Exchange Notes</w:t>
      </w:r>
      <w:r>
        <w:rPr>
          <w:rFonts w:ascii="Times New Roman" w:cs="Times New Roman" w:eastAsia="Times New Roman" w:hAnsi="Times New Roman"/>
          <w:sz w:val="14"/>
          <w:szCs w:val="14"/>
          <w:color w:val="auto"/>
        </w:rPr>
        <w:t>,” and each such exchange a</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77" w:name="page178"/>
    <w:bookmarkEnd w:id="177"/>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Permitted Debt Exchange</w:t>
      </w:r>
      <w:r>
        <w:rPr>
          <w:rFonts w:ascii="Times New Roman" w:cs="Times New Roman" w:eastAsia="Times New Roman" w:hAnsi="Times New Roman"/>
          <w:sz w:val="14"/>
          <w:szCs w:val="14"/>
          <w:color w:val="auto"/>
        </w:rPr>
        <w:t xml:space="preserve">”),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aggregate principal amount of the Permitted Debt Exchange Notes may include accrued interest and premium (if any) under the Term Loans exchanged and underwriting discounts, fees, commissions and expenses in connection with the issuance of such Permitted Debt Exchange Notes, (iii) the aggregate principal amount (calculated on the face amount thereof) of all Term Loans exchanged under each applicable Class by the Borrower pursuant to any Permitted Debt Exchange shall automatically be cancelled and retired by the Borrower on the date of the settlement thereof (and, if requested by the Administrative Agent, any applicable exchanging Lender shall execute and deliver to the Administrative Agent an Assignment and Acceptance, or such other form as may be reasonably requested by the Administrative Agent, in respect thereof pursuant to which the respective Lender assigns its interest in the Term Loans being exchanged pursuant to the Permitted Debt Exchange to the Borrower for immediate cancellation), (iv) if the aggregate principal amount of all Term Loans of a given Class (calculated on the face amount thereof) tendered by Lenders in respect of the relevant Permitted Debt Exchange Offer (with no Lender being permitted to tender a principal amount of Term Loans which exceeds the principal amount thereof of the applicable Class actually held by it) shall exceed the maximum aggregate principal amount of Term Loans of such Class offered to be exchanged by the Borrower pursuant to such Permitted Debt Exchange Offer, then the Borrower shall exchange Term Loans subject to such Permitted Debt 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Borrower and the Auction Agent, and (vi) any applicable Minimum Tender Condition shall be satisfied.</w:t>
      </w:r>
    </w:p>
    <w:p>
      <w:pPr>
        <w:spacing w:after="0" w:line="335" w:lineRule="exact"/>
        <w:rPr>
          <w:sz w:val="20"/>
          <w:szCs w:val="20"/>
          <w:color w:val="auto"/>
        </w:rPr>
      </w:pPr>
    </w:p>
    <w:p>
      <w:pPr>
        <w:ind w:left="1980" w:hanging="316"/>
        <w:spacing w:after="0"/>
        <w:tabs>
          <w:tab w:leader="none" w:pos="1980" w:val="left"/>
        </w:tabs>
        <w:numPr>
          <w:ilvl w:val="1"/>
          <w:numId w:val="13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With respect to all Permitted Debt Exchanges effected by the Borrower pursuant to this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w:t>
      </w:r>
    </w:p>
    <w:p>
      <w:pPr>
        <w:spacing w:after="0" w:line="24" w:lineRule="exact"/>
        <w:rPr>
          <w:rFonts w:ascii="Times New Roman" w:cs="Times New Roman" w:eastAsia="Times New Roman" w:hAnsi="Times New Roman"/>
          <w:sz w:val="14"/>
          <w:szCs w:val="14"/>
          <w:color w:val="010000"/>
        </w:rPr>
      </w:pPr>
    </w:p>
    <w:p>
      <w:pPr>
        <w:jc w:val="both"/>
        <w:ind w:left="1140" w:right="1159" w:firstLine="7"/>
        <w:spacing w:after="0" w:line="259" w:lineRule="auto"/>
        <w:tabs>
          <w:tab w:leader="none" w:pos="1311"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such Permitted Debt Exchanges (and the cancellation of the exchanged Term Loans in connection therewith) shall not constitute voluntary or mandatory payments or prepayments for purposes of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5.2</w:t>
      </w:r>
      <w:r>
        <w:rPr>
          <w:rFonts w:ascii="Times New Roman" w:cs="Times New Roman" w:eastAsia="Times New Roman" w:hAnsi="Times New Roman"/>
          <w:sz w:val="14"/>
          <w:szCs w:val="14"/>
          <w:color w:val="auto"/>
        </w:rPr>
        <w:t xml:space="preserve">, and (ii) such Permitted Debt Exchange Offer shall be made for not less than $20,000,000 in aggregate principal amount of Term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subject to the foregoing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the Borrower may at its election specify as a condition (a “</w:t>
      </w:r>
      <w:r>
        <w:rPr>
          <w:rFonts w:ascii="Times New Roman" w:cs="Times New Roman" w:eastAsia="Times New Roman" w:hAnsi="Times New Roman"/>
          <w:sz w:val="14"/>
          <w:szCs w:val="14"/>
          <w:b w:val="1"/>
          <w:bCs w:val="1"/>
          <w:color w:val="auto"/>
        </w:rPr>
        <w:t>Minimum Tender Condition</w:t>
      </w:r>
      <w:r>
        <w:rPr>
          <w:rFonts w:ascii="Times New Roman" w:cs="Times New Roman" w:eastAsia="Times New Roman" w:hAnsi="Times New Roman"/>
          <w:sz w:val="14"/>
          <w:szCs w:val="14"/>
          <w:color w:val="auto"/>
        </w:rPr>
        <w:t>”) to consummating any such Permitted Debt Exchange that a minimum amount (to be determined and specified in the relevant Permitted Debt Exchange Offer in the Borrower’s discretion) of Term Loans of any or all applicable Classes be tendered.</w:t>
      </w:r>
    </w:p>
    <w:p>
      <w:pPr>
        <w:spacing w:after="0" w:line="158" w:lineRule="exact"/>
        <w:rPr>
          <w:rFonts w:ascii="Times New Roman" w:cs="Times New Roman" w:eastAsia="Times New Roman" w:hAnsi="Times New Roman"/>
          <w:sz w:val="14"/>
          <w:szCs w:val="14"/>
          <w:color w:val="auto"/>
        </w:rPr>
      </w:pPr>
    </w:p>
    <w:p>
      <w:pPr>
        <w:jc w:val="both"/>
        <w:ind w:left="1140" w:right="1159" w:firstLine="524"/>
        <w:spacing w:after="0" w:line="264" w:lineRule="auto"/>
        <w:tabs>
          <w:tab w:leader="none" w:pos="2004" w:val="left"/>
        </w:tabs>
        <w:numPr>
          <w:ilvl w:val="1"/>
          <w:numId w:val="13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connection with each Permitted Debt Exchange, the Borrower and the Auction Agent shall mutually agree to such procedures as may be necessary or advisable to accomplish the purposes of this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 xml:space="preserve"> and without conflict with </w:t>
      </w:r>
      <w:r>
        <w:rPr>
          <w:rFonts w:ascii="Times New Roman" w:cs="Times New Roman" w:eastAsia="Times New Roman" w:hAnsi="Times New Roman"/>
          <w:sz w:val="14"/>
          <w:szCs w:val="14"/>
          <w:u w:val="single" w:color="auto"/>
          <w:color w:val="auto"/>
        </w:rPr>
        <w:t>Section 2.15(d)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terms of any Permitted Debt Exchange Offer shall provide that the date by which the relevant Lenders are required to indicate their election to participate in such Permitted Debt Exchange shall be not less than a reasonable period (in the discretion of the Borrower and the Auction Agent) of time following the date on which the Permitted Debt Exchange Offer is made.</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2004" w:val="left"/>
        </w:tabs>
        <w:numPr>
          <w:ilvl w:val="1"/>
          <w:numId w:val="13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shall be responsible for compliance with, and hereby agrees to comply with, all applicable securities and other laws in connection with each Permitted Debt Exchange, it being understood and agreed that (x) none of the Auction Agent, the Administrative Agent nor any Lender assumes any responsibility in connection with the Borrower’s compliance with such laws in connection with any Permitted Debt Exchange and (y) each Lender shall be solely responsible for its compliance with any applicable “insider trading” laws and regulations to which such Lender may be subject under the Securities Exchange Act.</w:t>
      </w:r>
    </w:p>
    <w:p>
      <w:pPr>
        <w:spacing w:after="0" w:line="15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2.16 </w:t>
      </w:r>
      <w:r>
        <w:rPr>
          <w:rFonts w:ascii="Times New Roman" w:cs="Times New Roman" w:eastAsia="Times New Roman" w:hAnsi="Times New Roman"/>
          <w:sz w:val="14"/>
          <w:szCs w:val="14"/>
          <w:u w:val="single" w:color="auto"/>
          <w:color w:val="auto"/>
        </w:rPr>
        <w:t>Defaulting Lenders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75" w:lineRule="auto"/>
        <w:tabs>
          <w:tab w:leader="none" w:pos="1982" w:val="left"/>
        </w:tabs>
        <w:numPr>
          <w:ilvl w:val="0"/>
          <w:numId w:val="13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Notwithstanding anything to the contrary contained in this Agreement, if any Lender becomes a Defaulting Lender, then, until such time as that Lender is no longer a Defaulting Lender, to the extent permitted by applicable Requirements of Law:</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178" w:name="page179"/>
    <w:bookmarkEnd w:id="178"/>
    <w:p>
      <w:pPr>
        <w:jc w:val="both"/>
        <w:ind w:left="1140" w:right="1159" w:firstLine="524"/>
        <w:spacing w:after="0" w:line="275" w:lineRule="auto"/>
        <w:tabs>
          <w:tab w:leader="none" w:pos="1972" w:val="left"/>
        </w:tabs>
        <w:numPr>
          <w:ilvl w:val="0"/>
          <w:numId w:val="13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Waivers and Amendments</w:t>
      </w:r>
      <w:r>
        <w:rPr>
          <w:rFonts w:ascii="Times New Roman" w:cs="Times New Roman" w:eastAsia="Times New Roman" w:hAnsi="Times New Roman"/>
          <w:sz w:val="14"/>
          <w:szCs w:val="14"/>
          <w:color w:val="auto"/>
        </w:rPr>
        <w:t xml:space="preserve">. Such Defaulting Lender’s right to approve or disapprove any amendment, waiver or consent with respect to this Agreement shall be restricted as set forth in the definition of Required Lenders and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173" w:lineRule="exact"/>
        <w:tabs>
          <w:tab w:leader="none" w:pos="1982" w:val="left"/>
        </w:tabs>
        <w:numPr>
          <w:ilvl w:val="0"/>
          <w:numId w:val="13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Defaulting Lender Waterfall</w:t>
      </w:r>
      <w:r>
        <w:rPr>
          <w:rFonts w:ascii="Times New Roman" w:cs="Times New Roman" w:eastAsia="Times New Roman" w:hAnsi="Times New Roman"/>
          <w:sz w:val="14"/>
          <w:szCs w:val="14"/>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or otherwise) or received by the Administrative Agent from a Defaulting Lender pursuant to </w:t>
      </w:r>
      <w:r>
        <w:rPr>
          <w:rFonts w:ascii="Times New Roman" w:cs="Times New Roman" w:eastAsia="Times New Roman" w:hAnsi="Times New Roman"/>
          <w:sz w:val="14"/>
          <w:szCs w:val="14"/>
          <w:u w:val="single" w:color="auto"/>
          <w:color w:val="auto"/>
        </w:rPr>
        <w:t>Section 13.8</w:t>
      </w:r>
      <w:r>
        <w:rPr>
          <w:rFonts w:ascii="Times New Roman" w:cs="Times New Roman" w:eastAsia="Times New Roman" w:hAnsi="Times New Roman"/>
          <w:sz w:val="14"/>
          <w:szCs w:val="14"/>
          <w:color w:val="auto"/>
        </w:rPr>
        <w:t xml:space="preserve"> shall be applied at such time or times as may be determined by the Administrative Agent as follows: </w:t>
      </w: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to the payment of any amounts owing by such Defaulting Lender to the Administrative Agent hereunder;</w:t>
      </w:r>
      <w:r>
        <w:rPr>
          <w:rFonts w:ascii="Times New Roman" w:cs="Times New Roman" w:eastAsia="Times New Roman" w:hAnsi="Times New Roman"/>
          <w:sz w:val="14"/>
          <w:szCs w:val="14"/>
          <w:i w:val="1"/>
          <w:iCs w:val="1"/>
          <w:color w:val="auto"/>
        </w:rPr>
        <w:t xml:space="preserve"> second</w:t>
      </w:r>
      <w:r>
        <w:rPr>
          <w:rFonts w:ascii="Times New Roman" w:cs="Times New Roman" w:eastAsia="Times New Roman" w:hAnsi="Times New Roman"/>
          <w:sz w:val="14"/>
          <w:szCs w:val="14"/>
          <w:color w:val="auto"/>
        </w:rPr>
        <w:t>, to the payment on a pro rata basis of any amounts owing by such Defaulting Lender to any Letter of Credit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Issuer and Swingline Lender hereunder; </w:t>
      </w: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xml:space="preserve">, to Cash Collateralize, as applicable, any Letter of Credit Issuer’s or Swingline Lender’s Fronting Exposure with respect to such Defaulting Lender in accordance with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3A.8</w:t>
      </w:r>
      <w:r>
        <w:rPr>
          <w:rFonts w:ascii="Times New Roman" w:cs="Times New Roman" w:eastAsia="Times New Roman" w:hAnsi="Times New Roman"/>
          <w:sz w:val="14"/>
          <w:szCs w:val="14"/>
          <w:color w:val="auto"/>
        </w:rPr>
        <w:t xml:space="preserve">, as applicable; </w:t>
      </w:r>
      <w:r>
        <w:rPr>
          <w:rFonts w:ascii="Times New Roman" w:cs="Times New Roman" w:eastAsia="Times New Roman" w:hAnsi="Times New Roman"/>
          <w:sz w:val="14"/>
          <w:szCs w:val="14"/>
          <w:i w:val="1"/>
          <w:iCs w:val="1"/>
          <w:color w:val="auto"/>
        </w:rPr>
        <w:t>fourth</w:t>
      </w:r>
      <w:r>
        <w:rPr>
          <w:rFonts w:ascii="Times New Roman" w:cs="Times New Roman" w:eastAsia="Times New Roman" w:hAnsi="Times New Roman"/>
          <w:sz w:val="14"/>
          <w:szCs w:val="14"/>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4"/>
          <w:szCs w:val="14"/>
          <w:i w:val="1"/>
          <w:iCs w:val="1"/>
          <w:color w:val="auto"/>
        </w:rPr>
        <w:t>fifth</w:t>
      </w:r>
      <w:r>
        <w:rPr>
          <w:rFonts w:ascii="Times New Roman" w:cs="Times New Roman" w:eastAsia="Times New Roman" w:hAnsi="Times New Roman"/>
          <w:sz w:val="14"/>
          <w:szCs w:val="14"/>
          <w:color w:val="auto"/>
        </w:rPr>
        <w:t xml:space="preserve">, if so determined by the Administrative Agent and the Borrower, to be held in a deposit account and released pro rata in order to satisfy (x) such Defaulting Lender’s potential future funding obligations with respect to Loans under this Agreement and (y) Cash Collateralize, as applicable, any Letter of Credit Issuer’s future Fronting Exposure with respect to such Defaulting Lender with respect to future Letters of Credit issued under this Agreement, in accordance with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3A.8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sixth</w:t>
      </w:r>
      <w:r>
        <w:rPr>
          <w:rFonts w:ascii="Times New Roman" w:cs="Times New Roman" w:eastAsia="Times New Roman" w:hAnsi="Times New Roman"/>
          <w:sz w:val="14"/>
          <w:szCs w:val="14"/>
          <w:color w:val="auto"/>
        </w:rPr>
        <w:t xml:space="preserve">, to the payment of any amounts owing to the Borrower or the Lenders, any Letter of Credit Issuer or the Swingline Lender as a result of any judgment of a court of competent jurisdiction obtained by the Borrower, any Lender, any Letter of Credit Issuer or Swingline Lender against such Defaulting Lender as a result of such Defaulting Lender’s breach of its obligations under this Agreement; and </w:t>
      </w:r>
      <w:r>
        <w:rPr>
          <w:rFonts w:ascii="Times New Roman" w:cs="Times New Roman" w:eastAsia="Times New Roman" w:hAnsi="Times New Roman"/>
          <w:sz w:val="14"/>
          <w:szCs w:val="14"/>
          <w:i w:val="1"/>
          <w:iCs w:val="1"/>
          <w:color w:val="auto"/>
        </w:rPr>
        <w:t>seventh</w:t>
      </w:r>
      <w:r>
        <w:rPr>
          <w:rFonts w:ascii="Times New Roman" w:cs="Times New Roman" w:eastAsia="Times New Roman" w:hAnsi="Times New Roman"/>
          <w:sz w:val="14"/>
          <w:szCs w:val="14"/>
          <w:color w:val="auto"/>
        </w:rPr>
        <w:t xml:space="preserve">, to such Defaulting Lender or as otherwise directed by a court of competent jurisdiction;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(x) such payment is a payment of the principal amount of any Loans, Revolving L/C Borrowings or Swingline Loans in respect of which such Defaulting Lender has not fully funded its appropriate share, and (y) such Loans or Swingline Loans were made or the related Letters of Credit were issued at a time when the conditions set forth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were satisfied or waived, such payment shall be applied solely to pay the Loans or Swingline Loans of, and L/C Obligations owed to, all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Defaulting Lenders on a pro rata basis prior to being applied to the payment of any Loans of such Defaulting Lender until such time as all Loans and funded and unfunded participations in L/C Obligations and/or Swingline Loans are held by the Lenders pro rata in accordance with the Commitments hereunder without giving effect to </w:t>
      </w:r>
      <w:r>
        <w:rPr>
          <w:rFonts w:ascii="Times New Roman" w:cs="Times New Roman" w:eastAsia="Times New Roman" w:hAnsi="Times New Roman"/>
          <w:sz w:val="14"/>
          <w:szCs w:val="14"/>
          <w:u w:val="single" w:color="auto"/>
          <w:color w:val="auto"/>
        </w:rPr>
        <w:t>Section 2.16(a)(iv)</w:t>
      </w:r>
      <w:r>
        <w:rPr>
          <w:rFonts w:ascii="Times New Roman" w:cs="Times New Roman" w:eastAsia="Times New Roman" w:hAnsi="Times New Roman"/>
          <w:sz w:val="14"/>
          <w:szCs w:val="14"/>
          <w:color w:val="auto"/>
        </w:rPr>
        <w:t xml:space="preserve">. Any payments, prepayments or other amounts paid or payable to a Defaulting Lender that are applied (or held) to pay amounts owed by a Defaulting Lender or post Cash Collateral, as applicable, pursuant to this </w:t>
      </w:r>
      <w:r>
        <w:rPr>
          <w:rFonts w:ascii="Times New Roman" w:cs="Times New Roman" w:eastAsia="Times New Roman" w:hAnsi="Times New Roman"/>
          <w:sz w:val="14"/>
          <w:szCs w:val="14"/>
          <w:u w:val="single" w:color="auto"/>
          <w:color w:val="auto"/>
        </w:rPr>
        <w:t>Section 2.16(a)(ii)</w:t>
      </w:r>
      <w:r>
        <w:rPr>
          <w:rFonts w:ascii="Times New Roman" w:cs="Times New Roman" w:eastAsia="Times New Roman" w:hAnsi="Times New Roman"/>
          <w:sz w:val="14"/>
          <w:szCs w:val="14"/>
          <w:color w:val="auto"/>
        </w:rPr>
        <w:t xml:space="preserve"> shall be deemed paid to and redirected by such Defaulting Lender, and each Lender irrevocably consents hereto.</w:t>
      </w:r>
    </w:p>
    <w:p>
      <w:pPr>
        <w:spacing w:after="0" w:line="175"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3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Certain Fees</w:t>
      </w:r>
      <w:r>
        <w:rPr>
          <w:rFonts w:ascii="Times New Roman" w:cs="Times New Roman" w:eastAsia="Times New Roman" w:hAnsi="Times New Roman"/>
          <w:sz w:val="14"/>
          <w:szCs w:val="14"/>
          <w:color w:val="auto"/>
        </w:rPr>
        <w:t>.</w:t>
      </w:r>
    </w:p>
    <w:p>
      <w:pPr>
        <w:spacing w:after="0" w:line="194" w:lineRule="exact"/>
        <w:rPr>
          <w:rFonts w:ascii="Times New Roman" w:cs="Times New Roman" w:eastAsia="Times New Roman" w:hAnsi="Times New Roman"/>
          <w:sz w:val="14"/>
          <w:szCs w:val="14"/>
          <w:color w:val="010000"/>
        </w:rPr>
      </w:pPr>
    </w:p>
    <w:p>
      <w:pPr>
        <w:jc w:val="both"/>
        <w:ind w:left="2180" w:right="1159" w:firstLine="516"/>
        <w:spacing w:after="0" w:line="256" w:lineRule="auto"/>
        <w:tabs>
          <w:tab w:leader="none" w:pos="3022" w:val="left"/>
        </w:tabs>
        <w:numPr>
          <w:ilvl w:val="2"/>
          <w:numId w:val="138"/>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No Defaulting Lender shall be entitled to receive any fee payable under </w:t>
      </w:r>
      <w:r>
        <w:rPr>
          <w:rFonts w:ascii="Times New Roman" w:cs="Times New Roman" w:eastAsia="Times New Roman" w:hAnsi="Times New Roman"/>
          <w:sz w:val="14"/>
          <w:szCs w:val="14"/>
          <w:u w:val="single" w:color="auto"/>
          <w:color w:val="auto"/>
        </w:rPr>
        <w:t>Section 4</w:t>
      </w:r>
      <w:r>
        <w:rPr>
          <w:rFonts w:ascii="Times New Roman" w:cs="Times New Roman" w:eastAsia="Times New Roman" w:hAnsi="Times New Roman"/>
          <w:sz w:val="14"/>
          <w:szCs w:val="14"/>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60" w:lineRule="exact"/>
        <w:rPr>
          <w:rFonts w:ascii="Times New Roman" w:cs="Times New Roman" w:eastAsia="Times New Roman" w:hAnsi="Times New Roman"/>
          <w:sz w:val="16"/>
          <w:szCs w:val="16"/>
          <w:color w:val="010000"/>
        </w:rPr>
      </w:pPr>
    </w:p>
    <w:p>
      <w:pPr>
        <w:jc w:val="both"/>
        <w:ind w:left="2180" w:right="1159" w:firstLine="516"/>
        <w:spacing w:after="0" w:line="256" w:lineRule="auto"/>
        <w:tabs>
          <w:tab w:leader="none" w:pos="3022" w:val="left"/>
        </w:tabs>
        <w:numPr>
          <w:ilvl w:val="2"/>
          <w:numId w:val="138"/>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Each Defaulting Lender shall be entitled to receive 2020 Letter of Credit Fees or Revolving Letter of Credit Fees, as applicable, for any period during which that Lender is a Defaulting Lender only to the extent allocable to its applicable percentage of the stated amount of Letters of Credit for which it has provided Cash Collateral, as applicable, pursuant to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3A.8</w:t>
      </w:r>
      <w:r>
        <w:rPr>
          <w:rFonts w:ascii="Times New Roman" w:cs="Times New Roman" w:eastAsia="Times New Roman" w:hAnsi="Times New Roman"/>
          <w:sz w:val="14"/>
          <w:szCs w:val="14"/>
          <w:color w:val="auto"/>
        </w:rPr>
        <w:t>, as applicable.</w:t>
      </w:r>
    </w:p>
    <w:p>
      <w:pPr>
        <w:spacing w:after="0" w:line="160" w:lineRule="exact"/>
        <w:rPr>
          <w:rFonts w:ascii="Times New Roman" w:cs="Times New Roman" w:eastAsia="Times New Roman" w:hAnsi="Times New Roman"/>
          <w:sz w:val="16"/>
          <w:szCs w:val="16"/>
          <w:color w:val="010000"/>
        </w:rPr>
      </w:pPr>
    </w:p>
    <w:p>
      <w:pPr>
        <w:jc w:val="both"/>
        <w:ind w:left="2180" w:right="1159" w:firstLine="516"/>
        <w:spacing w:after="0" w:line="253" w:lineRule="auto"/>
        <w:tabs>
          <w:tab w:leader="none" w:pos="3012" w:val="left"/>
        </w:tabs>
        <w:numPr>
          <w:ilvl w:val="2"/>
          <w:numId w:val="138"/>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With respect to any 2020 Letter of Credit Fee or Revolving Letter of Credit Fee, as applicable, not required to be paid to any Defaulting Lender pursuant to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below,</w:t>
      </w:r>
    </w:p>
    <w:p>
      <w:pPr>
        <w:spacing w:after="0" w:line="1" w:lineRule="exact"/>
        <w:rPr>
          <w:rFonts w:ascii="Times New Roman" w:cs="Times New Roman" w:eastAsia="Times New Roman" w:hAnsi="Times New Roman"/>
          <w:sz w:val="16"/>
          <w:szCs w:val="16"/>
          <w:color w:val="010000"/>
        </w:rPr>
      </w:pPr>
    </w:p>
    <w:p>
      <w:pPr>
        <w:ind w:left="2380" w:hanging="200"/>
        <w:spacing w:after="0"/>
        <w:tabs>
          <w:tab w:leader="none" w:pos="2380"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to any Letter of Credit Issuer the amount of any such fee otherwise payable to such</w:t>
      </w:r>
    </w:p>
    <w:p>
      <w:pPr>
        <w:spacing w:after="0" w:line="2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179" w:name="page180"/>
    <w:bookmarkEnd w:id="179"/>
    <w:p>
      <w:pPr>
        <w:ind w:left="2180" w:right="1159"/>
        <w:spacing w:after="0" w:line="293" w:lineRule="auto"/>
        <w:rPr>
          <w:sz w:val="20"/>
          <w:szCs w:val="20"/>
          <w:color w:val="auto"/>
        </w:rPr>
      </w:pPr>
      <w:r>
        <w:rPr>
          <w:rFonts w:ascii="Times New Roman" w:cs="Times New Roman" w:eastAsia="Times New Roman" w:hAnsi="Times New Roman"/>
          <w:sz w:val="14"/>
          <w:szCs w:val="14"/>
          <w:color w:val="auto"/>
        </w:rPr>
        <w:t>Defaulting Lender to the extent allocable to such Letter of Credit’s Fronting Exposure to such Defaulting Lender and (z) not be required to pay the remaining amount of any such fee.</w:t>
      </w:r>
    </w:p>
    <w:p>
      <w:pPr>
        <w:spacing w:after="0" w:line="134" w:lineRule="exact"/>
        <w:rPr>
          <w:sz w:val="20"/>
          <w:szCs w:val="20"/>
          <w:color w:val="auto"/>
        </w:rPr>
      </w:pPr>
    </w:p>
    <w:p>
      <w:pPr>
        <w:jc w:val="both"/>
        <w:ind w:left="1140" w:right="1159" w:firstLine="524"/>
        <w:spacing w:after="0" w:line="260" w:lineRule="auto"/>
        <w:tabs>
          <w:tab w:leader="none" w:pos="1993" w:val="left"/>
        </w:tabs>
        <w:numPr>
          <w:ilvl w:val="0"/>
          <w:numId w:val="13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Reallocation of Revolving Credit Commitment Percentage or 2020 Letter of Credit Commitment Percentages to Reduce Fronting Exposure</w:t>
      </w:r>
      <w:r>
        <w:rPr>
          <w:rFonts w:ascii="Times New Roman" w:cs="Times New Roman" w:eastAsia="Times New Roman" w:hAnsi="Times New Roman"/>
          <w:sz w:val="14"/>
          <w:szCs w:val="14"/>
          <w:color w:val="auto"/>
        </w:rPr>
        <w:t xml:space="preserve">. All or any part of such Defaulting Lender’s participation in L/C Obligations shall be reallocated among the Non-Defaulting Lenders in accordance with their respective Revolving Credit Commitment Percentages or 2020 Letter of Credit Commitment Percentages, as applicable (calculated without regard to such Defaulting Lender’s Commitment) but only to the extent that such reallocation does not cause the aggregate Revolving Credit Exposure or 2020 Letter of Credit Exposure, as applicable, of any Non-Defaulting Lender to exceed such non-Defaulting Lender’s Commitment. Subject to </w:t>
      </w:r>
      <w:r>
        <w:rPr>
          <w:rFonts w:ascii="Times New Roman" w:cs="Times New Roman" w:eastAsia="Times New Roman" w:hAnsi="Times New Roman"/>
          <w:sz w:val="14"/>
          <w:szCs w:val="14"/>
          <w:u w:val="single" w:color="auto"/>
          <w:color w:val="auto"/>
        </w:rPr>
        <w:t>Section 13.22</w:t>
      </w:r>
      <w:r>
        <w:rPr>
          <w:rFonts w:ascii="Times New Roman" w:cs="Times New Roman" w:eastAsia="Times New Roman" w:hAnsi="Times New Roman"/>
          <w:sz w:val="14"/>
          <w:szCs w:val="14"/>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13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Cash Collateral</w:t>
      </w:r>
      <w:r>
        <w:rPr>
          <w:rFonts w:ascii="Times New Roman" w:cs="Times New Roman" w:eastAsia="Times New Roman" w:hAnsi="Times New Roman"/>
          <w:sz w:val="14"/>
          <w:szCs w:val="14"/>
          <w:color w:val="auto"/>
        </w:rPr>
        <w:t xml:space="preserve">. If the reallocation described in </w:t>
      </w:r>
      <w:r>
        <w:rPr>
          <w:rFonts w:ascii="Times New Roman" w:cs="Times New Roman" w:eastAsia="Times New Roman" w:hAnsi="Times New Roman"/>
          <w:sz w:val="14"/>
          <w:szCs w:val="14"/>
          <w:u w:val="single" w:color="auto"/>
          <w:color w:val="auto"/>
        </w:rPr>
        <w:t>clause (a)(iv)</w:t>
      </w:r>
      <w:r>
        <w:rPr>
          <w:rFonts w:ascii="Times New Roman" w:cs="Times New Roman" w:eastAsia="Times New Roman" w:hAnsi="Times New Roman"/>
          <w:sz w:val="14"/>
          <w:szCs w:val="14"/>
          <w:color w:val="auto"/>
        </w:rPr>
        <w:t xml:space="preserve"> above cannot, or can only partially, be effected, the Borrower shall Cash Collateralize, as applicable, any Letter of Credit Issuer’s Fronting Exposure in accordance with the procedures set forth in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3A.8</w:t>
      </w:r>
      <w:r>
        <w:rPr>
          <w:rFonts w:ascii="Times New Roman" w:cs="Times New Roman" w:eastAsia="Times New Roman" w:hAnsi="Times New Roman"/>
          <w:sz w:val="14"/>
          <w:szCs w:val="14"/>
          <w:color w:val="auto"/>
        </w:rPr>
        <w:t>, as applicable.</w:t>
      </w:r>
    </w:p>
    <w:p>
      <w:pPr>
        <w:spacing w:after="0" w:line="146" w:lineRule="exact"/>
        <w:rPr>
          <w:sz w:val="20"/>
          <w:szCs w:val="20"/>
          <w:color w:val="auto"/>
        </w:rPr>
      </w:pPr>
    </w:p>
    <w:p>
      <w:pPr>
        <w:jc w:val="both"/>
        <w:ind w:left="1140" w:right="1159" w:firstLine="524"/>
        <w:spacing w:after="0" w:line="259" w:lineRule="auto"/>
        <w:tabs>
          <w:tab w:leader="none" w:pos="1972" w:val="left"/>
        </w:tabs>
        <w:numPr>
          <w:ilvl w:val="0"/>
          <w:numId w:val="14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Defaulting Lender Cure</w:t>
      </w:r>
      <w:r>
        <w:rPr>
          <w:rFonts w:ascii="Times New Roman" w:cs="Times New Roman" w:eastAsia="Times New Roman" w:hAnsi="Times New Roman"/>
          <w:sz w:val="14"/>
          <w:szCs w:val="14"/>
          <w:color w:val="auto"/>
        </w:rPr>
        <w:t xml:space="preserve">. If the Borrower, the Administrative Agent, any Letter of Credit Issuer and the Swingline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and/or Swingline Loans to be held on a pro rata basis by the Lenders in accordance with their Revolving Credit Commitment Percentages or 2020 Letter of Credit Commitment Percentages, as applicable (without giving effect to </w:t>
      </w:r>
      <w:r>
        <w:rPr>
          <w:rFonts w:ascii="Times New Roman" w:cs="Times New Roman" w:eastAsia="Times New Roman" w:hAnsi="Times New Roman"/>
          <w:sz w:val="14"/>
          <w:szCs w:val="14"/>
          <w:u w:val="single" w:color="auto"/>
          <w:color w:val="auto"/>
        </w:rPr>
        <w:t>Section 2.16(a)(iv)</w:t>
      </w:r>
      <w:r>
        <w:rPr>
          <w:rFonts w:ascii="Times New Roman" w:cs="Times New Roman" w:eastAsia="Times New Roman" w:hAnsi="Times New Roman"/>
          <w:sz w:val="14"/>
          <w:szCs w:val="14"/>
          <w:color w:val="auto"/>
        </w:rPr>
        <w:t xml:space="preserve">), whereupon such Lender will cease to be a Defaulting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3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2.17 </w:t>
      </w:r>
      <w:r>
        <w:rPr>
          <w:rFonts w:ascii="Times New Roman" w:cs="Times New Roman" w:eastAsia="Times New Roman" w:hAnsi="Times New Roman"/>
          <w:sz w:val="14"/>
          <w:szCs w:val="14"/>
          <w:u w:val="single" w:color="auto"/>
          <w:color w:val="auto"/>
        </w:rPr>
        <w:t>Swingline Loans</w:t>
      </w:r>
      <w:r>
        <w:rPr>
          <w:rFonts w:ascii="Times New Roman" w:cs="Times New Roman" w:eastAsia="Times New Roman" w:hAnsi="Times New Roman"/>
          <w:sz w:val="14"/>
          <w:szCs w:val="14"/>
          <w:color w:val="auto"/>
        </w:rPr>
        <w:t>.</w:t>
      </w:r>
    </w:p>
    <w:p>
      <w:pPr>
        <w:spacing w:after="0" w:line="205" w:lineRule="exact"/>
        <w:rPr>
          <w:sz w:val="20"/>
          <w:szCs w:val="20"/>
          <w:color w:val="auto"/>
        </w:rPr>
      </w:pPr>
    </w:p>
    <w:p>
      <w:pPr>
        <w:ind w:left="1140" w:right="1159" w:firstLine="524"/>
        <w:spacing w:after="0" w:line="261" w:lineRule="auto"/>
        <w:tabs>
          <w:tab w:leader="none" w:pos="2001" w:val="left"/>
        </w:tabs>
        <w:numPr>
          <w:ilvl w:val="0"/>
          <w:numId w:val="14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the terms and conditions set forth herein, in reliance upon the agreements of the other Lenders set forth in this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the Swingline Lender agrees to make Swingline Loans to the Borrower from time to time until the Revolving Credit Maturity Date denominated in Dollars in an aggregate principal amount at any time outstanding that will not result in (i) the aggregate Revolving Credit Exposure exceeding the aggregate Revolving Credit Commitments or (ii) the aggregate amount of Swingline Loans outstanding exceeding the Swingline Sublimit;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Swingline Lender shall be required to make a Swingline Loan to refinance an outstanding Swingline Loan. Within the foregoing limits and subject to the terms and conditions set forth herein, the Borrower may borrow, prepay and reborrow Swingline Loans.</w:t>
      </w:r>
    </w:p>
    <w:p>
      <w:pPr>
        <w:spacing w:after="0" w:line="170" w:lineRule="exact"/>
        <w:rPr>
          <w:rFonts w:ascii="Times New Roman" w:cs="Times New Roman" w:eastAsia="Times New Roman" w:hAnsi="Times New Roman"/>
          <w:sz w:val="14"/>
          <w:szCs w:val="14"/>
          <w:color w:val="010000"/>
        </w:rPr>
      </w:pPr>
    </w:p>
    <w:p>
      <w:pPr>
        <w:ind w:left="1140" w:right="1179" w:firstLine="524"/>
        <w:spacing w:after="0" w:line="259" w:lineRule="auto"/>
        <w:tabs>
          <w:tab w:leader="none" w:pos="2001" w:val="left"/>
        </w:tabs>
        <w:numPr>
          <w:ilvl w:val="0"/>
          <w:numId w:val="14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To request a Swingline Loan, the Borrower shall notify the Administrative Agent and the Swingline Lender of such request (i) by telephone (confirmed in writing in the form of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or by facsimile or electronic communication in the form of </w:t>
      </w:r>
      <w:r>
        <w:rPr>
          <w:rFonts w:ascii="Times New Roman" w:cs="Times New Roman" w:eastAsia="Times New Roman" w:hAnsi="Times New Roman"/>
          <w:sz w:val="14"/>
          <w:szCs w:val="14"/>
          <w:u w:val="single" w:color="auto"/>
          <w:color w:val="auto"/>
        </w:rPr>
        <w:t>Exhibit J</w:t>
      </w:r>
      <w:r>
        <w:rPr>
          <w:rFonts w:ascii="Times New Roman" w:cs="Times New Roman" w:eastAsia="Times New Roman" w:hAnsi="Times New Roman"/>
          <w:sz w:val="14"/>
          <w:szCs w:val="14"/>
          <w:color w:val="auto"/>
        </w:rPr>
        <w:t xml:space="preserve">, if arrangements for doing so have been approved by the Swingline Lender (confirmed by telephone), not later than 11:00 a.m., New York City time, or, if agreed by the Swingline Lender, 3:00 p.m. New York City time on the day of such proposed Swingline Loan. Each such notice shall be irrevocable and shall specify the requested date (which shall be a Business Day), the amount of the requested Swingline Loan and in the case of any Swingline Loan requested to finance the reimbursement of an Unpaid Drawing as provided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the identity of the Letter of Credit Issuer that made the applicable Letter of Credit. Each Swingline Loan shall be an ABR Borrowing. The Swingline Lender shall make each Swingline Loan available to the Borrower by means of a credit to any accounts of the Borrower maintained with the Swingline Lender for the Swingline Loan (or, in the case of a Swingline Loan made to finance the reimbursement of an Unpaid Drawing as provided in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by remittance to the applicable Letter of Credit Issuer) by 3:00 p.m., New York City time, on the requested date of such Swingline Loan.</w:t>
      </w:r>
    </w:p>
    <w:p>
      <w:pPr>
        <w:spacing w:after="0" w:line="2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0" w:name="page181"/>
    <w:bookmarkEnd w:id="180"/>
    <w:p>
      <w:pPr>
        <w:ind w:left="1140" w:right="1159" w:firstLine="524"/>
        <w:spacing w:after="0" w:line="257" w:lineRule="auto"/>
        <w:tabs>
          <w:tab w:leader="none" w:pos="2001"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Swingline Lender may by written notice given to the Administrative Agent not later than 2:00 p.m., New York City time, on any Business Day require the Revolving Credit Lenders to acquire participations on such Business Day in all or a portion of the Swingline Loans outstanding. Such notice shall specify the aggregate amount of Swingline Loans in which Revolving Credit Lenders will participate. Promptly upon receipt of such notice, the Administrative Agent will give notice thereof to each Revolving Credit Lender, specifying in such notice the Lender’s Revolving Credit Commitment Percentage of such Swingline Loan or Swingline Loans. Each Revolving Credit Lender hereby absolutely and unconditionally agrees, upon receipt of notice as provided above, to pay to the Administrative Agent, for the account of the Swingline Lender, such Lender’s Revolving Credit Commitment Percentage of such Swingline Loan or Swingline Loans. Each Revolving Credit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Credit Lender shall comply with its obligation under this paragraph by wire transfer of immediately available funds, in the same manner as provided in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with respect to Loans made by such Lender (and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shall apply, </w:t>
      </w:r>
      <w:r>
        <w:rPr>
          <w:rFonts w:ascii="Times New Roman" w:cs="Times New Roman" w:eastAsia="Times New Roman" w:hAnsi="Times New Roman"/>
          <w:sz w:val="14"/>
          <w:szCs w:val="14"/>
          <w:i w:val="1"/>
          <w:iCs w:val="1"/>
          <w:color w:val="auto"/>
        </w:rPr>
        <w:t>mutatis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mutandis</w:t>
      </w:r>
      <w:r>
        <w:rPr>
          <w:rFonts w:ascii="Times New Roman" w:cs="Times New Roman" w:eastAsia="Times New Roman" w:hAnsi="Times New Roman"/>
          <w:sz w:val="14"/>
          <w:szCs w:val="14"/>
          <w:color w:val="auto"/>
        </w:rPr>
        <w:t>, to the payment obligations of the Revolving Credit Lenders pursuant to this paragraph),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Administrative Agent shall promptly remit to the Swingline Lender the amounts so received by it from the Revolving Credit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Credit Lenders that shall have made their payments pursuant to this paragraph and to the Swingline Lender, as their interests may appear;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w:t>
      </w:r>
    </w:p>
    <w:p>
      <w:pPr>
        <w:spacing w:after="0" w:line="359" w:lineRule="exact"/>
        <w:rPr>
          <w:rFonts w:ascii="Times New Roman" w:cs="Times New Roman" w:eastAsia="Times New Roman" w:hAnsi="Times New Roman"/>
          <w:sz w:val="14"/>
          <w:szCs w:val="14"/>
          <w:color w:val="010000"/>
        </w:rPr>
      </w:pPr>
    </w:p>
    <w:p>
      <w:pPr>
        <w:ind w:left="1140" w:right="1199" w:firstLine="524"/>
        <w:spacing w:after="0" w:line="261" w:lineRule="auto"/>
        <w:tabs>
          <w:tab w:leader="none" w:pos="2001"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may, at any time and from time to time, designate as additional Swingline Lenders one or more Revolving Credit Lenders that agree to serve in such capacity as provided below. The acceptance by a Revolving Credit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Credit Lender shall have all the rights and obligations of a Swingline Lender under this Agreement and (ii) references herein to the term “Swingline Lender” shall be deemed to include such Revolving Credit Lender in its capacity as a lender of Swingline Loans hereunder.</w:t>
      </w:r>
    </w:p>
    <w:p>
      <w:pPr>
        <w:spacing w:after="0" w:line="170" w:lineRule="exact"/>
        <w:rPr>
          <w:rFonts w:ascii="Times New Roman" w:cs="Times New Roman" w:eastAsia="Times New Roman" w:hAnsi="Times New Roman"/>
          <w:sz w:val="14"/>
          <w:szCs w:val="14"/>
          <w:color w:val="010000"/>
        </w:rPr>
      </w:pPr>
    </w:p>
    <w:p>
      <w:pPr>
        <w:ind w:left="1140" w:right="1179" w:firstLine="524"/>
        <w:spacing w:after="0" w:line="261" w:lineRule="auto"/>
        <w:tabs>
          <w:tab w:leader="none" w:pos="2001"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w:t>
      </w:r>
    </w:p>
    <w:p>
      <w:pPr>
        <w:spacing w:after="0" w:line="170" w:lineRule="exact"/>
        <w:rPr>
          <w:rFonts w:ascii="Times New Roman" w:cs="Times New Roman" w:eastAsia="Times New Roman" w:hAnsi="Times New Roman"/>
          <w:sz w:val="14"/>
          <w:szCs w:val="14"/>
          <w:color w:val="010000"/>
        </w:rPr>
      </w:pPr>
    </w:p>
    <w:p>
      <w:pPr>
        <w:ind w:left="1140" w:right="1259" w:firstLine="524"/>
        <w:spacing w:after="0" w:line="261" w:lineRule="auto"/>
        <w:tabs>
          <w:tab w:leader="none" w:pos="2001" w:val="left"/>
        </w:tabs>
        <w:numPr>
          <w:ilvl w:val="0"/>
          <w:numId w:val="1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w:t>
      </w:r>
      <w:r>
        <w:rPr>
          <w:rFonts w:ascii="Times New Roman" w:cs="Times New Roman" w:eastAsia="Times New Roman" w:hAnsi="Times New Roman"/>
          <w:sz w:val="14"/>
          <w:szCs w:val="14"/>
          <w:u w:val="single" w:color="auto"/>
          <w:color w:val="auto"/>
        </w:rPr>
        <w:t>Section 2.8(a)</w:t>
      </w:r>
      <w:r>
        <w:rPr>
          <w:rFonts w:ascii="Times New Roman" w:cs="Times New Roman" w:eastAsia="Times New Roman" w:hAnsi="Times New Roman"/>
          <w:sz w:val="14"/>
          <w:szCs w:val="14"/>
          <w:color w:val="auto"/>
        </w:rPr>
        <w:t>.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79" w:right="1440" w:bottom="1440" w:gutter="0" w:footer="0" w:header="0"/>
        </w:sectPr>
      </w:pPr>
    </w:p>
    <w:bookmarkStart w:id="181" w:name="page182"/>
    <w:bookmarkEnd w:id="181"/>
    <w:p>
      <w:pPr>
        <w:ind w:left="1140" w:right="1299"/>
        <w:spacing w:after="0" w:line="268" w:lineRule="auto"/>
        <w:rPr>
          <w:sz w:val="20"/>
          <w:szCs w:val="20"/>
          <w:color w:val="auto"/>
        </w:rPr>
      </w:pPr>
      <w:r>
        <w:rPr>
          <w:rFonts w:ascii="Times New Roman" w:cs="Times New Roman" w:eastAsia="Times New Roman" w:hAnsi="Times New Roman"/>
          <w:sz w:val="14"/>
          <w:szCs w:val="14"/>
          <w:color w:val="auto"/>
        </w:rPr>
        <w:t>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63" w:lineRule="exact"/>
        <w:rPr>
          <w:sz w:val="20"/>
          <w:szCs w:val="20"/>
          <w:color w:val="auto"/>
        </w:rPr>
      </w:pPr>
    </w:p>
    <w:p>
      <w:pPr>
        <w:jc w:val="both"/>
        <w:ind w:left="1140" w:right="1339" w:firstLine="524"/>
        <w:spacing w:after="0" w:line="268" w:lineRule="auto"/>
        <w:tabs>
          <w:tab w:leader="none" w:pos="2001" w:val="left"/>
        </w:tabs>
        <w:numPr>
          <w:ilvl w:val="0"/>
          <w:numId w:val="14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the appointment and acceptance of a successor Swingline Lender, any Swingline Lender may resign as a Swingline Lender at any time upon 30 days’ prior written notice to the Administrative Agent, the Borrower and the Lenders, in which case, such Swingline Lender shall be replaced in accordance with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2.17(f)</w:t>
      </w:r>
      <w:r>
        <w:rPr>
          <w:rFonts w:ascii="Times New Roman" w:cs="Times New Roman" w:eastAsia="Times New Roman" w:hAnsi="Times New Roman"/>
          <w:sz w:val="14"/>
          <w:szCs w:val="14"/>
          <w:color w:val="auto"/>
        </w:rPr>
        <w:t xml:space="preserve"> above.</w:t>
      </w:r>
    </w:p>
    <w:p>
      <w:pPr>
        <w:spacing w:after="0" w:line="138"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3.</w:t>
      </w:r>
      <w:r>
        <w:rPr>
          <w:sz w:val="20"/>
          <w:szCs w:val="20"/>
          <w:color w:val="auto"/>
        </w:rPr>
        <w:tab/>
      </w:r>
      <w:r>
        <w:rPr>
          <w:rFonts w:ascii="Times New Roman" w:cs="Times New Roman" w:eastAsia="Times New Roman" w:hAnsi="Times New Roman"/>
          <w:sz w:val="14"/>
          <w:szCs w:val="14"/>
          <w:color w:val="auto"/>
        </w:rPr>
        <w:t>Revolving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160464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2">
                      <a:extLst>
                        <a:ext uri="{28A0092B-C50C-407E-A947-70E740481C1C}"/>
                      </a:extLst>
                    </a:blip>
                    <a:srcRect/>
                    <a:stretch>
                      <a:fillRect/>
                    </a:stretch>
                  </pic:blipFill>
                  <pic:spPr bwMode="auto">
                    <a:xfrm>
                      <a:off x="0" y="0"/>
                      <a:ext cx="1604645" cy="6985"/>
                    </a:xfrm>
                    <a:prstGeom prst="rect">
                      <a:avLst/>
                    </a:prstGeom>
                    <a:noFill/>
                  </pic:spPr>
                </pic:pic>
              </a:graphicData>
            </a:graphic>
          </wp:anchor>
        </w:drawing>
      </w:r>
    </w:p>
    <w:p>
      <w:pPr>
        <w:spacing w:after="0" w:line="16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3.1</w:t>
      </w:r>
      <w:r>
        <w:rPr>
          <w:sz w:val="20"/>
          <w:szCs w:val="20"/>
          <w:color w:val="auto"/>
        </w:rPr>
        <w:tab/>
      </w:r>
      <w:r>
        <w:rPr>
          <w:rFonts w:ascii="Times New Roman" w:cs="Times New Roman" w:eastAsia="Times New Roman" w:hAnsi="Times New Roman"/>
          <w:sz w:val="14"/>
          <w:szCs w:val="14"/>
          <w:u w:val="single" w:color="auto"/>
          <w:color w:val="auto"/>
        </w:rPr>
        <w:t>Revolving Letters of Credit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1" w:lineRule="auto"/>
        <w:tabs>
          <w:tab w:leader="none" w:pos="1972" w:val="left"/>
        </w:tabs>
        <w:numPr>
          <w:ilvl w:val="0"/>
          <w:numId w:val="1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and upon the terms and conditions set forth herein, at any time and from time to time after the Closing Date and prior to the Revolving L/C Facility Maturity Date, each Revolving Letter of Credit Issuer agrees, in reliance upon the agreements of the Revolving Credit Lenders set forth in this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to issue from time to time from the Closing Date through the Revolving L/C Facility Maturity Date for the account of the Borrower (or, so long as the Borrower is the primary obligor and signatory to the Letter of Credit Request, for the account of Holdings or any Restricted Subsidiary) letters of credit (the “</w:t>
      </w:r>
      <w:r>
        <w:rPr>
          <w:rFonts w:ascii="Times New Roman" w:cs="Times New Roman" w:eastAsia="Times New Roman" w:hAnsi="Times New Roman"/>
          <w:sz w:val="14"/>
          <w:szCs w:val="14"/>
          <w:b w:val="1"/>
          <w:bCs w:val="1"/>
          <w:color w:val="auto"/>
        </w:rPr>
        <w:t>Revolving Letters of Credit</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Revolving Letter of Credit</w:t>
      </w:r>
      <w:r>
        <w:rPr>
          <w:rFonts w:ascii="Times New Roman" w:cs="Times New Roman" w:eastAsia="Times New Roman" w:hAnsi="Times New Roman"/>
          <w:sz w:val="14"/>
          <w:szCs w:val="14"/>
          <w:color w:val="auto"/>
        </w:rPr>
        <w:t>”), which Revolving Letters of Credit shall not at any time exceed (i) such Revolving Letter of Credit Issuer’s Revolving Letter of Credit Commitment, (ii) the L/C Sublimit and (iii) individual Letters of Credit, in such form as may be approved by the Revolving Letter of Credit Issuer in its reasonable discretion.</w:t>
      </w:r>
    </w:p>
    <w:p>
      <w:pPr>
        <w:spacing w:after="0" w:line="156"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72" w:val="left"/>
        </w:tabs>
        <w:numPr>
          <w:ilvl w:val="0"/>
          <w:numId w:val="1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Notwithstanding the foregoing, (i) no Revolving Letter of Credit shall be issued the Stated Amount of which, when added to the Revolving Letters of Credit Outstanding at such time, would exceed the L/C Sublimit (or with respect to any Revolving Letter of Credit Issuer, exceed such Revolving Letter of Credit Issuer’s Revolving Letter of Credit Commitment); (ii) no Revolving Letter of Credit shall be issued the Stated Amount of which would cause the aggregate amount of the Lenders’ Revolving Credit Exposures at the time of the issuance thereof to exceed the Total Revolving Credit Commitment then in effect; (iii) each Revolving Letter of Credit shall have an expiration date occurring no later than one year after the date of issuance thereof (except as set forth in </w:t>
      </w:r>
      <w:r>
        <w:rPr>
          <w:rFonts w:ascii="Times New Roman" w:cs="Times New Roman" w:eastAsia="Times New Roman" w:hAnsi="Times New Roman"/>
          <w:sz w:val="14"/>
          <w:szCs w:val="14"/>
          <w:u w:val="single" w:color="auto"/>
          <w:color w:val="auto"/>
        </w:rPr>
        <w:t>Section 3.2(d)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such expiration date occur later than the Revolving L/C Facility Maturity Date, in each case, unless otherwise agreed upon by the Administrative Agent, the Revolving Letter of Credit Issuer and, unless the Revolving Letter of Credit has been Cash Collateralized or backstopped (in the case of a backstop only, on terms reasonably satisfactory to such Revolving Letter of Credit Issuer), the Revolving Credit Lenders; (iv) the Revolving Letter of Credit shall be denominated in Dollars; (v) no Revolving Letter of Credit shall be issued if it would be illegal under any applicable law for the beneficiary of the Revolving Letter of Credit to have a Revolving Letter of Credit issued in its favor; and (vi) no Revolving Letter of Credit shall be issued by a Revolving Letter of Credit Issuer after it has received a written notice from any Credit Party or the Administrative Agent or the Required Revolving Credit Lenders stating that a Default or Event of Default has occurred and is continuing until such time as such Revolving Letter of Credit Issuer shall have received a written notice of (x) rescission of such notice from the party or parties originally delivering such notice or (y) the waiver of such Default or Event of Default in accordance with the provisions of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338"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1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Upon at least two Business Days’ prior written notice to the Administrative Agent and the Revolving Letter of Credit Issuer (which notice the Administrative Agent shall promptly transmit to each of the Lenders), the Borrower shall have the right, on any day, permanently to terminate or reduce the Revolving Letter of Credit Commitment in whole or in part;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such termination or reduction, the Revolving Letters of Credit Outstanding shall not exceed the Revolving Letter of Credit Commitment (or with respect to a Revolving Letter of Credit Issuer, the Revolving Letters of Credit Outstanding with respect to Revolving Letters of Credit issued by such Revolving Letter of Credit Issuer shall not exceed such Revolving Letter of Credit Issuer’s Revolving Letter of Credit Commitment).</w:t>
      </w:r>
    </w:p>
    <w:p>
      <w:pPr>
        <w:spacing w:after="0" w:line="159"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Revolving Letter of Credit Issuer shall not be under any obligation to issue any Revolving Letter</w:t>
      </w:r>
    </w:p>
    <w:p>
      <w:pPr>
        <w:spacing w:after="0" w:line="24" w:lineRule="exact"/>
        <w:rPr>
          <w:rFonts w:ascii="Times New Roman" w:cs="Times New Roman" w:eastAsia="Times New Roman" w:hAnsi="Times New Roman"/>
          <w:sz w:val="14"/>
          <w:szCs w:val="14"/>
          <w:color w:val="010000"/>
        </w:rPr>
      </w:pPr>
    </w:p>
    <w:p>
      <w:pPr>
        <w:ind w:left="114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of Credit if:</w:t>
      </w:r>
    </w:p>
    <w:p>
      <w:pPr>
        <w:spacing w:after="0" w:line="2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2" w:name="page183"/>
    <w:bookmarkEnd w:id="182"/>
    <w:p>
      <w:pPr>
        <w:jc w:val="both"/>
        <w:ind w:left="1140" w:right="1159" w:firstLine="524"/>
        <w:spacing w:after="0" w:line="260" w:lineRule="auto"/>
        <w:tabs>
          <w:tab w:leader="none" w:pos="1972" w:val="left"/>
        </w:tabs>
        <w:numPr>
          <w:ilvl w:val="0"/>
          <w:numId w:val="14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order, judgment or decree of any Governmental Authority or arbitrator shall by its terms enjoin or restrain the Revolving Letter of Credit Issuer from issuing such Revolving Letter of Credit, or any law applicable to such Revolving Letter of Credit Issuer or any request or directive (whether or not having the force of law) from any Governmental Authority with jurisdiction over such Revolving Letter of Credit Issuer shall prohibit, or request that such Revolving Letter of Credit Issuer refrain from, the issuance of letters of credit generally or such Revolving Letter of Credit in particular or shall impose upon such Revolving Letter of Credit Issuer with respect to such Revolving Letter of Credit any restriction, reserve or capital requirement (in each case, for which such Revolving Letter of Credit Issuer is not otherwise compensated hereunder) not in effect on the Closing Date, or shall impose upon such Revolving Letter of Credit Issuer any unreimbursed loss, cost or expense which was not applicable on the Closing Date and which such Revolving Letter of Credit Issuer in good faith deems material to it;</w:t>
      </w:r>
    </w:p>
    <w:p>
      <w:pPr>
        <w:spacing w:after="0" w:line="160"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4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issuance of such Revolving Letter of Credit would violate one or more policies of such Revolving Letter of Credit Issuer applicable to letters of credit generally;</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4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except as otherwise agreed by the Revolving Letter of Credit Issuer, such Revolving Letter of Credit is in an initial Stated Amount less than $50,000, in the case of a commercial Revolving Letter of Credit, or $10,000, in the case of a standby Revolving Letter of Credit;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none of the initial Revolving Letter of Credit Issuers or their respective affiliates shall be obligated or requested to issue commercial Revolving Letters of Credit;</w:t>
      </w:r>
    </w:p>
    <w:p>
      <w:pPr>
        <w:spacing w:after="0" w:line="152"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4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such Revolving Letter of Credit is denominated in a currency other than Dollars;</w:t>
      </w:r>
    </w:p>
    <w:p>
      <w:pPr>
        <w:spacing w:after="0" w:line="19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0"/>
          <w:numId w:val="14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such Revolving Letters of Credit contains any provisions for automatic reinstatement of the Stated Amount after any drawing thereunder; or</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93" w:val="left"/>
        </w:tabs>
        <w:numPr>
          <w:ilvl w:val="0"/>
          <w:numId w:val="14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 default of any Revolving Credit Lender’s obligations to fund under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xml:space="preserve"> exists or any Revolving Credit Lender is at such time a Defaulting Lender hereunder, unless, in each case, the Borrower have entered into arrangements reasonably satisfactory to the Revolving Letter of Credit Issuer to eliminate such Revolving Letter of Credit Issuer’s risk with respect to such Revolving Credit Lender or such risk has been reallocated in accordance with </w:t>
      </w:r>
      <w:r>
        <w:rPr>
          <w:rFonts w:ascii="Times New Roman" w:cs="Times New Roman" w:eastAsia="Times New Roman" w:hAnsi="Times New Roman"/>
          <w:sz w:val="14"/>
          <w:szCs w:val="14"/>
          <w:u w:val="single" w:color="auto"/>
          <w:color w:val="auto"/>
        </w:rPr>
        <w:t>Section 2.16</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jc w:val="both"/>
        <w:ind w:left="1140" w:right="1159" w:firstLine="524"/>
        <w:spacing w:after="0" w:line="275" w:lineRule="auto"/>
        <w:tabs>
          <w:tab w:leader="none" w:pos="1972" w:val="left"/>
        </w:tabs>
        <w:numPr>
          <w:ilvl w:val="0"/>
          <w:numId w:val="14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Revolving Letter of Credit Issuer shall not increase the Stated Amount of any Revolving Letter of Credit if the Revolving Letter of Credit Issuer would not be permitted at such time to issue such Revolving Letter of Credit in its amended form under the terms hereof.</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4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Revolving Letter of Credit Issuer shall be under no obligation to amend any Revolving Letter of Credit if (A) the Revolving Letter of Credit Issuer would have no obligation at such time to issue such Revolving Letter of Credit in its amended form under the terms hereof, or (B) the beneficiary of such Revolving Letter of Credit does not accept the proposed amendment to such Revolving Letter of Credit.</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14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Revolving Letter of Credit Issuer shall act on behalf of the Revolving Credit Lenders with respect to any Revolving Letters of Credit issued by it and the documents associated therewith and the Revolving Letter of Credit Issuer shall have all of the benefits and immunities (A) provided to the Administrative Agent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with respect to any acts taken or omissions suffered by the Revolving Letter of Credit Issuer in connection with Revolving Letters of Credit issued by it or proposed to be issued by it and Issuer Documents pertaining to such Revolving Letters of Credit as fully as if the term “Administrative Agent” as used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included the Revolving Letter of Credit Issuer with respect to such acts or omission, and (B) as additionally provided herein with respect to the Revolving Letter of Credit Issuer.</w:t>
      </w:r>
    </w:p>
    <w:p>
      <w:pPr>
        <w:spacing w:after="0" w:line="160"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3.2</w:t>
      </w:r>
      <w:r>
        <w:rPr>
          <w:sz w:val="20"/>
          <w:szCs w:val="20"/>
          <w:color w:val="auto"/>
        </w:rPr>
        <w:tab/>
      </w:r>
      <w:r>
        <w:rPr>
          <w:rFonts w:ascii="Times New Roman" w:cs="Times New Roman" w:eastAsia="Times New Roman" w:hAnsi="Times New Roman"/>
          <w:sz w:val="14"/>
          <w:szCs w:val="14"/>
          <w:u w:val="single" w:color="auto"/>
          <w:color w:val="auto"/>
        </w:rPr>
        <w:t>Revolving Letter of Credit Requests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5" w:lineRule="auto"/>
        <w:tabs>
          <w:tab w:leader="none" w:pos="1972" w:val="left"/>
        </w:tabs>
        <w:numPr>
          <w:ilvl w:val="0"/>
          <w:numId w:val="14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Whenever the Borrower desires that a Revolving Letter of Credit be issued or amended, the Borrower shall give the Administrative Agent and the Revolving Letter of Credit Issuer a Letter of Credit Request by no later than 1:00 p.m. (New York City time) at least four Business Days (or such other period as may be agreed upon by the Borrower, the Administrative Agent and the Revolving Letter of Credit Issuer) prior to the proposed date of issuance or amendment. Each Letter of Credit Request shall be executed by the Borrower. Such Letter of Credit</w:t>
      </w:r>
    </w:p>
    <w:p>
      <w:pPr>
        <w:spacing w:after="0" w:line="2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183" w:name="page184"/>
    <w:bookmarkEnd w:id="183"/>
    <w:p>
      <w:pPr>
        <w:jc w:val="both"/>
        <w:ind w:left="1140" w:right="1159"/>
        <w:spacing w:after="0" w:line="275" w:lineRule="auto"/>
        <w:rPr>
          <w:sz w:val="20"/>
          <w:szCs w:val="20"/>
          <w:color w:val="auto"/>
        </w:rPr>
      </w:pPr>
      <w:r>
        <w:rPr>
          <w:rFonts w:ascii="Times New Roman" w:cs="Times New Roman" w:eastAsia="Times New Roman" w:hAnsi="Times New Roman"/>
          <w:sz w:val="14"/>
          <w:szCs w:val="14"/>
          <w:color w:val="auto"/>
        </w:rPr>
        <w:t>Request may be sent by facsimile, by United States mail, by overnight courier, by electronic transmission using the system provided by the Revolving Letter of Credit Issuer, by personal delivery or by any other means acceptable to the Revolving Letter of Credit Issuer.</w:t>
      </w:r>
    </w:p>
    <w:p>
      <w:pPr>
        <w:spacing w:after="0" w:line="146" w:lineRule="exact"/>
        <w:rPr>
          <w:sz w:val="20"/>
          <w:szCs w:val="20"/>
          <w:color w:val="auto"/>
        </w:rPr>
      </w:pPr>
    </w:p>
    <w:p>
      <w:pPr>
        <w:jc w:val="both"/>
        <w:ind w:left="1140" w:right="1159" w:firstLine="524"/>
        <w:spacing w:after="0" w:line="259" w:lineRule="auto"/>
        <w:tabs>
          <w:tab w:leader="none" w:pos="1972" w:val="left"/>
        </w:tabs>
        <w:numPr>
          <w:ilvl w:val="0"/>
          <w:numId w:val="1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the case of a request for the issuance of a Revolving Letter of Credit, such Letter of Credit Request shall specify in form and detail reasonably satisfactory to the Revolving Letter of Credit Issuer: (A) the proposed issuance date of the requested Revolving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Revolving Letter of Credit Issuer may reasonably require. In the case of a request for an amendment of any outstanding Revolving Letter of Credit, such Letter of Credit Request shall specify in form and detail reasonably satisfactory to the Revolving Letter of Credit Issuer (I) the Revolving Letter of Credit to be amended; (II) the proposed date of amendment thereof (which shall be a Business Day); (III) the nature of the proposed amendment; and (IV) such other matters as the Revolving Letter of Credit Issuer may reasonably require. Additionally, the Borrower shall furnish to the Revolving Letter of Credit Issuer and the Administrative Agent such other documents and information pertaining to such requested Revolving Letter of Credit issuance or amendment, including any Issuer Documents, as the Revolving Letter of Credit Issuer or the Administrative Agent may reasonably require.</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82" w:val="left"/>
        </w:tabs>
        <w:numPr>
          <w:ilvl w:val="0"/>
          <w:numId w:val="1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Unless the Revolving Letter of Credit Issuer has received written notice from any Revolving Credit Lender, the Administrative Agent or any Credit Party, at least two Business Days prior to the requested date of issuance or amendment of the Revolving Letter of Credit, that one or more applicable conditions contained in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(solely with respect to any Revolving Letter of Credit issued on the Closing Date)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shall not then be satisfied to the extent required thereby, then, subject to the terms and conditions hereof, the Revolving Letter of Credit Issuer shall, on the requested date, issue a Revolving Letter of Credit for the account of the Borrower (or, so long as the Borrower are the primary obligors, for the account of Holdings or a Restricted Subsidiary) or enter into the applicable amendment, as the case may be, in each case in accordance with each such Revolving Letter of Credit Issuer’s usual and customary business practices.</w:t>
      </w:r>
    </w:p>
    <w:p>
      <w:pPr>
        <w:spacing w:after="0" w:line="156"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72" w:val="left"/>
        </w:tabs>
        <w:numPr>
          <w:ilvl w:val="0"/>
          <w:numId w:val="1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the Borrower so requests in any Letter of Credit Request, the Revolving Letter of Credit Issuer shall agree to issue a Revolving Letter of Credit that has automatic extension provisions (each, an “</w:t>
      </w:r>
      <w:r>
        <w:rPr>
          <w:rFonts w:ascii="Times New Roman" w:cs="Times New Roman" w:eastAsia="Times New Roman" w:hAnsi="Times New Roman"/>
          <w:sz w:val="14"/>
          <w:szCs w:val="14"/>
          <w:b w:val="1"/>
          <w:bCs w:val="1"/>
          <w:color w:val="auto"/>
        </w:rPr>
        <w:t>Auto-Extension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Letter of Credit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any such Auto-Extension Letter of Credit must permit the Revolving Letter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Credit Issuer to prevent any such extension at least once in each twelve-month period (commencing with the date of issuance of such Revolving Letter of Credit) by giving prior notice to the beneficiary thereof and the Borrower not later than a day (the “</w:t>
      </w:r>
      <w:r>
        <w:rPr>
          <w:rFonts w:ascii="Times New Roman" w:cs="Times New Roman" w:eastAsia="Times New Roman" w:hAnsi="Times New Roman"/>
          <w:sz w:val="14"/>
          <w:szCs w:val="14"/>
          <w:b w:val="1"/>
          <w:bCs w:val="1"/>
          <w:color w:val="auto"/>
        </w:rPr>
        <w:t>Non-Extension Notice Date</w:t>
      </w:r>
      <w:r>
        <w:rPr>
          <w:rFonts w:ascii="Times New Roman" w:cs="Times New Roman" w:eastAsia="Times New Roman" w:hAnsi="Times New Roman"/>
          <w:sz w:val="14"/>
          <w:szCs w:val="14"/>
          <w:color w:val="auto"/>
        </w:rPr>
        <w:t xml:space="preserve">”) in each such twelve-month period to be agreed upon at the time such Revolving Letter of Credit is issued. Unless otherwise directed by the Revolving Letter of Credit Issuer, the Borrower shall not be required to make a specific request to the Revolving Letter of Credit Issuer for any such extension. Once an Auto-Extension Letter of Credit has been issued, the Lenders shall be deemed to have authorized (but may not require) the Revolving Letter of Credit Issuer to permit the extension of such Revolving Letter of Credit at any time to an expiry date not later than the Revolving L/C Facility Maturity Date, unless otherwise agreed upon by the Administrative Agent and the Revolving Letter of Credit Issuer;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Revolving Letter of Credit Issuer shall not permit any such extension if (A) the Revolving Letter of Credit Issuer has reasonably determined that it would not be permitted, at such time to issue such Revolving Letter of Credit in its revised form (as extended) under the terms hereof (by reason of the provisions of </w:t>
      </w:r>
      <w:r>
        <w:rPr>
          <w:rFonts w:ascii="Times New Roman" w:cs="Times New Roman" w:eastAsia="Times New Roman" w:hAnsi="Times New Roman"/>
          <w:sz w:val="14"/>
          <w:szCs w:val="14"/>
          <w:u w:val="single" w:color="auto"/>
          <w:color w:val="auto"/>
        </w:rPr>
        <w:t>Section 3.1(b)</w:t>
      </w:r>
      <w:r>
        <w:rPr>
          <w:rFonts w:ascii="Times New Roman" w:cs="Times New Roman" w:eastAsia="Times New Roman" w:hAnsi="Times New Roman"/>
          <w:sz w:val="14"/>
          <w:szCs w:val="14"/>
          <w:color w:val="auto"/>
        </w:rPr>
        <w:t xml:space="preserve"> or otherwise), or (B) it has received written notice on or before the day that is ten Business Days before the Non-Extension Notice Date from the Administrative Agent, any Lender or the Borrower that one or more of the applicable conditions specified in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are not then satisfied, and in each such case directing the Revolving Letter of Credit Issuer not to permit such extension.</w:t>
      </w:r>
    </w:p>
    <w:p>
      <w:pPr>
        <w:spacing w:after="0" w:line="338"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72" w:val="left"/>
        </w:tabs>
        <w:numPr>
          <w:ilvl w:val="0"/>
          <w:numId w:val="1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Promptly after its delivery of any Revolving Letter of Credit or any amendment to a Revolving Letter of Credit to an advising bank with respect thereto or to the beneficiary thereof, the Revolving Letter of Credit Issuer will also deliver to the Borrower and the Administrative Agent a true and complete copy of such Revolving Letter of Credit or amendment. On the first Business Day of each month, the Revolving Letter of Credit Issuer shall provide the Administrative Agent a list of all Revolving Letters of Credit issued by it that are outstanding at such time.</w:t>
      </w:r>
    </w:p>
    <w:p>
      <w:pPr>
        <w:spacing w:after="0" w:line="15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making of each Letter of Credit Request shall be deemed to be a representation and warranty</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4" w:name="page185"/>
    <w:bookmarkEnd w:id="184"/>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 xml:space="preserve">by the Borrower that the Revolving Letter of Credit may be issued in accordance with, and will not violate the requirements of, </w:t>
      </w:r>
      <w:r>
        <w:rPr>
          <w:rFonts w:ascii="Times New Roman" w:cs="Times New Roman" w:eastAsia="Times New Roman" w:hAnsi="Times New Roman"/>
          <w:sz w:val="14"/>
          <w:szCs w:val="14"/>
          <w:u w:val="single" w:color="auto"/>
          <w:color w:val="auto"/>
        </w:rPr>
        <w:t>Section 3.1(b)</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3.3</w:t>
      </w:r>
      <w:r>
        <w:rPr>
          <w:sz w:val="20"/>
          <w:szCs w:val="20"/>
          <w:color w:val="auto"/>
        </w:rPr>
        <w:tab/>
      </w:r>
      <w:r>
        <w:rPr>
          <w:rFonts w:ascii="Times New Roman" w:cs="Times New Roman" w:eastAsia="Times New Roman" w:hAnsi="Times New Roman"/>
          <w:sz w:val="14"/>
          <w:szCs w:val="14"/>
          <w:u w:val="single" w:color="auto"/>
          <w:color w:val="auto"/>
        </w:rPr>
        <w:t>Revolving Letter of Credit Participations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1982" w:val="left"/>
        </w:tabs>
        <w:numPr>
          <w:ilvl w:val="0"/>
          <w:numId w:val="14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Immediately upon the issuance by the Revolving Letter of Credit Issuer of any Revolving Letter of Credit, the Revolving Letter of Credit Issuer shall be deemed to have sold and transferred to each Revolving Credit Lender (each such Revolving Credit Lender, in its capacity under this </w:t>
      </w:r>
      <w:r>
        <w:rPr>
          <w:rFonts w:ascii="Times New Roman" w:cs="Times New Roman" w:eastAsia="Times New Roman" w:hAnsi="Times New Roman"/>
          <w:sz w:val="14"/>
          <w:szCs w:val="14"/>
          <w:u w:val="single" w:color="auto"/>
          <w:color w:val="auto"/>
        </w:rPr>
        <w:t>Section 3.3</w:t>
      </w:r>
      <w:r>
        <w:rPr>
          <w:rFonts w:ascii="Times New Roman" w:cs="Times New Roman" w:eastAsia="Times New Roman" w:hAnsi="Times New Roman"/>
          <w:sz w:val="14"/>
          <w:szCs w:val="14"/>
          <w:color w:val="auto"/>
        </w:rPr>
        <w:t>, an “</w:t>
      </w:r>
      <w:r>
        <w:rPr>
          <w:rFonts w:ascii="Times New Roman" w:cs="Times New Roman" w:eastAsia="Times New Roman" w:hAnsi="Times New Roman"/>
          <w:sz w:val="14"/>
          <w:szCs w:val="14"/>
          <w:b w:val="1"/>
          <w:bCs w:val="1"/>
          <w:color w:val="auto"/>
        </w:rPr>
        <w:t>Revolving L/C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Participant</w:t>
      </w:r>
      <w:r>
        <w:rPr>
          <w:rFonts w:ascii="Times New Roman" w:cs="Times New Roman" w:eastAsia="Times New Roman" w:hAnsi="Times New Roman"/>
          <w:sz w:val="14"/>
          <w:szCs w:val="14"/>
          <w:color w:val="auto"/>
        </w:rPr>
        <w:t>”), and each such Revolving L/C Participant shall be deemed irrevocably and unconditionally to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purchased and received from the Revolving Letter of Credit Issuer, without recourse or warranty, an undivided interest and participation (each an “</w:t>
      </w:r>
      <w:r>
        <w:rPr>
          <w:rFonts w:ascii="Times New Roman" w:cs="Times New Roman" w:eastAsia="Times New Roman" w:hAnsi="Times New Roman"/>
          <w:sz w:val="14"/>
          <w:szCs w:val="14"/>
          <w:b w:val="1"/>
          <w:bCs w:val="1"/>
          <w:color w:val="auto"/>
        </w:rPr>
        <w:t>Revolving L/C Participation</w:t>
      </w:r>
      <w:r>
        <w:rPr>
          <w:rFonts w:ascii="Times New Roman" w:cs="Times New Roman" w:eastAsia="Times New Roman" w:hAnsi="Times New Roman"/>
          <w:sz w:val="14"/>
          <w:szCs w:val="14"/>
          <w:color w:val="auto"/>
        </w:rPr>
        <w:t xml:space="preserve">”), to the extent of such Revolving L/C Participant’s Revolving Credit Commitment Percentage in each Revolving Letter of Credit, each substitute therefor, each drawing made thereunder and the obligations of the Borrower under this Agreement with respect thereto, and any security therefor or guaranty pertaining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Revolving Letter of Credit Fees will be paid directly to the Administrative Agent for the ratable account of the Revolving L/C Participants as provided in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4.1(b)</w:t>
      </w:r>
      <w:r>
        <w:rPr>
          <w:rFonts w:ascii="Times New Roman" w:cs="Times New Roman" w:eastAsia="Times New Roman" w:hAnsi="Times New Roman"/>
          <w:sz w:val="14"/>
          <w:szCs w:val="14"/>
          <w:color w:val="auto"/>
        </w:rPr>
        <w:t xml:space="preserve"> and the Revolving L/C Participants shall have no right to receive any portion of any Revolving L/C Fronting Fees.</w:t>
      </w:r>
    </w:p>
    <w:p>
      <w:pPr>
        <w:spacing w:after="0" w:line="330"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14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determining whether to pay under any Revolving Letter of Credit, the relevant Revolving Letter of Credit Issuer shall have no obligation relative to the Revolving L/C Participants other than to confirm that any documents required to be delivered under such Revolving Letter of Credit have been delivered and that they appear to comply on their face with the requirements of such Revolving Letter of Credit. Any action taken or omitted to be taken by the relevant Revolving Letter of Credit Issuer under or in connection with any Revolving Letter of Credit issued by it, if taken or omitted in the absence of gross negligence or willful misconduct as determined in the final non-appealable judgment of a court of competent jurisdiction, shall not create for the Revolving Letter of Credit Issuer any resulting liability.</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72" w:val="left"/>
        </w:tabs>
        <w:numPr>
          <w:ilvl w:val="0"/>
          <w:numId w:val="14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the event that the Revolving Letter of Credit Issuer makes any payment under any Revolving Letter of Credit issued by it and the applicable Borrower shall not have repaid such amount in full to the respective Revolving Letter of Credit Issuer through the Administrative Agent pursuant to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 the Administrative Agent shall promptly notify each Revolving L/C Participant of such failure, and each Revolving L/C Participant shall promptly and unconditionally pay to the Administrative Agent for the account of the Revolving Letter of Credit Issuer, the amount of such Revolving L/C Participant’s Revolving Credit Commitment Percentage of such unreimbursed payment in Dollars and in immediately available funds. If and to the extent such Revolving L/C Participant shall not have so made its Revolving Credit Commitment Percentage of the amount of such payment available to the Administrative Agent for the account of the Revolving Letter of Credit Issuer, such Revolving L/C Participant agrees to pay to the Administrative Agent for the account of the Revolving Letter of Credit Issuer, forthwith on demand, such amount, together with interest thereon for each day from such date until the date such amount is paid to the Administrative Agent for the account of the Revolving Letter of Credit Issuer at a rate per annum equal to the Overnight Rate from time to time then in effect, plus any administrative, processing or similar fees that are reasonably and customarily charged by the Revolving Letter of Credit Issuer in connection with the foregoing. The failure of any Revolving L/C Participant to make available to the Administrative Agent for the account of the Revolving Letter of Credit Issuer its Revolving Credit Commitment Percentage of any payment under any Revolving Letter of Credit shall not relieve any other Revolving L/C Participant of its obligation hereunder to make available to the Administrative Agent for the account of the Revolving Letter of Credit Issuer its Revolving Credit Commitment Percentage of any payment under such Revolving Letter of Credit on the date required, as specified above, but no Revolving L/C Participant shall be responsible for the failure of any other Revolving L/C Participant to make available to the Administrative Agent such other Revolving L/C Participant’s Revolving Credit Commitment Percentage of any such payment.</w:t>
      </w:r>
    </w:p>
    <w:p>
      <w:pPr>
        <w:spacing w:after="0" w:line="335"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2004" w:val="left"/>
        </w:tabs>
        <w:numPr>
          <w:ilvl w:val="0"/>
          <w:numId w:val="14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Whenever the Administrative Agent receives a payment in respect of an unpaid reimbursement obligation as to which the Administrative Agent has received for the account of the Revolving Letter of Credit Issuer any payments from the Revolving L/C Participants pursuant to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above, the Administrative Agent shall promptly pay to each Revolving L/C Participant that has paid its Revolving Credit Commitment Percentage of such reimbursement obligation, in Dollars and in immediately available funds, an amount equal to such Revolving L/C Participant’s share (based upon the proportionate aggregate amount originally funded by such Revolving L/C Participant to the aggregate amount funded by all Revolving L/C Participants) of the amount so paid in respect of such</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5" w:name="page186"/>
    <w:bookmarkEnd w:id="185"/>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reimbursement obligation and interest thereon accruing after the purchase of the respective Revolving L/C Participations at the Overnight Rate.</w:t>
      </w:r>
    </w:p>
    <w:p>
      <w:pPr>
        <w:spacing w:after="0" w:line="134" w:lineRule="exact"/>
        <w:rPr>
          <w:sz w:val="20"/>
          <w:szCs w:val="20"/>
          <w:color w:val="auto"/>
        </w:rPr>
      </w:pPr>
    </w:p>
    <w:p>
      <w:pPr>
        <w:jc w:val="both"/>
        <w:ind w:left="1140" w:right="1159" w:firstLine="524"/>
        <w:spacing w:after="0" w:line="268" w:lineRule="auto"/>
        <w:tabs>
          <w:tab w:leader="none" w:pos="1972" w:val="left"/>
        </w:tabs>
        <w:numPr>
          <w:ilvl w:val="0"/>
          <w:numId w:val="15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obligations of the Revolving L/C Participants to make payments to the Administrative Agent for the account of the Revolving Letter of Credit Issuer with respect to Revolving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93" w:val="left"/>
        </w:tabs>
        <w:numPr>
          <w:ilvl w:val="0"/>
          <w:numId w:val="15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any payment received by the Administrative Agent for the account of the Revolving Letter of Credit Issuer pursuant to </w:t>
      </w:r>
      <w:r>
        <w:rPr>
          <w:rFonts w:ascii="Times New Roman" w:cs="Times New Roman" w:eastAsia="Times New Roman" w:hAnsi="Times New Roman"/>
          <w:sz w:val="14"/>
          <w:szCs w:val="14"/>
          <w:u w:val="single" w:color="auto"/>
          <w:color w:val="auto"/>
        </w:rPr>
        <w:t>Section 3.3(c)</w:t>
      </w:r>
      <w:r>
        <w:rPr>
          <w:rFonts w:ascii="Times New Roman" w:cs="Times New Roman" w:eastAsia="Times New Roman" w:hAnsi="Times New Roman"/>
          <w:sz w:val="14"/>
          <w:szCs w:val="14"/>
          <w:color w:val="auto"/>
        </w:rPr>
        <w:t xml:space="preserve"> is required to be returned, each Revolving Credit Lender shall pay to the Administrative Agent for the account of the Revolving Letter of Credit Issuer its Revolving Credit Commitment Percentage thereof on demand of the Administrative Agent,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interest thereon from the date of such demand to the date such amount is returned by such Revolving Credit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158"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3.4</w:t>
      </w:r>
      <w:r>
        <w:rPr>
          <w:sz w:val="20"/>
          <w:szCs w:val="20"/>
          <w:color w:val="auto"/>
        </w:rPr>
        <w:tab/>
      </w:r>
      <w:r>
        <w:rPr>
          <w:rFonts w:ascii="Times New Roman" w:cs="Times New Roman" w:eastAsia="Times New Roman" w:hAnsi="Times New Roman"/>
          <w:sz w:val="14"/>
          <w:szCs w:val="14"/>
          <w:u w:val="single" w:color="auto"/>
          <w:color w:val="auto"/>
        </w:rPr>
        <w:t>Agreement to Repay Revolving Letter of Credit Drawings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7" w:lineRule="auto"/>
        <w:tabs>
          <w:tab w:leader="none" w:pos="1972" w:val="left"/>
        </w:tabs>
        <w:numPr>
          <w:ilvl w:val="0"/>
          <w:numId w:val="1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hereby agrees to reimburse the Revolving Letter of Credit Issuer, by making payment with respect to any drawing under any Revolving Letter of Credit in the same currency in which such drawing was made unless the Revolving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Revolving Letter of Credit Issuer under any Revolving Letter of Credit (each such amount so paid until reimbursed, an “</w:t>
      </w:r>
      <w:r>
        <w:rPr>
          <w:rFonts w:ascii="Times New Roman" w:cs="Times New Roman" w:eastAsia="Times New Roman" w:hAnsi="Times New Roman"/>
          <w:sz w:val="14"/>
          <w:szCs w:val="14"/>
          <w:b w:val="1"/>
          <w:bCs w:val="1"/>
          <w:color w:val="auto"/>
        </w:rPr>
        <w:t>Revolving Unpaid Drawing</w:t>
      </w:r>
      <w:r>
        <w:rPr>
          <w:rFonts w:ascii="Times New Roman" w:cs="Times New Roman" w:eastAsia="Times New Roman" w:hAnsi="Times New Roman"/>
          <w:sz w:val="14"/>
          <w:szCs w:val="14"/>
          <w:color w:val="auto"/>
        </w:rPr>
        <w:t>”) no later than the date that is one Business Day after the date on which the Borrower receives written notice of such payment or disbursement (the “</w:t>
      </w:r>
      <w:r>
        <w:rPr>
          <w:rFonts w:ascii="Times New Roman" w:cs="Times New Roman" w:eastAsia="Times New Roman" w:hAnsi="Times New Roman"/>
          <w:sz w:val="14"/>
          <w:szCs w:val="14"/>
          <w:b w:val="1"/>
          <w:bCs w:val="1"/>
          <w:color w:val="auto"/>
        </w:rPr>
        <w:t>Revolving Reimbursement Date</w:t>
      </w:r>
      <w:r>
        <w:rPr>
          <w:rFonts w:ascii="Times New Roman" w:cs="Times New Roman" w:eastAsia="Times New Roman" w:hAnsi="Times New Roman"/>
          <w:sz w:val="14"/>
          <w:szCs w:val="14"/>
          <w:color w:val="auto"/>
        </w:rPr>
        <w:t xml:space="preserve">”), with interest on the amount so paid or disbursed by the Revolving Letter of Credit Issuer, to the extent not reimbursed prior to 5:00 p.m. (New York City time) on the Revolving Reimbursement Date, from the Revolving Reimbursement Date to the date the Revolving Letter of Credit Issuer is reimbursed therefor at a rate per annum that shall at all times be the Applicable Margin for ABR Loans that are Revolving Credit Loans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ABR as in effect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anything contained in this Agreement to the contrary, (i) unless the Borrower shall have notified the Administrative Agent and the relevant Revolving Letter of Credit Issuer prior to 12:00 noon (New York City time) on the Revolving Reimbursement Date that the Borrower intends to reimburse the relevant Revolving Letter of Credit Issuer for the amount of such drawing with funds other than the proceeds of Revolving Credit Loans, the Borrower shall be deemed to have given a Notice of Borrowing requesting that, with respect to Revolving Letters of Credit, the Revolving Credit Lenders make Revolving Credit Loans (which shall be denominated in Dollars and which shall be ABR Loans) on the Revolving Reimbursement Date in the amount of such drawing and (ii) the Administrative Agent shall promptly notify each Revolving L/C Participant of such drawing and the amount of its Revolving Credit Loan to be made in respect thereof, and each Revolving L/C Participant shall be irrevocably obligated to make a Revolving Credit Loan to the Borrower in Dollars in the manner deemed to have been requested in the amount of its Revolving Credit Commitment Percentage of the applicable Revolving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Revolving Letter of Credit Issuer for the related Revolving Unpaid Drawing. In the event that the Borrower fails to Cash Collateralize any Revolving Letter of Credit that is outstanding on the Revolving L/C Facility Maturity Date, the full amount of the Revolving Letters of Credit Outstanding in respect of such Revolving Letter of Credit shall be deemed to be an Revolving Unpaid Drawing subject to the provisions of this </w:t>
      </w:r>
      <w:r>
        <w:rPr>
          <w:rFonts w:ascii="Times New Roman" w:cs="Times New Roman" w:eastAsia="Times New Roman" w:hAnsi="Times New Roman"/>
          <w:sz w:val="14"/>
          <w:szCs w:val="14"/>
          <w:u w:val="single" w:color="auto"/>
          <w:color w:val="auto"/>
        </w:rPr>
        <w:t>Section 3.4</w:t>
      </w:r>
      <w:r>
        <w:rPr>
          <w:rFonts w:ascii="Times New Roman" w:cs="Times New Roman" w:eastAsia="Times New Roman" w:hAnsi="Times New Roman"/>
          <w:sz w:val="14"/>
          <w:szCs w:val="14"/>
          <w:color w:val="auto"/>
        </w:rPr>
        <w:t xml:space="preserve"> except that the Revolving Letter of Credit Issuer shall hold the proceeds received from the Revolving L/C Participants as contemplated above as cash collateral for such Revolving Letter of Credit to reimburse any Revolving Unpaid Drawing under such Revolving Letter of Credit and shall use such proceeds first, to reimburse itself for any Revolving Unpaid Drawings made in respect of such Revolving Letter of Credit following the Revolving L/C Facility Maturity Date, second, to the extent such Revolving Letter of Credit expires or is returned for cancellation with an undrawn balance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 xml:space="preserve"> shall affect the Borrower’s obligation to repay all outstanding Revolving Credit Loans when due in accordance with the terms of</w:t>
      </w:r>
    </w:p>
    <w:p>
      <w:pPr>
        <w:spacing w:after="0" w:line="200" w:lineRule="exact"/>
        <w:rPr>
          <w:sz w:val="20"/>
          <w:szCs w:val="20"/>
          <w:color w:val="auto"/>
        </w:rPr>
      </w:pPr>
    </w:p>
    <w:p>
      <w:pPr>
        <w:spacing w:after="0" w:line="38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6" w:name="page187"/>
    <w:bookmarkEnd w:id="186"/>
    <w:p>
      <w:pPr>
        <w:ind w:left="1140"/>
        <w:spacing w:after="0"/>
        <w:rPr>
          <w:sz w:val="20"/>
          <w:szCs w:val="20"/>
          <w:color w:val="auto"/>
        </w:rPr>
      </w:pPr>
      <w:r>
        <w:rPr>
          <w:rFonts w:ascii="Times New Roman" w:cs="Times New Roman" w:eastAsia="Times New Roman" w:hAnsi="Times New Roman"/>
          <w:sz w:val="14"/>
          <w:szCs w:val="14"/>
          <w:color w:val="auto"/>
        </w:rPr>
        <w:t>this Agreement.</w:t>
      </w:r>
    </w:p>
    <w:p>
      <w:pPr>
        <w:spacing w:after="0" w:line="194" w:lineRule="exact"/>
        <w:rPr>
          <w:sz w:val="20"/>
          <w:szCs w:val="20"/>
          <w:color w:val="auto"/>
        </w:rPr>
      </w:pPr>
    </w:p>
    <w:p>
      <w:pPr>
        <w:jc w:val="both"/>
        <w:ind w:left="1140" w:right="1159" w:firstLine="524"/>
        <w:spacing w:after="0" w:line="268" w:lineRule="auto"/>
        <w:tabs>
          <w:tab w:leader="none" w:pos="1982" w:val="left"/>
        </w:tabs>
        <w:numPr>
          <w:ilvl w:val="0"/>
          <w:numId w:val="15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obligation of the Borrower to reimburse the Revolving Letter of Credit Issuer for each drawing under each Revolving Letter of Credit and to repay each Revolving L/C Borrowing shall be absolute, unconditional and irrevocable, and shall be paid strictly in accordance with the terms of this Agreement under all circumstances, including the following:</w:t>
      </w:r>
    </w:p>
    <w:p>
      <w:pPr>
        <w:spacing w:after="0" w:line="152" w:lineRule="exact"/>
        <w:rPr>
          <w:sz w:val="20"/>
          <w:szCs w:val="20"/>
          <w:color w:val="auto"/>
        </w:rPr>
      </w:pPr>
    </w:p>
    <w:p>
      <w:pPr>
        <w:ind w:left="1980" w:hanging="316"/>
        <w:spacing w:after="0"/>
        <w:tabs>
          <w:tab w:leader="none" w:pos="1980"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lack of validity or enforceability of this Agreement or any of the other Credit Documents;</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82"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existence of any claim, set-off, defense or other right that the Borrower may have at any time against a beneficiary named in a Revolving Letter of Credit, any transferee of any Revolving Letter of Credit (or any Person for whom any such transferee may be acting), the Administrative Agent, the Revolving Letter of Credit Issuer, any Lender or other Person, whether in connection with this Agreement, any Revolving Letter of Credit, the transactions contemplated herein or any unrelated transactions (including any underlying transaction between the Borrower and the beneficiary named in any such Revolving Letter of Credit);</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93"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draft, demand, certificate or other document presented under such Revolving Letter of Credit proving to be forged, fraudulent, invalid or insufficient in any respect or any statement therein being untrue or inaccurate in any respect; or any loss or delay in the transmission or otherwise of any document required in order to make a drawing under such Revolving Letter of Credit;</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93"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waiver by the Revolving Letter of Credit Issuer of any requirement that exists for the Revolving Letter of Credit Issuer’s protection and not the protection of the Borrower (or Holdings or other Restricted Subsidiary) or any waiver by the Revolving Letter of Credit Issuer which does not in fact materially prejudice the Borrower (or Holdings or other Restricted Subsidiary);</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payment made by the Revolving Letter of Credit Issuer in respect of an otherwise complying item presented after the date specified as the expiration date of, or the date by which documents must be received under, such Revolving Letter of Credit if presentation after such date is authorized by the Uniform Commercial Code, the ISP or the UCP or the Revolving Letter of Credit itself, as applicable;</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payment by the Revolving Letter of Credit Issuer under such Revolving Letter of Credit against presentation of a draft or certificate that does not strictly comply with the terms of such Revolving Letter of Credit; or any payment made by the Revolving Letter of Credit Issuer under such Revolving Letter of Credit to any Person purporting to be a trustee in bankruptcy, debtor-in-possession, assignee for the benefit of creditors, liquidator, receiver or other representative of or successor to any beneficiary or any transferee of such Revolving Letter of Credit, including any arising in connection with any proceeding under the Bankruptcy Code;</w:t>
      </w:r>
    </w:p>
    <w:p>
      <w:pPr>
        <w:spacing w:after="0" w:line="153"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93"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honor of a demand for payment presented electronically even if such Revolving Letter of Credit requires that demand be in the form of a draft;</w:t>
      </w:r>
    </w:p>
    <w:p>
      <w:pPr>
        <w:spacing w:after="0" w:line="13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adverse change in any relevant exchange rates or in the relevant currency markets generally; or</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93" w:val="left"/>
        </w:tabs>
        <w:numPr>
          <w:ilvl w:val="0"/>
          <w:numId w:val="15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46" w:lineRule="exact"/>
        <w:rPr>
          <w:sz w:val="20"/>
          <w:szCs w:val="20"/>
          <w:color w:val="auto"/>
        </w:rPr>
      </w:pPr>
    </w:p>
    <w:p>
      <w:pPr>
        <w:jc w:val="both"/>
        <w:ind w:left="1140" w:right="1159" w:firstLine="524"/>
        <w:spacing w:after="0" w:line="268" w:lineRule="auto"/>
        <w:tabs>
          <w:tab w:leader="none" w:pos="1993" w:val="left"/>
        </w:tabs>
        <w:numPr>
          <w:ilvl w:val="0"/>
          <w:numId w:val="15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shall not be obligated to reimburse the Revolving Letter of Credit Issuer for any wrongful payment made by the Revolving Letter of Credit Issuer under the Revolving Letter of Credit issued by it as a result of acts or omissions constituting willful misconduct or gross negligence on the part of the Revolving Letter of Credit Issuer as determined in the final non-appealable judgment of a court of competent jurisdiction.</w:t>
      </w:r>
    </w:p>
    <w:p>
      <w:pPr>
        <w:spacing w:after="0" w:line="152"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3.5 Increased Costs</w:t>
      </w:r>
      <w:r>
        <w:rPr>
          <w:rFonts w:ascii="Times New Roman" w:cs="Times New Roman" w:eastAsia="Times New Roman" w:hAnsi="Times New Roman"/>
          <w:sz w:val="14"/>
          <w:szCs w:val="14"/>
          <w:color w:val="auto"/>
        </w:rPr>
        <w:t>. If, after the Closing Date, any Change in Law shall (x) impose, modify or make applicable any reserve, deposit, capital adequacy, liquidity or similar requirement against letters of credit issued by the Revolving Letter of Credit Issuer, or any Revolving L/C Participant’s Revolving L/C Participation therein, (y)</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7" w:name="page188"/>
    <w:bookmarkEnd w:id="187"/>
    <w:p>
      <w:pPr>
        <w:jc w:val="both"/>
        <w:ind w:left="1140" w:right="1159"/>
        <w:spacing w:after="0" w:line="257" w:lineRule="auto"/>
        <w:rPr>
          <w:sz w:val="20"/>
          <w:szCs w:val="20"/>
          <w:color w:val="auto"/>
        </w:rPr>
      </w:pPr>
      <w:r>
        <w:rPr>
          <w:rFonts w:ascii="Times New Roman" w:cs="Times New Roman" w:eastAsia="Times New Roman" w:hAnsi="Times New Roman"/>
          <w:sz w:val="14"/>
          <w:szCs w:val="14"/>
          <w:color w:val="auto"/>
        </w:rPr>
        <w:t xml:space="preserve">impose on the Revolving Letter of Credit Issuer or any Revolving L/C Participant any other conditions or costs affecting its obligations under this Agreement in respect of Revolving Letters of Credit or Revolving L/C Participations therein or any Revolving Letter of Credit or such Revolving L/C Participant’s Revolving L/C Participation therein (other than with respect to Taxes) or (z) impose on the Revolving Letter of Credit Issuer or any Revolving L/C Participant any other conditions or costs affecting its obligations under this Agreement in respect of Revolving Letters of Credit or Revolving L/C Participations therein or any Revolving Letter of Credit or such Revolving L/C Participant’s Revolving L/C Participation therein (including any increased costs attributable to Taxes (other than (1) Indemnified Taxes, (2) Excluded Taxes or (3) Other Taxes) on its loans, loan principal, letters of credits, commitments or other obligations, or its deposits, reserves, other liabilities or capital attributable thereto), and the result of any of the foregoing is to increase the actual cost to the Revolving Letter of Credit Issuer or such Revolving L/C Participant of issuing, maintaining or participating in any Revolving Letter of Credit, or to reduce the actual amount of any sum received or receivable by the Revolving Letter of Credit Issuer or such Revolving L/C Participant hereunder in respect of Revolving Letters of Credit or Revolving L/C Participations therein, then, promptly after receipt of written demand to the Borrower by the Revolving Letter of Credit Issuer or such Revolving L/C Participant, as the case may be (a copy of which notice shall be sent by the Revolving Letter of Credit Issuer or such Revolving L/C Participant to the Administrative Agent (with respect to a Revolving Letter of Credit issued on account of the Borrower (or Holdings or other Restricted Subsidiary))), the Borrower shall pay to the Revolving Letter of Credit Issuer or such Revolving L/C Participant such actual additional amount or amounts as will compensate the Revolving Letter of Credit Issuer or such Revolving L/C Participant for such increased cost or reduction, it being understood and agreed, however, that the Revolving Letter of Credit Issuer or an Revolving L/C Participant shall not be entitled to such compensation as a result of such Person’s compliance with, or pursuant to any request or directive to comply with, any law, rule or regulation as in effect on the Closing Date. A certificate submitted to the Borrower by the relevant Revolving Letter of Credit Issuer or an Revolving L/C Participant, as the case may be (a copy of which certificate shall be sent by the Revolving Letter of Credit Issuer or such Revolving L/C Participant to the Administrative Agent), setting forth in reasonable detail the basis for the determination of such actual additional amount or amounts necessary to compensate the Revolving Letter of Credit Issuer or such Revolving L/C Participant as aforesaid shall be conclusive and binding on the Borrower absent clearly demonstrable error. The obligations of the Borrower under this </w:t>
      </w:r>
      <w:r>
        <w:rPr>
          <w:rFonts w:ascii="Times New Roman" w:cs="Times New Roman" w:eastAsia="Times New Roman" w:hAnsi="Times New Roman"/>
          <w:sz w:val="14"/>
          <w:szCs w:val="14"/>
          <w:u w:val="single" w:color="auto"/>
          <w:color w:val="auto"/>
        </w:rPr>
        <w:t>Section 3.5</w:t>
      </w:r>
      <w:r>
        <w:rPr>
          <w:rFonts w:ascii="Times New Roman" w:cs="Times New Roman" w:eastAsia="Times New Roman" w:hAnsi="Times New Roman"/>
          <w:sz w:val="14"/>
          <w:szCs w:val="14"/>
          <w:color w:val="auto"/>
        </w:rPr>
        <w:t xml:space="preserve"> shall survive the payment in full of the Obligations and the termination of this Agreement.</w:t>
      </w:r>
    </w:p>
    <w:p>
      <w:pPr>
        <w:spacing w:after="0" w:line="348"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3.6</w:t>
      </w:r>
      <w:r>
        <w:rPr>
          <w:sz w:val="20"/>
          <w:szCs w:val="20"/>
          <w:color w:val="auto"/>
        </w:rPr>
        <w:tab/>
      </w:r>
      <w:r>
        <w:rPr>
          <w:rFonts w:ascii="Times New Roman" w:cs="Times New Roman" w:eastAsia="Times New Roman" w:hAnsi="Times New Roman"/>
          <w:sz w:val="14"/>
          <w:szCs w:val="14"/>
          <w:u w:val="single" w:color="auto"/>
          <w:color w:val="auto"/>
        </w:rPr>
        <w:t>New or Successor Revolving Letter of Credit Issuer</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8" w:lineRule="auto"/>
        <w:tabs>
          <w:tab w:leader="none" w:pos="1982" w:val="left"/>
        </w:tabs>
        <w:numPr>
          <w:ilvl w:val="0"/>
          <w:numId w:val="15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Revolving Letter of Credit Issuer may resign as the Revolving Letter of Credit Issuer upon 60 days’ prior written notice to the Administrative Agent, the Lenders, Holdings and the Borrower. The Borrower may replace any Revolving Letter of Credit Issuer for any reason upon written notice to the Administrative Agent and such Revolving Letter of Credit Issuer. The Borrower may add Revolving Letter of Credit Issuers at any time upon notice to the Administrative Agent. If the Revolving Letter of Credit Issuer shall resign or be replaced, or if the Borrower shall decide to add a new Revolving Letter of Credit Issuer under this Agreement, then the Borrower may appoint from among the Lenders a successor issuer of Revolving Letters of Credit or a new Revolving Letter of Credit Issuer, as the case may be, or, with the consent of the Administrative Agent (such consent not to be unreasonably withheld or delayed), another successor or new issuer of Revolving Letters of Credit, whereupon such successor issuer accepting such appointment shall succeed to the rights, powers and duties of the replaced or resigning Revolving Letter of Credit Issuer under this Agreement and the other Credit Documents, or such new issuer of Revolving Letters of Credit accepting such appointment shall be granted the rights, powers and duties of the Revolving Letter of Credit Issuer hereunder, and the term Revolving Letter of Credit Issuer shall mean such successor or such new issuer of Revolving Letters of Credit effective upon such appointment. At the time such resignation or replacement shall become effective, the Borrower shall pay to the resigning or replaced Revolving Letter of Credit Issuer all accrued and unpaid fees applicable to the Revolving Letters of Credit pursuant to </w:t>
      </w:r>
      <w:r>
        <w:rPr>
          <w:rFonts w:ascii="Times New Roman" w:cs="Times New Roman" w:eastAsia="Times New Roman" w:hAnsi="Times New Roman"/>
          <w:sz w:val="14"/>
          <w:szCs w:val="14"/>
          <w:u w:val="single" w:color="auto"/>
          <w:color w:val="auto"/>
        </w:rPr>
        <w:t>Sections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4.1(b)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4.1(d)</w:t>
      </w:r>
      <w:r>
        <w:rPr>
          <w:rFonts w:ascii="Times New Roman" w:cs="Times New Roman" w:eastAsia="Times New Roman" w:hAnsi="Times New Roman"/>
          <w:sz w:val="14"/>
          <w:szCs w:val="14"/>
          <w:color w:val="auto"/>
        </w:rPr>
        <w:t>. The acceptance of any appointment as the Revolving Letter of Credit Issuer hereunder whether as a successor issuer or new issuer of Revolving Letters of Credit in accordance with this Agreement, shall be evidenced by an agreement entered into by such new or successor issuer of Revolving Letters of Credit, in a form reasonably satisfactory to the Borrower and the Administrative Agent and, from and after the effective date of such agreement, such new or successor issuer of Revolving Letters of Credit shall become the Revolving Letter of Credit Issuer hereunder. After the resignation or replacement of the Revolving Letter of Credit Issuer hereunder, the resigning or replaced Revolving Letter of Credit Issuer shall remain a party hereto and shall continue to have all the rights and obligations of the Revolving Letter of Credit Issuer under this Agreement and the other Credit Documents with respect to Revolving Letters of Credit issued</w:t>
      </w: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8" w:name="page189"/>
    <w:bookmarkEnd w:id="188"/>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 xml:space="preserve">by it prior to such resignation or replacement, but shall not be required to issue additional Revolving Letters of Credit. In connection with any resignation or replacement pursuant to this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(but, in case of any such resignation, only to the extent that a successor issuer of Revolving Letters of Credit shall have been appointed), either (i) the Borrower, the resigning or replaced Revolving Letter of Credit Issuer and the successor issuer of Revolving Letters of Credit shall arrange to have any outstanding Revolving Letters of Credit issued by the resigning or replaced Revolving Letter of Credit Issuer replaced with Revolving Letters of Credit issued by the successor issuer of Revolving Letters of Credit or (ii) the Borrower shall cause the successor issuer of Revolving Letters of Credit, if such successor issuer is reasonably satisfactory to the replaced or resigning Revolving Letter of Credit Issuer, to issue “back-stop” Revolving Letters of Credit naming the resigning or replaced Revolving Letter of Credit Issuer as beneficiary for each outstanding Revolving Letter of Credit issued by the resigning or replaced Revolving Letter of Credit Issuer, which new Revolving Letters of Credit shall be denominated in the same currency as, and shall have a face amount equal to, the Revolving Letters of Credit being back-stopped and the sole requirement for drawing on such new Revolving Letters of Credit shall be a statement that there has been a compliant drawing on the corresponding back-stopped Revolving Letters of Credit. After any resigning or replaced Revolving Letter of Credit Issuer’s resignation or replacement as Revolving Letter of Credit Issuer, the provisions of this Agreement relating to the Revolving Letter of Credit Issuer shall inure to its benefit as to any actions taken or omitted to be taken by it (A) while it was the Revolving Letter of Credit Issuer under this Agreement or (B) at any time with respect to Revolving Letters of Credit issued by such Revolving Letter of Credit Issuer.</w:t>
      </w:r>
    </w:p>
    <w:p>
      <w:pPr>
        <w:spacing w:after="0" w:line="167" w:lineRule="exact"/>
        <w:rPr>
          <w:sz w:val="20"/>
          <w:szCs w:val="20"/>
          <w:color w:val="auto"/>
        </w:rPr>
      </w:pPr>
    </w:p>
    <w:p>
      <w:pPr>
        <w:jc w:val="both"/>
        <w:ind w:left="1140" w:right="1159" w:firstLine="524"/>
        <w:spacing w:after="0" w:line="263" w:lineRule="auto"/>
        <w:tabs>
          <w:tab w:leader="none" w:pos="1972" w:val="left"/>
        </w:tabs>
        <w:numPr>
          <w:ilvl w:val="0"/>
          <w:numId w:val="15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To the extent there are, at the time of any resignation or replacement as set forth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any outstanding Revolving Letters of Credit, nothing herein shall be deemed to impact or impair any rights and obligations of any of the parties hereto with respect to such outstanding Revolving Letters of Credit (including, without limitation, any obligations related to the payment of Fees or the reimbursement or funding of amounts drawn), except that the Borrower, the resigning or replaced Revolving Letter of Credit Issuer and the successor issuer of Revolving Letters of Credit shall have the obligations regarding outstanding Revolving Letters of Credit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w:t>
      </w:r>
    </w:p>
    <w:p>
      <w:pPr>
        <w:spacing w:after="0" w:line="329"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auto"/>
        </w:rPr>
        <w:t>3.7 Role of Revolving Letter of Credit Issuer</w:t>
      </w:r>
      <w:r>
        <w:rPr>
          <w:rFonts w:ascii="Times New Roman" w:cs="Times New Roman" w:eastAsia="Times New Roman" w:hAnsi="Times New Roman"/>
          <w:sz w:val="14"/>
          <w:szCs w:val="14"/>
          <w:color w:val="auto"/>
        </w:rPr>
        <w:t xml:space="preserve">. Each Revolving Credit Lender and the Borrower agree that, in paying any drawing under a Revolving Letter of Credit, the Revolving Letter of Credit Issuer shall not have any responsibility to obtain any document (other than any sight draft, certificates and documents expressly required by the Revolving Letter of Credit) or to ascertain or inquire as to the validity or accuracy of any such document or the authority of the Person executing or delivering any such document. None of the Revolving Letter of Credit Issuer, the Administrative Agent, any of their respective Affiliates nor any correspondent, participant or assignee of the Revolving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Revolving Letter of Credit or Issuer Document. The Borrower hereby assumes all risks of the acts or omissions of any beneficiary or transferee with respect to its use of any Revolving Letter of Credit;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assumption is not intended to, and shall not, preclude the Borrower’s pursuit of such rights and remedies as they may have against the beneficiary or transferee at law or under any other agreement. None of the Revolving Letter of Credit Issuer, the Administrative Agent, any of their respective Affiliates nor any correspondent, participant or assignee of the Revolving Letter of Credit Issuer shall be liable or responsible for any of the matters described in </w:t>
      </w:r>
      <w:r>
        <w:rPr>
          <w:rFonts w:ascii="Times New Roman" w:cs="Times New Roman" w:eastAsia="Times New Roman" w:hAnsi="Times New Roman"/>
          <w:sz w:val="14"/>
          <w:szCs w:val="14"/>
          <w:u w:val="single" w:color="auto"/>
          <w:color w:val="auto"/>
        </w:rPr>
        <w:t>Section 3.3(b)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anything in such Section to the contrary notwithstanding, the Borrower may have a claim against a Revolving Letter of Credit Issuer, and a Revolving Letter of Credit Issuer may be liable to the Borrower, to the extent, but only to the extent, of any direct, as opposed to consequential or exemplary, damages suffered by the Borrower which the Borrower proves were caused by such Revolving Letter of Credit Issuer’s willful misconduct or gross negligence or such Revolving Letter of Credit Issuer’s willful failure to pay under any Revolving Letter of Credit after the presentation to it by the beneficiary of documents strictly complying with the terms and conditions of a Revolving Letter of Credit in each case as determined in the final non-appealable judgment of a court of competent jurisdiction. In furtherance and not in limitation of the foregoing, the Revolving Letter of Credit Issuer may accept documents that appear on their face to be in order, without responsibility for further investigation, regardless of any notice or information to the contrary, and the Revolving Letter of Credit Issuer shall not be responsible for the validity or sufficiency of any instrument transferring or assigning or purporting to transfer or assign a Revolving Letter of</w:t>
      </w:r>
    </w:p>
    <w:p>
      <w:pPr>
        <w:spacing w:after="0" w:line="40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89" w:name="page190"/>
    <w:bookmarkEnd w:id="189"/>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Credit or the rights or benefits thereunder or proceeds thereof, in whole or in part, which may prove to be invalid or ineffective for any reason.</w:t>
      </w:r>
    </w:p>
    <w:p>
      <w:pPr>
        <w:spacing w:after="0" w:line="123" w:lineRule="exact"/>
        <w:rPr>
          <w:sz w:val="20"/>
          <w:szCs w:val="20"/>
          <w:color w:val="auto"/>
        </w:rPr>
      </w:pPr>
    </w:p>
    <w:p>
      <w:pPr>
        <w:ind w:left="1140" w:right="1379" w:firstLine="1033"/>
        <w:spacing w:after="0" w:line="268" w:lineRule="auto"/>
        <w:rPr>
          <w:sz w:val="20"/>
          <w:szCs w:val="20"/>
          <w:color w:val="auto"/>
        </w:rPr>
      </w:pPr>
      <w:r>
        <w:rPr>
          <w:rFonts w:ascii="Times New Roman" w:cs="Times New Roman" w:eastAsia="Times New Roman" w:hAnsi="Times New Roman"/>
          <w:sz w:val="14"/>
          <w:szCs w:val="14"/>
          <w:color w:val="auto"/>
        </w:rPr>
        <w:t>The Revolving Letter of Credit Issuer may send a Revolving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52"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3.8</w:t>
      </w:r>
      <w:r>
        <w:rPr>
          <w:sz w:val="20"/>
          <w:szCs w:val="20"/>
          <w:color w:val="auto"/>
        </w:rPr>
        <w:tab/>
      </w:r>
      <w:r>
        <w:rPr>
          <w:rFonts w:ascii="Times New Roman" w:cs="Times New Roman" w:eastAsia="Times New Roman" w:hAnsi="Times New Roman"/>
          <w:sz w:val="14"/>
          <w:szCs w:val="14"/>
          <w:u w:val="single" w:color="auto"/>
          <w:color w:val="auto"/>
        </w:rPr>
        <w:t>Cash Collateral</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9" w:lineRule="auto"/>
        <w:tabs>
          <w:tab w:leader="none" w:pos="1972" w:val="left"/>
        </w:tabs>
        <w:numPr>
          <w:ilvl w:val="1"/>
          <w:numId w:val="15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Certain Credit Support Events</w:t>
      </w:r>
      <w:r>
        <w:rPr>
          <w:rFonts w:ascii="Times New Roman" w:cs="Times New Roman" w:eastAsia="Times New Roman" w:hAnsi="Times New Roman"/>
          <w:sz w:val="14"/>
          <w:szCs w:val="14"/>
          <w:color w:val="auto"/>
        </w:rPr>
        <w:t xml:space="preserve">. Upon the written request of the Administrative Agent, the Revolving Letter of Credit Issuer or Swingline Lender, if (i) as of the Revolving L/C Facility Maturity Date, any Revolving L/C Obligation for any reason remains outstanding, (ii) the Borrower shall be required to provide Cash Collateral pursuant to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xml:space="preserve">, or (iii) the provisions of </w:t>
      </w:r>
      <w:r>
        <w:rPr>
          <w:rFonts w:ascii="Times New Roman" w:cs="Times New Roman" w:eastAsia="Times New Roman" w:hAnsi="Times New Roman"/>
          <w:sz w:val="14"/>
          <w:szCs w:val="14"/>
          <w:u w:val="single" w:color="auto"/>
          <w:color w:val="auto"/>
        </w:rPr>
        <w:t>Section 2.16(a)(v)</w:t>
      </w:r>
      <w:r>
        <w:rPr>
          <w:rFonts w:ascii="Times New Roman" w:cs="Times New Roman" w:eastAsia="Times New Roman" w:hAnsi="Times New Roman"/>
          <w:sz w:val="14"/>
          <w:szCs w:val="14"/>
          <w:color w:val="auto"/>
        </w:rPr>
        <w:t xml:space="preserve"> are in effect, the Borrower shall immediately (in the case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or within one Business Day (in all other cases) following any written request by the Administrative Agent or the Revolving Letter of Credit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4"/>
          <w:szCs w:val="14"/>
          <w:u w:val="single" w:color="auto"/>
          <w:color w:val="auto"/>
        </w:rPr>
        <w:t>clause</w:t>
      </w:r>
    </w:p>
    <w:p>
      <w:pPr>
        <w:spacing w:after="0" w:line="2" w:lineRule="exact"/>
        <w:rPr>
          <w:rFonts w:ascii="Times New Roman" w:cs="Times New Roman" w:eastAsia="Times New Roman" w:hAnsi="Times New Roman"/>
          <w:sz w:val="14"/>
          <w:szCs w:val="14"/>
          <w:color w:val="010000"/>
        </w:rPr>
      </w:pPr>
    </w:p>
    <w:p>
      <w:pPr>
        <w:ind w:left="1400" w:hanging="253"/>
        <w:spacing w:after="0"/>
        <w:tabs>
          <w:tab w:leader="none" w:pos="1400" w:val="left"/>
        </w:tabs>
        <w:numPr>
          <w:ilvl w:val="0"/>
          <w:numId w:val="158"/>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above, after giving effect to </w:t>
      </w:r>
      <w:r>
        <w:rPr>
          <w:rFonts w:ascii="Times New Roman" w:cs="Times New Roman" w:eastAsia="Times New Roman" w:hAnsi="Times New Roman"/>
          <w:sz w:val="14"/>
          <w:szCs w:val="14"/>
          <w:u w:val="single" w:color="auto"/>
          <w:color w:val="auto"/>
        </w:rPr>
        <w:t>Section 2.16(a)(iv)</w:t>
      </w:r>
      <w:r>
        <w:rPr>
          <w:rFonts w:ascii="Times New Roman" w:cs="Times New Roman" w:eastAsia="Times New Roman" w:hAnsi="Times New Roman"/>
          <w:sz w:val="14"/>
          <w:szCs w:val="14"/>
          <w:color w:val="auto"/>
        </w:rPr>
        <w:t xml:space="preserve"> and any Cash Collateral provided by the Defaulting Lender).</w:t>
      </w:r>
    </w:p>
    <w:p>
      <w:pPr>
        <w:spacing w:after="0" w:line="180" w:lineRule="exact"/>
        <w:rPr>
          <w:rFonts w:ascii="Times New Roman" w:cs="Times New Roman" w:eastAsia="Times New Roman" w:hAnsi="Times New Roman"/>
          <w:sz w:val="14"/>
          <w:szCs w:val="14"/>
          <w:u w:val="single" w:color="auto"/>
          <w:color w:val="auto"/>
        </w:rPr>
      </w:pPr>
    </w:p>
    <w:p>
      <w:pPr>
        <w:jc w:val="both"/>
        <w:ind w:left="1140" w:right="1159" w:firstLine="524"/>
        <w:spacing w:after="0" w:line="259" w:lineRule="auto"/>
        <w:tabs>
          <w:tab w:leader="none" w:pos="1972" w:val="left"/>
        </w:tabs>
        <w:numPr>
          <w:ilvl w:val="1"/>
          <w:numId w:val="15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Grant of Security Interest</w:t>
      </w:r>
      <w:r>
        <w:rPr>
          <w:rFonts w:ascii="Times New Roman" w:cs="Times New Roman" w:eastAsia="Times New Roman" w:hAnsi="Times New Roman"/>
          <w:sz w:val="14"/>
          <w:szCs w:val="14"/>
          <w:color w:val="auto"/>
        </w:rPr>
        <w:t xml:space="preserve">. The Borrower, and to the extent provided by any Defaulting Lender, such Defaulting Lender, hereby grant to (and subject to the control of) the Administrative Agent, for the benefit of the Administrative Agent, the Revolving Letter of Credit Issuer and the Revolving Credit Lenders, and agree to maintain, a first priority security interest in all such cash, deposit accounts and all balances therein as described in </w:t>
      </w:r>
      <w:r>
        <w:rPr>
          <w:rFonts w:ascii="Times New Roman" w:cs="Times New Roman" w:eastAsia="Times New Roman" w:hAnsi="Times New Roman"/>
          <w:sz w:val="14"/>
          <w:szCs w:val="14"/>
          <w:u w:val="single" w:color="auto"/>
          <w:color w:val="auto"/>
        </w:rPr>
        <w:t>Section 3.8(a)</w:t>
      </w:r>
      <w:r>
        <w:rPr>
          <w:rFonts w:ascii="Times New Roman" w:cs="Times New Roman" w:eastAsia="Times New Roman" w:hAnsi="Times New Roman"/>
          <w:sz w:val="14"/>
          <w:szCs w:val="14"/>
          <w:color w:val="auto"/>
        </w:rPr>
        <w:t xml:space="preserve">,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4"/>
          <w:szCs w:val="14"/>
          <w:u w:val="single" w:color="auto"/>
          <w:color w:val="auto"/>
        </w:rPr>
        <w:t>Section 3.8(c)</w:t>
      </w:r>
      <w:r>
        <w:rPr>
          <w:rFonts w:ascii="Times New Roman" w:cs="Times New Roman" w:eastAsia="Times New Roman" w:hAnsi="Times New Roman"/>
          <w:sz w:val="14"/>
          <w:szCs w:val="14"/>
          <w:color w:val="auto"/>
        </w:rPr>
        <w:t>. If at any time the Administrative Agent determines that Cash Collateral is subject to any right or claim of any Person other than the Administrative Agent or the Revolving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332"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1"/>
          <w:numId w:val="15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Application</w:t>
      </w:r>
      <w:r>
        <w:rPr>
          <w:rFonts w:ascii="Times New Roman" w:cs="Times New Roman" w:eastAsia="Times New Roman" w:hAnsi="Times New Roman"/>
          <w:sz w:val="14"/>
          <w:szCs w:val="14"/>
          <w:color w:val="auto"/>
        </w:rPr>
        <w:t xml:space="preserve">. Notwithstanding anything to the contrary contained in this Agreement, Cash Collateral provided under any of this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Sections 2.16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11.13</w:t>
      </w:r>
      <w:r>
        <w:rPr>
          <w:rFonts w:ascii="Times New Roman" w:cs="Times New Roman" w:eastAsia="Times New Roman" w:hAnsi="Times New Roman"/>
          <w:sz w:val="14"/>
          <w:szCs w:val="14"/>
          <w:color w:val="auto"/>
        </w:rPr>
        <w:t xml:space="preserve"> in respect of Revolving Letters of Credit shall be held and applied to the satisfaction of the specific Revolving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1"/>
          <w:numId w:val="15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4"/>
          <w:szCs w:val="14"/>
          <w:u w:val="single" w:color="auto"/>
          <w:color w:val="auto"/>
        </w:rPr>
        <w:t>Section 13.6(b)(ii)</w:t>
      </w:r>
      <w:r>
        <w:rPr>
          <w:rFonts w:ascii="Times New Roman" w:cs="Times New Roman" w:eastAsia="Times New Roman" w:hAnsi="Times New Roman"/>
          <w:sz w:val="14"/>
          <w:szCs w:val="14"/>
          <w:color w:val="auto"/>
        </w:rPr>
        <w:t>) or there is no longer existing an Event of Default) or (ii) the determination by the Administrative Agent and the Revolving Letter of Credit Issuer that there exists excess Cash Collateral.</w:t>
      </w:r>
    </w:p>
    <w:p>
      <w:pPr>
        <w:spacing w:after="0" w:line="153"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3.9 Applicability of ISP and UCP</w:t>
      </w:r>
      <w:r>
        <w:rPr>
          <w:rFonts w:ascii="Times New Roman" w:cs="Times New Roman" w:eastAsia="Times New Roman" w:hAnsi="Times New Roman"/>
          <w:sz w:val="14"/>
          <w:szCs w:val="14"/>
          <w:color w:val="auto"/>
        </w:rPr>
        <w:t>. Unless otherwise expressly agreed by the Revolving Letter of Credit Issuer and the Borrower when a Revolving Letter of Credit is issued, (i) the rules of the ISP shall apply to each standby Revolving Letter of Credit, and (ii) the rules of the Uniform Customs and Practice for Documentary Credits, as most recently published by the International Chamber of Commerce at the time of issuance, shall apply to each commercial Revolving Letter of Credit. Notwithstanding the foregoing, the Revolving Letter of Credit Issuer shall not be responsible to the Borrower for, and the Revolving Letter of Credit Issuer’s rights and remedies against the Borrower shall not be impaired by, any action or inaction of the Revolving Letter of Credit Issuer required or permitted under any law, order, or practice that is required or permitted to be applied to any Revolving Letter of Credit or this</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0" w:name="page191"/>
    <w:bookmarkEnd w:id="190"/>
    <w:p>
      <w:pPr>
        <w:jc w:val="both"/>
        <w:ind w:left="1140" w:right="1159"/>
        <w:spacing w:after="0" w:line="263" w:lineRule="auto"/>
        <w:rPr>
          <w:sz w:val="20"/>
          <w:szCs w:val="20"/>
          <w:color w:val="auto"/>
        </w:rPr>
      </w:pPr>
      <w:r>
        <w:rPr>
          <w:rFonts w:ascii="Times New Roman" w:cs="Times New Roman" w:eastAsia="Times New Roman" w:hAnsi="Times New Roman"/>
          <w:sz w:val="14"/>
          <w:szCs w:val="14"/>
          <w:color w:val="auto"/>
        </w:rPr>
        <w:t>Agreement, including the applicable law or any order of a jurisdiction where the Revolving Letter of Credit Issuer or the beneficiary is located, the practice stated in the ISP or UCP, as applicable, or in the decisions, opinions, practice statements, or official commentary of the ICC Banking Commission, the Bankers Association for Finance and Trade</w:t>
      </w:r>
    </w:p>
    <w:p>
      <w:pPr>
        <w:spacing w:after="0" w:line="1" w:lineRule="exact"/>
        <w:rPr>
          <w:sz w:val="20"/>
          <w:szCs w:val="20"/>
          <w:color w:val="auto"/>
        </w:rPr>
      </w:pPr>
    </w:p>
    <w:p>
      <w:pPr>
        <w:ind w:left="1140" w:right="1159" w:firstLine="7"/>
        <w:spacing w:after="0" w:line="273" w:lineRule="auto"/>
        <w:tabs>
          <w:tab w:leader="none" w:pos="1258"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Financial Services Association (BAFT-IFSA), or the Institute of International Banking Law &amp; Practice, whether or not any Revolving Letter of Credit chooses such law or practice.</w:t>
      </w:r>
    </w:p>
    <w:p>
      <w:pPr>
        <w:spacing w:after="0" w:line="147"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3.10 Conflict with Issuer Documents</w:t>
      </w:r>
      <w:r>
        <w:rPr>
          <w:rFonts w:ascii="Times New Roman" w:cs="Times New Roman" w:eastAsia="Times New Roman" w:hAnsi="Times New Roman"/>
          <w:sz w:val="14"/>
          <w:szCs w:val="14"/>
          <w:color w:val="auto"/>
        </w:rPr>
        <w:t>. In the event of any conflict between the terms hereof and the terms of any Issuer Document, the terms hereof shall control and any grant of security interest in any Issuer Documents shall be void.</w:t>
      </w:r>
    </w:p>
    <w:p>
      <w:pPr>
        <w:spacing w:after="0" w:line="146"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3.11 Letters of Credit Issued for Restricted Subsidiaries</w:t>
      </w:r>
      <w:r>
        <w:rPr>
          <w:rFonts w:ascii="Times New Roman" w:cs="Times New Roman" w:eastAsia="Times New Roman" w:hAnsi="Times New Roman"/>
          <w:sz w:val="14"/>
          <w:szCs w:val="14"/>
          <w:color w:val="auto"/>
        </w:rPr>
        <w:t>. Notwithstanding that a Revolving Letter of Credit issued or outstanding hereunder is in support of any obligations of, or is for the account of, Holdings or a Restricted Subsidiary, the Borrower shall be obligated to reimburse the Revolving Letter of Credit Issuer hereunder for any and all drawings under such Revolving Letter of Credit. The Borrower hereby acknowledges that the issuance of Revolving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58"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3.12 Provisions Related to Extended Revolving Credit Commitments</w:t>
      </w:r>
      <w:r>
        <w:rPr>
          <w:rFonts w:ascii="Times New Roman" w:cs="Times New Roman" w:eastAsia="Times New Roman" w:hAnsi="Times New Roman"/>
          <w:sz w:val="14"/>
          <w:szCs w:val="14"/>
          <w:color w:val="auto"/>
        </w:rPr>
        <w:t xml:space="preserve">. If the Revolving L/C Facility Maturity Date in respect of any tranche of Revolving Credit Commitments occurs prior to the expiry date of any Revolving Letter of Credit, then (i) if consented to by the Revolving Letter of Credit Issuer which issued such Revolving Letter of Credit, if one or more other tranches of Revolving Credit Commitments in respect of which the Revolving L/C Facility Maturity Date shall not have so occurred are then in effect, such Revolving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Times New Roman" w:cs="Times New Roman" w:eastAsia="Times New Roman" w:hAnsi="Times New Roman"/>
          <w:sz w:val="14"/>
          <w:szCs w:val="14"/>
          <w:u w:val="single" w:color="auto"/>
          <w:color w:val="auto"/>
        </w:rPr>
        <w:t>Sections 3.3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3.4</w:t>
      </w:r>
      <w:r>
        <w:rPr>
          <w:rFonts w:ascii="Times New Roman" w:cs="Times New Roman" w:eastAsia="Times New Roman" w:hAnsi="Times New Roman"/>
          <w:sz w:val="14"/>
          <w:szCs w:val="14"/>
          <w:color w:val="auto"/>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Revolving Letter of Credit may be so reallocated) and (ii) to the extent not reallocated pursuant to immediately preceding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the Borrower shall Cash Collateralize any such Revolving Letter of Credit in accordance with </w:t>
      </w:r>
      <w:r>
        <w:rPr>
          <w:rFonts w:ascii="Times New Roman" w:cs="Times New Roman" w:eastAsia="Times New Roman" w:hAnsi="Times New Roman"/>
          <w:sz w:val="14"/>
          <w:szCs w:val="14"/>
          <w:u w:val="single" w:color="auto"/>
          <w:color w:val="auto"/>
        </w:rPr>
        <w:t>Section 3.8</w:t>
      </w:r>
      <w:r>
        <w:rPr>
          <w:rFonts w:ascii="Times New Roman" w:cs="Times New Roman" w:eastAsia="Times New Roman" w:hAnsi="Times New Roman"/>
          <w:sz w:val="14"/>
          <w:szCs w:val="14"/>
          <w:color w:val="auto"/>
        </w:rPr>
        <w:t>. Upon the maturity date of any tranche of Revolving Credit Commitments, the sublimit for Revolving Letters of Credit may be reduced as agreed between the Revolving Letter of Credit Issuer and the Borrower, without the consent of any other Person.</w:t>
      </w:r>
    </w:p>
    <w:p>
      <w:pPr>
        <w:spacing w:after="0" w:line="148" w:lineRule="exact"/>
        <w:rPr>
          <w:sz w:val="20"/>
          <w:szCs w:val="20"/>
          <w:color w:val="auto"/>
        </w:rPr>
      </w:pPr>
    </w:p>
    <w:p>
      <w:pPr>
        <w:ind w:left="1660"/>
        <w:spacing w:after="0"/>
        <w:tabs>
          <w:tab w:leader="none" w:pos="2500" w:val="left"/>
        </w:tabs>
        <w:rPr>
          <w:sz w:val="20"/>
          <w:szCs w:val="20"/>
          <w:color w:val="auto"/>
        </w:rPr>
      </w:pPr>
      <w:r>
        <w:rPr>
          <w:rFonts w:ascii="Times New Roman" w:cs="Times New Roman" w:eastAsia="Times New Roman" w:hAnsi="Times New Roman"/>
          <w:sz w:val="14"/>
          <w:szCs w:val="14"/>
          <w:color w:val="auto"/>
        </w:rPr>
        <w:t>Section 3A.</w:t>
        <w:tab/>
        <w:t>2020 Letters of Credit.</w:t>
      </w:r>
    </w:p>
    <w:p>
      <w:pPr>
        <w:spacing w:after="0" w:line="183" w:lineRule="exact"/>
        <w:rPr>
          <w:sz w:val="20"/>
          <w:szCs w:val="20"/>
          <w:color w:val="auto"/>
        </w:rPr>
      </w:pPr>
    </w:p>
    <w:p>
      <w:pPr>
        <w:ind w:left="1660"/>
        <w:spacing w:after="0"/>
        <w:tabs>
          <w:tab w:leader="none" w:pos="2220" w:val="left"/>
        </w:tabs>
        <w:rPr>
          <w:sz w:val="20"/>
          <w:szCs w:val="20"/>
          <w:color w:val="auto"/>
        </w:rPr>
      </w:pPr>
      <w:r>
        <w:rPr>
          <w:rFonts w:ascii="Times New Roman" w:cs="Times New Roman" w:eastAsia="Times New Roman" w:hAnsi="Times New Roman"/>
          <w:sz w:val="14"/>
          <w:szCs w:val="14"/>
          <w:color w:val="auto"/>
        </w:rPr>
        <w:t>3A.1</w:t>
      </w:r>
      <w:r>
        <w:rPr>
          <w:sz w:val="20"/>
          <w:szCs w:val="20"/>
          <w:color w:val="auto"/>
        </w:rPr>
        <w:tab/>
      </w:r>
      <w:r>
        <w:rPr>
          <w:rFonts w:ascii="Times New Roman" w:cs="Times New Roman" w:eastAsia="Times New Roman" w:hAnsi="Times New Roman"/>
          <w:sz w:val="14"/>
          <w:szCs w:val="14"/>
          <w:u w:val="single" w:color="auto"/>
          <w:color w:val="auto"/>
        </w:rPr>
        <w:t>2020 Letters of Credit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9" w:lineRule="auto"/>
        <w:tabs>
          <w:tab w:leader="none" w:pos="1972" w:val="left"/>
        </w:tabs>
        <w:numPr>
          <w:ilvl w:val="1"/>
          <w:numId w:val="16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and upon the terms and conditions set forth herein, at any time and from time to time after the Amendment No. 2 Effective Date and prior to the 2020 L/C Facility Maturity Date, each 2020 Letter of Credit Issuer agrees, in reliance upon the agreements of the 2020 Additional Revolving Credit Lenders set forth in this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 to issue from time to time from the Amendment No. 2 Effective Date through the 2020 L/C Facility Maturity Date for the account of the Borrower (or, so long as the Borrower is the primary obligor and signatory to the Letter of Credit Request, for the account of Holdings or any Restricted Subsidiary) letters of credit (the “</w:t>
      </w:r>
      <w:r>
        <w:rPr>
          <w:rFonts w:ascii="Times New Roman" w:cs="Times New Roman" w:eastAsia="Times New Roman" w:hAnsi="Times New Roman"/>
          <w:sz w:val="14"/>
          <w:szCs w:val="14"/>
          <w:b w:val="1"/>
          <w:bCs w:val="1"/>
          <w:color w:val="auto"/>
        </w:rPr>
        <w:t>2020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Letters of Credit</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2020 Letter of Credit</w:t>
      </w:r>
      <w:r>
        <w:rPr>
          <w:rFonts w:ascii="Times New Roman" w:cs="Times New Roman" w:eastAsia="Times New Roman" w:hAnsi="Times New Roman"/>
          <w:sz w:val="14"/>
          <w:szCs w:val="14"/>
          <w:color w:val="auto"/>
        </w:rPr>
        <w:t>”), which 2020 Letters of Credit shall not at any time exceed</w:t>
      </w:r>
    </w:p>
    <w:p>
      <w:pPr>
        <w:spacing w:after="0" w:line="2" w:lineRule="exact"/>
        <w:rPr>
          <w:rFonts w:ascii="Times New Roman" w:cs="Times New Roman" w:eastAsia="Times New Roman" w:hAnsi="Times New Roman"/>
          <w:sz w:val="14"/>
          <w:szCs w:val="14"/>
          <w:color w:val="010000"/>
        </w:rPr>
      </w:pPr>
    </w:p>
    <w:p>
      <w:pPr>
        <w:jc w:val="both"/>
        <w:ind w:left="1140" w:right="1159" w:firstLine="7"/>
        <w:spacing w:after="0" w:line="264" w:lineRule="auto"/>
        <w:tabs>
          <w:tab w:leader="none" w:pos="1311"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2020 Letter of Credit Issuer’s 2020 Letter of Credit Commitment, (ii) the 2020 Letter of Credit Commitment and (iii) individual 2020 Letters of Credit, in such form as may be approved by the 2020 Letter of Credit Issuer in its reasonable discretion.</w:t>
      </w:r>
    </w:p>
    <w:p>
      <w:pPr>
        <w:spacing w:after="0" w:line="154" w:lineRule="exact"/>
        <w:rPr>
          <w:rFonts w:ascii="Times New Roman" w:cs="Times New Roman" w:eastAsia="Times New Roman" w:hAnsi="Times New Roman"/>
          <w:sz w:val="14"/>
          <w:szCs w:val="14"/>
          <w:color w:val="auto"/>
        </w:rPr>
      </w:pPr>
    </w:p>
    <w:p>
      <w:pPr>
        <w:jc w:val="both"/>
        <w:ind w:left="1140" w:right="1159" w:firstLine="524"/>
        <w:spacing w:after="0" w:line="261" w:lineRule="auto"/>
        <w:tabs>
          <w:tab w:leader="none" w:pos="1993" w:val="left"/>
        </w:tabs>
        <w:numPr>
          <w:ilvl w:val="1"/>
          <w:numId w:val="1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Notwithstanding the foregoing, (i) no 2020 Letter of Credit shall be issued the Stated Amount of which, when added to the 2020 Letters of Credit Outstanding at such time, would exceed the 2020 Letter of Credit Commitment (or with respect to any 2020 Letter of Credit Issuer, exceed such 2020 Letter of Credit Issuer’s 2020 Letter of Credit Commitment); (ii) no 2020 Letter of Credit shall be issued the Stated Amount of which would cause the aggregate amount of the Lenders’ 2020 Letter of Credit Exposure at the time of the issuance thereof to exceed the Total 2020 Letter of Credit Commitment then in effect; (iii) each 2020 Letter of Credit shall have an expiration date occurring no later than one year after the date of issuance thereof (except as set forth in </w:t>
      </w:r>
      <w:r>
        <w:rPr>
          <w:rFonts w:ascii="Times New Roman" w:cs="Times New Roman" w:eastAsia="Times New Roman" w:hAnsi="Times New Roman"/>
          <w:sz w:val="14"/>
          <w:szCs w:val="14"/>
          <w:u w:val="single" w:color="auto"/>
          <w:color w:val="auto"/>
        </w:rPr>
        <w:t>Section 3A.2(d)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no event shall such expiration date occur later than the 2020 L/C Facility Maturity Date, in each case, unless</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1" w:name="page192"/>
    <w:bookmarkEnd w:id="191"/>
    <w:p>
      <w:pPr>
        <w:jc w:val="both"/>
        <w:ind w:left="1140" w:right="1159"/>
        <w:spacing w:after="0" w:line="260" w:lineRule="auto"/>
        <w:rPr>
          <w:sz w:val="20"/>
          <w:szCs w:val="20"/>
          <w:color w:val="auto"/>
        </w:rPr>
      </w:pPr>
      <w:r>
        <w:rPr>
          <w:rFonts w:ascii="Times New Roman" w:cs="Times New Roman" w:eastAsia="Times New Roman" w:hAnsi="Times New Roman"/>
          <w:sz w:val="14"/>
          <w:szCs w:val="14"/>
          <w:color w:val="auto"/>
        </w:rPr>
        <w:t>otherwise agreed upon by the Administrative Agent, the 2020 Letter of Credit Issuer and, unless the 2020 Letter of Credit has been Cash Collateralized or backstopped (in the case of a backstop only, on terms reasonably satisfactory to such 2020 Letter of Credit Issuer), the 2020 Additional Revolving Credit Lenders; (iv) the 2020 Letter of Credit shall be denominated in Dollars; (v) no 2020 Letter of Credit shall be issued if it would be illegal under any applicable law for the beneficiary of the 2020 Letter of Credit to have a 2020 Letter of Credit issued in its favor; and</w:t>
      </w:r>
    </w:p>
    <w:p>
      <w:pPr>
        <w:spacing w:after="0" w:line="2" w:lineRule="exact"/>
        <w:rPr>
          <w:sz w:val="20"/>
          <w:szCs w:val="20"/>
          <w:color w:val="auto"/>
        </w:rPr>
      </w:pPr>
    </w:p>
    <w:p>
      <w:pPr>
        <w:jc w:val="both"/>
        <w:ind w:left="1140" w:right="1159" w:firstLine="7"/>
        <w:spacing w:after="0" w:line="260" w:lineRule="auto"/>
        <w:tabs>
          <w:tab w:leader="none" w:pos="1392"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 2020 Letter of Credit shall be issued by a 2020 Letter of Credit Issuer after it has received a written notice from any Credit Party or the Administrative Agent or the Required 2020 Additional Revolving Credit Lenders stating that a Default or Event of Default has occurred and is continuing until such time as such 2020 Letter of Credit Issuer shall have received a written notice of (x) rescission of such notice from the party or parties originally delivering such notice or (y) the waiver of such Default or Event of Default in accordance with the provisions of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w:t>
      </w:r>
    </w:p>
    <w:p>
      <w:pPr>
        <w:spacing w:after="0" w:line="330" w:lineRule="exact"/>
        <w:rPr>
          <w:rFonts w:ascii="Times New Roman" w:cs="Times New Roman" w:eastAsia="Times New Roman" w:hAnsi="Times New Roman"/>
          <w:sz w:val="14"/>
          <w:szCs w:val="14"/>
          <w:color w:val="auto"/>
        </w:rPr>
      </w:pPr>
    </w:p>
    <w:p>
      <w:pPr>
        <w:jc w:val="both"/>
        <w:ind w:left="1140" w:right="1159" w:firstLine="524"/>
        <w:spacing w:after="0" w:line="262" w:lineRule="auto"/>
        <w:tabs>
          <w:tab w:leader="none" w:pos="1972" w:val="left"/>
        </w:tabs>
        <w:numPr>
          <w:ilvl w:val="1"/>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Upon at least two Business Days’ prior written notice to the Administrative Agent and the 2020 Letter of Credit Issuer (which notice the Administrative Agent shall promptly transmit to each of the Lenders), the Borrower shall have the right, on any day, permanently to terminate or reduce the 2020 Letter of Credit Commitment in whole or in part;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such termination or reduction, the 2020 Letters of Credit Outstanding shall not exceed the 2020 Letter of Credit Commitment (or with respect to a 2020 Letter of Credit Issuer, the 2020 Letters of Credit Outstanding with respect to 2020 Letters of Credit issued by such 2020 Letter of Credit Issuer shall not exceed such 2020 Letter of Credit Issuer’s 2020 Letter of Credit Commitment).</w:t>
      </w:r>
    </w:p>
    <w:p>
      <w:pPr>
        <w:spacing w:after="0" w:line="157"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1"/>
          <w:numId w:val="16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2020 Letter of Credit Issuer shall not be under any obligation to issue any 2020 Letter of Credit</w:t>
      </w:r>
    </w:p>
    <w:p>
      <w:pPr>
        <w:spacing w:after="0" w:line="24" w:lineRule="exact"/>
        <w:rPr>
          <w:rFonts w:ascii="Times New Roman" w:cs="Times New Roman" w:eastAsia="Times New Roman" w:hAnsi="Times New Roman"/>
          <w:sz w:val="14"/>
          <w:szCs w:val="14"/>
          <w:color w:val="010000"/>
        </w:rPr>
      </w:pPr>
    </w:p>
    <w:p>
      <w:pPr>
        <w:ind w:left="1140"/>
        <w:spacing w:after="0"/>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w:t>
      </w:r>
    </w:p>
    <w:p>
      <w:pPr>
        <w:spacing w:after="0" w:line="180" w:lineRule="exact"/>
        <w:rPr>
          <w:sz w:val="20"/>
          <w:szCs w:val="20"/>
          <w:color w:val="auto"/>
        </w:rPr>
      </w:pPr>
    </w:p>
    <w:p>
      <w:pPr>
        <w:jc w:val="both"/>
        <w:ind w:left="1140" w:right="1159" w:firstLine="524"/>
        <w:spacing w:after="0" w:line="260" w:lineRule="auto"/>
        <w:tabs>
          <w:tab w:leader="none" w:pos="1972" w:val="left"/>
        </w:tabs>
        <w:numPr>
          <w:ilvl w:val="0"/>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order, judgment or decree of any Governmental Authority or arbitrator shall by its terms enjoin or restrain the 2020 Letter of Credit Issuer from issuing such 2020 Letter of Credit, or any law applicable to such 2020 Letter of Credit Issuer or any request or directive (whether or not having the force of law) from any Governmental Authority with jurisdiction over such 2020 Letter of Credit Issuer shall prohibit, or request that such 2020 Letter of Credit Issuer refrain from, the issuance of letters of credit generally or such 2020 Letter of Credit in particular or shall impose upon such 2020 Letter of Credit Issuer with respect to such 2020 Letter of Credit any restriction, reserve or capital requirement (in each case, for which such 2020 Letter of Credit Issuer is not otherwise compensated hereunder) not in effect on the Amendment No. 2 Effective Date, or shall impose upon such 2020 Letter of Credit Issuer any unreimbursed loss, cost or expense which was not applicable on the Amendment No. 2 Effective Date and which such 2020 Letter of Credit Issuer in good faith deems material to it;</w:t>
      </w:r>
    </w:p>
    <w:p>
      <w:pPr>
        <w:spacing w:after="0" w:line="160"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issuance of such 2020 Letter of Credit would violate one or more policies of such 2020 Letter of Credit Issuer applicable to letters of credit generally;</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except as otherwise agreed by the 2020 Letter of Credit Issuer, such 2020 Letter of Credit is in an initial Stated Amount less than $50,000, in the case of a commercial 2020 Letter of Credit, or $10,000, in the case of a standby 2020 Letter of Credit;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none of the initial 2020 Letter of Credit Issuers or their respective affiliates shall be obligated or requested to issue commercial 2020 Letters of Credit;</w:t>
      </w:r>
    </w:p>
    <w:p>
      <w:pPr>
        <w:spacing w:after="0" w:line="152"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such 2020 Letter of Credit is denominated in a currency other than Dollars;</w:t>
      </w:r>
    </w:p>
    <w:p>
      <w:pPr>
        <w:spacing w:after="0" w:line="19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such 2020 Letters of Credit contains any provisions for automatic reinstatement of the Stated Amount after any drawing thereunder; or</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82" w:val="left"/>
        </w:tabs>
        <w:numPr>
          <w:ilvl w:val="0"/>
          <w:numId w:val="1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 default of any 2020 Additional Revolving Credit Lender’s obligations to fund under </w:t>
      </w:r>
      <w:r>
        <w:rPr>
          <w:rFonts w:ascii="Times New Roman" w:cs="Times New Roman" w:eastAsia="Times New Roman" w:hAnsi="Times New Roman"/>
          <w:sz w:val="14"/>
          <w:szCs w:val="14"/>
          <w:u w:val="single" w:color="auto"/>
          <w:color w:val="auto"/>
        </w:rPr>
        <w:t>Section 3A.3</w:t>
      </w:r>
      <w:r>
        <w:rPr>
          <w:rFonts w:ascii="Times New Roman" w:cs="Times New Roman" w:eastAsia="Times New Roman" w:hAnsi="Times New Roman"/>
          <w:sz w:val="14"/>
          <w:szCs w:val="14"/>
          <w:color w:val="auto"/>
        </w:rPr>
        <w:t xml:space="preserve"> exists or any 2020 Additional Revolving Credit Lender is at such time a Defaulting Lender hereunder, unless, in each case, the Borrower have entered into arrangements reasonably satisfactory to the 2020 Letter of Credit Issuer to eliminate such 2020 Letter of Credit Issuer’s risk with respect to such 2020 Additional Revolving Credit Lender or such risk has been reallocated in accordance with </w:t>
      </w:r>
      <w:r>
        <w:rPr>
          <w:rFonts w:ascii="Times New Roman" w:cs="Times New Roman" w:eastAsia="Times New Roman" w:hAnsi="Times New Roman"/>
          <w:sz w:val="14"/>
          <w:szCs w:val="14"/>
          <w:u w:val="single" w:color="auto"/>
          <w:color w:val="auto"/>
        </w:rPr>
        <w:t>Section 2.16</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jc w:val="both"/>
        <w:ind w:left="1140" w:right="1159" w:firstLine="524"/>
        <w:spacing w:after="0" w:line="275" w:lineRule="auto"/>
        <w:tabs>
          <w:tab w:leader="none" w:pos="1972" w:val="left"/>
        </w:tabs>
        <w:numPr>
          <w:ilvl w:val="0"/>
          <w:numId w:val="16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2020 Letter of Credit Issuer shall not increase the Stated Amount of any 2020 Letter of Credit if the 2020 Letter of Credit Issuer would not be permitted at such time to issue such 2020 Letter of Credit in its amended form under the terms hereof.</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2" w:name="page193"/>
    <w:bookmarkEnd w:id="192"/>
    <w:p>
      <w:pPr>
        <w:ind w:left="1980" w:hanging="316"/>
        <w:spacing w:after="0"/>
        <w:tabs>
          <w:tab w:leader="none" w:pos="1980" w:val="left"/>
        </w:tabs>
        <w:numPr>
          <w:ilvl w:val="1"/>
          <w:numId w:val="16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2020 Letter of Credit Issuer shall be under no obligation to amend any 2020 Letter of Credit if</w:t>
      </w:r>
    </w:p>
    <w:p>
      <w:pPr>
        <w:spacing w:after="0" w:line="24" w:lineRule="exact"/>
        <w:rPr>
          <w:rFonts w:ascii="Times New Roman" w:cs="Times New Roman" w:eastAsia="Times New Roman" w:hAnsi="Times New Roman"/>
          <w:sz w:val="14"/>
          <w:szCs w:val="14"/>
          <w:color w:val="010000"/>
        </w:rPr>
      </w:pPr>
    </w:p>
    <w:p>
      <w:pPr>
        <w:jc w:val="both"/>
        <w:ind w:left="1140" w:right="1159" w:firstLine="7"/>
        <w:spacing w:after="0" w:line="264" w:lineRule="auto"/>
        <w:tabs>
          <w:tab w:leader="none" w:pos="138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2020 Letter of Credit Issuer would have no obligation at such time to issue such 2020 Letter of Credit in its amended form under the terms hereof, or (B) the beneficiary of such 2020 Letter of Credit does not accept the proposed amendment to such 2020 Letter of Credit.</w:t>
      </w:r>
    </w:p>
    <w:p>
      <w:pPr>
        <w:spacing w:after="0" w:line="154" w:lineRule="exact"/>
        <w:rPr>
          <w:rFonts w:ascii="Times New Roman" w:cs="Times New Roman" w:eastAsia="Times New Roman" w:hAnsi="Times New Roman"/>
          <w:sz w:val="14"/>
          <w:szCs w:val="14"/>
          <w:color w:val="auto"/>
        </w:rPr>
      </w:pPr>
    </w:p>
    <w:p>
      <w:pPr>
        <w:jc w:val="both"/>
        <w:ind w:left="1140" w:right="1159" w:firstLine="524"/>
        <w:spacing w:after="0" w:line="262" w:lineRule="auto"/>
        <w:tabs>
          <w:tab w:leader="none" w:pos="1972" w:val="left"/>
        </w:tabs>
        <w:numPr>
          <w:ilvl w:val="1"/>
          <w:numId w:val="16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2020 Letter of Credit Issuer shall act on behalf of the 2020 Additional Revolving Credit Lenders with respect to any 2020 Letters of Credit issued by it and the documents associated therewith and the 2020 Letter of Credit Issuer shall have all of the benefits and immunities (A) provided to the Administrative Agent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with respect to any acts taken or omissions suffered by the 2020 Letter of Credit Issuer in connection with 2020 Letters of Credit issued by it or proposed to be issued by it and Issuer Documents pertaining to such 2020 Letters of Credit as fully as if the term “Administrative Agent” as used in </w:t>
      </w:r>
      <w:r>
        <w:rPr>
          <w:rFonts w:ascii="Times New Roman" w:cs="Times New Roman" w:eastAsia="Times New Roman" w:hAnsi="Times New Roman"/>
          <w:sz w:val="14"/>
          <w:szCs w:val="14"/>
          <w:u w:val="single" w:color="auto"/>
          <w:color w:val="auto"/>
        </w:rPr>
        <w:t>Section 13</w:t>
      </w:r>
      <w:r>
        <w:rPr>
          <w:rFonts w:ascii="Times New Roman" w:cs="Times New Roman" w:eastAsia="Times New Roman" w:hAnsi="Times New Roman"/>
          <w:sz w:val="14"/>
          <w:szCs w:val="14"/>
          <w:color w:val="auto"/>
        </w:rPr>
        <w:t xml:space="preserve"> included the 2020 Letter of Credit Issuer with respect to such acts or omission, and (B) as additionally provided herein with respect to the 2020 Letter of Credit Issuer.</w:t>
      </w:r>
    </w:p>
    <w:p>
      <w:pPr>
        <w:spacing w:after="0" w:line="319" w:lineRule="exact"/>
        <w:rPr>
          <w:sz w:val="20"/>
          <w:szCs w:val="20"/>
          <w:color w:val="auto"/>
        </w:rPr>
      </w:pPr>
    </w:p>
    <w:p>
      <w:pPr>
        <w:ind w:left="1660"/>
        <w:spacing w:after="0"/>
        <w:tabs>
          <w:tab w:leader="none" w:pos="2220" w:val="left"/>
        </w:tabs>
        <w:rPr>
          <w:sz w:val="20"/>
          <w:szCs w:val="20"/>
          <w:color w:val="auto"/>
        </w:rPr>
      </w:pPr>
      <w:r>
        <w:rPr>
          <w:rFonts w:ascii="Times New Roman" w:cs="Times New Roman" w:eastAsia="Times New Roman" w:hAnsi="Times New Roman"/>
          <w:sz w:val="14"/>
          <w:szCs w:val="14"/>
          <w:color w:val="auto"/>
        </w:rPr>
        <w:t>3A.2</w:t>
      </w:r>
      <w:r>
        <w:rPr>
          <w:sz w:val="20"/>
          <w:szCs w:val="20"/>
          <w:color w:val="auto"/>
        </w:rPr>
        <w:tab/>
      </w:r>
      <w:r>
        <w:rPr>
          <w:rFonts w:ascii="Times New Roman" w:cs="Times New Roman" w:eastAsia="Times New Roman" w:hAnsi="Times New Roman"/>
          <w:sz w:val="14"/>
          <w:szCs w:val="14"/>
          <w:color w:val="auto"/>
        </w:rPr>
        <w:t>2020 Letter of Credit Requests.</w:t>
      </w:r>
    </w:p>
    <w:p>
      <w:pPr>
        <w:spacing w:after="0" w:line="194" w:lineRule="exact"/>
        <w:rPr>
          <w:sz w:val="20"/>
          <w:szCs w:val="20"/>
          <w:color w:val="auto"/>
        </w:rPr>
      </w:pPr>
    </w:p>
    <w:p>
      <w:pPr>
        <w:jc w:val="both"/>
        <w:ind w:left="1140" w:right="1159" w:firstLine="524"/>
        <w:spacing w:after="0" w:line="262" w:lineRule="auto"/>
        <w:tabs>
          <w:tab w:leader="none" w:pos="1972" w:val="left"/>
        </w:tabs>
        <w:numPr>
          <w:ilvl w:val="0"/>
          <w:numId w:val="1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Whenever the Borrower desires that a 2020 Letter of Credit be issued or amended, the Borrower shall give the Administrative Agent and the 2020 Letter of Credit Issuer a Letter of Credit Request by no later than 1:00 p.m. (New York City time) at least four Business Days (or such other period as may be agreed upon by the Borrower, the Administrative Agent and the 2020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2020 Letter of Credit Issuer, by personal delivery or by any other means acceptable to the 2020 Letter of Credit Issuer.</w:t>
      </w:r>
    </w:p>
    <w:p>
      <w:pPr>
        <w:spacing w:after="0" w:line="329"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72" w:val="left"/>
        </w:tabs>
        <w:numPr>
          <w:ilvl w:val="0"/>
          <w:numId w:val="1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the case of a request for the issuance of a 2020 Letter of Credit, such Letter of Credit Request shall specify in form and detail reasonably satisfactory to the 2020 Letter of Credit Issuer: (A) the proposed issuance date of the requested 2020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2020 Letter of Credit Issuer may reasonably require. In the case of a request for an amendment of any outstanding 2020 Letter of Credit, such Letter of Credit Request shall specify in form and detail reasonably satisfactory to the 2020 Letter of Credit Issuer (I) the 2020 Letter of Credit to be amended; (II) the proposed date of amendment thereof (which shall be a Business Day); (III) the nature of the proposed amendment; and (IV) such other matters as the 2020 Letter of Credit Issuer may reasonably require. Additionally, the Borrower shall furnish to the 2020 Letter of Credit Issuer and the Administrative Agent such other documents and information pertaining to such requested 2020 Letter of Credit issuance or amendment, including any Issuer Documents, as the 2020 Letter of Credit Issuer or the Administrative Agent may reasonably require.</w:t>
      </w:r>
    </w:p>
    <w:p>
      <w:pPr>
        <w:spacing w:after="0" w:line="334"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2004" w:val="left"/>
        </w:tabs>
        <w:numPr>
          <w:ilvl w:val="0"/>
          <w:numId w:val="1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Unless the 2020 Letter of Credit Issuer has received written notice from any 2020 Additional Revolving Credit Lender, the Administrative Agent or any Credit Party, at least two Business Days prior to the requested date of issuance or amendment of the 2020 Letter of Credit, that one or more applicable conditions contained in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(solely with respect to any 2020 Letter of Credit issued on the Amendment No. 2 Effective Date)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shall not then be satisfied to the extent required thereby, then, subject to the terms and conditions hereof, the 2020 Letter of Credit Issuer shall, on the requested date, issue a 2020 Letter of Credit for the account of the Borrower (or, so long as the Borrower are the primary obligors, for the account of Holdings or a Restricted Subsidiary) or enter into the applicable amendment, as the case may be, in each case in accordance with each such 2020 Letter of Credit Issuer’s usual and customary business practices.</w:t>
      </w:r>
    </w:p>
    <w:p>
      <w:pPr>
        <w:spacing w:after="0" w:line="156"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82" w:val="left"/>
        </w:tabs>
        <w:numPr>
          <w:ilvl w:val="0"/>
          <w:numId w:val="1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the Borrower so requests in any Letter of Credit Request, the 2020 Letter of Credit Issuer shall agree to issue a 2020 Letter of Credit that has automatic extension provisions (each, a “</w:t>
      </w:r>
      <w:r>
        <w:rPr>
          <w:rFonts w:ascii="Times New Roman" w:cs="Times New Roman" w:eastAsia="Times New Roman" w:hAnsi="Times New Roman"/>
          <w:sz w:val="14"/>
          <w:szCs w:val="14"/>
          <w:u w:val="single" w:color="auto"/>
          <w:color w:val="auto"/>
        </w:rPr>
        <w:t>2020 Auto-Extension Letter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of Credit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2020 Auto-Extension Letter of Credit must permit the 2020 Letter of Credit Issuer to prevent any such extension at least once in each twelve-month period (commencing with the date of issuance of such 2020 Letter of Credit) by giving prior notice to the beneficiary thereof and the Borrower not later than a day (the “</w:t>
      </w:r>
      <w:r>
        <w:rPr>
          <w:rFonts w:ascii="Times New Roman" w:cs="Times New Roman" w:eastAsia="Times New Roman" w:hAnsi="Times New Roman"/>
          <w:sz w:val="14"/>
          <w:szCs w:val="14"/>
          <w:u w:val="single" w:color="auto"/>
          <w:color w:val="auto"/>
        </w:rPr>
        <w:t>2020 Non-Extension Notice Date</w:t>
      </w:r>
      <w:r>
        <w:rPr>
          <w:rFonts w:ascii="Times New Roman" w:cs="Times New Roman" w:eastAsia="Times New Roman" w:hAnsi="Times New Roman"/>
          <w:sz w:val="14"/>
          <w:szCs w:val="14"/>
          <w:color w:val="auto"/>
        </w:rPr>
        <w:t>”) in each such twelve-month period to be agreed upon at the time such 2020 Letter of Credit is issued. Unless otherwise directed by the 2020 Letter of Credit Issuer, the Borrower shall not be required</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193" w:name="page194"/>
    <w:bookmarkEnd w:id="193"/>
    <w:p>
      <w:pPr>
        <w:jc w:val="both"/>
        <w:ind w:left="1140" w:right="1159"/>
        <w:spacing w:after="0" w:line="260" w:lineRule="auto"/>
        <w:rPr>
          <w:sz w:val="20"/>
          <w:szCs w:val="20"/>
          <w:color w:val="auto"/>
        </w:rPr>
      </w:pPr>
      <w:r>
        <w:rPr>
          <w:rFonts w:ascii="Times New Roman" w:cs="Times New Roman" w:eastAsia="Times New Roman" w:hAnsi="Times New Roman"/>
          <w:sz w:val="14"/>
          <w:szCs w:val="14"/>
          <w:color w:val="auto"/>
        </w:rPr>
        <w:t xml:space="preserve">to make a specific request to the 2020 Letter of Credit Issuer for any such extension. Once a 2020 Auto-Extension Letter of Credit has been issued, the Lenders shall be deemed to have authorized (but may not require) the 2020 Letter of Credit Issuer to permit the extension of such 2020 Letter of Credit at any time to an expiry date not later than the 2020 L/C Facility Maturity Date, unless otherwise agreed upon by the Administrative Agent and the 2020 Letter of Credit Issuer;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2020 Letter of Credit Issuer shall not permit any such extension if (A) the 2020 Letter of Credit Issuer has reasonably determined that it would not be permitted, at such time to issue such 2020 Letter of Credit in its revised form (as extended) under the terms hereof (by reason of the provisions of </w:t>
      </w:r>
      <w:r>
        <w:rPr>
          <w:rFonts w:ascii="Times New Roman" w:cs="Times New Roman" w:eastAsia="Times New Roman" w:hAnsi="Times New Roman"/>
          <w:sz w:val="14"/>
          <w:szCs w:val="14"/>
          <w:u w:val="single" w:color="auto"/>
          <w:color w:val="auto"/>
        </w:rPr>
        <w:t>Section 3A.1(b)</w:t>
      </w:r>
      <w:r>
        <w:rPr>
          <w:rFonts w:ascii="Times New Roman" w:cs="Times New Roman" w:eastAsia="Times New Roman" w:hAnsi="Times New Roman"/>
          <w:sz w:val="14"/>
          <w:szCs w:val="14"/>
          <w:color w:val="auto"/>
        </w:rPr>
        <w:t xml:space="preserve"> or otherwise), or (B) it has received written notice on or before the day that is ten Business Days before the 2020 Non-Extension Notice Date from the Administrative Agent, any 2020 Additional Revolving Credit Lender or the Borrower that one or more of the applicable conditions specified in </w:t>
      </w:r>
      <w:r>
        <w:rPr>
          <w:rFonts w:ascii="Times New Roman" w:cs="Times New Roman" w:eastAsia="Times New Roman" w:hAnsi="Times New Roman"/>
          <w:sz w:val="14"/>
          <w:szCs w:val="14"/>
          <w:u w:val="single" w:color="auto"/>
          <w:color w:val="auto"/>
        </w:rPr>
        <w:t>Sections 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are not then satisfied, and in each such case directing the 2020 Letter of Credit Issuer not to permit such extension.</w:t>
      </w:r>
    </w:p>
    <w:p>
      <w:pPr>
        <w:spacing w:after="0" w:line="158" w:lineRule="exact"/>
        <w:rPr>
          <w:sz w:val="20"/>
          <w:szCs w:val="20"/>
          <w:color w:val="auto"/>
        </w:rPr>
      </w:pPr>
    </w:p>
    <w:p>
      <w:pPr>
        <w:jc w:val="both"/>
        <w:ind w:left="1140" w:right="1159" w:firstLine="524"/>
        <w:spacing w:after="0" w:line="265" w:lineRule="auto"/>
        <w:tabs>
          <w:tab w:leader="none" w:pos="1972" w:val="left"/>
        </w:tabs>
        <w:numPr>
          <w:ilvl w:val="0"/>
          <w:numId w:val="16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Promptly after its delivery of any 2020 Letter of Credit or any amendment to a 2020 Letter of Credit to an advising bank with respect thereto or to the beneficiary thereof, the 2020 Letter of Credit Issuer will also deliver to the Borrower and the Administrative Agent a true and complete copy of such 2020 Letter of Credit or amendment. On the first Business Day of each month, the 2020 Letter of Credit Issuer shall provide the Administrative Agent a list of all 2020 Letters of Credit issued by it that are outstanding at such time.</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16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making of each Letter of Credit Request shall be deemed to be a representation and warranty by the Borrower that the 2020 Letter of Credit may be issued in accordance with, and will not violate the requirements of, </w:t>
      </w:r>
      <w:r>
        <w:rPr>
          <w:rFonts w:ascii="Times New Roman" w:cs="Times New Roman" w:eastAsia="Times New Roman" w:hAnsi="Times New Roman"/>
          <w:sz w:val="14"/>
          <w:szCs w:val="14"/>
          <w:u w:val="single" w:color="auto"/>
          <w:color w:val="auto"/>
        </w:rPr>
        <w:t>Section 3A.1(b)</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660"/>
        <w:spacing w:after="0"/>
        <w:tabs>
          <w:tab w:leader="none" w:pos="2220" w:val="left"/>
        </w:tabs>
        <w:rPr>
          <w:sz w:val="20"/>
          <w:szCs w:val="20"/>
          <w:color w:val="auto"/>
        </w:rPr>
      </w:pPr>
      <w:r>
        <w:rPr>
          <w:rFonts w:ascii="Times New Roman" w:cs="Times New Roman" w:eastAsia="Times New Roman" w:hAnsi="Times New Roman"/>
          <w:sz w:val="14"/>
          <w:szCs w:val="14"/>
          <w:color w:val="auto"/>
        </w:rPr>
        <w:t>3A.3</w:t>
      </w:r>
      <w:r>
        <w:rPr>
          <w:sz w:val="20"/>
          <w:szCs w:val="20"/>
          <w:color w:val="auto"/>
        </w:rPr>
        <w:tab/>
      </w:r>
      <w:r>
        <w:rPr>
          <w:rFonts w:ascii="Times New Roman" w:cs="Times New Roman" w:eastAsia="Times New Roman" w:hAnsi="Times New Roman"/>
          <w:sz w:val="14"/>
          <w:szCs w:val="14"/>
          <w:color w:val="auto"/>
        </w:rPr>
        <w:t>2020 Letter of Credit Participations.</w:t>
      </w:r>
    </w:p>
    <w:p>
      <w:pPr>
        <w:spacing w:after="0" w:line="194" w:lineRule="exact"/>
        <w:rPr>
          <w:sz w:val="20"/>
          <w:szCs w:val="20"/>
          <w:color w:val="auto"/>
        </w:rPr>
      </w:pPr>
    </w:p>
    <w:p>
      <w:pPr>
        <w:jc w:val="both"/>
        <w:ind w:left="1140" w:right="1159" w:firstLine="524"/>
        <w:spacing w:after="0" w:line="260" w:lineRule="auto"/>
        <w:tabs>
          <w:tab w:leader="none" w:pos="1972" w:val="left"/>
        </w:tabs>
        <w:numPr>
          <w:ilvl w:val="0"/>
          <w:numId w:val="16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Immediately upon the issuance by the 2020 Letter of Credit Issuer of any 2020 Letter of Credit, the 2020 Letter of Credit Issuer shall be deemed to have sold and transferred to each 2020 Additional Revolving Credit Lender (each such 2020 Additional Revolving Credit Lender, in its capacity under this </w:t>
      </w:r>
      <w:r>
        <w:rPr>
          <w:rFonts w:ascii="Times New Roman" w:cs="Times New Roman" w:eastAsia="Times New Roman" w:hAnsi="Times New Roman"/>
          <w:sz w:val="14"/>
          <w:szCs w:val="14"/>
          <w:u w:val="single" w:color="auto"/>
          <w:color w:val="auto"/>
        </w:rPr>
        <w:t>Section 3A.3</w:t>
      </w:r>
      <w:r>
        <w:rPr>
          <w:rFonts w:ascii="Times New Roman" w:cs="Times New Roman" w:eastAsia="Times New Roman" w:hAnsi="Times New Roman"/>
          <w:sz w:val="14"/>
          <w:szCs w:val="14"/>
          <w:color w:val="auto"/>
        </w:rPr>
        <w:t>, an “</w:t>
      </w:r>
      <w:r>
        <w:rPr>
          <w:rFonts w:ascii="Times New Roman" w:cs="Times New Roman" w:eastAsia="Times New Roman" w:hAnsi="Times New Roman"/>
          <w:sz w:val="14"/>
          <w:szCs w:val="14"/>
          <w:b w:val="1"/>
          <w:bCs w:val="1"/>
          <w:color w:val="auto"/>
        </w:rPr>
        <w:t>2020 L/C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Participant</w:t>
      </w:r>
      <w:r>
        <w:rPr>
          <w:rFonts w:ascii="Times New Roman" w:cs="Times New Roman" w:eastAsia="Times New Roman" w:hAnsi="Times New Roman"/>
          <w:sz w:val="14"/>
          <w:szCs w:val="14"/>
          <w:color w:val="auto"/>
        </w:rPr>
        <w:t>”), and each such 2020 L/C Participant shall be deemed irrevocably and unconditionally to have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purchased and received from the 2020 Letter of Credit Issuer, without recourse or warranty, an undivided interest and participation (each an “</w:t>
      </w:r>
      <w:r>
        <w:rPr>
          <w:rFonts w:ascii="Times New Roman" w:cs="Times New Roman" w:eastAsia="Times New Roman" w:hAnsi="Times New Roman"/>
          <w:sz w:val="14"/>
          <w:szCs w:val="14"/>
          <w:b w:val="1"/>
          <w:bCs w:val="1"/>
          <w:color w:val="auto"/>
        </w:rPr>
        <w:t>2020 L/C Participation</w:t>
      </w:r>
      <w:r>
        <w:rPr>
          <w:rFonts w:ascii="Times New Roman" w:cs="Times New Roman" w:eastAsia="Times New Roman" w:hAnsi="Times New Roman"/>
          <w:sz w:val="14"/>
          <w:szCs w:val="14"/>
          <w:color w:val="auto"/>
        </w:rPr>
        <w:t xml:space="preserve">”), to the extent of such 2020 L/C Participant’s 2020 Letter of Credit Commitment Percentage in each 2020 Letter of Credit, each substitute therefor, each drawing made thereunder and the obligations of the Borrower under this Agreement with respect thereto, and any security therefor or guaranty pertaining thereto;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2020 Letter of Credit Fees will be paid directly to the Administrative Agent for the ratable account of the 2020 L/C Participants as provided in </w:t>
      </w:r>
      <w:r>
        <w:rPr>
          <w:rFonts w:ascii="Times New Roman" w:cs="Times New Roman" w:eastAsia="Times New Roman" w:hAnsi="Times New Roman"/>
          <w:sz w:val="14"/>
          <w:szCs w:val="14"/>
          <w:u w:val="single" w:color="auto"/>
          <w:color w:val="auto"/>
        </w:rPr>
        <w:t>Section 4.1(f)</w:t>
      </w:r>
      <w:r>
        <w:rPr>
          <w:rFonts w:ascii="Times New Roman" w:cs="Times New Roman" w:eastAsia="Times New Roman" w:hAnsi="Times New Roman"/>
          <w:sz w:val="14"/>
          <w:szCs w:val="14"/>
          <w:color w:val="auto"/>
        </w:rPr>
        <w:t xml:space="preserve"> and the 2020 L/C Participants shall have no right to receive any portion of any 2020 L/C Fronting Fees.</w:t>
      </w:r>
    </w:p>
    <w:p>
      <w:pPr>
        <w:spacing w:after="0" w:line="158"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82" w:val="left"/>
        </w:tabs>
        <w:numPr>
          <w:ilvl w:val="0"/>
          <w:numId w:val="16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determining whether to pay under any 2020 Letter of Credit, the relevant 2020 Letter of Credit Issuer shall have no obligation relative to the 2020 L/C Participants other than to confirm that any documents required to be delivered under such 2020 Letter of Credit have been delivered and that they appear to comply on their face with the requirements of such 2020 Letter of Credit. Any action taken or omitted to be taken by the relevant 2020 Letter of Credit Issuer under or in connection with any 2020 Letter of Credit issued by it, if taken or omitted in the absence of gross negligence or willful misconduct as determined in the final non-appealable judgment of a court of competent jurisdiction, shall not create for the 2020 Letter of Credit Issuer any resulting liability.</w:t>
      </w:r>
    </w:p>
    <w:p>
      <w:pPr>
        <w:spacing w:after="0" w:line="157"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72" w:val="left"/>
        </w:tabs>
        <w:numPr>
          <w:ilvl w:val="0"/>
          <w:numId w:val="16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the event that the 2020 Letter of Credit Issuer makes any payment under any 2020 Letter of Credit issued by it and the applicable Borrower shall not have repaid such amount in full to the respective 2020 Letter of Credit Issuer through the Administrative Agent pursuant to </w:t>
      </w:r>
      <w:r>
        <w:rPr>
          <w:rFonts w:ascii="Times New Roman" w:cs="Times New Roman" w:eastAsia="Times New Roman" w:hAnsi="Times New Roman"/>
          <w:sz w:val="14"/>
          <w:szCs w:val="14"/>
          <w:u w:val="single" w:color="auto"/>
          <w:color w:val="auto"/>
        </w:rPr>
        <w:t>Section 3A.4(a)</w:t>
      </w:r>
      <w:r>
        <w:rPr>
          <w:rFonts w:ascii="Times New Roman" w:cs="Times New Roman" w:eastAsia="Times New Roman" w:hAnsi="Times New Roman"/>
          <w:sz w:val="14"/>
          <w:szCs w:val="14"/>
          <w:color w:val="auto"/>
        </w:rPr>
        <w:t>, the Administrative Agent shall promptly notify each 2020 L/C Participant of such failure, and each 2020 L/C Participant shall promptly and unconditionally pay to the Administrative Agent for the account of the 2020 Letter of Credit Issuer, the amount of such 2020 L/C Participant’s 2020 Letter of Credit Commitment Percentage of such unreimbursed payment in Dollars and in immediately available funds. If and to the extent such 2020 L/C Participant shall not have so made its 2020 Letter of Credit Commitment Percentage of the amount of such payment available to the Administrative Agent for the account of the 2020 Letter of Credit Issuer, such 2020 L/C Participant agrees to pay to the Administrative Agent for the account of the 2020 Letter of Credit Issuer, forthwith on demand, such amount, together with interest thereon for each day from such date until the date such amount is paid to the Administrative Agent for the account of the 2020 Letter of Credit Issuer at a rate per annum equal to the Overnight Rate from time to time then in effect, plus any administrative,</w:t>
      </w: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4" w:name="page195"/>
    <w:bookmarkEnd w:id="194"/>
    <w:p>
      <w:pPr>
        <w:jc w:val="both"/>
        <w:ind w:left="1140" w:right="1159"/>
        <w:spacing w:after="0" w:line="261" w:lineRule="auto"/>
        <w:rPr>
          <w:sz w:val="20"/>
          <w:szCs w:val="20"/>
          <w:color w:val="auto"/>
        </w:rPr>
      </w:pPr>
      <w:r>
        <w:rPr>
          <w:rFonts w:ascii="Times New Roman" w:cs="Times New Roman" w:eastAsia="Times New Roman" w:hAnsi="Times New Roman"/>
          <w:sz w:val="14"/>
          <w:szCs w:val="14"/>
          <w:color w:val="auto"/>
        </w:rPr>
        <w:t>processing or similar fees that are reasonably and customarily charged by the 2020 Letter of Credit Issuer in connection with the foregoing. The failure of any 2020 L/C Participant to make available to the Administrative Agent for the account of the 2020 Letter of Credit Issuer its 2020 Letter of Credit Commitment Percentage of any payment under any 2020 Letter of Credit shall not relieve any other 2020 L/C Participant of its obligation hereunder to make available to the Administrative Agent for the account of the 2020 Letter of Credit Issuer its 2020 Letter of Credit Commitment Percentage of any payment under such 2020 Letter of Credit on the date required, as specified above, but no 2020 L/C Participant shall be responsible for the failure of any other 2020 L/C Participant to make available to the Administrative Agent such other 2020 L/C Participant’s 2020 Letter of Credit Commitment Percentage of any such payment.</w:t>
      </w:r>
    </w:p>
    <w:p>
      <w:pPr>
        <w:spacing w:after="0" w:line="332" w:lineRule="exact"/>
        <w:rPr>
          <w:sz w:val="20"/>
          <w:szCs w:val="20"/>
          <w:color w:val="auto"/>
        </w:rPr>
      </w:pPr>
    </w:p>
    <w:p>
      <w:pPr>
        <w:jc w:val="both"/>
        <w:ind w:left="1140" w:right="1159" w:firstLine="524"/>
        <w:spacing w:after="0" w:line="261" w:lineRule="auto"/>
        <w:tabs>
          <w:tab w:leader="none" w:pos="2004" w:val="left"/>
        </w:tabs>
        <w:numPr>
          <w:ilvl w:val="0"/>
          <w:numId w:val="17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Whenever the Administrative Agent receives a payment in respect of an unpaid reimbursement obligation as to which the Administrative Agent has received for the account of the 2020 Letter of Credit Issuer any payments from the 2020 L/C Participants pursuant to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above, the Administrative Agent shall promptly pay to each 2020 L/C Participant that has paid its 2020 Letter of Credit Commitment Percentage of such reimbursement obligation, in Dollars and in immediately available funds, an amount equal to such 2020 L/C Participant’s share (based upon the proportionate aggregate amount originally funded by such 2020 L/C Participant to the aggregate amount funded by all 2020 L/C Participants) of the amount so paid in respect of such reimbursement obligation and interest thereon accruing after the purchase of the respective 2020 L/C Participations at the Overnight Rate.</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17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obligations of the 2020 L/C Participants to make payments to the Administrative Agent for the account of the 2020 Letter of Credit Issuer with respect to 2020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82" w:val="left"/>
        </w:tabs>
        <w:numPr>
          <w:ilvl w:val="0"/>
          <w:numId w:val="17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any payment received by the Administrative Agent for the account of the 2020 Letter of Credit Issuer pursuant to </w:t>
      </w:r>
      <w:r>
        <w:rPr>
          <w:rFonts w:ascii="Times New Roman" w:cs="Times New Roman" w:eastAsia="Times New Roman" w:hAnsi="Times New Roman"/>
          <w:sz w:val="14"/>
          <w:szCs w:val="14"/>
          <w:u w:val="single" w:color="auto"/>
          <w:color w:val="auto"/>
        </w:rPr>
        <w:t>Section 3A.3(c)</w:t>
      </w:r>
      <w:r>
        <w:rPr>
          <w:rFonts w:ascii="Times New Roman" w:cs="Times New Roman" w:eastAsia="Times New Roman" w:hAnsi="Times New Roman"/>
          <w:sz w:val="14"/>
          <w:szCs w:val="14"/>
          <w:color w:val="auto"/>
        </w:rPr>
        <w:t xml:space="preserve"> is required to be returned, each 2020 Additional Revolving Credit Lender shall pay to the Administrative Agent for the account of the 2020 Letter of Credit Issuer its 2020 Letter of Credit Commitment Percentage thereof on demand of the Administrative Agent,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interest thereon from the date of such demand to the date such amount is returned by such 2020 Additional Revolving Credit Lender, at a rate per annum equal to the applicable Overnight Rate from time to time in effect. The obligations of the 2020 Additional Revolving Credit Lenders under this clause shall survive the payment in full of the Obligations and the termination of this Agreement.</w:t>
      </w:r>
    </w:p>
    <w:p>
      <w:pPr>
        <w:spacing w:after="0" w:line="319" w:lineRule="exact"/>
        <w:rPr>
          <w:sz w:val="20"/>
          <w:szCs w:val="20"/>
          <w:color w:val="auto"/>
        </w:rPr>
      </w:pPr>
    </w:p>
    <w:p>
      <w:pPr>
        <w:ind w:left="1660"/>
        <w:spacing w:after="0"/>
        <w:tabs>
          <w:tab w:leader="none" w:pos="2220" w:val="left"/>
        </w:tabs>
        <w:rPr>
          <w:sz w:val="20"/>
          <w:szCs w:val="20"/>
          <w:color w:val="auto"/>
        </w:rPr>
      </w:pPr>
      <w:r>
        <w:rPr>
          <w:rFonts w:ascii="Times New Roman" w:cs="Times New Roman" w:eastAsia="Times New Roman" w:hAnsi="Times New Roman"/>
          <w:sz w:val="14"/>
          <w:szCs w:val="14"/>
          <w:color w:val="auto"/>
        </w:rPr>
        <w:t>3A.4</w:t>
      </w:r>
      <w:r>
        <w:rPr>
          <w:sz w:val="20"/>
          <w:szCs w:val="20"/>
          <w:color w:val="auto"/>
        </w:rPr>
        <w:tab/>
      </w:r>
      <w:r>
        <w:rPr>
          <w:rFonts w:ascii="Times New Roman" w:cs="Times New Roman" w:eastAsia="Times New Roman" w:hAnsi="Times New Roman"/>
          <w:sz w:val="14"/>
          <w:szCs w:val="14"/>
          <w:color w:val="auto"/>
        </w:rPr>
        <w:t>Agreement to Repay 2020 Letter of Credit Drawings.</w:t>
      </w:r>
    </w:p>
    <w:p>
      <w:pPr>
        <w:spacing w:after="0" w:line="194" w:lineRule="exact"/>
        <w:rPr>
          <w:sz w:val="20"/>
          <w:szCs w:val="20"/>
          <w:color w:val="auto"/>
        </w:rPr>
      </w:pPr>
    </w:p>
    <w:p>
      <w:pPr>
        <w:jc w:val="both"/>
        <w:ind w:left="1140" w:right="1159" w:firstLine="524"/>
        <w:spacing w:after="0" w:line="258" w:lineRule="auto"/>
        <w:tabs>
          <w:tab w:leader="none" w:pos="1972" w:val="left"/>
        </w:tabs>
        <w:numPr>
          <w:ilvl w:val="0"/>
          <w:numId w:val="17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hereby agrees to reimburse the 2020 Letter of Credit Issuer, by making payment with respect to any drawing under any 2020 Letter of Credit in the same currency in which such drawing was made unless the 2020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2020 Letter of Credit Issuer under any 2020 Letter of Credit (each such amount so paid until reimbursed, a “</w:t>
      </w:r>
      <w:r>
        <w:rPr>
          <w:rFonts w:ascii="Times New Roman" w:cs="Times New Roman" w:eastAsia="Times New Roman" w:hAnsi="Times New Roman"/>
          <w:sz w:val="14"/>
          <w:szCs w:val="14"/>
          <w:b w:val="1"/>
          <w:bCs w:val="1"/>
          <w:color w:val="auto"/>
        </w:rPr>
        <w:t>2020 Letter of Credit Unpaid Drawing</w:t>
      </w:r>
      <w:r>
        <w:rPr>
          <w:rFonts w:ascii="Times New Roman" w:cs="Times New Roman" w:eastAsia="Times New Roman" w:hAnsi="Times New Roman"/>
          <w:sz w:val="14"/>
          <w:szCs w:val="14"/>
          <w:color w:val="auto"/>
        </w:rPr>
        <w:t>”) no later than the date that is one Business Day after the date on which the Borrower receives written notice of such payment or disbursement (the “</w:t>
      </w:r>
      <w:r>
        <w:rPr>
          <w:rFonts w:ascii="Times New Roman" w:cs="Times New Roman" w:eastAsia="Times New Roman" w:hAnsi="Times New Roman"/>
          <w:sz w:val="14"/>
          <w:szCs w:val="14"/>
          <w:b w:val="1"/>
          <w:bCs w:val="1"/>
          <w:color w:val="auto"/>
        </w:rPr>
        <w:t>2020 Letter of Credit Reimbursement Date</w:t>
      </w:r>
      <w:r>
        <w:rPr>
          <w:rFonts w:ascii="Times New Roman" w:cs="Times New Roman" w:eastAsia="Times New Roman" w:hAnsi="Times New Roman"/>
          <w:sz w:val="14"/>
          <w:szCs w:val="14"/>
          <w:color w:val="auto"/>
        </w:rPr>
        <w:t xml:space="preserve">”), with interest on the amount so paid or disbursed by the 2020 Letter of Credit Issuer, to the extent not reimbursed prior to 5:00 p.m. (New York City time) on the 2020 Letter of Credit Reimbursement Date, from the 2020 Letter of Credit Reimbursement Date to the date the 2020 Letter of Credit Issuer is reimbursed therefor at a rate per annum that shall at all times be the 2020 Letter of Credit Applicable Margin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ABR as in effect from time to time In the event that the Borrower fails to Cash Collateralize any 2020 Letter of Credit that is outstanding on the 2020 L/C Facility Maturity Date, the full amount of the 2020 Letters of Credit Outstanding in respect of such 2020 Letter of Credit shall be deemed to be a 2020 Letter of Credit Unpaid Drawing subject to the provisions of this </w:t>
      </w:r>
      <w:r>
        <w:rPr>
          <w:rFonts w:ascii="Times New Roman" w:cs="Times New Roman" w:eastAsia="Times New Roman" w:hAnsi="Times New Roman"/>
          <w:sz w:val="14"/>
          <w:szCs w:val="14"/>
          <w:u w:val="single" w:color="auto"/>
          <w:color w:val="auto"/>
        </w:rPr>
        <w:t>Section 3A.4</w:t>
      </w:r>
      <w:r>
        <w:rPr>
          <w:rFonts w:ascii="Times New Roman" w:cs="Times New Roman" w:eastAsia="Times New Roman" w:hAnsi="Times New Roman"/>
          <w:sz w:val="14"/>
          <w:szCs w:val="14"/>
          <w:color w:val="auto"/>
        </w:rPr>
        <w:t xml:space="preserve"> except that the 2020 Letter of Credit Issuer shall hold the proceeds received from the 2020 L/C Participants as contemplated above as cash collateral for such 2020 Letter of Credit to reimburse any 2020 Letter of Credit Unpaid Drawing under such 2020 Letter of Credit and shall use such proceeds first, to reimburse itself for any 2020 Letter of Credit Unpaid Drawings made in respect of such 2020 Letter of Credit following the 2020 L/C Facility Maturity Date and second, to the Borrower or as otherwise directed by a court of competent jurisdiction.</w:t>
      </w:r>
    </w:p>
    <w:p>
      <w:pPr>
        <w:spacing w:after="0" w:line="16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7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obligation of the Borrower to reimburse the 2020 Letter of Credit Issuer for each drawing under</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5" w:name="page196"/>
    <w:bookmarkEnd w:id="195"/>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each 2020 Letter of Credit shall be absolute, unconditional and irrevocable, and shall be paid strictly in accordance with the terms of this Agreement under all circumstances, including the following:</w:t>
      </w:r>
    </w:p>
    <w:p>
      <w:pPr>
        <w:spacing w:after="0" w:line="134" w:lineRule="exact"/>
        <w:rPr>
          <w:sz w:val="20"/>
          <w:szCs w:val="20"/>
          <w:color w:val="auto"/>
        </w:rPr>
      </w:pPr>
    </w:p>
    <w:p>
      <w:pPr>
        <w:ind w:left="1980" w:hanging="316"/>
        <w:spacing w:after="0"/>
        <w:tabs>
          <w:tab w:leader="none" w:pos="1980"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lack of validity or enforceability of this Agreement or any of the other Credit Documents;</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82"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existence of any claim, set-off, defense or other right that the Borrower may have at any time against a beneficiary named in a 2020 Letter of Credit, any transferee of any 2020 Letter of Credit (or any Person for whom any such transferee may be acting), the Administrative Agent, the 2020 Letter of Credit Issuer, any Lender or other Person, whether in connection with this Agreement, any 2020 Letter of Credit, the transactions contemplated herein or any unrelated transactions (including any underlying transaction between the Borrower and the beneficiary named in any such 2020 Letter of Credit);</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draft, demand, certificate or other document presented under such 2020 Letter of Credit proving to be forged, fraudulent, invalid or insufficient in any respect or any statement therein being untrue or inaccurate in any respect; or any loss or delay in the transmission or otherwise of any document required in order to make a drawing under such 2020 Letter of Credit;</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waiver by the 2020 Letter of Credit Issuer of any requirement that exists for the 2020 Letter of Credit Issuer’s protection and not the protection of the Borrower (or Holdings or other Restricted Subsidiary) or any waiver by the 2020 Letter of Credit Issuer which does not in fact materially prejudice the Borrower (or Holdings or other Restricted Subsidiary);</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payment made by the 2020 Letter of Credit Issuer in respect of an otherwise complying item presented after the date specified as the expiration date of, or the date by which documents must be received under, such 2020 Letter of Credit if presentation after such date is authorized by the Uniform Commercial Code, the ISP or the UCP or the 2020 Letter of Credit itself, as applicable;</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payment by the 2020 Letter of Credit Issuer under such 2020 Letter of Credit against presentation of a draft or certificate that does not strictly comply with the terms of such 2020 Letter of Credit; or any payment made by the 2020 Letter of Credit Issuer under such 2020 Letter of Credit to any Person purporting to be a trustee in bankruptcy, debtor-in-possession, assignee for the benefit of creditors, liquidator, receiver or other representative of or successor to any beneficiary or any transferee of such 2020 Letter of Credit, including any arising in connection with any proceeding under the Bankruptcy Code;</w:t>
      </w:r>
    </w:p>
    <w:p>
      <w:pPr>
        <w:spacing w:after="0" w:line="153"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honor of a demand for payment presented electronically even if such 2020 Letter of Credit requires that demand be in the form of a draft;</w:t>
      </w:r>
    </w:p>
    <w:p>
      <w:pPr>
        <w:spacing w:after="0" w:line="13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adverse change in any relevant exchange rates or in the relevant currency markets generally; or</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93" w:val="left"/>
        </w:tabs>
        <w:numPr>
          <w:ilvl w:val="0"/>
          <w:numId w:val="1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46" w:lineRule="exact"/>
        <w:rPr>
          <w:sz w:val="20"/>
          <w:szCs w:val="20"/>
          <w:color w:val="auto"/>
        </w:rPr>
      </w:pPr>
    </w:p>
    <w:p>
      <w:pPr>
        <w:jc w:val="both"/>
        <w:ind w:left="1140" w:right="1159" w:firstLine="524"/>
        <w:spacing w:after="0" w:line="268" w:lineRule="auto"/>
        <w:tabs>
          <w:tab w:leader="none" w:pos="1982" w:val="left"/>
        </w:tabs>
        <w:numPr>
          <w:ilvl w:val="0"/>
          <w:numId w:val="17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shall not be obligated to reimburse the 2020 Letter of Credit Issuer for any wrongful payment made by the 2020 Letter of Credit Issuer under the 2020 Letter of Credit issued by it as a result of acts or omissions constituting willful misconduct or gross negligence on the part of the 2020 Letter of Credit Issuer as determined in the final non-appealable judgment of a court of competent jurisdiction.</w:t>
      </w:r>
    </w:p>
    <w:p>
      <w:pPr>
        <w:spacing w:after="0" w:line="142"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color w:val="auto"/>
        </w:rPr>
        <w:t xml:space="preserve">3A.5 </w:t>
      </w:r>
      <w:r>
        <w:rPr>
          <w:rFonts w:ascii="Times New Roman" w:cs="Times New Roman" w:eastAsia="Times New Roman" w:hAnsi="Times New Roman"/>
          <w:sz w:val="14"/>
          <w:szCs w:val="14"/>
          <w:u w:val="single" w:color="auto"/>
          <w:color w:val="auto"/>
        </w:rPr>
        <w:t>Increased Costs</w:t>
      </w:r>
      <w:r>
        <w:rPr>
          <w:rFonts w:ascii="Times New Roman" w:cs="Times New Roman" w:eastAsia="Times New Roman" w:hAnsi="Times New Roman"/>
          <w:sz w:val="14"/>
          <w:szCs w:val="14"/>
          <w:color w:val="auto"/>
        </w:rPr>
        <w:t>. If, after the Amendment No. 2 Effective Date, any Change in Law shall (x) impose, modify or make applicable any reserve, deposit, capital adequacy, liquidity or similar requirement against letters of credit issued by the 2020 Letter of Credit Issuer, or any 2020 L/C Participant’s 2020 L/C Participation therein, (y) impose on the 2020 Letter of Credit Issuer or any 2020 L/C Participant any other conditions or costs affecting its obligations under this Agreement in respect of 2020 Letters of Credit or 2020 L/C Participations therein or any 2020 Letter of Credit or such 2020 L/C Participant’s 2020 L/C Participation therein (other than with respect to Taxes) or (z) impose on the 2020 Letter of Credit Issuer or any 2020 L/C Participant any other conditions or costs affecting its</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6" w:name="page197"/>
    <w:bookmarkEnd w:id="196"/>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 xml:space="preserve">obligations under this Agreement in respect of 2020 Letters of Credit or 2020 L/C Participations therein or any 2020 Letter of Credit or such 2020 L/C Participant’s 2020 L/C Participation therein (including any increased costs attributable to Taxes (other than (1) Indemnified Taxes, (2) Excluded Taxes or (3) Other Taxes) on its loans, loan principal, letters of credits, commitments or other obligations, or its deposits, reserves, other liabilities or capital attributable thereto), and the result of any of the foregoing is to increase the actual cost to the 2020 Letter of Credit Issuer or such 2020 L/C Participant of issuing, maintaining or participating in any 2020 Letter of Credit, or to reduce the actual amount of any sum received or receivable by the 2020 Letter of Credit Issuer or such 2020 L/C Participant hereunder in respect of 2020 Letters of Credit or 2020 L/C Participations therein, then, promptly after receipt of written demand to the Borrower by the 2020 Letter of Credit Issuer or such 2020 L/C Participant, as the case may be (a copy of which notice shall be sent by the 2020 Letter of Credit Issuer or such 2020 L/C Participant to the Administrative Agent (with respect to a 2020 Letter of Credit issued on account of the Borrower (or Holdings or other Restricted Subsidiary))), the Borrower shall pay to the 2020 Letter of Credit Issuer or such 2020 L/C Participant such actual additional amount or amounts as will compensate the 2020 Letter of Credit Issuer or such 2020 L/C Participant for such increased cost or reduction, it being understood and agreed, however, that the 2020 Letter of Credit Issuer or an 2020 L/C Participant shall not be entitled to such compensation as a result of such Person’s compliance with, or pursuant to any request or directive to comply with, any law, rule or regulation as in effect on the Amendment No. 2 Effective Date. A certificate submitted to the Borrower by the relevant 2020 Letter of Credit Issuer or an 2020 L/C Participant, as the case may be (a copy of which certificate shall be sent by the 2020 Letter of Credit Issuer or such 2020 L/C Participant to the Administrative Agent), setting forth in reasonable detail the basis for the determination of such actual additional amount or amounts necessary to compensate the 2020 Letter of Credit Issuer or such 2020 L/C Participant as aforesaid shall be conclusive and binding on the Borrower absent clearly demonstrable error. The obligations of the Borrower under this </w:t>
      </w:r>
      <w:r>
        <w:rPr>
          <w:rFonts w:ascii="Times New Roman" w:cs="Times New Roman" w:eastAsia="Times New Roman" w:hAnsi="Times New Roman"/>
          <w:sz w:val="14"/>
          <w:szCs w:val="14"/>
          <w:u w:val="single" w:color="auto"/>
          <w:color w:val="auto"/>
        </w:rPr>
        <w:t>Section 3A.5</w:t>
      </w:r>
      <w:r>
        <w:rPr>
          <w:rFonts w:ascii="Times New Roman" w:cs="Times New Roman" w:eastAsia="Times New Roman" w:hAnsi="Times New Roman"/>
          <w:sz w:val="14"/>
          <w:szCs w:val="14"/>
          <w:color w:val="auto"/>
        </w:rPr>
        <w:t xml:space="preserve"> shall survive the payment in full of the Obligations and the termination of this Agreement</w:t>
      </w:r>
    </w:p>
    <w:p>
      <w:pPr>
        <w:spacing w:after="0" w:line="151" w:lineRule="exact"/>
        <w:rPr>
          <w:sz w:val="20"/>
          <w:szCs w:val="20"/>
          <w:color w:val="auto"/>
        </w:rPr>
      </w:pPr>
    </w:p>
    <w:p>
      <w:pPr>
        <w:ind w:left="1660"/>
        <w:spacing w:after="0"/>
        <w:tabs>
          <w:tab w:leader="none" w:pos="2220" w:val="left"/>
        </w:tabs>
        <w:rPr>
          <w:sz w:val="20"/>
          <w:szCs w:val="20"/>
          <w:color w:val="auto"/>
        </w:rPr>
      </w:pPr>
      <w:r>
        <w:rPr>
          <w:rFonts w:ascii="Times New Roman" w:cs="Times New Roman" w:eastAsia="Times New Roman" w:hAnsi="Times New Roman"/>
          <w:sz w:val="14"/>
          <w:szCs w:val="14"/>
          <w:color w:val="auto"/>
        </w:rPr>
        <w:t>3A.6</w:t>
      </w:r>
      <w:r>
        <w:rPr>
          <w:sz w:val="20"/>
          <w:szCs w:val="20"/>
          <w:color w:val="auto"/>
        </w:rPr>
        <w:tab/>
      </w:r>
      <w:r>
        <w:rPr>
          <w:rFonts w:ascii="Times New Roman" w:cs="Times New Roman" w:eastAsia="Times New Roman" w:hAnsi="Times New Roman"/>
          <w:sz w:val="14"/>
          <w:szCs w:val="14"/>
          <w:u w:val="single" w:color="auto"/>
          <w:color w:val="auto"/>
        </w:rPr>
        <w:t>New or Successor 2020 Letter of Credit Issuer</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7" w:lineRule="auto"/>
        <w:tabs>
          <w:tab w:leader="none" w:pos="1972" w:val="left"/>
        </w:tabs>
        <w:numPr>
          <w:ilvl w:val="0"/>
          <w:numId w:val="17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2020 Letter of Credit Issuer may resign as the 2020 Letter of Credit Issuer upon 60 days’ prior written notice to the Administrative Agent, the 2020 Additional Revolving Credit Lenders, Holdings and the Borrower. The Borrower may replace any 2020 Letter of Credit Issuer for any reason upon written notice to the Administrative Agent and such 2020 Letter of Credit Issuer. The Borrower may add 2020 Letter of Credit Issuers at any time upon notice to the Administrative Agent. If the 2020 Letter of Credit Issuer shall resign or be replaced, or if the Borrower shall decide to add a new 2020 Letter of Credit Issuer under this Agreement, then the Borrower may appoint from among the 2020 Additional Revolving Credit Lenders a successor issuer of 2020 Letters of Credit or a new 2020 Letter of Credit Issuer, as the case may be, or, with the consent of the Administrative Agent (such consent not to be unreasonably withheld or delayed), another successor or new issuer of 2020 Letters of Credit, whereupon such successor issuer accepting such appointment shall succeed to the rights, powers and duties of the replaced or resigning 2020 Letter of Credit Issuer under this Agreement and the other Credit Documents, or such new issuer of 2020 Letters of Credit accepting such appointment shall be granted the rights, powers and duties of the 2020 Letter of Credit Issuer hereunder, and the term 2020 Letter of Credit Issuer shall mean such successor or such new issuer of 2020 Letters of Credit effective upon such appointment. At the time such resignation or replacement shall become effective, the Borrower shall pay to the resigning or replaced 2020 Letter of Credit Issuer all accrued and unpaid fees applicable to the 2020 Letters of Credit pursuant to </w:t>
      </w:r>
      <w:r>
        <w:rPr>
          <w:rFonts w:ascii="Times New Roman" w:cs="Times New Roman" w:eastAsia="Times New Roman" w:hAnsi="Times New Roman"/>
          <w:sz w:val="14"/>
          <w:szCs w:val="14"/>
          <w:u w:val="single" w:color="auto"/>
          <w:color w:val="auto"/>
        </w:rPr>
        <w:t>Sections 4.1(d)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4.1(f)</w:t>
      </w:r>
      <w:r>
        <w:rPr>
          <w:rFonts w:ascii="Times New Roman" w:cs="Times New Roman" w:eastAsia="Times New Roman" w:hAnsi="Times New Roman"/>
          <w:sz w:val="14"/>
          <w:szCs w:val="14"/>
          <w:color w:val="auto"/>
        </w:rPr>
        <w:t xml:space="preserve">. The acceptance of any appointment as the 2020 Letter of Credit Issuer hereunder whether as a successor issuer or new issuer of 2020 Letters of Credit in accordance with this Agreement, shall be evidenced by an agreement entered into by such new or successor issuer of 2020 Letters of Credit, in a form reasonably satisfactory to the Borrower and the Administrative Agent and, from and after the effective date of such agreement, such new or successor issuer of 2020 Letters of Credit shall become the 2020 Letter of Credit Issuer hereunder. After the resignation or replacement of the 2020 Letter of Credit Issuer hereunder, the resigning or replaced 2020 Letter of Credit Issuer shall remain a party hereto and shall continue to have all the rights and obligations of the 2020 Letter of Credit Issuer under this Agreement and the other Credit Documents with respect to 2020 Letters of Credit issued by it prior to such resignation or replacement, but shall not be required to issue additional 2020 Letters of Credit. In connection with any resignation or replacement pursuant to this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(but, in case of any such resignation, only to the extent that a successor issuer of 2020 Letters of Credit shall have been appointed), either (i) the Borrower, the resigning or replaced 2020 Letter of Credit Issuer and the successor issuer of 2020 Letters of Credit shall arrange to have any outstanding 2020 Letters of Credit issued by the resigning or replaced 2020 Letter of Credit Issuer replaced with 2020 Letters of Credit issued by the successor issuer of 2020 Letters of Credit or (ii) the Borrower shall cause the successor issuer of 2020 Letters of Credit, if such successor issuer</w:t>
      </w:r>
    </w:p>
    <w:p>
      <w:pPr>
        <w:spacing w:after="0" w:line="200" w:lineRule="exact"/>
        <w:rPr>
          <w:sz w:val="20"/>
          <w:szCs w:val="20"/>
          <w:color w:val="auto"/>
        </w:rPr>
      </w:pPr>
    </w:p>
    <w:p>
      <w:pPr>
        <w:spacing w:after="0" w:line="21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7" w:name="page198"/>
    <w:bookmarkEnd w:id="197"/>
    <w:p>
      <w:pPr>
        <w:jc w:val="both"/>
        <w:ind w:left="1140" w:right="1159"/>
        <w:spacing w:after="0" w:line="260" w:lineRule="auto"/>
        <w:rPr>
          <w:sz w:val="20"/>
          <w:szCs w:val="20"/>
          <w:color w:val="auto"/>
        </w:rPr>
      </w:pPr>
      <w:r>
        <w:rPr>
          <w:rFonts w:ascii="Times New Roman" w:cs="Times New Roman" w:eastAsia="Times New Roman" w:hAnsi="Times New Roman"/>
          <w:sz w:val="14"/>
          <w:szCs w:val="14"/>
          <w:color w:val="auto"/>
        </w:rPr>
        <w:t>is reasonably satisfactory to the replaced or resigning 2020 Letter of Credit Issuer, to issue “back-stop” 2020 Letters of Credit naming the resigning or replaced 2020 Letter of Credit Issuer as beneficiary for each outstanding 2020 Letter of Credit issued by the resigning or replaced 2020 Letter of Credit Issuer, which new 2020 Letters of Credit shall be denominated in the same currency as, and shall have a face amount equal to, the 2020 Letters of Credit being back-stopped and the sole requirement for drawing on such new 2020 Letters of Credit shall be a statement that there has been a compliant drawing on the corresponding back-stopped 2020 Letters of Credit. After any resigning or replaced 2020 Letter of Credit Issuer’s resignation or replacement as 2020 Letter of Credit Issuer, the provisions of this Agreement relating to the 2020 Letter of Credit Issuer shall inure to its benefit as to any actions taken or omitted to be taken by it (A) while it was the 2020 Letter of Credit Issuer under this Agreement or (B) at any time with respect to 2020 Letters of Credit issued by such 2020 Letter of Credit Issuer.</w:t>
      </w:r>
    </w:p>
    <w:p>
      <w:pPr>
        <w:spacing w:after="0" w:line="160" w:lineRule="exact"/>
        <w:rPr>
          <w:sz w:val="20"/>
          <w:szCs w:val="20"/>
          <w:color w:val="auto"/>
        </w:rPr>
      </w:pPr>
    </w:p>
    <w:p>
      <w:pPr>
        <w:jc w:val="both"/>
        <w:ind w:left="1140" w:right="1159" w:firstLine="524"/>
        <w:spacing w:after="0" w:line="263" w:lineRule="auto"/>
        <w:tabs>
          <w:tab w:leader="none" w:pos="1972" w:val="left"/>
        </w:tabs>
        <w:numPr>
          <w:ilvl w:val="0"/>
          <w:numId w:val="17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To the extent there are, at the time of any resignation or replacement as set forth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any outstanding 2020 Letters of Credit, nothing herein shall be deemed to impact or impair any rights and obligations of any of the parties hereto with respect to such outstanding 2020 Letters of Credit (including, without limitation, any obligations related to the payment of Fees or the reimbursement or funding of amounts drawn), except that the Borrower, the resigning or replaced 2020 Letter of Credit Issuer and the successor issuer of 2020 Letters of Credit shall have the obligations regarding outstanding 2020 Letters of Credit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w:t>
      </w:r>
    </w:p>
    <w:p>
      <w:pPr>
        <w:spacing w:after="0" w:line="319" w:lineRule="exact"/>
        <w:rPr>
          <w:sz w:val="20"/>
          <w:szCs w:val="20"/>
          <w:color w:val="auto"/>
        </w:rPr>
      </w:pPr>
    </w:p>
    <w:p>
      <w:pPr>
        <w:jc w:val="both"/>
        <w:ind w:left="1140" w:right="1159" w:firstLine="517"/>
        <w:spacing w:after="0" w:line="257" w:lineRule="auto"/>
        <w:rPr>
          <w:sz w:val="20"/>
          <w:szCs w:val="20"/>
          <w:color w:val="auto"/>
        </w:rPr>
      </w:pPr>
      <w:r>
        <w:rPr>
          <w:rFonts w:ascii="Times New Roman" w:cs="Times New Roman" w:eastAsia="Times New Roman" w:hAnsi="Times New Roman"/>
          <w:sz w:val="14"/>
          <w:szCs w:val="14"/>
          <w:color w:val="auto"/>
        </w:rPr>
        <w:t xml:space="preserve">3A.7 </w:t>
      </w:r>
      <w:r>
        <w:rPr>
          <w:rFonts w:ascii="Times New Roman" w:cs="Times New Roman" w:eastAsia="Times New Roman" w:hAnsi="Times New Roman"/>
          <w:sz w:val="14"/>
          <w:szCs w:val="14"/>
          <w:u w:val="single" w:color="auto"/>
          <w:color w:val="auto"/>
        </w:rPr>
        <w:t>Role of 2020 Letter of Credit Issuer</w:t>
      </w:r>
      <w:r>
        <w:rPr>
          <w:rFonts w:ascii="Times New Roman" w:cs="Times New Roman" w:eastAsia="Times New Roman" w:hAnsi="Times New Roman"/>
          <w:sz w:val="14"/>
          <w:szCs w:val="14"/>
          <w:color w:val="auto"/>
        </w:rPr>
        <w:t xml:space="preserve">. Each 2020 Additional Revolving Credit Lender and the Borrower agree that, in paying any drawing under a 2020 Letter of Credit, the 2020 Letter of Credit Issuer shall not have any responsibility to obtain any document (other than any sight draft, certificates and documents expressly required by the 2020 Letter of Credit) or to ascertain or inquire as to the validity or accuracy of any such document or the authority of the Person executing or delivering any such document. None of the 2020 Letter of Credit Issuer, the Administrative Agent, any of their respective Affiliates nor any correspondent, participant or assignee of the 2020 Letter of Credit Issuer shall be liable to any Lender for (i) any action taken or omitted in connection herewith at the request or with the approval of the Required 2020 Additional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2020 Letter of Credit or Issuer Document. The Borrower hereby assumes all risks of the acts or omissions of any beneficiary or transferee with respect to its use of any 2020 Letter of Credit;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assumption is not intended to, and shall not, preclude the Borrower’s pursuit of such rights and remedies as they may have against the beneficiary or transferee at law or under any other agreement. None of the 2020 Letter of Credit Issuer, the Administrative Agent, any of their respective Affiliates nor any correspondent, participant or assignee of the 2020 Letter of Credit Issuer shall be liable or responsible for any of the matters described in </w:t>
      </w:r>
      <w:r>
        <w:rPr>
          <w:rFonts w:ascii="Times New Roman" w:cs="Times New Roman" w:eastAsia="Times New Roman" w:hAnsi="Times New Roman"/>
          <w:sz w:val="14"/>
          <w:szCs w:val="14"/>
          <w:u w:val="single" w:color="auto"/>
          <w:color w:val="auto"/>
        </w:rPr>
        <w:t>Section 3A.3(b)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anything in such Section to the contrary notwithstanding, the Borrower may have a claim against a 2020 Letter of Credit Issuer, and a 2020 Letter of Credit Issuer may be liable to the Borrower, to the extent, but only to the extent, of any direct, as opposed to consequential or exemplary, damages suffered by the Borrower which the Borrower proves were caused by such 2020 Letter of Credit Issuer’s willful misconduct or gross negligence or such 2020 Letter of Credit Issuer’s willful failure to pay under any 2020 Letter of Credit after the presentation to it by the beneficiary of documents strictly complying with the terms and conditions of a 2020 Letter of Credit in each case as determined in the final non-appealable judgment of a court of competent jurisdiction. In furtherance and not in limitation of the foregoing, the 2020 Letter of Credit Issuer may accept documents that appear on their face to be in order, without responsibility for further investigation, regardless of any notice or information to the contrary, and the 2020 Letter of Credit Issuer shall not be responsible for the validity or sufficiency of any instrument transferring or assigning or purporting to transfer or assign a 2020 Letter of Credit or the rights or benefits thereunder or proceeds thereof, in whole or in part, which may prove to be invalid or ineffective for any reason.</w:t>
      </w:r>
    </w:p>
    <w:p>
      <w:pPr>
        <w:spacing w:after="0" w:line="338" w:lineRule="exact"/>
        <w:rPr>
          <w:sz w:val="20"/>
          <w:szCs w:val="20"/>
          <w:color w:val="auto"/>
        </w:rPr>
      </w:pPr>
    </w:p>
    <w:p>
      <w:pPr>
        <w:jc w:val="both"/>
        <w:ind w:left="1140" w:right="1219" w:firstLine="1033"/>
        <w:spacing w:after="0" w:line="275" w:lineRule="auto"/>
        <w:rPr>
          <w:sz w:val="20"/>
          <w:szCs w:val="20"/>
          <w:color w:val="auto"/>
        </w:rPr>
      </w:pPr>
      <w:r>
        <w:rPr>
          <w:rFonts w:ascii="Times New Roman" w:cs="Times New Roman" w:eastAsia="Times New Roman" w:hAnsi="Times New Roman"/>
          <w:sz w:val="14"/>
          <w:szCs w:val="14"/>
          <w:color w:val="auto"/>
        </w:rPr>
        <w:t>The 2020 Letter of Credit Issuer may send a 2020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35" w:lineRule="exact"/>
        <w:rPr>
          <w:sz w:val="20"/>
          <w:szCs w:val="20"/>
          <w:color w:val="auto"/>
        </w:rPr>
      </w:pPr>
    </w:p>
    <w:p>
      <w:pPr>
        <w:ind w:left="1660"/>
        <w:spacing w:after="0"/>
        <w:tabs>
          <w:tab w:leader="none" w:pos="2220" w:val="left"/>
        </w:tabs>
        <w:rPr>
          <w:sz w:val="20"/>
          <w:szCs w:val="20"/>
          <w:color w:val="auto"/>
        </w:rPr>
      </w:pPr>
      <w:r>
        <w:rPr>
          <w:rFonts w:ascii="Times New Roman" w:cs="Times New Roman" w:eastAsia="Times New Roman" w:hAnsi="Times New Roman"/>
          <w:sz w:val="14"/>
          <w:szCs w:val="14"/>
          <w:color w:val="auto"/>
        </w:rPr>
        <w:t>3A.8</w:t>
      </w:r>
      <w:r>
        <w:rPr>
          <w:sz w:val="20"/>
          <w:szCs w:val="20"/>
          <w:color w:val="auto"/>
        </w:rPr>
        <w:tab/>
      </w:r>
      <w:r>
        <w:rPr>
          <w:rFonts w:ascii="Times New Roman" w:cs="Times New Roman" w:eastAsia="Times New Roman" w:hAnsi="Times New Roman"/>
          <w:sz w:val="14"/>
          <w:szCs w:val="14"/>
          <w:u w:val="single" w:color="auto"/>
          <w:color w:val="auto"/>
        </w:rPr>
        <w:t>Cash Collateral</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75" w:lineRule="auto"/>
        <w:tabs>
          <w:tab w:leader="none" w:pos="1972" w:val="left"/>
        </w:tabs>
        <w:numPr>
          <w:ilvl w:val="0"/>
          <w:numId w:val="17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Certain Credit Support Events</w:t>
      </w:r>
      <w:r>
        <w:rPr>
          <w:rFonts w:ascii="Times New Roman" w:cs="Times New Roman" w:eastAsia="Times New Roman" w:hAnsi="Times New Roman"/>
          <w:sz w:val="14"/>
          <w:szCs w:val="14"/>
          <w:color w:val="auto"/>
        </w:rPr>
        <w:t xml:space="preserve">. Upon the written request of the Administrative Agent, the 2020 Letter of Credit Issuer, if (i) as of the 2020 L/C Facility Maturity Date, any 2020 L/C Obligation for any reason remains outstanding, (ii) the Borrower shall be required to provide Cash Collateral pursuant to </w:t>
      </w:r>
      <w:r>
        <w:rPr>
          <w:rFonts w:ascii="Times New Roman" w:cs="Times New Roman" w:eastAsia="Times New Roman" w:hAnsi="Times New Roman"/>
          <w:sz w:val="14"/>
          <w:szCs w:val="14"/>
          <w:u w:val="single" w:color="auto"/>
          <w:color w:val="auto"/>
        </w:rPr>
        <w:t>Section 11.13</w:t>
      </w:r>
      <w:r>
        <w:rPr>
          <w:rFonts w:ascii="Times New Roman" w:cs="Times New Roman" w:eastAsia="Times New Roman" w:hAnsi="Times New Roman"/>
          <w:sz w:val="14"/>
          <w:szCs w:val="14"/>
          <w:color w:val="auto"/>
        </w:rPr>
        <w:t>, or (iii) the</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8" w:name="page199"/>
    <w:bookmarkEnd w:id="198"/>
    <w:p>
      <w:pPr>
        <w:jc w:val="both"/>
        <w:ind w:left="1140" w:right="1159"/>
        <w:spacing w:after="0" w:line="265" w:lineRule="auto"/>
        <w:rPr>
          <w:sz w:val="20"/>
          <w:szCs w:val="20"/>
          <w:color w:val="auto"/>
        </w:rPr>
      </w:pPr>
      <w:r>
        <w:rPr>
          <w:rFonts w:ascii="Times New Roman" w:cs="Times New Roman" w:eastAsia="Times New Roman" w:hAnsi="Times New Roman"/>
          <w:sz w:val="14"/>
          <w:szCs w:val="14"/>
          <w:color w:val="auto"/>
        </w:rPr>
        <w:t xml:space="preserve">provisions of </w:t>
      </w:r>
      <w:r>
        <w:rPr>
          <w:rFonts w:ascii="Times New Roman" w:cs="Times New Roman" w:eastAsia="Times New Roman" w:hAnsi="Times New Roman"/>
          <w:sz w:val="14"/>
          <w:szCs w:val="14"/>
          <w:u w:val="single" w:color="auto"/>
          <w:color w:val="auto"/>
        </w:rPr>
        <w:t>Section 2.16(a)(v)</w:t>
      </w:r>
      <w:r>
        <w:rPr>
          <w:rFonts w:ascii="Times New Roman" w:cs="Times New Roman" w:eastAsia="Times New Roman" w:hAnsi="Times New Roman"/>
          <w:sz w:val="14"/>
          <w:szCs w:val="14"/>
          <w:color w:val="auto"/>
        </w:rPr>
        <w:t xml:space="preserve"> are in effect, the Borrower shall immediately (in the case of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or within one Business Day (in all other cases) following any written request by the Administrative Agent or the 2020 Letter of Credit Issuer, provide Cash Collateral in an amount not less than the applicable Minimum Collateral Amount (determined in the case of Cash Collateral provided pursuant to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above, after giving effect to </w:t>
      </w:r>
      <w:r>
        <w:rPr>
          <w:rFonts w:ascii="Times New Roman" w:cs="Times New Roman" w:eastAsia="Times New Roman" w:hAnsi="Times New Roman"/>
          <w:sz w:val="14"/>
          <w:szCs w:val="14"/>
          <w:u w:val="single" w:color="auto"/>
          <w:color w:val="auto"/>
        </w:rPr>
        <w:t>Section 2.16(a)(iv)</w:t>
      </w:r>
      <w:r>
        <w:rPr>
          <w:rFonts w:ascii="Times New Roman" w:cs="Times New Roman" w:eastAsia="Times New Roman" w:hAnsi="Times New Roman"/>
          <w:sz w:val="14"/>
          <w:szCs w:val="14"/>
          <w:color w:val="auto"/>
        </w:rPr>
        <w:t xml:space="preserve"> and any Cash Collateral provided by the Defaulting Lender).</w:t>
      </w:r>
    </w:p>
    <w:p>
      <w:pPr>
        <w:spacing w:after="0" w:line="155" w:lineRule="exact"/>
        <w:rPr>
          <w:sz w:val="20"/>
          <w:szCs w:val="20"/>
          <w:color w:val="auto"/>
        </w:rPr>
      </w:pPr>
    </w:p>
    <w:p>
      <w:pPr>
        <w:jc w:val="both"/>
        <w:ind w:left="1140" w:right="1159" w:firstLine="524"/>
        <w:spacing w:after="0" w:line="259" w:lineRule="auto"/>
        <w:tabs>
          <w:tab w:leader="none" w:pos="1972" w:val="left"/>
        </w:tabs>
        <w:numPr>
          <w:ilvl w:val="0"/>
          <w:numId w:val="17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Grant of Security Interest</w:t>
      </w:r>
      <w:r>
        <w:rPr>
          <w:rFonts w:ascii="Times New Roman" w:cs="Times New Roman" w:eastAsia="Times New Roman" w:hAnsi="Times New Roman"/>
          <w:sz w:val="14"/>
          <w:szCs w:val="14"/>
          <w:color w:val="auto"/>
        </w:rPr>
        <w:t xml:space="preserve">. The Borrower, and to the extent provided by any Defaulting Lender, such Defaulting Lender, hereby grant to (and subject to the control of) the Administrative Agent, for the benefit of the Administrative Agent, the 2020 Letter of Credit Issuer and the 2020 Additional Revolving Credit Lenders, and agree to maintain, a first priority security interest in all such cash, deposit accounts and all balances therein as described in </w:t>
      </w:r>
      <w:r>
        <w:rPr>
          <w:rFonts w:ascii="Times New Roman" w:cs="Times New Roman" w:eastAsia="Times New Roman" w:hAnsi="Times New Roman"/>
          <w:sz w:val="14"/>
          <w:szCs w:val="14"/>
          <w:u w:val="single" w:color="auto"/>
          <w:color w:val="auto"/>
        </w:rPr>
        <w:t>Section 3A.8(a)</w:t>
      </w:r>
      <w:r>
        <w:rPr>
          <w:rFonts w:ascii="Times New Roman" w:cs="Times New Roman" w:eastAsia="Times New Roman" w:hAnsi="Times New Roman"/>
          <w:sz w:val="14"/>
          <w:szCs w:val="14"/>
          <w:color w:val="auto"/>
        </w:rPr>
        <w:t xml:space="preserve">,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3A.8(c)</w:t>
      </w:r>
      <w:r>
        <w:rPr>
          <w:rFonts w:ascii="Times New Roman" w:cs="Times New Roman" w:eastAsia="Times New Roman" w:hAnsi="Times New Roman"/>
          <w:sz w:val="14"/>
          <w:szCs w:val="14"/>
          <w:color w:val="auto"/>
        </w:rPr>
        <w:t>. If at any time the Administrative Agent determines that Cash Collateral is subject to any right or claim of any Person other than the Administrative Agent or the 2020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332"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7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Application</w:t>
      </w:r>
      <w:r>
        <w:rPr>
          <w:rFonts w:ascii="Times New Roman" w:cs="Times New Roman" w:eastAsia="Times New Roman" w:hAnsi="Times New Roman"/>
          <w:sz w:val="14"/>
          <w:szCs w:val="14"/>
          <w:color w:val="auto"/>
        </w:rPr>
        <w:t xml:space="preserve">. Notwithstanding anything to the contrary contained in this Agreement, Cash Collateral provided under any of this </w:t>
      </w:r>
      <w:r>
        <w:rPr>
          <w:rFonts w:ascii="Times New Roman" w:cs="Times New Roman" w:eastAsia="Times New Roman" w:hAnsi="Times New Roman"/>
          <w:sz w:val="14"/>
          <w:szCs w:val="14"/>
          <w:u w:val="single" w:color="auto"/>
          <w:color w:val="auto"/>
        </w:rPr>
        <w:t>Section 3A.8</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Sections 2.16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11.13</w:t>
      </w:r>
      <w:r>
        <w:rPr>
          <w:rFonts w:ascii="Times New Roman" w:cs="Times New Roman" w:eastAsia="Times New Roman" w:hAnsi="Times New Roman"/>
          <w:sz w:val="14"/>
          <w:szCs w:val="14"/>
          <w:color w:val="auto"/>
        </w:rPr>
        <w:t xml:space="preserve"> in respect of 2020 Letters of Credit shall be held and applied to the satisfaction of the specific 2020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7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4"/>
          <w:szCs w:val="14"/>
          <w:u w:val="single" w:color="auto"/>
          <w:color w:val="auto"/>
        </w:rPr>
        <w:t>Section 13.6(b)(ii)</w:t>
      </w:r>
      <w:r>
        <w:rPr>
          <w:rFonts w:ascii="Times New Roman" w:cs="Times New Roman" w:eastAsia="Times New Roman" w:hAnsi="Times New Roman"/>
          <w:sz w:val="14"/>
          <w:szCs w:val="14"/>
          <w:color w:val="auto"/>
        </w:rPr>
        <w:t>) or there is no longer existing an Event of Default) or (ii) the determination by the Administrative Agent and the 2020 Letter of Credit Issuer that there exists excess Cash Collateral.</w:t>
      </w:r>
    </w:p>
    <w:p>
      <w:pPr>
        <w:spacing w:after="0" w:line="143" w:lineRule="exact"/>
        <w:rPr>
          <w:sz w:val="20"/>
          <w:szCs w:val="20"/>
          <w:color w:val="auto"/>
        </w:rPr>
      </w:pPr>
    </w:p>
    <w:p>
      <w:pPr>
        <w:ind w:left="1140" w:right="1159" w:firstLine="517"/>
        <w:spacing w:after="0" w:line="259" w:lineRule="auto"/>
        <w:rPr>
          <w:sz w:val="20"/>
          <w:szCs w:val="20"/>
          <w:color w:val="auto"/>
        </w:rPr>
      </w:pPr>
      <w:r>
        <w:rPr>
          <w:rFonts w:ascii="Times New Roman" w:cs="Times New Roman" w:eastAsia="Times New Roman" w:hAnsi="Times New Roman"/>
          <w:sz w:val="14"/>
          <w:szCs w:val="14"/>
          <w:color w:val="auto"/>
        </w:rPr>
        <w:t xml:space="preserve">3A.9 </w:t>
      </w:r>
      <w:r>
        <w:rPr>
          <w:rFonts w:ascii="Times New Roman" w:cs="Times New Roman" w:eastAsia="Times New Roman" w:hAnsi="Times New Roman"/>
          <w:sz w:val="14"/>
          <w:szCs w:val="14"/>
          <w:u w:val="single" w:color="auto"/>
          <w:color w:val="auto"/>
        </w:rPr>
        <w:t>Applicability of ISP and UCP</w:t>
      </w:r>
      <w:r>
        <w:rPr>
          <w:rFonts w:ascii="Times New Roman" w:cs="Times New Roman" w:eastAsia="Times New Roman" w:hAnsi="Times New Roman"/>
          <w:sz w:val="14"/>
          <w:szCs w:val="14"/>
          <w:color w:val="auto"/>
        </w:rPr>
        <w:t>. Unless otherwise expressly agreed by the 2020 Letter of Credit Issuer and the Borrower when a 2020 Letter of Credit is issued, (i) the rules of the ISP shall apply to each standby 2020 Letter of Credit, and (ii) the rules of the Uniform Customs and Practice for Documentary Credits, as most recently published by the International Chamber of Commerce at the time of issuance, shall apply to each commercial 2020 Letter of Credit. Notwithstanding the foregoing, the 2020 Letter of Credit Issuer shall not be responsible to the Borrower for, and the 2020 Letter of Credit Issuer’s rights and remedies against the Borrower shall not be impaired by, any action or inaction of the 2020 Letter of Credit Issuer required or permitted under any law, order, or practice that is required or permitted to be applied to any 2020 Letter of Credit or this Agreement, including the applicable law or any order of a jurisdiction where the 2020 Letter of Credit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2020 Letter of Credit chooses such law or practice.</w:t>
      </w:r>
    </w:p>
    <w:p>
      <w:pPr>
        <w:spacing w:after="0" w:line="325"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 xml:space="preserve">3A.10 </w:t>
      </w:r>
      <w:r>
        <w:rPr>
          <w:rFonts w:ascii="Times New Roman" w:cs="Times New Roman" w:eastAsia="Times New Roman" w:hAnsi="Times New Roman"/>
          <w:sz w:val="14"/>
          <w:szCs w:val="14"/>
          <w:u w:val="single" w:color="auto"/>
          <w:color w:val="auto"/>
        </w:rPr>
        <w:t>Conflict with Issuer Documents</w:t>
      </w:r>
      <w:r>
        <w:rPr>
          <w:rFonts w:ascii="Times New Roman" w:cs="Times New Roman" w:eastAsia="Times New Roman" w:hAnsi="Times New Roman"/>
          <w:sz w:val="14"/>
          <w:szCs w:val="14"/>
          <w:color w:val="auto"/>
        </w:rPr>
        <w:t>. In the event of any conflict between the terms hereof and the terms of any Issuer Document, the terms hereof shall control and any grant of security interest in any Issuer Documents shall be void.</w:t>
      </w:r>
    </w:p>
    <w:p>
      <w:pPr>
        <w:spacing w:after="0" w:line="135"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color w:val="auto"/>
        </w:rPr>
        <w:t xml:space="preserve">3A.11 </w:t>
      </w:r>
      <w:r>
        <w:rPr>
          <w:rFonts w:ascii="Times New Roman" w:cs="Times New Roman" w:eastAsia="Times New Roman" w:hAnsi="Times New Roman"/>
          <w:sz w:val="14"/>
          <w:szCs w:val="14"/>
          <w:u w:val="single" w:color="auto"/>
          <w:color w:val="auto"/>
        </w:rPr>
        <w:t>Letters of Credit Issued for Restricted Subsidiaries</w:t>
      </w:r>
      <w:r>
        <w:rPr>
          <w:rFonts w:ascii="Times New Roman" w:cs="Times New Roman" w:eastAsia="Times New Roman" w:hAnsi="Times New Roman"/>
          <w:sz w:val="14"/>
          <w:szCs w:val="14"/>
          <w:color w:val="auto"/>
        </w:rPr>
        <w:t>. Notwithstanding that a 2020 Letter of Credit issued or outstanding hereunder is in support of any obligations of, or is for the account of, Holdings or a Restricted Subsidiary, the Borrower shall be obligated to reimburse the 2020 Letter of Credit Issuer hereunder for any and all</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199" w:name="page200"/>
    <w:bookmarkEnd w:id="199"/>
    <w:p>
      <w:pPr>
        <w:jc w:val="both"/>
        <w:ind w:left="1140" w:right="1159"/>
        <w:spacing w:after="0" w:line="268" w:lineRule="auto"/>
        <w:rPr>
          <w:sz w:val="20"/>
          <w:szCs w:val="20"/>
          <w:color w:val="auto"/>
        </w:rPr>
      </w:pPr>
      <w:r>
        <w:rPr>
          <w:rFonts w:ascii="Times New Roman" w:cs="Times New Roman" w:eastAsia="Times New Roman" w:hAnsi="Times New Roman"/>
          <w:sz w:val="14"/>
          <w:szCs w:val="14"/>
          <w:color w:val="auto"/>
        </w:rPr>
        <w:t>drawings under such 2020 Letter of Credit. The Borrower hereby acknowledges that the issuance of 2020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42"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color w:val="auto"/>
        </w:rPr>
        <w:t xml:space="preserve">3A.12 </w:t>
      </w:r>
      <w:r>
        <w:rPr>
          <w:rFonts w:ascii="Times New Roman" w:cs="Times New Roman" w:eastAsia="Times New Roman" w:hAnsi="Times New Roman"/>
          <w:sz w:val="14"/>
          <w:szCs w:val="14"/>
          <w:u w:val="single" w:color="auto"/>
          <w:color w:val="auto"/>
        </w:rPr>
        <w:t>Provisions Related to Extended Revolving Credit Commitments</w:t>
      </w:r>
      <w:r>
        <w:rPr>
          <w:rFonts w:ascii="Times New Roman" w:cs="Times New Roman" w:eastAsia="Times New Roman" w:hAnsi="Times New Roman"/>
          <w:sz w:val="14"/>
          <w:szCs w:val="14"/>
          <w:color w:val="auto"/>
        </w:rPr>
        <w:t xml:space="preserve">. If the 2020 L/C Facility Maturity Date in respect of any tranche of 2020 Letter of Credit Commitments occurs prior to the expiry date of any 2020 Letter of Credit, then (i) if consented to by the 2020 Letter of Credit Issuer which issued such 2020 Letter of Credit, if one or more other tranches of 2020 Letter of Credit Commitments in respect of which the 2020 L/C Facility Maturity Date shall not have so occurred are then in effect, such 2020 Letters of Credit for which consent has been obtained shall automatically be deemed to have been issued (including for purposes of the obligations of the 2020 Additional Revolving Credit Lenders to purchase participations therein and to make payments in respect thereof pursuant to </w:t>
      </w:r>
      <w:r>
        <w:rPr>
          <w:rFonts w:ascii="Times New Roman" w:cs="Times New Roman" w:eastAsia="Times New Roman" w:hAnsi="Times New Roman"/>
          <w:sz w:val="14"/>
          <w:szCs w:val="14"/>
          <w:u w:val="single" w:color="auto"/>
          <w:color w:val="auto"/>
        </w:rPr>
        <w:t>Sections 3.3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3.4</w:t>
      </w:r>
      <w:r>
        <w:rPr>
          <w:rFonts w:ascii="Times New Roman" w:cs="Times New Roman" w:eastAsia="Times New Roman" w:hAnsi="Times New Roman"/>
          <w:sz w:val="14"/>
          <w:szCs w:val="14"/>
          <w:color w:val="auto"/>
        </w:rPr>
        <w:t xml:space="preserve">) under (and ratably participated in by Lenders pursuant to) the 2020 Letter of Credit Commitments in respect of such non-terminating tranches up to an aggregate amount not to exceed the aggregate amount of the unutilized 2020 Letter of Credit Commitments thereunder at such time (it being understood that no partial face amount of any 2020 Letter of Credit may be so reallocated) and (ii) to the extent not reallocated pursuant to immediately preceding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the Borrower shall Cash Collateralize any such 2020 Letter of Credit in accordance with </w:t>
      </w:r>
      <w:r>
        <w:rPr>
          <w:rFonts w:ascii="Times New Roman" w:cs="Times New Roman" w:eastAsia="Times New Roman" w:hAnsi="Times New Roman"/>
          <w:sz w:val="14"/>
          <w:szCs w:val="14"/>
          <w:u w:val="single" w:color="auto"/>
          <w:color w:val="auto"/>
        </w:rPr>
        <w:t>Section 3A.8</w:t>
      </w:r>
      <w:r>
        <w:rPr>
          <w:rFonts w:ascii="Times New Roman" w:cs="Times New Roman" w:eastAsia="Times New Roman" w:hAnsi="Times New Roman"/>
          <w:sz w:val="14"/>
          <w:szCs w:val="14"/>
          <w:color w:val="auto"/>
        </w:rPr>
        <w:t>. Upon the maturity date of any tranche of 2020 Letter of Credit Commitments, the sublimit for 2020 Letters of Credit may be reduced as agreed between the 2020 Letter of Credit Issuer and the Borrower, without the consent of any other Person.</w:t>
      </w:r>
    </w:p>
    <w:p>
      <w:pPr>
        <w:spacing w:after="0" w:line="144"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4.</w:t>
      </w:r>
      <w:r>
        <w:rPr>
          <w:sz w:val="20"/>
          <w:szCs w:val="20"/>
          <w:color w:val="auto"/>
        </w:rPr>
        <w:tab/>
      </w:r>
      <w:r>
        <w:rPr>
          <w:rFonts w:ascii="Times New Roman" w:cs="Times New Roman" w:eastAsia="Times New Roman" w:hAnsi="Times New Roman"/>
          <w:sz w:val="14"/>
          <w:szCs w:val="14"/>
          <w:color w:val="auto"/>
        </w:rPr>
        <w:t>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76771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1">
                      <a:extLst>
                        <a:ext uri="{28A0092B-C50C-407E-A947-70E740481C1C}"/>
                      </a:extLst>
                    </a:blip>
                    <a:srcRect/>
                    <a:stretch>
                      <a:fillRect/>
                    </a:stretch>
                  </pic:blipFill>
                  <pic:spPr bwMode="auto">
                    <a:xfrm>
                      <a:off x="0" y="0"/>
                      <a:ext cx="767715" cy="6985"/>
                    </a:xfrm>
                    <a:prstGeom prst="rect">
                      <a:avLst/>
                    </a:prstGeom>
                    <a:noFill/>
                  </pic:spPr>
                </pic:pic>
              </a:graphicData>
            </a:graphic>
          </wp:anchor>
        </w:drawing>
      </w:r>
    </w:p>
    <w:p>
      <w:pPr>
        <w:spacing w:after="0" w:line="16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u w:val="single" w:color="auto"/>
          <w:color w:val="auto"/>
        </w:rPr>
        <w:t>Fees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1993" w:val="left"/>
        </w:tabs>
        <w:numPr>
          <w:ilvl w:val="1"/>
          <w:numId w:val="17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to the Administrative Agent in Dollars, for the account of each Revolving Credit Lender (in each case pro rata according to the respective Revolving Credit Commitments of all such Lenders), a commitment fee set forth in the definition of Applicable Margin (the “</w:t>
      </w:r>
      <w:r>
        <w:rPr>
          <w:rFonts w:ascii="Times New Roman" w:cs="Times New Roman" w:eastAsia="Times New Roman" w:hAnsi="Times New Roman"/>
          <w:sz w:val="14"/>
          <w:szCs w:val="14"/>
          <w:b w:val="1"/>
          <w:bCs w:val="1"/>
          <w:color w:val="auto"/>
        </w:rPr>
        <w:t>Commitment Fee</w:t>
      </w:r>
      <w:r>
        <w:rPr>
          <w:rFonts w:ascii="Times New Roman" w:cs="Times New Roman" w:eastAsia="Times New Roman" w:hAnsi="Times New Roman"/>
          <w:sz w:val="14"/>
          <w:szCs w:val="14"/>
          <w:color w:val="auto"/>
        </w:rPr>
        <w:t xml:space="preserve">”) for each day from the Closing Date to the Revolving Credit Termination Date. Each Commitment Fee shall be payable (x) quarterly in arrears on the last Business Day of each fiscal quarter of the Borrower (for the quarterly period (or portion thereof) ended on such day for which no payment has been received) and (y) on the Revolving Credit Termination Date (for the period ended on such date for which no payment has been received pursuant to </w:t>
      </w:r>
      <w:r>
        <w:rPr>
          <w:rFonts w:ascii="Times New Roman" w:cs="Times New Roman" w:eastAsia="Times New Roman" w:hAnsi="Times New Roman"/>
          <w:sz w:val="14"/>
          <w:szCs w:val="14"/>
          <w:u w:val="single" w:color="auto"/>
          <w:color w:val="auto"/>
        </w:rPr>
        <w:t>clause (x)</w:t>
      </w:r>
      <w:r>
        <w:rPr>
          <w:rFonts w:ascii="Times New Roman" w:cs="Times New Roman" w:eastAsia="Times New Roman" w:hAnsi="Times New Roman"/>
          <w:sz w:val="14"/>
          <w:szCs w:val="14"/>
          <w:color w:val="auto"/>
        </w:rPr>
        <w:t xml:space="preserve"> above), and shall be computed for each day during such period at a rate per annum equal to the Commitment Fee Rate in effect on such day on the Available Revolving Commitment in effect on such day. For purposes of computing Commitment Fees, the Available Revolving Commitment of each Revolving Credit Lender shall be deemed to be used to the extent of the Revolving Credit Loans and the Letter of Credit Exposure (but the Swingline Exposure of such Lender shall be disregarded for such purpose).</w:t>
      </w:r>
    </w:p>
    <w:p>
      <w:pPr>
        <w:spacing w:after="0" w:line="155"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93" w:val="left"/>
        </w:tabs>
        <w:numPr>
          <w:ilvl w:val="1"/>
          <w:numId w:val="17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to the Administrative Agent in Dollars for the account of the Revolving Credit Lenders pro rata on the basis of their respective Revolving Letter of Credit Exposure, a fee in respect of each Letter of Credit issued on the Borrower’s or any of the other Restricted Subsidiaries’ behalf (the “</w:t>
      </w:r>
      <w:r>
        <w:rPr>
          <w:rFonts w:ascii="Times New Roman" w:cs="Times New Roman" w:eastAsia="Times New Roman" w:hAnsi="Times New Roman"/>
          <w:sz w:val="14"/>
          <w:szCs w:val="14"/>
          <w:b w:val="1"/>
          <w:bCs w:val="1"/>
          <w:color w:val="auto"/>
        </w:rPr>
        <w:t>Revolving Letter of Credit Fee</w:t>
      </w:r>
      <w:r>
        <w:rPr>
          <w:rFonts w:ascii="Times New Roman" w:cs="Times New Roman" w:eastAsia="Times New Roman" w:hAnsi="Times New Roman"/>
          <w:sz w:val="14"/>
          <w:szCs w:val="14"/>
          <w:color w:val="auto"/>
        </w:rPr>
        <w:t xml:space="preserve">”), for the period from the date of issuance of such Letter of Credit to the termination date of such Letter of Credit computed at the per annum rate for each day equal to the Applicable Margin for Adjusted Term SOFR Rate Revolving Credit Loans less the Revolving L/C Fronting Fee set forth in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below. Except as provided below, such Revolving Letter of Credit Fees shall be due and payable</w:t>
      </w:r>
    </w:p>
    <w:p>
      <w:pPr>
        <w:spacing w:after="0" w:line="2" w:lineRule="exact"/>
        <w:rPr>
          <w:rFonts w:ascii="Times New Roman" w:cs="Times New Roman" w:eastAsia="Times New Roman" w:hAnsi="Times New Roman"/>
          <w:sz w:val="14"/>
          <w:szCs w:val="14"/>
          <w:color w:val="010000"/>
        </w:rPr>
      </w:pPr>
    </w:p>
    <w:p>
      <w:pPr>
        <w:jc w:val="both"/>
        <w:ind w:left="1140" w:right="1159" w:firstLine="7"/>
        <w:spacing w:after="0" w:line="264" w:lineRule="auto"/>
        <w:tabs>
          <w:tab w:leader="none" w:pos="136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in arrears on the last Business Day of each fiscal quarter of the Borrower and (y) on the date upon which the Total Revolving Credit Commitment terminates and the Revolving Letters of Credit Outstanding shall have been reduced to zero.</w:t>
      </w:r>
    </w:p>
    <w:p>
      <w:pPr>
        <w:spacing w:after="0" w:line="154" w:lineRule="exact"/>
        <w:rPr>
          <w:rFonts w:ascii="Times New Roman" w:cs="Times New Roman" w:eastAsia="Times New Roman" w:hAnsi="Times New Roman"/>
          <w:sz w:val="14"/>
          <w:szCs w:val="14"/>
          <w:color w:val="auto"/>
        </w:rPr>
      </w:pPr>
    </w:p>
    <w:p>
      <w:pPr>
        <w:jc w:val="both"/>
        <w:ind w:left="1140" w:right="1159" w:firstLine="524"/>
        <w:spacing w:after="0" w:line="275" w:lineRule="auto"/>
        <w:tabs>
          <w:tab w:leader="none" w:pos="1982" w:val="left"/>
        </w:tabs>
        <w:numPr>
          <w:ilvl w:val="1"/>
          <w:numId w:val="17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45"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1"/>
          <w:numId w:val="17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to each Revolving Letter of Credit Issuer a fee in Dollars in respect of each Revolving Letter of Credit issued by it to the Borrower (the “</w:t>
      </w:r>
      <w:r>
        <w:rPr>
          <w:rFonts w:ascii="Times New Roman" w:cs="Times New Roman" w:eastAsia="Times New Roman" w:hAnsi="Times New Roman"/>
          <w:sz w:val="14"/>
          <w:szCs w:val="14"/>
          <w:b w:val="1"/>
          <w:bCs w:val="1"/>
          <w:color w:val="auto"/>
        </w:rPr>
        <w:t>Revolving L/C Fronting</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00" w:name="page201"/>
    <w:bookmarkEnd w:id="200"/>
    <w:p>
      <w:pPr>
        <w:jc w:val="both"/>
        <w:ind w:left="1140" w:right="1159"/>
        <w:spacing w:after="0" w:line="262" w:lineRule="auto"/>
        <w:rPr>
          <w:sz w:val="20"/>
          <w:szCs w:val="20"/>
          <w:color w:val="auto"/>
        </w:rPr>
      </w:pPr>
      <w:r>
        <w:rPr>
          <w:rFonts w:ascii="Times New Roman" w:cs="Times New Roman" w:eastAsia="Times New Roman" w:hAnsi="Times New Roman"/>
          <w:sz w:val="14"/>
          <w:szCs w:val="14"/>
          <w:b w:val="1"/>
          <w:bCs w:val="1"/>
          <w:color w:val="auto"/>
        </w:rPr>
        <w:t>Fee</w:t>
      </w:r>
      <w:r>
        <w:rPr>
          <w:rFonts w:ascii="Times New Roman" w:cs="Times New Roman" w:eastAsia="Times New Roman" w:hAnsi="Times New Roman"/>
          <w:sz w:val="14"/>
          <w:szCs w:val="14"/>
          <w:color w:val="auto"/>
        </w:rPr>
        <w:t>”) (i) with respect to each commercial Letter of Credit, at the rate of 0.125%, computed on the amount of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Revolving Letter of Credit, and (ii) with respect to each standby Revolving Letter of Credit, for the period from the date of issuance of such Revolving Letter of Credit to the termination date of such Revolving Letter of Credit, computed at the rate for each day equal to 0.125% per annum on the average daily Stated Amount of such Revolving Letter of Credit (or at such other rate per annum as agreed in writing between the Borrower and the Revolving Letter of Credit Issuer). Such Revolving L/C Fronting Fees shall be due and payable (x) quarterly in arrears on the last Business Day of each fiscal quarter of the Borrower and (y) on the date upon which the Total Revolving Credit Commitment terminates and the applicable Revolving Letters of Credit Outstanding shall have been reduced to zero.</w:t>
      </w:r>
    </w:p>
    <w:p>
      <w:pPr>
        <w:spacing w:after="0" w:line="156" w:lineRule="exact"/>
        <w:rPr>
          <w:sz w:val="20"/>
          <w:szCs w:val="20"/>
          <w:color w:val="auto"/>
        </w:rPr>
      </w:pPr>
    </w:p>
    <w:p>
      <w:pPr>
        <w:jc w:val="both"/>
        <w:ind w:left="1140" w:right="1159" w:firstLine="524"/>
        <w:spacing w:after="0" w:line="265" w:lineRule="auto"/>
        <w:tabs>
          <w:tab w:leader="none" w:pos="1972" w:val="left"/>
        </w:tabs>
        <w:numPr>
          <w:ilvl w:val="1"/>
          <w:numId w:val="18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directly to the Letter of Credit Issuer in Dollars upon each issuance or extension of, drawing under, and/or amendment of, a Letter of Credit issued by it such amount as shall at the time of such issuance or extension of, drawing under, and/or amendment be the processing charge that the Letter of Credit Issuer is customarily charging for issuances or extension of, drawings under or amendments of, letters of credit issued by it.</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93" w:val="left"/>
        </w:tabs>
        <w:numPr>
          <w:ilvl w:val="1"/>
          <w:numId w:val="18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to the Administrative Agent in Dollars for the account of the 2020 Additional Revolving Credit Lenders pro rata on the basis of their respective 2020 Letter of Credit Exposure, a fee in respect of each Letter of Credit issued on the Borrower’s or any of the other Restricted Subsidiaries’ behalf (the “</w:t>
      </w:r>
      <w:r>
        <w:rPr>
          <w:rFonts w:ascii="Times New Roman" w:cs="Times New Roman" w:eastAsia="Times New Roman" w:hAnsi="Times New Roman"/>
          <w:sz w:val="14"/>
          <w:szCs w:val="14"/>
          <w:b w:val="1"/>
          <w:bCs w:val="1"/>
          <w:color w:val="auto"/>
        </w:rPr>
        <w:t>2020 Letter of Credit Fee</w:t>
      </w:r>
      <w:r>
        <w:rPr>
          <w:rFonts w:ascii="Times New Roman" w:cs="Times New Roman" w:eastAsia="Times New Roman" w:hAnsi="Times New Roman"/>
          <w:sz w:val="14"/>
          <w:szCs w:val="14"/>
          <w:color w:val="auto"/>
        </w:rPr>
        <w:t xml:space="preserve">”), for the period from the date of issuance of such Letter of Credit to the termination date of such Letter of Credit computed at the per annum rate for each day equal to the 2020 Letter of Credit Applicable Margin less the 2020 L/C Fronting Fee set forth in </w:t>
      </w:r>
      <w:r>
        <w:rPr>
          <w:rFonts w:ascii="Times New Roman" w:cs="Times New Roman" w:eastAsia="Times New Roman" w:hAnsi="Times New Roman"/>
          <w:sz w:val="14"/>
          <w:szCs w:val="14"/>
          <w:u w:val="single" w:color="auto"/>
          <w:color w:val="auto"/>
        </w:rPr>
        <w:t>clause (g)</w:t>
      </w:r>
      <w:r>
        <w:rPr>
          <w:rFonts w:ascii="Times New Roman" w:cs="Times New Roman" w:eastAsia="Times New Roman" w:hAnsi="Times New Roman"/>
          <w:sz w:val="14"/>
          <w:szCs w:val="14"/>
          <w:color w:val="auto"/>
        </w:rPr>
        <w:t xml:space="preserve"> below. Except as provided above, such 2020 Letter of Credit Fees shall be due and payable (x) quarterly in arrears on the last Business Day of each fiscal quarter of the Borrower and (y) on the date upon which the Total 2020 Letter of Credit Commitment terminates and the 2020 Letters of Credit Outstanding shall have been reduced to zero.</w:t>
      </w:r>
    </w:p>
    <w:p>
      <w:pPr>
        <w:spacing w:after="0" w:line="156"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72" w:val="left"/>
        </w:tabs>
        <w:numPr>
          <w:ilvl w:val="1"/>
          <w:numId w:val="18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Without duplication, the Borrower agrees to pay to each 2020 Letter of Credit Issuer a fee in Dollars in respect of each 2020 Letter of Credit issued by it to the Borrower (the “</w:t>
      </w:r>
      <w:r>
        <w:rPr>
          <w:rFonts w:ascii="Times New Roman" w:cs="Times New Roman" w:eastAsia="Times New Roman" w:hAnsi="Times New Roman"/>
          <w:sz w:val="14"/>
          <w:szCs w:val="14"/>
          <w:b w:val="1"/>
          <w:bCs w:val="1"/>
          <w:color w:val="auto"/>
        </w:rPr>
        <w:t>2020 L/C Fronting Fee</w:t>
      </w:r>
      <w:r>
        <w:rPr>
          <w:rFonts w:ascii="Times New Roman" w:cs="Times New Roman" w:eastAsia="Times New Roman" w:hAnsi="Times New Roman"/>
          <w:sz w:val="14"/>
          <w:szCs w:val="14"/>
          <w:color w:val="auto"/>
        </w:rPr>
        <w:t>”) (i) with respect to each commercial 2020 Letter of Credit, at the rate of 0.125%, computed on the amount of such 2020 Letter of Credit, and (ii) with respect to each standby 2020 Letter of Credit, for the period from the date of issuance of such 2020 Letter of Credit to the termination date of such 2020 Letter of Credit, computed at the rate for each day equal to 0.125% per annum on the average daily Stated Amount of such 2020 Letter of Credit (or at such other rate per annum as agreed in writing between the Borrower and the Letter of Credit Issuer). Such 2020 L/C Fronting Fees shall be due and payable (x) quarterly in arrears on the last Business Day of each fiscal quarter of the Borrower and</w:t>
      </w:r>
    </w:p>
    <w:p>
      <w:pPr>
        <w:ind w:left="1140" w:right="1159" w:firstLine="7"/>
        <w:spacing w:after="0" w:line="273" w:lineRule="auto"/>
        <w:tabs>
          <w:tab w:leader="none" w:pos="135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date upon which the Total 2020 Letter of Credit Commitment terminates and the applicable 2020 Letters of Credit Outstanding shall have been reduced to zero.</w:t>
      </w:r>
    </w:p>
    <w:p>
      <w:pPr>
        <w:spacing w:after="0" w:line="147" w:lineRule="exact"/>
        <w:rPr>
          <w:rFonts w:ascii="Times New Roman" w:cs="Times New Roman" w:eastAsia="Times New Roman" w:hAnsi="Times New Roman"/>
          <w:sz w:val="14"/>
          <w:szCs w:val="14"/>
          <w:color w:val="auto"/>
        </w:rPr>
      </w:pPr>
    </w:p>
    <w:p>
      <w:pPr>
        <w:ind w:left="1140" w:right="1159" w:firstLine="524"/>
        <w:spacing w:after="0" w:line="293" w:lineRule="auto"/>
        <w:tabs>
          <w:tab w:leader="none" w:pos="1993" w:val="left"/>
        </w:tabs>
        <w:numPr>
          <w:ilvl w:val="1"/>
          <w:numId w:val="18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Notwithstanding the foregoing, the Borrower shall not be obligated to pay any amounts to any Defaulting Lender pursuant to this </w:t>
      </w:r>
      <w:r>
        <w:rPr>
          <w:rFonts w:ascii="Times New Roman" w:cs="Times New Roman" w:eastAsia="Times New Roman" w:hAnsi="Times New Roman"/>
          <w:sz w:val="14"/>
          <w:szCs w:val="14"/>
          <w:u w:val="single" w:color="auto"/>
          <w:color w:val="auto"/>
        </w:rPr>
        <w:t>Section 4.1</w:t>
      </w:r>
      <w:r>
        <w:rPr>
          <w:rFonts w:ascii="Times New Roman" w:cs="Times New Roman" w:eastAsia="Times New Roman" w:hAnsi="Times New Roman"/>
          <w:sz w:val="14"/>
          <w:szCs w:val="14"/>
          <w:color w:val="auto"/>
        </w:rPr>
        <w:t>.</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82" w:val="left"/>
        </w:tabs>
        <w:numPr>
          <w:ilvl w:val="1"/>
          <w:numId w:val="18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Borrower agrees to pay to the Administrative Agent for the account of each 2020 Additional Revolving Credit Lender (in each case </w:t>
      </w:r>
      <w:r>
        <w:rPr>
          <w:rFonts w:ascii="Times New Roman" w:cs="Times New Roman" w:eastAsia="Times New Roman" w:hAnsi="Times New Roman"/>
          <w:sz w:val="14"/>
          <w:szCs w:val="14"/>
          <w:u w:val="single" w:color="auto"/>
          <w:color w:val="auto"/>
        </w:rPr>
        <w:t>pro rata</w:t>
      </w:r>
      <w:r>
        <w:rPr>
          <w:rFonts w:ascii="Times New Roman" w:cs="Times New Roman" w:eastAsia="Times New Roman" w:hAnsi="Times New Roman"/>
          <w:sz w:val="14"/>
          <w:szCs w:val="14"/>
          <w:color w:val="auto"/>
        </w:rPr>
        <w:t xml:space="preserve"> according to the respective 2020 Letter of Credit Commitment Percentage of such 2020 Additional Revolving Credit Lender) a commitment fee set forth in the definition of 2020 Letter of Credit Applicable Margin (the “</w:t>
      </w:r>
      <w:r>
        <w:rPr>
          <w:rFonts w:ascii="Times New Roman" w:cs="Times New Roman" w:eastAsia="Times New Roman" w:hAnsi="Times New Roman"/>
          <w:sz w:val="14"/>
          <w:szCs w:val="14"/>
          <w:b w:val="1"/>
          <w:bCs w:val="1"/>
          <w:color w:val="auto"/>
        </w:rPr>
        <w:t>2020 Letter of Credit Commitment Fee</w:t>
      </w:r>
      <w:r>
        <w:rPr>
          <w:rFonts w:ascii="Times New Roman" w:cs="Times New Roman" w:eastAsia="Times New Roman" w:hAnsi="Times New Roman"/>
          <w:sz w:val="14"/>
          <w:szCs w:val="14"/>
          <w:color w:val="auto"/>
        </w:rPr>
        <w:t>”) in Dollars that shall accrue daily from and including the Amendment No. 2 Effective Date to but excluding the 2020 Letter of Credit Termination Date. Each such 2020 Letter of Credit Commitment Fee shall be payable (x) quarterly in arrears on the last Business Day of each fiscal quarter of the Borrower and (y) on the 2020 Letter of Credit Termination Date (for the period ended on such date for which no payment has been received pursuant to clause (x) above), and shall be computed for each day during such period at a rate per annum equal to the 2020 Letter of Credit Commitment Fee Rate in effect on such day on the Available 2020 Letter of Credit Commitment in effect on such day. For purposes of computing 2020 Letter of Credit Commitment Fees, the Available 2020 Letter of Credit Commitment of each 2020 Additional Revolving Credit Lender shall be deemed to be used to the extent of the 2020 Letter of Credit Exposure.</w:t>
      </w:r>
    </w:p>
    <w:p>
      <w:pPr>
        <w:spacing w:after="0" w:line="33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4.2</w:t>
      </w:r>
      <w:r>
        <w:rPr>
          <w:sz w:val="20"/>
          <w:szCs w:val="20"/>
          <w:color w:val="auto"/>
        </w:rPr>
        <w:tab/>
      </w:r>
      <w:r>
        <w:rPr>
          <w:rFonts w:ascii="Times New Roman" w:cs="Times New Roman" w:eastAsia="Times New Roman" w:hAnsi="Times New Roman"/>
          <w:sz w:val="14"/>
          <w:szCs w:val="14"/>
          <w:u w:val="single" w:color="auto"/>
          <w:color w:val="auto"/>
        </w:rPr>
        <w:t>Voluntary Reduction of Revolving Credit Commitments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86" w:lineRule="auto"/>
        <w:tabs>
          <w:tab w:leader="none" w:pos="2026" w:val="left"/>
        </w:tabs>
        <w:numPr>
          <w:ilvl w:val="0"/>
          <w:numId w:val="18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Upon at least two Business Days’ prior written notice to the Administrative Agent at the Administrative Agent’s Office (which notice the Administrative Agent shall promptly transmit to each of the Lenders),</w:t>
      </w:r>
    </w:p>
    <w:p>
      <w:pPr>
        <w:spacing w:after="0" w:line="38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201" w:name="page202"/>
    <w:bookmarkEnd w:id="201"/>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 xml:space="preserve">the Borrower shall have the right, without premium or penalty, on any day, permanently to terminate or reduce the Revolving Credit Commitments in whole or in part;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the Revolving Credit Commitments of any one or more Lenders providing any such Extended Revolving Credit Commitments on such date shall be reduced in an amount equal to the amount of Revolving Credit Commitments so extended on such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with respect to the ratable allocation of payments hereunder, with such allocation being determined after giving effect to any conversion pursuant to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xml:space="preserve"> of Revolving Credit Commitments and Revolving Credit Loans into Extended Revolving Credit Commitments and Extended Revolving Credit Loans pursuant to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Times New Roman" w:cs="Times New Roman" w:eastAsia="Times New Roman" w:hAnsi="Times New Roman"/>
          <w:sz w:val="14"/>
          <w:szCs w:val="14"/>
          <w:u w:val="single" w:color="auto"/>
          <w:color w:val="auto"/>
        </w:rPr>
        <w:t>Section 4.2(a)</w:t>
      </w:r>
      <w:r>
        <w:rPr>
          <w:rFonts w:ascii="Times New Roman" w:cs="Times New Roman" w:eastAsia="Times New Roman" w:hAnsi="Times New Roman"/>
          <w:sz w:val="14"/>
          <w:szCs w:val="14"/>
          <w:color w:val="auto"/>
        </w:rPr>
        <w:t xml:space="preserve"> shall be in the amount of at least $5,000,000, and (c) after giving effect to such termination or reduction and to any prepayments of the Loans and Swingline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336" w:lineRule="exact"/>
        <w:rPr>
          <w:sz w:val="20"/>
          <w:szCs w:val="20"/>
          <w:color w:val="auto"/>
        </w:rPr>
      </w:pPr>
    </w:p>
    <w:p>
      <w:pPr>
        <w:jc w:val="both"/>
        <w:ind w:left="1140" w:right="1159" w:firstLine="524"/>
        <w:spacing w:after="0" w:line="259" w:lineRule="auto"/>
        <w:tabs>
          <w:tab w:leader="none" w:pos="2026" w:val="left"/>
        </w:tabs>
        <w:numPr>
          <w:ilvl w:val="0"/>
          <w:numId w:val="18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2020 Letter of Credit Commitments in whole or in part;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any such reduction shall apply proportionately and permanently to reduce the 2020 Letter of Credit Commitment of each of the Lenders of any applicable Class and (ii) the Borrower may at its election permanently reduce the 2020 Letter of Credit Commitment of a Defaulting Lender to $0 without affecting the 2020 Letter of Credit Commitments of any other Lender, (b) any partial reduction pursuant to this </w:t>
      </w:r>
      <w:r>
        <w:rPr>
          <w:rFonts w:ascii="Times New Roman" w:cs="Times New Roman" w:eastAsia="Times New Roman" w:hAnsi="Times New Roman"/>
          <w:sz w:val="14"/>
          <w:szCs w:val="14"/>
          <w:u w:val="single" w:color="auto"/>
          <w:color w:val="auto"/>
        </w:rPr>
        <w:t>Section 4.2(b)</w:t>
      </w:r>
      <w:r>
        <w:rPr>
          <w:rFonts w:ascii="Times New Roman" w:cs="Times New Roman" w:eastAsia="Times New Roman" w:hAnsi="Times New Roman"/>
          <w:sz w:val="14"/>
          <w:szCs w:val="14"/>
          <w:color w:val="auto"/>
        </w:rPr>
        <w:t xml:space="preserve"> shall be in the amount of at least $5,000,000, and (c) after giving effect to such termination or reduction of the 2020 Letter of Credit Commitments on the date thereof in accordance with this Agreement, the aggregate amount of the 2020 Additional Revolving Credit Lenders’ 2020 Letter of Credit Exposures shall not exceed the Total 2020 Letter of Credit Commitment and the aggregate amount of the 2020 Additional Revolving Credit Lenders’ 2020 Letter of Credit Exposures in respect of any Class shall not exceed the aggregate 2020 Letter of Credit Commitment of such Class.</w:t>
      </w:r>
    </w:p>
    <w:p>
      <w:pPr>
        <w:spacing w:after="0" w:line="162"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4.3</w:t>
      </w:r>
      <w:r>
        <w:rPr>
          <w:sz w:val="20"/>
          <w:szCs w:val="20"/>
          <w:color w:val="auto"/>
        </w:rPr>
        <w:tab/>
      </w:r>
      <w:r>
        <w:rPr>
          <w:rFonts w:ascii="Times New Roman" w:cs="Times New Roman" w:eastAsia="Times New Roman" w:hAnsi="Times New Roman"/>
          <w:sz w:val="14"/>
          <w:szCs w:val="14"/>
          <w:u w:val="single" w:color="auto"/>
          <w:color w:val="auto"/>
        </w:rPr>
        <w:t>Mandatory Termination of Commitments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75" w:lineRule="auto"/>
        <w:tabs>
          <w:tab w:leader="none" w:pos="1972" w:val="left"/>
        </w:tabs>
        <w:numPr>
          <w:ilvl w:val="0"/>
          <w:numId w:val="1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Tranche B-1 Term Loan Commitments shall terminate at 5:00 p.m. (New York City time) on the Amendment No. 1 Effective Date. The Commitments, if any, for Extended Term Loans shall terminate at 5:00 p.m. (New York City time) on the date of the applicable Extension Amendment.</w:t>
      </w:r>
    </w:p>
    <w:p>
      <w:pPr>
        <w:spacing w:after="0" w:line="145"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2004" w:val="left"/>
        </w:tabs>
        <w:numPr>
          <w:ilvl w:val="0"/>
          <w:numId w:val="1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Revolving Credit Commitments shall terminate at 5:00 p.m. (New York City time) on the Revolving Credit Maturity Date.</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New Loan Commitment for any Series shall, unless otherwise provided in the applicable Joinder Agreement, terminate at 5:00 p.m. (New York City time) on the Increased Amount Date for such Series.</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0"/>
          <w:numId w:val="1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2020 Letter of Credit Commitments shall terminate at 5:00 p.m. (New York City time) on the 2020 L/C Facility Maturity Date.</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Tranche B-2 Term Loan Commitments shall terminate at 5:00 p.m. (New York City time) on the Amendment No. 3 Effective Date.</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Initial Tranche B-3 Term Loan Commitments shall terminate at 5:00 p.m. (New York City time) on the Amendment No. 4 Effective Date.</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02" w:name="page203"/>
    <w:bookmarkEnd w:id="202"/>
    <w:p>
      <w:pPr>
        <w:ind w:left="1140" w:right="1159" w:firstLine="524"/>
        <w:spacing w:after="0" w:line="293" w:lineRule="auto"/>
        <w:tabs>
          <w:tab w:leader="none" w:pos="1972" w:val="left"/>
        </w:tabs>
        <w:numPr>
          <w:ilvl w:val="0"/>
          <w:numId w:val="18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Amendment No. 5 Incremental Term Loan Commitments shall terminate at 5:00 p.m. (New York City time) on the Amendment No. 5 Effective Date.</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185"/>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The Tranche B-4 Term Loan Commitments shall terminate at 5:00 p.m. (New York City time) on the Amendment No. 7 Effective Date.</w:t>
      </w:r>
    </w:p>
    <w:p>
      <w:pPr>
        <w:spacing w:after="0" w:line="119"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5.</w:t>
      </w:r>
      <w:r>
        <w:rPr>
          <w:sz w:val="20"/>
          <w:szCs w:val="20"/>
          <w:color w:val="auto"/>
        </w:rPr>
        <w:tab/>
      </w:r>
      <w:r>
        <w:rPr>
          <w:rFonts w:ascii="Times New Roman" w:cs="Times New Roman" w:eastAsia="Times New Roman" w:hAnsi="Times New Roman"/>
          <w:sz w:val="14"/>
          <w:szCs w:val="14"/>
          <w:color w:val="auto"/>
        </w:rPr>
        <w:t>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955040"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5">
                      <a:extLst>
                        <a:ext uri="{28A0092B-C50C-407E-A947-70E740481C1C}"/>
                      </a:extLst>
                    </a:blip>
                    <a:srcRect/>
                    <a:stretch>
                      <a:fillRect/>
                    </a:stretch>
                  </pic:blipFill>
                  <pic:spPr bwMode="auto">
                    <a:xfrm>
                      <a:off x="0" y="0"/>
                      <a:ext cx="955040" cy="6985"/>
                    </a:xfrm>
                    <a:prstGeom prst="rect">
                      <a:avLst/>
                    </a:prstGeom>
                    <a:noFill/>
                  </pic:spPr>
                </pic:pic>
              </a:graphicData>
            </a:graphic>
          </wp:anchor>
        </w:drawing>
      </w:r>
    </w:p>
    <w:p>
      <w:pPr>
        <w:spacing w:after="0" w:line="16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u w:val="single" w:color="auto"/>
          <w:color w:val="auto"/>
        </w:rPr>
        <w:t>Voluntary Prepayments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8" w:lineRule="auto"/>
        <w:tabs>
          <w:tab w:leader="none" w:pos="1993" w:val="left"/>
        </w:tabs>
        <w:numPr>
          <w:ilvl w:val="1"/>
          <w:numId w:val="18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Borrower shall have the right to prepay Loans, including Term Loans and Revolving Credit Loans, as applicable, in each case, other than as set forth in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 xml:space="preserve">, without premium or penalty, in whole or in part from time to time on the following terms and conditions: (1) the Borrower shall give the Administrative Agent at the Administrative Agent’s Office (and, in the case of a Swingline Loan, the Swingline Lender) written notice of its intent to make such prepayment, the amount of such prepayment and (in the case of SOFR Loans) the specific Borrowing(s) pursuant to which made, which notice shall be given by the Borrower no later than 12:00 noon (New York City time) (i) in the case of ABR Loans, one Business Day prior to and (ii) in the case of SOFR Loans, three U.S. Government Securities Business Days prior to the date of such prepayment and shall promptly be transmitted by the Administrative Agent to each of the Lenders; (2) each partial prepayment of (i) any Borrowing of SOFR Loans shall be in a minimum amount of $5,000,000 and in multiples of $1,000,000 in excess thereof and (ii) any ABR Loans shall be in a minimum amount of $1,000,000 and in multiples of $100,000 in excess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partial prepayment of SOFR Loans made pursuant to a single Borrowing shall reduce the outstanding SOFR Loans made pursuant to such Borrowing to an amount less than the applicable Minimum Borrowing Amount for such SOFR Loans and (3) in the case of any prepayment of SOFR Loans pursuant to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xml:space="preserve">. Each prepayment in respect of any Term Loans pursuant to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5.1</w:t>
      </w:r>
      <w:r>
        <w:rPr>
          <w:rFonts w:ascii="Times New Roman" w:cs="Times New Roman" w:eastAsia="Times New Roman" w:hAnsi="Times New Roman"/>
          <w:sz w:val="14"/>
          <w:szCs w:val="14"/>
          <w:color w:val="auto"/>
        </w:rPr>
        <w:t xml:space="preserve"> shall be applied to the Class or Classes of Term Loans as the Borrower may specify. Each prepayment in respect of any Term Loans pursuant to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shall be (a) applied to the Class or Classes of Term Loans as the Borrower may specify and (b) applied to reduce Tranche B</w:t>
      </w:r>
      <w:r>
        <w:rPr>
          <w:rFonts w:ascii="Times New Roman" w:cs="Times New Roman" w:eastAsia="Times New Roman" w:hAnsi="Times New Roman"/>
          <w:sz w:val="14"/>
          <w:szCs w:val="14"/>
          <w:color w:val="FF0000"/>
          <w:strike w:val="1"/>
        </w:rPr>
        <w:t>-1 Term Loan Repayment Amounts,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 Repayment Amounts, any New Term Loan Repayment Amounts, and, subject to </w:t>
      </w:r>
      <w:r>
        <w:rPr>
          <w:rFonts w:ascii="Times New Roman" w:cs="Times New Roman" w:eastAsia="Times New Roman" w:hAnsi="Times New Roman"/>
          <w:sz w:val="14"/>
          <w:szCs w:val="14"/>
          <w:u w:val="single" w:color="auto"/>
          <w:color w:val="auto"/>
        </w:rPr>
        <w:t>Section 2.14(g)</w:t>
      </w:r>
      <w:r>
        <w:rPr>
          <w:rFonts w:ascii="Times New Roman" w:cs="Times New Roman" w:eastAsia="Times New Roman" w:hAnsi="Times New Roman"/>
          <w:sz w:val="14"/>
          <w:szCs w:val="14"/>
          <w:color w:val="auto"/>
        </w:rPr>
        <w:t xml:space="preserve">, Extended Term Loan Repayment Amounts, as the case may be, in each case, in such order and to such Classes as the Borrower may specify. At the Borrower’s election in connection with any prepayment pursuant to this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such prepayment shall not be applied to any Term Loan or Revolving Credit Loan of a Defaulting Lender.</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72" w:val="left"/>
        </w:tabs>
        <w:numPr>
          <w:ilvl w:val="1"/>
          <w:numId w:val="18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FF0000"/>
          <w:strike w:val="1"/>
        </w:rPr>
        <w:t xml:space="preserve">In the event that, </w:t>
      </w:r>
      <w:r>
        <w:rPr>
          <w:rFonts w:ascii="Times New Roman" w:cs="Times New Roman" w:eastAsia="Times New Roman" w:hAnsi="Times New Roman"/>
          <w:sz w:val="14"/>
          <w:szCs w:val="14"/>
          <w:color w:val="008000"/>
          <w:strike w:val="1"/>
        </w:rPr>
        <w:t>on or prior to the</w:t>
      </w:r>
      <w:r>
        <w:rPr>
          <w:rFonts w:ascii="Times New Roman" w:cs="Times New Roman" w:eastAsia="Times New Roman" w:hAnsi="Times New Roman"/>
          <w:sz w:val="14"/>
          <w:szCs w:val="14"/>
          <w:color w:val="FF0000"/>
          <w:strike w:val="1"/>
        </w:rPr>
        <w:t xml:space="preserve"> six-month anniversary of the Amendment No. 1 Effective Date, the Borrower (i) makes any prepayment of Tranche B-1 Term Loans in connection with any Repricing Transaction the primary purpose of which is to decrease the Effective Yield on such Tranche B-1 Term Loans or (ii) effect any amendment of this Agreement resulting in a Repricing Transaction the primary purpose of which is to decrease the Effective Yield on the Tranche B-1 Term Loans, the Borrower shall pay to the Administrative Agent, for the ratable account of each of the applicable Lenders, (x) in the case of clause (i), a prepayment premium of 1.00% of the principal amount of the Tranche B-1 Term Loans being prepaid in connection with such Repricing Transaction and</w:t>
      </w:r>
    </w:p>
    <w:p>
      <w:pPr>
        <w:spacing w:after="0" w:line="2" w:lineRule="exact"/>
        <w:rPr>
          <w:rFonts w:ascii="Times New Roman" w:cs="Times New Roman" w:eastAsia="Times New Roman" w:hAnsi="Times New Roman"/>
          <w:sz w:val="14"/>
          <w:szCs w:val="14"/>
          <w:color w:val="010000"/>
        </w:rPr>
      </w:pPr>
    </w:p>
    <w:p>
      <w:pPr>
        <w:jc w:val="both"/>
        <w:ind w:left="1140" w:right="1159" w:firstLine="7"/>
        <w:spacing w:after="0" w:line="264" w:lineRule="auto"/>
        <w:tabs>
          <w:tab w:leader="none" w:pos="1346" w:val="left"/>
        </w:tabs>
        <w:numPr>
          <w:ilvl w:val="0"/>
          <w:numId w:val="187"/>
        </w:numPr>
        <w:rPr>
          <w:rFonts w:ascii="Times New Roman" w:cs="Times New Roman" w:eastAsia="Times New Roman" w:hAnsi="Times New Roman"/>
          <w:sz w:val="14"/>
          <w:szCs w:val="14"/>
          <w:color w:val="FF0000"/>
          <w:strike w:val="1"/>
        </w:rPr>
      </w:pPr>
      <w:r>
        <w:rPr>
          <w:rFonts w:ascii="Times New Roman" w:cs="Times New Roman" w:eastAsia="Times New Roman" w:hAnsi="Times New Roman"/>
          <w:sz w:val="14"/>
          <w:szCs w:val="14"/>
          <w:color w:val="FF0000"/>
          <w:strike w:val="1"/>
        </w:rPr>
        <w:t>in the case of clause (ii), an amount equal to 1.00% of the aggregate amount of the applicable Tranche B-1 Term Loans outstanding immediately prior to such amendment that are subject to an effective pricing reduction pursuant to such Repricing Transaction.</w:t>
      </w:r>
      <w:r>
        <w:rPr>
          <w:rFonts w:ascii="Times New Roman" w:cs="Times New Roman" w:eastAsia="Times New Roman" w:hAnsi="Times New Roman"/>
          <w:sz w:val="14"/>
          <w:szCs w:val="14"/>
          <w:u w:val="single" w:color="auto"/>
          <w:color w:val="0000FF"/>
          <w:strike w:val="1"/>
        </w:rPr>
        <w:t>[Reserved.]</w:t>
      </w:r>
    </w:p>
    <w:p>
      <w:pPr>
        <w:spacing w:after="0" w:line="154" w:lineRule="exact"/>
        <w:rPr>
          <w:rFonts w:ascii="Times New Roman" w:cs="Times New Roman" w:eastAsia="Times New Roman" w:hAnsi="Times New Roman"/>
          <w:sz w:val="14"/>
          <w:szCs w:val="14"/>
          <w:color w:val="FF0000"/>
          <w:strike w:val="1"/>
        </w:rPr>
      </w:pPr>
    </w:p>
    <w:p>
      <w:pPr>
        <w:jc w:val="both"/>
        <w:ind w:left="1140" w:right="1159" w:firstLine="524"/>
        <w:spacing w:after="0" w:line="261" w:lineRule="auto"/>
        <w:tabs>
          <w:tab w:leader="none" w:pos="1972" w:val="left"/>
        </w:tabs>
        <w:numPr>
          <w:ilvl w:val="1"/>
          <w:numId w:val="18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the event that, on or prior to the six-month anniversary of the Amendment No. </w:t>
      </w:r>
      <w:r>
        <w:rPr>
          <w:rFonts w:ascii="Times New Roman" w:cs="Times New Roman" w:eastAsia="Times New Roman" w:hAnsi="Times New Roman"/>
          <w:sz w:val="14"/>
          <w:szCs w:val="14"/>
          <w:color w:val="FF0000"/>
          <w:strike w:val="1"/>
        </w:rPr>
        <w:t>4</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auto"/>
        </w:rPr>
        <w:t xml:space="preserve"> Effective Date, the Borrower (i) makes any prepayment of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in connection with any Repricing Transaction the primary purpose of which is to decrease the Effective Yield on such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or (ii) effect any amendment of this Agreement resulting in a Repricing Transaction the primary purpose of which is to decrease the Effective Yield on the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the Borrower shall pay to the Administrative Agent, for the ratable account of each of the applicable Lenders, (x) in the case of clause (i), a prepayment premium of 1.00% of the principal amount of the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 being prepaid in connection with such Repricing Transaction and (y) in the case of clause (ii), an amount equal to 1.00% of the aggregate amount of the applicable Tranche B</w:t>
      </w:r>
      <w:r>
        <w:rPr>
          <w:rFonts w:ascii="Times New Roman" w:cs="Times New Roman" w:eastAsia="Times New Roman" w:hAnsi="Times New Roman"/>
          <w:sz w:val="14"/>
          <w:szCs w:val="14"/>
          <w:color w:val="FF0000"/>
          <w:strike w:val="1"/>
        </w:rPr>
        <w:t>-3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Loans</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03" w:name="page204"/>
    <w:bookmarkEnd w:id="203"/>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outstanding immediately prior to such amendment that are subject to an effective pricing reduction pursuant to such Repricing Transaction.</w:t>
      </w:r>
    </w:p>
    <w:p>
      <w:pPr>
        <w:spacing w:after="0" w:line="134"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5.2</w:t>
      </w:r>
      <w:r>
        <w:rPr>
          <w:sz w:val="20"/>
          <w:szCs w:val="20"/>
          <w:color w:val="auto"/>
        </w:rPr>
        <w:tab/>
      </w:r>
      <w:r>
        <w:rPr>
          <w:rFonts w:ascii="Times New Roman" w:cs="Times New Roman" w:eastAsia="Times New Roman" w:hAnsi="Times New Roman"/>
          <w:sz w:val="14"/>
          <w:szCs w:val="14"/>
          <w:u w:val="single" w:color="auto"/>
          <w:color w:val="auto"/>
        </w:rPr>
        <w:t>Mandatory Prepayments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980" w:hanging="316"/>
        <w:spacing w:after="0"/>
        <w:tabs>
          <w:tab w:leader="none" w:pos="1980" w:val="left"/>
        </w:tabs>
        <w:numPr>
          <w:ilvl w:val="2"/>
          <w:numId w:val="18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Term Loan Prepayments</w:t>
      </w:r>
      <w:r>
        <w:rPr>
          <w:rFonts w:ascii="Times New Roman" w:cs="Times New Roman" w:eastAsia="Times New Roman" w:hAnsi="Times New Roman"/>
          <w:sz w:val="14"/>
          <w:szCs w:val="14"/>
          <w:color w:val="auto"/>
        </w:rPr>
        <w:t>.</w:t>
      </w:r>
    </w:p>
    <w:p>
      <w:pPr>
        <w:spacing w:after="0" w:line="183" w:lineRule="exact"/>
        <w:rPr>
          <w:rFonts w:ascii="Times New Roman" w:cs="Times New Roman" w:eastAsia="Times New Roman" w:hAnsi="Times New Roman"/>
          <w:sz w:val="14"/>
          <w:szCs w:val="14"/>
          <w:color w:val="010000"/>
        </w:rPr>
      </w:pPr>
    </w:p>
    <w:p>
      <w:pPr>
        <w:jc w:val="both"/>
        <w:ind w:left="1140" w:right="1159" w:firstLine="294"/>
        <w:spacing w:after="0" w:line="258" w:lineRule="auto"/>
        <w:tabs>
          <w:tab w:leader="none" w:pos="1714"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each occasion that a Prepayment Event occurs, the Borrower shall, within three Business Days after receipt of the Net Cash Proceeds of a Debt Incurrence Prepayment Event (other than one covered by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below) and within ten Business Days after the occurrence of any other Prepayment Event (or, in the case of Deferred Net Cash Proceeds, within ten Business Days after the Deferred Net Cash Proceeds Payment Date), prepay, in accordance with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below, Term Loans with an equivalent principal amount equal to 100% of the Net Cash Proceeds from such Prepayment Event;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equal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Times New Roman" w:cs="Times New Roman" w:eastAsia="Times New Roman" w:hAnsi="Times New Roman"/>
          <w:sz w:val="14"/>
          <w:szCs w:val="14"/>
          <w:i w:val="1"/>
          <w:iCs w:val="1"/>
          <w:color w:val="auto"/>
        </w:rPr>
        <w:t>multiplied</w:t>
      </w:r>
      <w:r>
        <w:rPr>
          <w:rFonts w:ascii="Times New Roman" w:cs="Times New Roman" w:eastAsia="Times New Roman" w:hAnsi="Times New Roman"/>
          <w:sz w:val="14"/>
          <w:szCs w:val="14"/>
          <w:color w:val="auto"/>
        </w:rPr>
        <w:t xml:space="preserve"> by (y) a fraction, the numerator of which is the outstanding principal amount of the Permitted Other Indebtedness with a Lien on the Collateral ranking equal with the Liens securing the Obligations and with respect to which such a requirement to prepay or make an offer to purchase exists and the denominator of which is the sum of the outstanding principal amount of such Permitted Other Indebtedness and the outstanding principal amount of Term Loans.</w:t>
      </w:r>
    </w:p>
    <w:p>
      <w:pPr>
        <w:spacing w:after="0" w:line="156" w:lineRule="exact"/>
        <w:rPr>
          <w:rFonts w:ascii="Times New Roman" w:cs="Times New Roman" w:eastAsia="Times New Roman" w:hAnsi="Times New Roman"/>
          <w:sz w:val="14"/>
          <w:szCs w:val="14"/>
          <w:color w:val="auto"/>
        </w:rPr>
      </w:pPr>
    </w:p>
    <w:p>
      <w:pPr>
        <w:jc w:val="both"/>
        <w:ind w:left="1140" w:right="1159" w:firstLine="294"/>
        <w:spacing w:after="0" w:line="261" w:lineRule="auto"/>
        <w:tabs>
          <w:tab w:leader="none" w:pos="1714" w:val="left"/>
        </w:tabs>
        <w:numPr>
          <w:ilvl w:val="1"/>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 later than ten Business Days after the date on which financial statements are required to be delivered pursuant to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xml:space="preserve"> for any fiscal year (commencing with and including the fiscal year ending December 31, 2020), if, and solely to the extent, Excess Cash Flow for such fiscal year exceeds $15,000,000, the Borrower shall prepay (or cause to be prepaid), in accordance with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below, Term Loans with a principal amount equal to</w:t>
      </w:r>
    </w:p>
    <w:p>
      <w:pPr>
        <w:spacing w:after="0" w:line="1" w:lineRule="exact"/>
        <w:rPr>
          <w:rFonts w:ascii="Times New Roman" w:cs="Times New Roman" w:eastAsia="Times New Roman" w:hAnsi="Times New Roman"/>
          <w:sz w:val="14"/>
          <w:szCs w:val="14"/>
          <w:color w:val="auto"/>
        </w:rPr>
      </w:pPr>
    </w:p>
    <w:p>
      <w:pPr>
        <w:jc w:val="both"/>
        <w:ind w:left="1140" w:right="1159" w:firstLine="7"/>
        <w:spacing w:after="0" w:line="257" w:lineRule="auto"/>
        <w:tabs>
          <w:tab w:leader="none" w:pos="1345"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50% of Excess Cash Flow for such fiscal year;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percentage in this </w:t>
      </w:r>
      <w:r>
        <w:rPr>
          <w:rFonts w:ascii="Times New Roman" w:cs="Times New Roman" w:eastAsia="Times New Roman" w:hAnsi="Times New Roman"/>
          <w:sz w:val="14"/>
          <w:szCs w:val="14"/>
          <w:u w:val="single" w:color="auto"/>
          <w:color w:val="auto"/>
        </w:rPr>
        <w:t>Section 5.2(a)(ii)</w:t>
      </w:r>
      <w:r>
        <w:rPr>
          <w:rFonts w:ascii="Times New Roman" w:cs="Times New Roman" w:eastAsia="Times New Roman" w:hAnsi="Times New Roman"/>
          <w:sz w:val="14"/>
          <w:szCs w:val="14"/>
          <w:color w:val="auto"/>
        </w:rPr>
        <w:t xml:space="preserve"> shall be reduced to 25% if the Consolidated First Lien Secured Debt to Consolidated EBITDA Ratio on the date of prepayment (prior to giving effect thereto but giving effect to any prepayment described in </w:t>
      </w:r>
      <w:r>
        <w:rPr>
          <w:rFonts w:ascii="Times New Roman" w:cs="Times New Roman" w:eastAsia="Times New Roman" w:hAnsi="Times New Roman"/>
          <w:sz w:val="14"/>
          <w:szCs w:val="14"/>
          <w:u w:val="single" w:color="auto"/>
          <w:color w:val="auto"/>
        </w:rPr>
        <w:t>clause (y)</w:t>
      </w:r>
      <w:r>
        <w:rPr>
          <w:rFonts w:ascii="Times New Roman" w:cs="Times New Roman" w:eastAsia="Times New Roman" w:hAnsi="Times New Roman"/>
          <w:sz w:val="14"/>
          <w:szCs w:val="14"/>
          <w:color w:val="auto"/>
        </w:rPr>
        <w:t xml:space="preserve"> below and as certified by an Authorized Officer of the Borrower) for the most recent Test Period ended prior to such prepayment date is less than or equal to 4.00:1.00 but greater than 3.50:1.00 and (B) no payment of any Term Loans shall be required under this </w:t>
      </w:r>
      <w:r>
        <w:rPr>
          <w:rFonts w:ascii="Times New Roman" w:cs="Times New Roman" w:eastAsia="Times New Roman" w:hAnsi="Times New Roman"/>
          <w:sz w:val="14"/>
          <w:szCs w:val="14"/>
          <w:u w:val="single" w:color="auto"/>
          <w:color w:val="auto"/>
        </w:rPr>
        <w:t>Section 5.2(a)(ii)</w:t>
      </w:r>
      <w:r>
        <w:rPr>
          <w:rFonts w:ascii="Times New Roman" w:cs="Times New Roman" w:eastAsia="Times New Roman" w:hAnsi="Times New Roman"/>
          <w:sz w:val="14"/>
          <w:szCs w:val="14"/>
          <w:color w:val="auto"/>
        </w:rPr>
        <w:t xml:space="preserve"> if the Consolidated First Lien Secured Debt to Consolidated EBITDA Ratio on the date of prepayment (prior to giving effect thereto but giving effect to any prepayment described in </w:t>
      </w:r>
      <w:r>
        <w:rPr>
          <w:rFonts w:ascii="Times New Roman" w:cs="Times New Roman" w:eastAsia="Times New Roman" w:hAnsi="Times New Roman"/>
          <w:sz w:val="14"/>
          <w:szCs w:val="14"/>
          <w:u w:val="single" w:color="auto"/>
          <w:color w:val="auto"/>
        </w:rPr>
        <w:t>clause (y)</w:t>
      </w:r>
      <w:r>
        <w:rPr>
          <w:rFonts w:ascii="Times New Roman" w:cs="Times New Roman" w:eastAsia="Times New Roman" w:hAnsi="Times New Roman"/>
          <w:sz w:val="14"/>
          <w:szCs w:val="14"/>
          <w:color w:val="auto"/>
        </w:rPr>
        <w:t xml:space="preserve"> below and as certified by an Authorized Officer of the Borrower) for the most recent Test Period ended prior to such prepayment date is less than or equal to 3.50:1.00,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(y) (i) the sum during such fiscal year of the principal amount of Term Loans voluntarily prepaid pursuant to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Second Lien Loans voluntarily prepaid pursuant to Section 5.1 or Section 13.6 of the Second Lien Credit Agreement (in each case, including purchases of the Loans by the Borrower and its Subsidiaries at or below par offered to all Lenders and Dutch auctions, in which case the amount of voluntary prepayments of Loans shall be deemed not to exceed the actual purchase price of such Loans at or below par) during such fiscal year or after such fiscal year and prior to the date of the required Excess Cash Flow payment and (ii) to the extent accompanied by permanent reduction of commitments, optional reductions of Incremental Revolving Credit Commitments, Revolving Credit Commitments, Extended Revolving Credit Commitments, Incremental Revolving Credit Commitments, Swingline Loans, as applicable, Revolving Credit Loans, Extended Revolving Credit Loans, Incremental Revolving Credit Loans, in each case, other than to the extent any such prepayment is funded with the proceeds of Funded Debt.</w:t>
      </w:r>
    </w:p>
    <w:p>
      <w:pPr>
        <w:spacing w:after="0" w:line="153" w:lineRule="exact"/>
        <w:rPr>
          <w:rFonts w:ascii="Times New Roman" w:cs="Times New Roman" w:eastAsia="Times New Roman" w:hAnsi="Times New Roman"/>
          <w:sz w:val="14"/>
          <w:szCs w:val="14"/>
          <w:color w:val="auto"/>
        </w:rPr>
      </w:pPr>
    </w:p>
    <w:p>
      <w:pPr>
        <w:jc w:val="both"/>
        <w:ind w:left="1140" w:right="1159" w:firstLine="294"/>
        <w:spacing w:after="0" w:line="268" w:lineRule="auto"/>
        <w:tabs>
          <w:tab w:leader="none" w:pos="1714"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On each occasion that Permitted Other Indebtedness is issued or incurred pursuant to </w:t>
      </w:r>
      <w:r>
        <w:rPr>
          <w:rFonts w:ascii="Times New Roman" w:cs="Times New Roman" w:eastAsia="Times New Roman" w:hAnsi="Times New Roman"/>
          <w:sz w:val="14"/>
          <w:szCs w:val="14"/>
          <w:u w:val="single" w:color="auto"/>
          <w:color w:val="auto"/>
        </w:rPr>
        <w:t>Section 10.1(w)</w:t>
      </w:r>
      <w:r>
        <w:rPr>
          <w:rFonts w:ascii="Times New Roman" w:cs="Times New Roman" w:eastAsia="Times New Roman" w:hAnsi="Times New Roman"/>
          <w:sz w:val="14"/>
          <w:szCs w:val="14"/>
          <w:color w:val="auto"/>
        </w:rPr>
        <w:t xml:space="preserve">, the Borrower shall within three Business Days of receipt of the Net Cash Proceeds of such Permitted Other Indebtedness prepay, in accordance with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below, Term Loans with a principal amount equal to 100% of the Net Cash Proceeds from such issuance or incurrence of Permitted Other Indebtedness.</w:t>
      </w:r>
    </w:p>
    <w:p>
      <w:pPr>
        <w:spacing w:after="0" w:line="141" w:lineRule="exact"/>
        <w:rPr>
          <w:rFonts w:ascii="Times New Roman" w:cs="Times New Roman" w:eastAsia="Times New Roman" w:hAnsi="Times New Roman"/>
          <w:sz w:val="14"/>
          <w:szCs w:val="14"/>
          <w:color w:val="auto"/>
        </w:rPr>
      </w:pPr>
    </w:p>
    <w:p>
      <w:pPr>
        <w:ind w:left="1140" w:right="1159" w:firstLine="294"/>
        <w:spacing w:after="0" w:line="293" w:lineRule="auto"/>
        <w:tabs>
          <w:tab w:leader="none" w:pos="1714" w:val="left"/>
        </w:tabs>
        <w:numPr>
          <w:ilvl w:val="1"/>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Notwithstanding any other provisions of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(A) to the extent that any or all of the Net Cash Proceeds of any Prepayment Event by a Subsidiary that is not a Credit Party giving rise to a prepayment pursuant</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04" w:name="page205"/>
    <w:bookmarkEnd w:id="204"/>
    <w:p>
      <w:pPr>
        <w:jc w:val="both"/>
        <w:ind w:left="1140" w:right="1159"/>
        <w:spacing w:after="0" w:line="174" w:lineRule="exact"/>
        <w:rPr>
          <w:sz w:val="20"/>
          <w:szCs w:val="20"/>
          <w:color w:val="auto"/>
        </w:rPr>
      </w:pPr>
      <w:r>
        <w:rPr>
          <w:rFonts w:ascii="Times New Roman" w:cs="Times New Roman" w:eastAsia="Times New Roman" w:hAnsi="Times New Roman"/>
          <w:sz w:val="14"/>
          <w:szCs w:val="14"/>
          <w:color w:val="auto"/>
        </w:rPr>
        <w:t xml:space="preserve">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(a “</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Credit Party Prepayment Event</w:t>
      </w:r>
      <w:r>
        <w:rPr>
          <w:rFonts w:ascii="Times New Roman" w:cs="Times New Roman" w:eastAsia="Times New Roman" w:hAnsi="Times New Roman"/>
          <w:sz w:val="14"/>
          <w:szCs w:val="14"/>
          <w:color w:val="auto"/>
        </w:rPr>
        <w:t xml:space="preserve">”) or Excess Cash Flow are prohibited or delayed by any Requirements of Law from being repatriated to the Credit Parties, an amount equal to the portion of such Net Cash Proceeds or Excess Cash Flow so affected will not be required to be applied to repay Loans at the times provided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as the case may be, but only so long, as the applicable Requirements of Law will not permit repatriation to the Credit Parties (the Credit Parties hereby agreeing to cause the applicable Subsidiary to promptly take all actions reasonably required by the applicable Requirements of Law to permit repatriation), and once a repatriation of any of such affected Net Cash Proceeds or Excess Cash Flow is permitted under the applicable Requirements of Law, an amount equal to such Net Cash Proceeds or Excess Cash Flow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above, as applicable, and (B) to the extent that the Borrower has determined in good faith that repatriation of any of or all the Net Cash Proceeds of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Credit Party Prepayment Event or Excess Cash Flow would have a material adverse tax consequence with respect to such Net Cash Proceeds or Excess Cash Flow, an amount equal to the Net Cash Proceeds or Excess Cash Flow so affected may be retained by the applicable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on or before the date on which any Net Cash Proceeds from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Credit Party Prepayment Event so retained would otherwise have been required to be applied to reinvestments or prepayments pursuant to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or, in the case of Excess Cash Flow, a date on or before the date that is eighteen months after the date an amount equal to such Excess Cash Flow would have so required to be applied to prepayments pursuant to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unless previously actually repatriated in which case such repatriated Excess Cash Flow shall have been promptly applied to the repayment of the Term Loans pursuant to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xml:space="preserve"> above, (x) the Borrower shall apply an amount equal to such Net Cash Proceeds or Excess Cash Flow to such reinvestments or prepayments as if such Net Cash Proceeds or Excess Cash Flow had been received by the Credit Parties rather than such Subsidiary, less the amount of any taxes that would have been payable or reserved against if such Net Cash Proceeds or Excess Cash Flow had been repatriated (or, if less, the Net Cash Proceeds or Excess Cash Flow that would be calculated if received by such Foreign Subsidiary) or (y) such Net Cash Proceeds or Excess Cash Flow shall be applied to the repayment of Indebtedness of a Subsidiary that is not a Credit Party. For the avoidance of doubt, nothing in this Agreement, including </w:t>
      </w:r>
      <w:r>
        <w:rPr>
          <w:rFonts w:ascii="Times New Roman" w:cs="Times New Roman" w:eastAsia="Times New Roman" w:hAnsi="Times New Roman"/>
          <w:sz w:val="14"/>
          <w:szCs w:val="14"/>
          <w:u w:val="single" w:color="auto"/>
          <w:color w:val="auto"/>
        </w:rPr>
        <w:t>Section 5</w:t>
      </w:r>
      <w:r>
        <w:rPr>
          <w:rFonts w:ascii="Times New Roman" w:cs="Times New Roman" w:eastAsia="Times New Roman" w:hAnsi="Times New Roman"/>
          <w:sz w:val="14"/>
          <w:szCs w:val="14"/>
          <w:color w:val="auto"/>
        </w:rPr>
        <w:t xml:space="preserve"> shall be construed to require any Subsidiary to repatriate cash.</w:t>
      </w:r>
    </w:p>
    <w:p>
      <w:pPr>
        <w:spacing w:after="0" w:line="344" w:lineRule="exact"/>
        <w:rPr>
          <w:sz w:val="20"/>
          <w:szCs w:val="20"/>
          <w:color w:val="auto"/>
        </w:rPr>
      </w:pPr>
    </w:p>
    <w:p>
      <w:pPr>
        <w:ind w:left="1980" w:hanging="316"/>
        <w:spacing w:after="0"/>
        <w:tabs>
          <w:tab w:leader="none" w:pos="1980" w:val="left"/>
        </w:tabs>
        <w:numPr>
          <w:ilvl w:val="0"/>
          <w:numId w:val="19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Repayment of Revolving Credit Loans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2" w:lineRule="auto"/>
        <w:tabs>
          <w:tab w:leader="none" w:pos="1982" w:val="left"/>
        </w:tabs>
        <w:numPr>
          <w:ilvl w:val="0"/>
          <w:numId w:val="1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or the Swingline Loans, as the case may be,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Revolving Letter of Credit Outstanding in relation to such Class to the extent of such excess.</w:t>
      </w:r>
    </w:p>
    <w:p>
      <w:pPr>
        <w:spacing w:after="0" w:line="157"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1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on any date the aggregate amount of the 2020 Additional Revolving Credit Lenders’ 2020 Letter of Credit Exposures in respect of 2020 Letters of Credit for any reason exceeds the Total 2020 Letter of Credit Commitment then in effect, the Borrower shall forthwith repay on such date the principal amount of 2020 Letter of Credit Exposure in an amount equal to such excess. If after giving effect to the prepayment of all 2020 Letter of Credit Exposure, the 2020 Letter of Credit Exposures exceed the Total 2020 Letter of Credit Commitment then in effect, the Borrower shall Cash Collateralize the 2020 Letter of Credit Outstanding to the extent of such excess.</w:t>
      </w:r>
    </w:p>
    <w:p>
      <w:pPr>
        <w:spacing w:after="0" w:line="153" w:lineRule="exact"/>
        <w:rPr>
          <w:sz w:val="20"/>
          <w:szCs w:val="20"/>
          <w:color w:val="auto"/>
        </w:rPr>
      </w:pPr>
    </w:p>
    <w:p>
      <w:pPr>
        <w:jc w:val="both"/>
        <w:ind w:left="1140" w:right="1159" w:firstLine="524"/>
        <w:spacing w:after="0" w:line="260" w:lineRule="auto"/>
        <w:tabs>
          <w:tab w:leader="none" w:pos="1993" w:val="left"/>
        </w:tabs>
        <w:numPr>
          <w:ilvl w:val="0"/>
          <w:numId w:val="19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Application to Repayment Amounts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5.2(f)</w:t>
      </w:r>
      <w:r>
        <w:rPr>
          <w:rFonts w:ascii="Times New Roman" w:cs="Times New Roman" w:eastAsia="Times New Roman" w:hAnsi="Times New Roman"/>
          <w:sz w:val="14"/>
          <w:szCs w:val="14"/>
          <w:color w:val="auto"/>
        </w:rPr>
        <w:t xml:space="preserve">, each prepayment of Term Loans required by </w:t>
      </w:r>
      <w:r>
        <w:rPr>
          <w:rFonts w:ascii="Times New Roman" w:cs="Times New Roman" w:eastAsia="Times New Roman" w:hAnsi="Times New Roman"/>
          <w:sz w:val="14"/>
          <w:szCs w:val="14"/>
          <w:u w:val="single" w:color="auto"/>
          <w:color w:val="auto"/>
        </w:rPr>
        <w:t>Section 5.2(a)(i)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shall be allocated pro rata among the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auto"/>
        </w:rPr>
        <w:t xml:space="preserve"> Term </w:t>
      </w:r>
      <w:r>
        <w:rPr>
          <w:rFonts w:ascii="Times New Roman" w:cs="Times New Roman" w:eastAsia="Times New Roman" w:hAnsi="Times New Roman"/>
          <w:sz w:val="14"/>
          <w:szCs w:val="14"/>
          <w:color w:val="FF0000"/>
          <w:strike w:val="1"/>
        </w:rPr>
        <w:t>Loans, Tranche B-3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Term</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Loans, the New Term Loans and the Extended Term Loans based on the applicable remaining Repayment</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 xml:space="preserve">Amounts due thereunder and shall be applied within each Class of Term Loans in respect of such Term Loans in direct order of maturity thereof or as otherwise directed by the Borrower; </w:t>
      </w:r>
      <w:r>
        <w:rPr>
          <w:rFonts w:ascii="Times New Roman" w:cs="Times New Roman" w:eastAsia="Times New Roman" w:hAnsi="Times New Roman"/>
          <w:sz w:val="14"/>
          <w:szCs w:val="14"/>
          <w:u w:val="single" w:color="auto"/>
          <w:color w:val="000000"/>
        </w:rPr>
        <w:t>provided</w:t>
      </w:r>
      <w:r>
        <w:rPr>
          <w:rFonts w:ascii="Times New Roman" w:cs="Times New Roman" w:eastAsia="Times New Roman" w:hAnsi="Times New Roman"/>
          <w:sz w:val="14"/>
          <w:szCs w:val="14"/>
          <w:color w:val="000000"/>
        </w:rPr>
        <w:t xml:space="preserve"> that the Borrower may allocate a greater proportion of such prepayment in its sole discretion to the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w:t>
      </w:r>
      <w:r>
        <w:rPr>
          <w:rFonts w:ascii="Times New Roman" w:cs="Times New Roman" w:eastAsia="Times New Roman" w:hAnsi="Times New Roman"/>
          <w:sz w:val="14"/>
          <w:szCs w:val="14"/>
          <w:color w:val="FF0000"/>
          <w:strike w:val="1"/>
        </w:rPr>
        <w:t>Loans or Tranche B-3 Term</w:t>
      </w:r>
      <w:r>
        <w:rPr>
          <w:rFonts w:ascii="Times New Roman" w:cs="Times New Roman" w:eastAsia="Times New Roman" w:hAnsi="Times New Roman"/>
          <w:sz w:val="14"/>
          <w:szCs w:val="14"/>
          <w:color w:val="000000"/>
        </w:rPr>
        <w:t xml:space="preserve"> Loans to the extent agreed to by the Lenders providing any applicable New Term Loans and/or Extended Term Loans outstanding at such time. Subject to </w:t>
      </w:r>
      <w:r>
        <w:rPr>
          <w:rFonts w:ascii="Times New Roman" w:cs="Times New Roman" w:eastAsia="Times New Roman" w:hAnsi="Times New Roman"/>
          <w:sz w:val="14"/>
          <w:szCs w:val="14"/>
          <w:u w:val="single" w:color="auto"/>
          <w:color w:val="000000"/>
        </w:rPr>
        <w:t>Section 5.2(f)</w:t>
      </w:r>
      <w:r>
        <w:rPr>
          <w:rFonts w:ascii="Times New Roman" w:cs="Times New Roman" w:eastAsia="Times New Roman" w:hAnsi="Times New Roman"/>
          <w:sz w:val="14"/>
          <w:szCs w:val="14"/>
          <w:color w:val="000000"/>
        </w:rPr>
        <w:t xml:space="preserve">, with respect to each such prepayment, the Borrower will, not later than the date specified in </w:t>
      </w:r>
      <w:r>
        <w:rPr>
          <w:rFonts w:ascii="Times New Roman" w:cs="Times New Roman" w:eastAsia="Times New Roman" w:hAnsi="Times New Roman"/>
          <w:sz w:val="14"/>
          <w:szCs w:val="14"/>
          <w:u w:val="single" w:color="auto"/>
          <w:color w:val="000000"/>
        </w:rPr>
        <w:t>Section 5.2(a)</w:t>
      </w:r>
      <w:r>
        <w:rPr>
          <w:rFonts w:ascii="Times New Roman" w:cs="Times New Roman" w:eastAsia="Times New Roman" w:hAnsi="Times New Roman"/>
          <w:sz w:val="14"/>
          <w:szCs w:val="14"/>
          <w:color w:val="000000"/>
        </w:rPr>
        <w:t xml:space="preserve"> for making such prepayment, give the Administrative Agent written notice which shall include a calculation of the amount of such prepayment to be applied to each Class of Term Loans</w:t>
      </w: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205" w:name="page206"/>
    <w:bookmarkEnd w:id="205"/>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requesting that the Administrative Agent provide notice of such prepayment to each Tranche B</w:t>
      </w:r>
      <w:r>
        <w:rPr>
          <w:rFonts w:ascii="Times New Roman" w:cs="Times New Roman" w:eastAsia="Times New Roman" w:hAnsi="Times New Roman"/>
          <w:sz w:val="14"/>
          <w:szCs w:val="14"/>
          <w:color w:val="FF0000"/>
          <w:strike w:val="1"/>
        </w:rPr>
        <w:t>-1 Term Loan Lender,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 Loan Lender, New Term Loan Lender or Lender of Extended Term Loans, as applicable.</w:t>
      </w:r>
    </w:p>
    <w:p>
      <w:pPr>
        <w:spacing w:after="0" w:line="134" w:lineRule="exact"/>
        <w:rPr>
          <w:sz w:val="20"/>
          <w:szCs w:val="20"/>
          <w:color w:val="auto"/>
        </w:rPr>
      </w:pPr>
    </w:p>
    <w:p>
      <w:pPr>
        <w:jc w:val="both"/>
        <w:ind w:left="1140" w:right="1159" w:firstLine="524"/>
        <w:spacing w:after="0" w:line="261" w:lineRule="auto"/>
        <w:tabs>
          <w:tab w:leader="none" w:pos="1982" w:val="left"/>
        </w:tabs>
        <w:numPr>
          <w:ilvl w:val="0"/>
          <w:numId w:val="1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Application to Term Loans</w:t>
      </w:r>
      <w:r>
        <w:rPr>
          <w:rFonts w:ascii="Times New Roman" w:cs="Times New Roman" w:eastAsia="Times New Roman" w:hAnsi="Times New Roman"/>
          <w:sz w:val="14"/>
          <w:szCs w:val="14"/>
          <w:color w:val="auto"/>
        </w:rPr>
        <w:t xml:space="preserve">. With respect to each prepayment of Term Loans required by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5.2(a)</w:t>
      </w:r>
      <w:r>
        <w:rPr>
          <w:rFonts w:ascii="Times New Roman" w:cs="Times New Roman" w:eastAsia="Times New Roman" w:hAnsi="Times New Roman"/>
          <w:sz w:val="14"/>
          <w:szCs w:val="14"/>
          <w:color w:val="auto"/>
        </w:rPr>
        <w:t xml:space="preserve">, the Borrower may, if applicable, designate the Types of Loans that are to be prepaid and the specific Borrowing(s) pursuant to which made;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any Lender has provided a Rejection Notice in compliance with </w:t>
      </w:r>
      <w:r>
        <w:rPr>
          <w:rFonts w:ascii="Times New Roman" w:cs="Times New Roman" w:eastAsia="Times New Roman" w:hAnsi="Times New Roman"/>
          <w:sz w:val="14"/>
          <w:szCs w:val="14"/>
          <w:u w:val="single" w:color="auto"/>
          <w:color w:val="auto"/>
        </w:rPr>
        <w:t>Section 5.2(f)</w:t>
      </w:r>
      <w:r>
        <w:rPr>
          <w:rFonts w:ascii="Times New Roman" w:cs="Times New Roman" w:eastAsia="Times New Roman" w:hAnsi="Times New Roman"/>
          <w:sz w:val="14"/>
          <w:szCs w:val="14"/>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w:t>
      </w:r>
    </w:p>
    <w:p>
      <w:pPr>
        <w:spacing w:after="0" w:line="331"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1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Application to Revolving Loans</w:t>
      </w:r>
      <w:r>
        <w:rPr>
          <w:rFonts w:ascii="Times New Roman" w:cs="Times New Roman" w:eastAsia="Times New Roman" w:hAnsi="Times New Roman"/>
          <w:sz w:val="14"/>
          <w:szCs w:val="14"/>
          <w:color w:val="auto"/>
        </w:rPr>
        <w:t xml:space="preserve">. With respect to each prepayment of Revolving Loans, the Borrower may designate (i) the Types of Loans that are to be prepaid and the specific Borrowing(s) pursuant to which made and (ii) the Revolving Loans to be prepaid,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(y) each prepayment of any Loans made pursuant to a Borrowing shall be applied pro rata among such Loans; and (z) notwithstanding the provisions of the preceding </w:t>
      </w:r>
      <w:r>
        <w:rPr>
          <w:rFonts w:ascii="Times New Roman" w:cs="Times New Roman" w:eastAsia="Times New Roman" w:hAnsi="Times New Roman"/>
          <w:sz w:val="14"/>
          <w:szCs w:val="14"/>
          <w:u w:val="single" w:color="auto"/>
          <w:color w:val="auto"/>
        </w:rPr>
        <w:t>clause (y)</w:t>
      </w:r>
      <w:r>
        <w:rPr>
          <w:rFonts w:ascii="Times New Roman" w:cs="Times New Roman" w:eastAsia="Times New Roman" w:hAnsi="Times New Roman"/>
          <w:sz w:val="14"/>
          <w:szCs w:val="14"/>
          <w:color w:val="auto"/>
        </w:rPr>
        <w:t xml:space="preserve">, no prepayment of Revolving Loans shall be applied to the Revolving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82" w:val="left"/>
        </w:tabs>
        <w:numPr>
          <w:ilvl w:val="0"/>
          <w:numId w:val="1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Rejection Right</w:t>
      </w:r>
      <w:r>
        <w:rPr>
          <w:rFonts w:ascii="Times New Roman" w:cs="Times New Roman" w:eastAsia="Times New Roman" w:hAnsi="Times New Roman"/>
          <w:sz w:val="14"/>
          <w:szCs w:val="14"/>
          <w:color w:val="auto"/>
        </w:rPr>
        <w:t xml:space="preserve">. The Borrower shall notify the Administrative Agent in writing of any mandatory prepayment of Term Loans required to be made pursuant to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Times New Roman" w:cs="Times New Roman" w:eastAsia="Times New Roman" w:hAnsi="Times New Roman"/>
          <w:sz w:val="14"/>
          <w:szCs w:val="14"/>
          <w:u w:val="single" w:color="auto"/>
          <w:color w:val="auto"/>
        </w:rPr>
        <w:t>Section 5.2(a)(i)</w:t>
      </w:r>
      <w:r>
        <w:rPr>
          <w:rFonts w:ascii="Times New Roman" w:cs="Times New Roman" w:eastAsia="Times New Roman" w:hAnsi="Times New Roman"/>
          <w:sz w:val="14"/>
          <w:szCs w:val="14"/>
          <w:color w:val="auto"/>
        </w:rPr>
        <w:t xml:space="preserve"> or Permitted Other Indebtedness under </w:t>
      </w:r>
      <w:r>
        <w:rPr>
          <w:rFonts w:ascii="Times New Roman" w:cs="Times New Roman" w:eastAsia="Times New Roman" w:hAnsi="Times New Roman"/>
          <w:sz w:val="14"/>
          <w:szCs w:val="14"/>
          <w:u w:val="single" w:color="auto"/>
          <w:color w:val="auto"/>
        </w:rPr>
        <w:t>Section 5.2(a)(iii)</w:t>
      </w:r>
      <w:r>
        <w:rPr>
          <w:rFonts w:ascii="Times New Roman" w:cs="Times New Roman" w:eastAsia="Times New Roman" w:hAnsi="Times New Roman"/>
          <w:sz w:val="14"/>
          <w:szCs w:val="14"/>
          <w:color w:val="auto"/>
        </w:rPr>
        <w:t xml:space="preserve"> (such declined amounts, the “</w:t>
      </w:r>
      <w:r>
        <w:rPr>
          <w:rFonts w:ascii="Times New Roman" w:cs="Times New Roman" w:eastAsia="Times New Roman" w:hAnsi="Times New Roman"/>
          <w:sz w:val="14"/>
          <w:szCs w:val="14"/>
          <w:b w:val="1"/>
          <w:bCs w:val="1"/>
          <w:color w:val="auto"/>
        </w:rPr>
        <w:t>Declined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Proceeds</w:t>
      </w:r>
      <w:r>
        <w:rPr>
          <w:rFonts w:ascii="Times New Roman" w:cs="Times New Roman" w:eastAsia="Times New Roman" w:hAnsi="Times New Roman"/>
          <w:sz w:val="14"/>
          <w:szCs w:val="14"/>
          <w:color w:val="auto"/>
        </w:rPr>
        <w:t>”) of Term Loans required to be made pursuant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by providing written notice (each,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Rejection Notice</w:t>
      </w:r>
      <w:r>
        <w:rPr>
          <w:rFonts w:ascii="Times New Roman" w:cs="Times New Roman" w:eastAsia="Times New Roman" w:hAnsi="Times New Roman"/>
          <w:sz w:val="14"/>
          <w:szCs w:val="14"/>
          <w:color w:val="auto"/>
        </w:rPr>
        <w:t>”) to the Administrative 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 Any Declined Proceeds remaining after offering such Declined Proceeds to the Lenders in accordance with the terms hereof and remaining after offering such Declined Proceeds to the Lenders under the Second Lien Facility in accordance with the terms of the Second Lien Facility shall thereafter be retained by the Borrower (“</w:t>
      </w:r>
      <w:r>
        <w:rPr>
          <w:rFonts w:ascii="Times New Roman" w:cs="Times New Roman" w:eastAsia="Times New Roman" w:hAnsi="Times New Roman"/>
          <w:sz w:val="14"/>
          <w:szCs w:val="14"/>
          <w:b w:val="1"/>
          <w:bCs w:val="1"/>
          <w:color w:val="auto"/>
        </w:rPr>
        <w:t>Retained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Declined Proceeds</w:t>
      </w:r>
      <w:r>
        <w:rPr>
          <w:rFonts w:ascii="Times New Roman" w:cs="Times New Roman" w:eastAsia="Times New Roman" w:hAnsi="Times New Roman"/>
          <w:sz w:val="14"/>
          <w:szCs w:val="14"/>
          <w:color w:val="auto"/>
        </w:rPr>
        <w:t>”).</w:t>
      </w:r>
    </w:p>
    <w:p>
      <w:pPr>
        <w:spacing w:after="0" w:line="329"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1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100% of the proceeds of all Additional Tranche B-1 Term Loans shall be used to repay Existing Term Loans of the Non-Consenting Existing Term Loan Lenders and Post-Closing Option Lenders.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1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Notwithstanding anything to the contrary contained in </w:t>
      </w:r>
      <w:r>
        <w:rPr>
          <w:rFonts w:ascii="Times New Roman" w:cs="Times New Roman" w:eastAsia="Times New Roman" w:hAnsi="Times New Roman"/>
          <w:sz w:val="14"/>
          <w:szCs w:val="14"/>
          <w:u w:val="single" w:color="auto"/>
          <w:color w:val="auto"/>
        </w:rPr>
        <w:t>Section 5.1</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Section 5.2</w:t>
      </w:r>
      <w:r>
        <w:rPr>
          <w:rFonts w:ascii="Times New Roman" w:cs="Times New Roman" w:eastAsia="Times New Roman" w:hAnsi="Times New Roman"/>
          <w:sz w:val="14"/>
          <w:szCs w:val="14"/>
          <w:color w:val="auto"/>
        </w:rPr>
        <w:t>, 100% of the proceeds of all Additional Tranche B-3 Term Loans shall be used to repay Existing Tranche B-2 Term Loans of the Non-Consenting Existing Tranche B-2 Term Loan Lenders and Post-Closing Option Tranche B-2 Lenders.</w:t>
      </w:r>
    </w:p>
    <w:p>
      <w:pPr>
        <w:spacing w:after="0" w:line="14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5.3</w:t>
      </w:r>
      <w:r>
        <w:rPr>
          <w:sz w:val="20"/>
          <w:szCs w:val="20"/>
          <w:color w:val="auto"/>
        </w:rPr>
        <w:tab/>
      </w:r>
      <w:r>
        <w:rPr>
          <w:rFonts w:ascii="Times New Roman" w:cs="Times New Roman" w:eastAsia="Times New Roman" w:hAnsi="Times New Roman"/>
          <w:sz w:val="14"/>
          <w:szCs w:val="14"/>
          <w:u w:val="single" w:color="auto"/>
          <w:color w:val="auto"/>
        </w:rPr>
        <w:t>Method and Place of Payment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176" w:lineRule="exact"/>
        <w:tabs>
          <w:tab w:leader="none" w:pos="1972" w:val="left"/>
        </w:tabs>
        <w:numPr>
          <w:ilvl w:val="0"/>
          <w:numId w:val="19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Except as otherwise specifically provided herein, all payments under this Agreement shall be made by the Borrower, without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counterclaim or deduction of any kind, to the Administrative Agent for the ratable account of the Lenders entitled thereto, the Letter of Credit Issuer entitled thereto or the Swingline Lender entitled thereto, as the case may be; all such payments shall be made, except as otherwise specifically provided herein, not later than 12:00 noon (New York City time) on the date when due and shall be made in immediately available funds at the Administrative Agent’s Office or at such other office as the Administrative Agent shall specify for such purpose by notice to the Borrower, it being understood that written or facsimile notice by the Borrower to the Administrative Agent to make a payment from the funds in the Borrower’s account(s) at the Administrative Agent’s Office shall</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06" w:name="page207"/>
    <w:bookmarkEnd w:id="206"/>
    <w:p>
      <w:pPr>
        <w:jc w:val="both"/>
        <w:ind w:left="1140" w:right="1159"/>
        <w:spacing w:after="0" w:line="262" w:lineRule="auto"/>
        <w:rPr>
          <w:sz w:val="20"/>
          <w:szCs w:val="20"/>
          <w:color w:val="auto"/>
        </w:rPr>
      </w:pPr>
      <w:r>
        <w:rPr>
          <w:rFonts w:ascii="Times New Roman" w:cs="Times New Roman" w:eastAsia="Times New Roman" w:hAnsi="Times New Roman"/>
          <w:sz w:val="14"/>
          <w:szCs w:val="14"/>
          <w:color w:val="auto"/>
        </w:rPr>
        <w:t>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12:00 noon (New York City time) or, otherwise, on the next Business Day in the Administrative Agent’s sole discretion) like funds relating to the payment of principal or interest or Fees ratably to the Lenders entitled thereto.</w:t>
      </w:r>
    </w:p>
    <w:p>
      <w:pPr>
        <w:spacing w:after="0" w:line="158" w:lineRule="exact"/>
        <w:rPr>
          <w:sz w:val="20"/>
          <w:szCs w:val="20"/>
          <w:color w:val="auto"/>
        </w:rPr>
      </w:pPr>
    </w:p>
    <w:p>
      <w:pPr>
        <w:jc w:val="both"/>
        <w:ind w:left="1140" w:right="1159" w:firstLine="524"/>
        <w:spacing w:after="0" w:line="264" w:lineRule="auto"/>
        <w:tabs>
          <w:tab w:leader="none" w:pos="1972" w:val="left"/>
        </w:tabs>
        <w:numPr>
          <w:ilvl w:val="0"/>
          <w:numId w:val="19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payments under this Agreement that are made later than 12:00 noon (New York City time) may be deemed to have been made on the next succeeding Business Day in the Administrative Agent’s sole discretion for purposes of calculating interest thereon.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53"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5.4</w:t>
      </w:r>
      <w:r>
        <w:rPr>
          <w:sz w:val="20"/>
          <w:szCs w:val="20"/>
          <w:color w:val="auto"/>
        </w:rPr>
        <w:tab/>
      </w:r>
      <w:r>
        <w:rPr>
          <w:rFonts w:ascii="Times New Roman" w:cs="Times New Roman" w:eastAsia="Times New Roman" w:hAnsi="Times New Roman"/>
          <w:sz w:val="14"/>
          <w:szCs w:val="14"/>
          <w:u w:val="single" w:color="auto"/>
          <w:color w:val="auto"/>
        </w:rPr>
        <w:t>Net Payments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980" w:hanging="316"/>
        <w:spacing w:after="0"/>
        <w:tabs>
          <w:tab w:leader="none" w:pos="1980" w:val="left"/>
        </w:tabs>
        <w:numPr>
          <w:ilvl w:val="1"/>
          <w:numId w:val="19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Payments Free of Taxes; Obligation to Withhold; Payments on Account of Taxes</w:t>
      </w:r>
      <w:r>
        <w:rPr>
          <w:rFonts w:ascii="Times New Roman" w:cs="Times New Roman" w:eastAsia="Times New Roman" w:hAnsi="Times New Roman"/>
          <w:sz w:val="14"/>
          <w:szCs w:val="14"/>
          <w:color w:val="auto"/>
        </w:rPr>
        <w:t>.</w:t>
      </w:r>
    </w:p>
    <w:p>
      <w:pPr>
        <w:spacing w:after="0" w:line="183" w:lineRule="exact"/>
        <w:rPr>
          <w:rFonts w:ascii="Times New Roman" w:cs="Times New Roman" w:eastAsia="Times New Roman" w:hAnsi="Times New Roman"/>
          <w:sz w:val="14"/>
          <w:szCs w:val="14"/>
          <w:color w:val="010000"/>
        </w:rPr>
      </w:pPr>
    </w:p>
    <w:p>
      <w:pPr>
        <w:jc w:val="both"/>
        <w:ind w:left="1140" w:right="1159" w:firstLine="294"/>
        <w:spacing w:after="0" w:line="275" w:lineRule="auto"/>
        <w:tabs>
          <w:tab w:leader="none" w:pos="1714"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135" w:lineRule="exact"/>
        <w:rPr>
          <w:rFonts w:ascii="Times New Roman" w:cs="Times New Roman" w:eastAsia="Times New Roman" w:hAnsi="Times New Roman"/>
          <w:sz w:val="14"/>
          <w:szCs w:val="14"/>
          <w:color w:val="auto"/>
        </w:rPr>
      </w:pPr>
    </w:p>
    <w:p>
      <w:pPr>
        <w:jc w:val="both"/>
        <w:ind w:left="1140" w:right="1159" w:firstLine="294"/>
        <w:spacing w:after="0" w:line="261" w:lineRule="auto"/>
        <w:tabs>
          <w:tab w:leader="none" w:pos="1714"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any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56" w:lineRule="exact"/>
        <w:rPr>
          <w:rFonts w:ascii="Times New Roman" w:cs="Times New Roman" w:eastAsia="Times New Roman" w:hAnsi="Times New Roman"/>
          <w:sz w:val="14"/>
          <w:szCs w:val="14"/>
          <w:color w:val="auto"/>
        </w:rPr>
      </w:pPr>
    </w:p>
    <w:p>
      <w:pPr>
        <w:jc w:val="both"/>
        <w:ind w:left="1140" w:right="1159" w:firstLine="524"/>
        <w:spacing w:after="0" w:line="275" w:lineRule="auto"/>
        <w:tabs>
          <w:tab w:leader="none" w:pos="1982" w:val="left"/>
        </w:tabs>
        <w:numPr>
          <w:ilvl w:val="1"/>
          <w:numId w:val="19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Payment of Other Taxes by the Borrower</w:t>
      </w:r>
      <w:r>
        <w:rPr>
          <w:rFonts w:ascii="Times New Roman" w:cs="Times New Roman" w:eastAsia="Times New Roman" w:hAnsi="Times New Roman"/>
          <w:sz w:val="14"/>
          <w:szCs w:val="14"/>
          <w:color w:val="auto"/>
        </w:rPr>
        <w:t xml:space="preserve">. Without limiting the provisions of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above, the Borrower shall timely pay any Other Taxes to the relevant Governmental Authority in accordance with applicable law or timely reimburse the Administrative Agent or any Lender for the payment of any Other Taxes.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82" w:val="left"/>
        </w:tabs>
        <w:numPr>
          <w:ilvl w:val="1"/>
          <w:numId w:val="19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Tax Indemnifications</w:t>
      </w:r>
      <w:r>
        <w:rPr>
          <w:rFonts w:ascii="Times New Roman" w:cs="Times New Roman" w:eastAsia="Times New Roman" w:hAnsi="Times New Roman"/>
          <w:sz w:val="14"/>
          <w:szCs w:val="14"/>
          <w:color w:val="auto"/>
        </w:rPr>
        <w:t xml:space="preserve">. Without limiting the provisions of </w:t>
      </w:r>
      <w:r>
        <w:rPr>
          <w:rFonts w:ascii="Times New Roman" w:cs="Times New Roman" w:eastAsia="Times New Roman" w:hAnsi="Times New Roman"/>
          <w:sz w:val="14"/>
          <w:szCs w:val="14"/>
          <w:u w:val="single" w:color="auto"/>
          <w:color w:val="auto"/>
        </w:rPr>
        <w:t>subsection (a)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above, the Borrower shall indemnify the Administrative Agent and each Lender, and shall make payment in respect thereof within 15 days after receipt of written demand therefor, for the full amount of Indemnified Taxes or Other Taxes (including Indemnified Taxes or Other Taxes imposed or asserted on or attributable to amounts payable under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payable or paid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1"/>
          <w:numId w:val="19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Evidence of Payments</w:t>
      </w:r>
      <w:r>
        <w:rPr>
          <w:rFonts w:ascii="Times New Roman" w:cs="Times New Roman" w:eastAsia="Times New Roman" w:hAnsi="Times New Roman"/>
          <w:sz w:val="14"/>
          <w:szCs w:val="14"/>
          <w:color w:val="auto"/>
        </w:rPr>
        <w:t xml:space="preserve">. After any payment of Taxes by any Credit Party or the Administrative Agent to a Governmental Authority as provided in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such Credit Party shall deliver to the Administrative Agent the original or a certified copy of a receipt issued by such Governmental Authority evidencing such payment,</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7" w:right="1440" w:bottom="1440" w:gutter="0" w:footer="0" w:header="0"/>
        </w:sectPr>
      </w:pPr>
    </w:p>
    <w:bookmarkStart w:id="207" w:name="page208"/>
    <w:bookmarkEnd w:id="207"/>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a copy of any return required by laws to report such payment or other evidence of such payment reasonably satisfactory to the Administrative Agent.</w:t>
      </w:r>
    </w:p>
    <w:p>
      <w:pPr>
        <w:spacing w:after="0" w:line="134" w:lineRule="exact"/>
        <w:rPr>
          <w:sz w:val="20"/>
          <w:szCs w:val="20"/>
          <w:color w:val="auto"/>
        </w:rPr>
      </w:pPr>
    </w:p>
    <w:p>
      <w:pPr>
        <w:ind w:left="1980" w:hanging="316"/>
        <w:spacing w:after="0"/>
        <w:tabs>
          <w:tab w:leader="none" w:pos="1980" w:val="left"/>
        </w:tabs>
        <w:numPr>
          <w:ilvl w:val="1"/>
          <w:numId w:val="1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Status of Lenders and Tax Documentation</w:t>
      </w:r>
      <w:r>
        <w:rPr>
          <w:rFonts w:ascii="Times New Roman" w:cs="Times New Roman" w:eastAsia="Times New Roman" w:hAnsi="Times New Roman"/>
          <w:sz w:val="14"/>
          <w:szCs w:val="14"/>
          <w:color w:val="auto"/>
        </w:rPr>
        <w:t>.</w:t>
      </w:r>
    </w:p>
    <w:p>
      <w:pPr>
        <w:spacing w:after="0" w:line="183" w:lineRule="exact"/>
        <w:rPr>
          <w:rFonts w:ascii="Times New Roman" w:cs="Times New Roman" w:eastAsia="Times New Roman" w:hAnsi="Times New Roman"/>
          <w:sz w:val="14"/>
          <w:szCs w:val="14"/>
          <w:color w:val="010000"/>
        </w:rPr>
      </w:pPr>
    </w:p>
    <w:p>
      <w:pPr>
        <w:ind w:left="1140" w:right="1159" w:firstLine="294"/>
        <w:spacing w:after="0" w:line="258" w:lineRule="auto"/>
        <w:tabs>
          <w:tab w:leader="none" w:pos="1714"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xml:space="preserve"> (including any specific documentation set forth in </w:t>
      </w:r>
      <w:r>
        <w:rPr>
          <w:rFonts w:ascii="Times New Roman" w:cs="Times New Roman" w:eastAsia="Times New Roman" w:hAnsi="Times New Roman"/>
          <w:sz w:val="14"/>
          <w:szCs w:val="14"/>
          <w:u w:val="single" w:color="auto"/>
          <w:color w:val="auto"/>
        </w:rPr>
        <w:t>subsection (ii)</w:t>
      </w:r>
      <w:r>
        <w:rPr>
          <w:rFonts w:ascii="Times New Roman" w:cs="Times New Roman" w:eastAsia="Times New Roman" w:hAnsi="Times New Roman"/>
          <w:sz w:val="14"/>
          <w:szCs w:val="14"/>
          <w:color w:val="auto"/>
        </w:rPr>
        <w:t xml:space="preserve"> below) shall be delivered by such Lender (i) on or prior to the Closing Date (or on or prior to the date it becomes a party to this Agreement), (ii) on or before any date on which such documentation expires or becomes obsolete or invalid, (iii) promptly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4"/>
          <w:szCs w:val="14"/>
          <w:u w:val="single" w:color="auto"/>
          <w:color w:val="auto"/>
        </w:rPr>
        <w:t>Sections 5.4(e)(ii)(A)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below) shall not be required if in such Lender’s or the Administrative Agent’s reasonable judgment such completion, execution, or submission would subject such Lender or the Administrative Agent to any material unreimbursed cost or expense or would materially prejudice the legal or commercial position of such Lender or the Administrative Agent.</w:t>
      </w:r>
    </w:p>
    <w:p>
      <w:pPr>
        <w:spacing w:after="0" w:line="152" w:lineRule="exact"/>
        <w:rPr>
          <w:rFonts w:ascii="Times New Roman" w:cs="Times New Roman" w:eastAsia="Times New Roman" w:hAnsi="Times New Roman"/>
          <w:sz w:val="14"/>
          <w:szCs w:val="14"/>
          <w:color w:val="auto"/>
        </w:rPr>
      </w:pPr>
    </w:p>
    <w:p>
      <w:pPr>
        <w:ind w:left="1720" w:hanging="286"/>
        <w:spacing w:after="0"/>
        <w:tabs>
          <w:tab w:leader="none" w:pos="172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generality of the foregoing:</w:t>
      </w:r>
    </w:p>
    <w:p>
      <w:pPr>
        <w:spacing w:after="0" w:line="183" w:lineRule="exact"/>
        <w:rPr>
          <w:rFonts w:ascii="Times New Roman" w:cs="Times New Roman" w:eastAsia="Times New Roman" w:hAnsi="Times New Roman"/>
          <w:sz w:val="14"/>
          <w:szCs w:val="14"/>
          <w:color w:val="auto"/>
        </w:rPr>
      </w:pPr>
    </w:p>
    <w:p>
      <w:pPr>
        <w:jc w:val="both"/>
        <w:ind w:left="1660" w:right="1159" w:firstLine="520"/>
        <w:spacing w:after="0" w:line="175" w:lineRule="exact"/>
        <w:tabs>
          <w:tab w:leader="none" w:pos="2463" w:val="left"/>
        </w:tabs>
        <w:numPr>
          <w:ilvl w:val="2"/>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Lender that is a “United States person” within the meaning of Section 7701(a)(30) of the Code (a “</w:t>
      </w:r>
      <w:r>
        <w:rPr>
          <w:rFonts w:ascii="Times New Roman" w:cs="Times New Roman" w:eastAsia="Times New Roman" w:hAnsi="Times New Roman"/>
          <w:sz w:val="14"/>
          <w:szCs w:val="14"/>
          <w:b w:val="1"/>
          <w:bCs w:val="1"/>
          <w:color w:val="auto"/>
        </w:rPr>
        <w:t>U.S. Lender</w:t>
      </w:r>
      <w:r>
        <w:rPr>
          <w:rFonts w:ascii="Times New Roman" w:cs="Times New Roman" w:eastAsia="Times New Roman" w:hAnsi="Times New Roman"/>
          <w:sz w:val="14"/>
          <w:szCs w:val="14"/>
          <w:color w:val="auto"/>
        </w:rPr>
        <w:t>”) shall deliver to the Borrower and the Administrative Agent executed originals or copies of Internal Revenue Service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27" w:lineRule="exact"/>
        <w:rPr>
          <w:rFonts w:ascii="Times New Roman" w:cs="Times New Roman" w:eastAsia="Times New Roman" w:hAnsi="Times New Roman"/>
          <w:sz w:val="14"/>
          <w:szCs w:val="14"/>
          <w:color w:val="auto"/>
        </w:rPr>
      </w:pPr>
    </w:p>
    <w:p>
      <w:pPr>
        <w:jc w:val="both"/>
        <w:ind w:left="1660" w:right="1159" w:firstLine="520"/>
        <w:spacing w:after="0" w:line="187" w:lineRule="exact"/>
        <w:tabs>
          <w:tab w:leader="none" w:pos="2463" w:val="left"/>
        </w:tabs>
        <w:numPr>
          <w:ilvl w:val="2"/>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Lender shall, to the extent it is legally entitled to do so, deliver to the Borrower and the Administrative Agent (in such number of copies as shall be requested by the recipient) whichever of the following is applicable:</w:t>
      </w:r>
    </w:p>
    <w:p>
      <w:pPr>
        <w:spacing w:after="0" w:line="139" w:lineRule="exact"/>
        <w:rPr>
          <w:rFonts w:ascii="Times New Roman" w:cs="Times New Roman" w:eastAsia="Times New Roman" w:hAnsi="Times New Roman"/>
          <w:sz w:val="14"/>
          <w:szCs w:val="14"/>
          <w:color w:val="auto"/>
        </w:rPr>
      </w:pPr>
    </w:p>
    <w:p>
      <w:pPr>
        <w:jc w:val="both"/>
        <w:ind w:left="2180" w:right="1159" w:firstLine="516"/>
        <w:spacing w:after="0" w:line="187" w:lineRule="exact"/>
        <w:tabs>
          <w:tab w:leader="none" w:pos="3022" w:val="left"/>
        </w:tabs>
        <w:numPr>
          <w:ilvl w:val="3"/>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executed originals or copies of Internal Revenue Service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8BEN or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8BEN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 (or any applicable successor form) claiming eligibility for benefits of an income tax treaty to which the United States is a party;</w:t>
      </w:r>
    </w:p>
    <w:p>
      <w:pPr>
        <w:spacing w:after="0" w:line="138" w:lineRule="exact"/>
        <w:rPr>
          <w:rFonts w:ascii="Times New Roman" w:cs="Times New Roman" w:eastAsia="Times New Roman" w:hAnsi="Times New Roman"/>
          <w:sz w:val="16"/>
          <w:szCs w:val="16"/>
          <w:color w:val="010000"/>
        </w:rPr>
      </w:pPr>
    </w:p>
    <w:p>
      <w:pPr>
        <w:ind w:left="2180" w:right="1159" w:firstLine="516"/>
        <w:spacing w:after="0" w:line="195" w:lineRule="exact"/>
        <w:tabs>
          <w:tab w:leader="none" w:pos="3033" w:val="left"/>
        </w:tabs>
        <w:numPr>
          <w:ilvl w:val="3"/>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executed originals or copies of Internal Revenue Service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8ECI (or any successor form thereto);</w:t>
      </w:r>
    </w:p>
    <w:p>
      <w:pPr>
        <w:spacing w:after="0" w:line="139" w:lineRule="exact"/>
        <w:rPr>
          <w:rFonts w:ascii="Times New Roman" w:cs="Times New Roman" w:eastAsia="Times New Roman" w:hAnsi="Times New Roman"/>
          <w:sz w:val="16"/>
          <w:szCs w:val="16"/>
          <w:color w:val="010000"/>
        </w:rPr>
      </w:pPr>
    </w:p>
    <w:p>
      <w:pPr>
        <w:jc w:val="both"/>
        <w:ind w:left="2180" w:right="1159" w:firstLine="516"/>
        <w:spacing w:after="0" w:line="180" w:lineRule="exact"/>
        <w:tabs>
          <w:tab w:leader="none" w:pos="3044" w:val="left"/>
        </w:tabs>
        <w:numPr>
          <w:ilvl w:val="3"/>
          <w:numId w:val="20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in the case of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U.S. Lender claiming the benefits of the exemption for portfolio interest under Section 881(c) of the Code, (x) a certificate, substantially in the form of </w:t>
      </w:r>
      <w:r>
        <w:rPr>
          <w:rFonts w:ascii="Times New Roman" w:cs="Times New Roman" w:eastAsia="Times New Roman" w:hAnsi="Times New Roman"/>
          <w:sz w:val="14"/>
          <w:szCs w:val="14"/>
          <w:u w:val="single" w:color="auto"/>
          <w:color w:val="auto"/>
        </w:rPr>
        <w:t>Exhibit I</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as applicable, (a “</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Bank Tax Certificate</w:t>
      </w:r>
      <w:r>
        <w:rPr>
          <w:rFonts w:ascii="Times New Roman" w:cs="Times New Roman" w:eastAsia="Times New Roman" w:hAnsi="Times New Roman"/>
          <w:sz w:val="14"/>
          <w:szCs w:val="14"/>
          <w:color w:val="auto"/>
        </w:rPr>
        <w:t>”), to the effect that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Lender is not (A) a “bank” within the meaning of Section 881(c)(3)(A) of the Code, (B) a “10-percent shareholder” of the Borrower within the meaning of Section 881(c)(3)(B) of the Code, or (C) a “controlled foreign corporation” described in Section 881(c)(3)(C) of the Code and that no payments under any Credit Document are effectively connected with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Lender’s</w:t>
      </w: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08" w:name="page209"/>
    <w:bookmarkEnd w:id="208"/>
    <w:p>
      <w:pPr>
        <w:ind w:left="2180" w:right="1159"/>
        <w:spacing w:after="0" w:line="191" w:lineRule="exact"/>
        <w:rPr>
          <w:sz w:val="20"/>
          <w:szCs w:val="20"/>
          <w:color w:val="auto"/>
        </w:rPr>
      </w:pPr>
      <w:r>
        <w:rPr>
          <w:rFonts w:ascii="Times New Roman" w:cs="Times New Roman" w:eastAsia="Times New Roman" w:hAnsi="Times New Roman"/>
          <w:sz w:val="14"/>
          <w:szCs w:val="14"/>
          <w:color w:val="auto"/>
        </w:rPr>
        <w:t>conduct of a United States trade or business and (y) executed originals or copies of Internal Revenue Service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8BEN or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8BEN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 (or any applicable successor form);</w:t>
      </w:r>
    </w:p>
    <w:p>
      <w:pPr>
        <w:spacing w:after="0" w:line="146" w:lineRule="exact"/>
        <w:rPr>
          <w:sz w:val="20"/>
          <w:szCs w:val="20"/>
          <w:color w:val="auto"/>
        </w:rPr>
      </w:pPr>
    </w:p>
    <w:p>
      <w:pPr>
        <w:jc w:val="both"/>
        <w:ind w:left="2180" w:right="1159" w:firstLine="516"/>
        <w:spacing w:after="0" w:line="174" w:lineRule="exact"/>
        <w:tabs>
          <w:tab w:leader="none" w:pos="3012" w:val="left"/>
        </w:tabs>
        <w:numPr>
          <w:ilvl w:val="2"/>
          <w:numId w:val="201"/>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where such Non-U.S. Lender is a partnership (for U.S. federal income tax purposes) or otherwise not a beneficial owner (e.g., where such Non-U.S. Lender has sold a participation), Internal Revenue Service Form W</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8IMY (or any successor thereto) and all required supporting documentation (including, where one or more of the underlying beneficial owner(s) is claiming the benefits of the portfolio interest exemption,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Bank Tax Certificate (substantially in the form of </w:t>
      </w:r>
      <w:r>
        <w:rPr>
          <w:rFonts w:ascii="Times New Roman" w:cs="Times New Roman" w:eastAsia="Times New Roman" w:hAnsi="Times New Roman"/>
          <w:sz w:val="14"/>
          <w:szCs w:val="14"/>
          <w:u w:val="single" w:color="auto"/>
          <w:color w:val="auto"/>
        </w:rPr>
        <w:t>Exhibit I-2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Exhibit I-3</w:t>
      </w:r>
      <w:r>
        <w:rPr>
          <w:rFonts w:ascii="Times New Roman" w:cs="Times New Roman" w:eastAsia="Times New Roman" w:hAnsi="Times New Roman"/>
          <w:sz w:val="14"/>
          <w:szCs w:val="14"/>
          <w:color w:val="auto"/>
        </w:rPr>
        <w:t>, as applicable) of such beneficial owner(s))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Lender is a partnership and not a participating Lender, the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Bank Tax Certificate(s) (substantially in the form of </w:t>
      </w:r>
      <w:r>
        <w:rPr>
          <w:rFonts w:ascii="Times New Roman" w:cs="Times New Roman" w:eastAsia="Times New Roman" w:hAnsi="Times New Roman"/>
          <w:sz w:val="14"/>
          <w:szCs w:val="14"/>
          <w:u w:val="single" w:color="auto"/>
          <w:color w:val="auto"/>
        </w:rPr>
        <w:t>Exhibit I-4</w:t>
      </w:r>
      <w:r>
        <w:rPr>
          <w:rFonts w:ascii="Times New Roman" w:cs="Times New Roman" w:eastAsia="Times New Roman" w:hAnsi="Times New Roman"/>
          <w:sz w:val="14"/>
          <w:szCs w:val="14"/>
          <w:color w:val="auto"/>
        </w:rPr>
        <w:t>) may be provided by the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Lender on behalf of the direct or indirect partner(s)); or</w:t>
      </w:r>
    </w:p>
    <w:p>
      <w:pPr>
        <w:spacing w:after="0" w:line="174" w:lineRule="exact"/>
        <w:rPr>
          <w:rFonts w:ascii="Times New Roman" w:cs="Times New Roman" w:eastAsia="Times New Roman" w:hAnsi="Times New Roman"/>
          <w:sz w:val="16"/>
          <w:szCs w:val="16"/>
          <w:color w:val="010000"/>
        </w:rPr>
      </w:pPr>
    </w:p>
    <w:p>
      <w:pPr>
        <w:jc w:val="both"/>
        <w:ind w:left="2180" w:right="1159" w:firstLine="516"/>
        <w:spacing w:after="0" w:line="256" w:lineRule="auto"/>
        <w:tabs>
          <w:tab w:leader="none" w:pos="3022" w:val="left"/>
        </w:tabs>
        <w:numPr>
          <w:ilvl w:val="2"/>
          <w:numId w:val="201"/>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executed originals of any other form prescribed by applicable laws as a basis for claiming exemption from or a reduction in U.S. federal withholding tax together with such supplementary documentation as may be prescribed by applicable laws to permit the Borrower or the Administrative Agent to determine the withholding or deduction required to be made;</w:t>
      </w:r>
    </w:p>
    <w:p>
      <w:pPr>
        <w:spacing w:after="0" w:line="149" w:lineRule="exact"/>
        <w:rPr>
          <w:rFonts w:ascii="Times New Roman" w:cs="Times New Roman" w:eastAsia="Times New Roman" w:hAnsi="Times New Roman"/>
          <w:sz w:val="16"/>
          <w:szCs w:val="16"/>
          <w:color w:val="010000"/>
        </w:rPr>
      </w:pPr>
    </w:p>
    <w:p>
      <w:pPr>
        <w:jc w:val="both"/>
        <w:ind w:left="1660" w:right="1159" w:firstLine="520"/>
        <w:spacing w:after="0" w:line="263" w:lineRule="auto"/>
        <w:tabs>
          <w:tab w:leader="none" w:pos="2463" w:val="left"/>
        </w:tabs>
        <w:numPr>
          <w:ilvl w:val="1"/>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jc w:val="both"/>
        <w:ind w:left="1660" w:right="1159" w:firstLine="4"/>
        <w:spacing w:after="0" w:line="259" w:lineRule="auto"/>
        <w:tabs>
          <w:tab w:leader="none" w:pos="188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“FATCA” shall include any amendments made to FATCA after the date of this Agreement; and</w:t>
      </w:r>
    </w:p>
    <w:p>
      <w:pPr>
        <w:spacing w:after="0" w:line="149" w:lineRule="exact"/>
        <w:rPr>
          <w:rFonts w:ascii="Times New Roman" w:cs="Times New Roman" w:eastAsia="Times New Roman" w:hAnsi="Times New Roman"/>
          <w:sz w:val="14"/>
          <w:szCs w:val="14"/>
          <w:color w:val="auto"/>
        </w:rPr>
      </w:pPr>
    </w:p>
    <w:p>
      <w:pPr>
        <w:jc w:val="both"/>
        <w:ind w:left="1660" w:right="1159" w:firstLine="520"/>
        <w:spacing w:after="0" w:line="261" w:lineRule="auto"/>
        <w:tabs>
          <w:tab w:leader="none" w:pos="2463" w:val="left"/>
        </w:tabs>
        <w:numPr>
          <w:ilvl w:val="1"/>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Administrative Agent is a “United States person” (as defined in Section 7701(a)(30) of the Code), it shall provide the Borrower with two duly completed copies of Internal Revenue Service Form W-9. If the Administrative Agent is not a “United States person” (as defined in Section 7701(a)(30) of the Code), it shall provide an original Internal Revenue Service Form W-8IMY certifying on Part I and Part VI of such Form W-8IMY that it is a U.S. branch that has agreed to be treated as a U.S. person for United States federal withholding tax purposes with respect to payments received by it from the Borrower. The Administrative Agent shall promptly notify the Borrower at any time it determines that it is no longer in a position to provide the certification described in the prior sentence.</w:t>
      </w:r>
    </w:p>
    <w:p>
      <w:pPr>
        <w:spacing w:after="0" w:line="160" w:lineRule="exact"/>
        <w:rPr>
          <w:sz w:val="20"/>
          <w:szCs w:val="20"/>
          <w:color w:val="auto"/>
        </w:rPr>
      </w:pPr>
    </w:p>
    <w:p>
      <w:pPr>
        <w:jc w:val="both"/>
        <w:ind w:left="1140" w:right="1159" w:firstLine="524"/>
        <w:spacing w:after="0" w:line="175" w:lineRule="exact"/>
        <w:tabs>
          <w:tab w:leader="none" w:pos="1993" w:val="left"/>
        </w:tabs>
        <w:numPr>
          <w:ilvl w:val="0"/>
          <w:numId w:val="20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Treatment of Certain Refunds</w:t>
      </w:r>
      <w:r>
        <w:rPr>
          <w:rFonts w:ascii="Times New Roman" w:cs="Times New Roman" w:eastAsia="Times New Roman" w:hAnsi="Times New Roman"/>
          <w:sz w:val="14"/>
          <w:szCs w:val="14"/>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with respect to the Indemnified Taxes or Other Taxes giving rise to such refund), net of all out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pocket expenses (including any Taxes) incurred by the Administrative Agent or such Lender, as the case may be, and without interest (other than any interest paid by the relevant Governmental Authority with respect to such refund);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upon the request of the Administrative Agent or such Lender, agrees to repay the amount paid over to the Borrower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or such Lender may delete any information therein that it deems confidential). Notwithstanding anything to the contrary in this </w:t>
      </w:r>
      <w:r>
        <w:rPr>
          <w:rFonts w:ascii="Times New Roman" w:cs="Times New Roman" w:eastAsia="Times New Roman" w:hAnsi="Times New Roman"/>
          <w:sz w:val="14"/>
          <w:szCs w:val="14"/>
          <w:u w:val="single" w:color="auto"/>
          <w:color w:val="auto"/>
        </w:rPr>
        <w:t>paragraph (f)</w:t>
      </w:r>
      <w:r>
        <w:rPr>
          <w:rFonts w:ascii="Times New Roman" w:cs="Times New Roman" w:eastAsia="Times New Roman" w:hAnsi="Times New Roman"/>
          <w:sz w:val="14"/>
          <w:szCs w:val="14"/>
          <w:color w:val="auto"/>
        </w:rPr>
        <w:t xml:space="preserve">, in no event will the Administrative Agent or any Lender be required to pay any amount to an indemnifying party pursuant to this </w:t>
      </w:r>
      <w:r>
        <w:rPr>
          <w:rFonts w:ascii="Times New Roman" w:cs="Times New Roman" w:eastAsia="Times New Roman" w:hAnsi="Times New Roman"/>
          <w:sz w:val="14"/>
          <w:szCs w:val="14"/>
          <w:u w:val="single" w:color="auto"/>
          <w:color w:val="auto"/>
        </w:rPr>
        <w:t>paragraph (f)</w:t>
      </w:r>
      <w:r>
        <w:rPr>
          <w:rFonts w:ascii="Times New Roman" w:cs="Times New Roman" w:eastAsia="Times New Roman" w:hAnsi="Times New Roman"/>
          <w:sz w:val="14"/>
          <w:szCs w:val="14"/>
          <w:color w:val="auto"/>
        </w:rPr>
        <w:t xml:space="preserve"> the payment of which would place the Administrative Agent or any Lender in a less favorable net after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Tax position than the</w:t>
      </w:r>
    </w:p>
    <w:p>
      <w:pPr>
        <w:spacing w:after="0" w:line="38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09" w:name="page210"/>
    <w:bookmarkEnd w:id="209"/>
    <w:p>
      <w:pPr>
        <w:jc w:val="both"/>
        <w:ind w:left="1140" w:right="1159"/>
        <w:spacing w:after="0" w:line="265" w:lineRule="auto"/>
        <w:rPr>
          <w:sz w:val="20"/>
          <w:szCs w:val="20"/>
          <w:color w:val="auto"/>
        </w:rPr>
      </w:pPr>
      <w:r>
        <w:rPr>
          <w:rFonts w:ascii="Times New Roman" w:cs="Times New Roman" w:eastAsia="Times New Roman" w:hAnsi="Times New Roman"/>
          <w:sz w:val="14"/>
          <w:szCs w:val="14"/>
          <w:color w:val="auto"/>
        </w:rPr>
        <w:t>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155" w:lineRule="exact"/>
        <w:rPr>
          <w:sz w:val="20"/>
          <w:szCs w:val="20"/>
          <w:color w:val="auto"/>
        </w:rPr>
      </w:pPr>
    </w:p>
    <w:p>
      <w:pPr>
        <w:ind w:left="1140" w:right="1159" w:firstLine="524"/>
        <w:spacing w:after="0" w:line="293" w:lineRule="auto"/>
        <w:tabs>
          <w:tab w:leader="none" w:pos="1972" w:val="left"/>
        </w:tabs>
        <w:numPr>
          <w:ilvl w:val="0"/>
          <w:numId w:val="20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For the avoidance of doubt, for purposes of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the term “Lender” includes any Letter of Credit Issuer and the term “applicable law” includes FATCA.</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20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Each party’s obligations under this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14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5.5</w:t>
      </w:r>
      <w:r>
        <w:rPr>
          <w:sz w:val="20"/>
          <w:szCs w:val="20"/>
          <w:color w:val="auto"/>
        </w:rPr>
        <w:tab/>
      </w:r>
      <w:r>
        <w:rPr>
          <w:rFonts w:ascii="Times New Roman" w:cs="Times New Roman" w:eastAsia="Times New Roman" w:hAnsi="Times New Roman"/>
          <w:sz w:val="14"/>
          <w:szCs w:val="14"/>
          <w:u w:val="single" w:color="auto"/>
          <w:color w:val="auto"/>
        </w:rPr>
        <w:t>Computations of Interest and Fees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185" w:lineRule="exact"/>
        <w:tabs>
          <w:tab w:leader="none" w:pos="1972" w:val="left"/>
        </w:tabs>
        <w:numPr>
          <w:ilvl w:val="0"/>
          <w:numId w:val="20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Except as provided in the next succeeding sentence, interest on SOFR Loans shall be calculated on the basis of a 360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year for the actual days elapsed. Interest on ABR Loans shall be calculated on the basis of a 365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(or 366</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as the case may be) day year for the actual days elapsed.</w:t>
      </w:r>
    </w:p>
    <w:p>
      <w:pPr>
        <w:spacing w:after="0" w:line="145" w:lineRule="exact"/>
        <w:rPr>
          <w:rFonts w:ascii="Times New Roman" w:cs="Times New Roman" w:eastAsia="Times New Roman" w:hAnsi="Times New Roman"/>
          <w:sz w:val="14"/>
          <w:szCs w:val="14"/>
          <w:color w:val="010000"/>
        </w:rPr>
      </w:pPr>
    </w:p>
    <w:p>
      <w:pPr>
        <w:ind w:left="1140" w:right="1159" w:firstLine="524"/>
        <w:spacing w:after="0" w:line="191" w:lineRule="exact"/>
        <w:tabs>
          <w:tab w:leader="none" w:pos="1982" w:val="left"/>
        </w:tabs>
        <w:numPr>
          <w:ilvl w:val="0"/>
          <w:numId w:val="20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Fees and the average daily Stated Amount of Letters of Credit shall be calculated on the basis of a 360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day year for the actual days elapsed.</w:t>
      </w:r>
    </w:p>
    <w:p>
      <w:pPr>
        <w:spacing w:after="0" w:line="14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5.6</w:t>
      </w:r>
      <w:r>
        <w:rPr>
          <w:sz w:val="20"/>
          <w:szCs w:val="20"/>
          <w:color w:val="auto"/>
        </w:rPr>
        <w:tab/>
      </w:r>
      <w:r>
        <w:rPr>
          <w:rFonts w:ascii="Times New Roman" w:cs="Times New Roman" w:eastAsia="Times New Roman" w:hAnsi="Times New Roman"/>
          <w:sz w:val="14"/>
          <w:szCs w:val="14"/>
          <w:u w:val="single" w:color="auto"/>
          <w:color w:val="auto"/>
        </w:rPr>
        <w:t>Limit on Rate of Interest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8" w:lineRule="auto"/>
        <w:tabs>
          <w:tab w:leader="none" w:pos="1993" w:val="left"/>
        </w:tabs>
        <w:numPr>
          <w:ilvl w:val="0"/>
          <w:numId w:val="20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No Payment Shall Exceed Lawful Rate</w:t>
      </w:r>
      <w:r>
        <w:rPr>
          <w:rFonts w:ascii="Times New Roman" w:cs="Times New Roman" w:eastAsia="Times New Roman" w:hAnsi="Times New Roman"/>
          <w:sz w:val="14"/>
          <w:szCs w:val="14"/>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20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Payment at Highest Lawful Rate</w:t>
      </w:r>
      <w:r>
        <w:rPr>
          <w:rFonts w:ascii="Times New Roman" w:cs="Times New Roman" w:eastAsia="Times New Roman" w:hAnsi="Times New Roman"/>
          <w:sz w:val="14"/>
          <w:szCs w:val="14"/>
          <w:color w:val="auto"/>
        </w:rPr>
        <w:t xml:space="preserve">. If the Borrower is not obliged to make a payment that it would otherwise be required to make, as a result of </w:t>
      </w:r>
      <w:r>
        <w:rPr>
          <w:rFonts w:ascii="Times New Roman" w:cs="Times New Roman" w:eastAsia="Times New Roman" w:hAnsi="Times New Roman"/>
          <w:sz w:val="14"/>
          <w:szCs w:val="14"/>
          <w:u w:val="single" w:color="auto"/>
          <w:color w:val="auto"/>
        </w:rPr>
        <w:t>Section 5.6(a)</w:t>
      </w:r>
      <w:r>
        <w:rPr>
          <w:rFonts w:ascii="Times New Roman" w:cs="Times New Roman" w:eastAsia="Times New Roman" w:hAnsi="Times New Roman"/>
          <w:sz w:val="14"/>
          <w:szCs w:val="14"/>
          <w:color w:val="auto"/>
        </w:rPr>
        <w:t>, the Borrower shall make such payment to the maximum extent permitted by or consistent with applicable laws, rules, and regulations.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0" w:lineRule="auto"/>
        <w:tabs>
          <w:tab w:leader="none" w:pos="1972" w:val="left"/>
        </w:tabs>
        <w:numPr>
          <w:ilvl w:val="0"/>
          <w:numId w:val="20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Adjustment if Any Payment Exceeds Lawful Rate</w:t>
      </w:r>
      <w:r>
        <w:rPr>
          <w:rFonts w:ascii="Times New Roman" w:cs="Times New Roman" w:eastAsia="Times New Roman" w:hAnsi="Times New Roman"/>
          <w:sz w:val="14"/>
          <w:szCs w:val="14"/>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Times New Roman" w:cs="Times New Roman" w:eastAsia="Times New Roman" w:hAnsi="Times New Roman"/>
          <w:sz w:val="14"/>
          <w:szCs w:val="14"/>
          <w:u w:val="single" w:color="auto"/>
          <w:color w:val="auto"/>
        </w:rPr>
        <w:t>Section 2.8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such maximum amount or rate of interest therefor) until such cumulated amount, together with interest thereon at the Federal Funds Effective Rate to the date of repayment, shall have been received by such Lender.</w:t>
      </w:r>
    </w:p>
    <w:p>
      <w:pPr>
        <w:spacing w:after="0" w:line="147" w:lineRule="exact"/>
        <w:rPr>
          <w:sz w:val="20"/>
          <w:szCs w:val="20"/>
          <w:color w:val="auto"/>
        </w:rPr>
      </w:pPr>
    </w:p>
    <w:p>
      <w:pPr>
        <w:ind w:left="1140" w:right="1159" w:firstLine="1033"/>
        <w:spacing w:after="0" w:line="265" w:lineRule="auto"/>
        <w:rPr>
          <w:sz w:val="20"/>
          <w:szCs w:val="20"/>
          <w:color w:val="auto"/>
        </w:rPr>
      </w:pPr>
      <w:r>
        <w:rPr>
          <w:rFonts w:ascii="Times New Roman" w:cs="Times New Roman" w:eastAsia="Times New Roman" w:hAnsi="Times New Roman"/>
          <w:sz w:val="14"/>
          <w:szCs w:val="14"/>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140"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6.</w:t>
      </w:r>
      <w:r>
        <w:rPr>
          <w:sz w:val="20"/>
          <w:szCs w:val="20"/>
          <w:color w:val="auto"/>
        </w:rPr>
        <w:tab/>
      </w:r>
      <w:r>
        <w:rPr>
          <w:rFonts w:ascii="Times New Roman" w:cs="Times New Roman" w:eastAsia="Times New Roman" w:hAnsi="Times New Roman"/>
          <w:sz w:val="14"/>
          <w:szCs w:val="14"/>
          <w:color w:val="auto"/>
        </w:rPr>
        <w:t>Conditions Precedent to Initial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213360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3">
                      <a:extLst>
                        <a:ext uri="{28A0092B-C50C-407E-A947-70E740481C1C}"/>
                      </a:extLst>
                    </a:blip>
                    <a:srcRect/>
                    <a:stretch>
                      <a:fillRect/>
                    </a:stretch>
                  </pic:blipFill>
                  <pic:spPr bwMode="auto">
                    <a:xfrm>
                      <a:off x="0" y="0"/>
                      <a:ext cx="2133600" cy="6985"/>
                    </a:xfrm>
                    <a:prstGeom prst="rect">
                      <a:avLst/>
                    </a:prstGeom>
                    <a:noFill/>
                  </pic:spPr>
                </pic:pic>
              </a:graphicData>
            </a:graphic>
          </wp:anchor>
        </w:drawing>
      </w:r>
    </w:p>
    <w:p>
      <w:pPr>
        <w:spacing w:after="0" w:line="155" w:lineRule="exact"/>
        <w:rPr>
          <w:sz w:val="20"/>
          <w:szCs w:val="20"/>
          <w:color w:val="auto"/>
        </w:rPr>
      </w:pPr>
    </w:p>
    <w:p>
      <w:pPr>
        <w:ind w:left="1140" w:right="1739" w:firstLine="1033"/>
        <w:spacing w:after="0" w:line="293" w:lineRule="auto"/>
        <w:rPr>
          <w:sz w:val="20"/>
          <w:szCs w:val="20"/>
          <w:color w:val="auto"/>
        </w:rPr>
      </w:pPr>
      <w:r>
        <w:rPr>
          <w:rFonts w:ascii="Times New Roman" w:cs="Times New Roman" w:eastAsia="Times New Roman" w:hAnsi="Times New Roman"/>
          <w:sz w:val="14"/>
          <w:szCs w:val="14"/>
          <w:color w:val="auto"/>
        </w:rPr>
        <w:t>The initial Borrowing under this Agreement is subject to the satisfaction of the following conditions precedent:</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0" w:name="page211"/>
    <w:bookmarkEnd w:id="210"/>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6.1</w:t>
      </w:r>
      <w:r>
        <w:rPr>
          <w:sz w:val="20"/>
          <w:szCs w:val="20"/>
          <w:color w:val="auto"/>
        </w:rPr>
        <w:tab/>
      </w:r>
      <w:r>
        <w:rPr>
          <w:rFonts w:ascii="Times New Roman" w:cs="Times New Roman" w:eastAsia="Times New Roman" w:hAnsi="Times New Roman"/>
          <w:sz w:val="14"/>
          <w:szCs w:val="14"/>
          <w:u w:val="single" w:color="auto"/>
          <w:color w:val="auto"/>
        </w:rPr>
        <w:t>Credit Documents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The Administrative Agent (or its counsel) shall have received:</w:t>
      </w:r>
    </w:p>
    <w:p>
      <w:pPr>
        <w:spacing w:after="0" w:line="194" w:lineRule="exact"/>
        <w:rPr>
          <w:sz w:val="20"/>
          <w:szCs w:val="20"/>
          <w:color w:val="auto"/>
        </w:rPr>
      </w:pPr>
    </w:p>
    <w:p>
      <w:pPr>
        <w:ind w:left="1140" w:right="1159" w:firstLine="524"/>
        <w:spacing w:after="0" w:line="293" w:lineRule="auto"/>
        <w:tabs>
          <w:tab w:leader="none" w:pos="1972" w:val="left"/>
        </w:tabs>
        <w:numPr>
          <w:ilvl w:val="0"/>
          <w:numId w:val="2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this Agreement, executed and delivered by a duly Authorized Officer of Holdings, the Borrower, each Revolving Letter of Credit Issuer, each Lender party hereto and the Administrative Agent;</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93" w:val="left"/>
        </w:tabs>
        <w:numPr>
          <w:ilvl w:val="0"/>
          <w:numId w:val="2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Guarantee, executed and delivered by a duly Authorized Officer of each Guarantor and the Collateral Agent;</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2004" w:val="left"/>
        </w:tabs>
        <w:numPr>
          <w:ilvl w:val="0"/>
          <w:numId w:val="2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Pledge Agreement, executed and delivered by a duly Authorized Officer of Holdings, the Borrower, each Guarantor and the Collateral Agent;</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Security Agreement, executed and delivered by a duly Authorized Officer of the Borrower, each Guarantor and the Collateral Agent;</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Second Lien Credit Agreement, executed and delivered by a duly Authorized Officer of Holdings, the Borrower, each lender party thereto and the Second Lien Administrative Agent; and</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2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Second Lien Intercreditor Agreement, executed and delivered by a duly Authorized Officer of the Administrative Agent, the Collateral Agent, the Second Lien Administrative Agent, the Second Lien Collateral Agent, Holdings, the Borrower and each Guarantor.</w:t>
      </w:r>
    </w:p>
    <w:p>
      <w:pPr>
        <w:spacing w:after="0" w:line="146"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u w:val="single" w:color="auto"/>
          <w:color w:val="auto"/>
        </w:rPr>
        <w:t>6.2</w:t>
      </w:r>
      <w:r>
        <w:rPr>
          <w:sz w:val="20"/>
          <w:szCs w:val="20"/>
          <w:color w:val="auto"/>
        </w:rPr>
        <w:tab/>
      </w:r>
      <w:r>
        <w:rPr>
          <w:rFonts w:ascii="Times New Roman" w:cs="Times New Roman" w:eastAsia="Times New Roman" w:hAnsi="Times New Roman"/>
          <w:sz w:val="14"/>
          <w:szCs w:val="14"/>
          <w:u w:val="single" w:color="auto"/>
          <w:color w:val="auto"/>
        </w:rPr>
        <w:t>Collateral</w:t>
      </w:r>
      <w:r>
        <w:rPr>
          <w:rFonts w:ascii="Times New Roman" w:cs="Times New Roman" w:eastAsia="Times New Roman" w:hAnsi="Times New Roman"/>
          <w:sz w:val="14"/>
          <w:szCs w:val="14"/>
          <w:color w:val="auto"/>
        </w:rPr>
        <w:t>. Except for any items referred to on</w:t>
      </w:r>
      <w:r>
        <w:rPr>
          <w:rFonts w:ascii="Times New Roman" w:cs="Times New Roman" w:eastAsia="Times New Roman" w:hAnsi="Times New Roman"/>
          <w:sz w:val="14"/>
          <w:szCs w:val="14"/>
          <w:u w:val="single" w:color="auto"/>
          <w:color w:val="auto"/>
        </w:rPr>
        <w:t xml:space="preserve"> Schedule 9.14</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75" w:lineRule="auto"/>
        <w:tabs>
          <w:tab w:leader="none" w:pos="1972" w:val="left"/>
        </w:tabs>
        <w:numPr>
          <w:ilvl w:val="0"/>
          <w:numId w:val="20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All outstanding Equity Interests, regardless of the form of the Equity Interests, in and of the Borrower and each Guarantor required to be pledged pursuant to the Security Documents shall have been pledged pursuant thereto.</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20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Collateral Agent shall have received the certificates representing the Equity Interests in and of the Borrower and each Guarantor to the extent required to be delivered under the Security Documents and pledged under the Security Documents and to the extent certificated, accompanied by instruments of transfer and undated stock powers or allonges endorsed in blank.</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20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All Uniform Commercial Code financing statements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152" w:lineRule="exact"/>
        <w:rPr>
          <w:sz w:val="20"/>
          <w:szCs w:val="20"/>
          <w:color w:val="auto"/>
        </w:rPr>
      </w:pPr>
    </w:p>
    <w:p>
      <w:pPr>
        <w:ind w:left="1140" w:right="1159" w:firstLine="517"/>
        <w:spacing w:after="0" w:line="266" w:lineRule="auto"/>
        <w:rPr>
          <w:sz w:val="20"/>
          <w:szCs w:val="20"/>
          <w:color w:val="auto"/>
        </w:rPr>
      </w:pPr>
      <w:r>
        <w:rPr>
          <w:rFonts w:ascii="Times New Roman" w:cs="Times New Roman" w:eastAsia="Times New Roman" w:hAnsi="Times New Roman"/>
          <w:sz w:val="14"/>
          <w:szCs w:val="14"/>
          <w:u w:val="single" w:color="auto"/>
          <w:color w:val="auto"/>
        </w:rPr>
        <w:t>6.3 Legal Opinions</w:t>
      </w:r>
      <w:r>
        <w:rPr>
          <w:rFonts w:ascii="Times New Roman" w:cs="Times New Roman" w:eastAsia="Times New Roman" w:hAnsi="Times New Roman"/>
          <w:sz w:val="14"/>
          <w:szCs w:val="14"/>
          <w:color w:val="auto"/>
        </w:rPr>
        <w:t>. The Administrative Agent (or its counsel) shall have received the executed legal opinion, in customary form, of (i) Simpson Thacher &amp; Bartlett LLP, special New counsel to the Credit Parties, and</w:t>
      </w:r>
    </w:p>
    <w:p>
      <w:pPr>
        <w:spacing w:after="0" w:line="1" w:lineRule="exact"/>
        <w:rPr>
          <w:sz w:val="20"/>
          <w:szCs w:val="20"/>
          <w:color w:val="auto"/>
        </w:rPr>
      </w:pPr>
    </w:p>
    <w:p>
      <w:pPr>
        <w:jc w:val="both"/>
        <w:ind w:left="1140" w:right="1159" w:firstLine="7"/>
        <w:spacing w:after="0" w:line="273" w:lineRule="auto"/>
        <w:tabs>
          <w:tab w:leader="none" w:pos="1371" w:val="left"/>
        </w:tabs>
        <w:numPr>
          <w:ilvl w:val="0"/>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Reed Weitkamp Schell &amp; Vice PLLC, special Kentucky counsel to the Credit Parties, and Holdings and the Borrower hereby instruct and agree to instruct the other Credit Parties to have such counsel deliver such legal opinions.</w:t>
      </w:r>
    </w:p>
    <w:p>
      <w:pPr>
        <w:spacing w:after="0" w:line="319"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6.4 Equity Investments</w:t>
      </w:r>
      <w:r>
        <w:rPr>
          <w:rFonts w:ascii="Times New Roman" w:cs="Times New Roman" w:eastAsia="Times New Roman" w:hAnsi="Times New Roman"/>
          <w:sz w:val="14"/>
          <w:szCs w:val="14"/>
          <w:color w:val="auto"/>
        </w:rPr>
        <w:t xml:space="preserve">. Equity Investments, which, to the extent constituting Capital Stock other than common Capital Stock, shall be on terms and conditions and pursuant to documentation reasonably satisfactory to the Joint Lead Arrangers and Bookrunners, in an amount not less than the Minimum Equity Amount shall have been made;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after giving effect to the Acquisition and the Minimum Equity Amount, KKR will own, directly or indirectly, at least a majority of all of the issued and outstanding capital stock of the Company on the Closing Date.</w:t>
      </w:r>
    </w:p>
    <w:p>
      <w:pPr>
        <w:spacing w:after="0" w:line="327"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6.5 Closing Certificates</w:t>
      </w:r>
      <w:r>
        <w:rPr>
          <w:rFonts w:ascii="Times New Roman" w:cs="Times New Roman" w:eastAsia="Times New Roman" w:hAnsi="Times New Roman"/>
          <w:sz w:val="14"/>
          <w:szCs w:val="14"/>
          <w:color w:val="auto"/>
        </w:rPr>
        <w:t xml:space="preserve">. The Administrative Agent (or its counsel) shall have received a certificate of each of (x) Holdings, the Borrower and the other Guarantors, dated as of the Closing Date, substantially in the form of </w:t>
      </w:r>
      <w:r>
        <w:rPr>
          <w:rFonts w:ascii="Times New Roman" w:cs="Times New Roman" w:eastAsia="Times New Roman" w:hAnsi="Times New Roman"/>
          <w:sz w:val="14"/>
          <w:szCs w:val="14"/>
          <w:u w:val="single" w:color="auto"/>
          <w:color w:val="auto"/>
        </w:rPr>
        <w:t>Exhibit E</w:t>
      </w:r>
      <w:r>
        <w:rPr>
          <w:rFonts w:ascii="Times New Roman" w:cs="Times New Roman" w:eastAsia="Times New Roman" w:hAnsi="Times New Roman"/>
          <w:sz w:val="14"/>
          <w:szCs w:val="14"/>
          <w:color w:val="auto"/>
        </w:rPr>
        <w:t xml:space="preserve">, with appropriate insertions, executed by any Authorized Officer and the Secretary or any Assistant Secretary of Holdings, the Borrower and each Guarantor, as applicable, and attaching the documents referred to in </w:t>
      </w:r>
      <w:r>
        <w:rPr>
          <w:rFonts w:ascii="Times New Roman" w:cs="Times New Roman" w:eastAsia="Times New Roman" w:hAnsi="Times New Roman"/>
          <w:sz w:val="14"/>
          <w:szCs w:val="14"/>
          <w:u w:val="single" w:color="auto"/>
          <w:color w:val="auto"/>
        </w:rPr>
        <w:t>Section 6.6</w:t>
      </w:r>
      <w:r>
        <w:rPr>
          <w:rFonts w:ascii="Times New Roman" w:cs="Times New Roman" w:eastAsia="Times New Roman" w:hAnsi="Times New Roman"/>
          <w:sz w:val="14"/>
          <w:szCs w:val="14"/>
          <w:color w:val="auto"/>
        </w:rPr>
        <w:t xml:space="preserve"> and (y) an Authorized Officer certifying compliance with </w:t>
      </w:r>
      <w:r>
        <w:rPr>
          <w:rFonts w:ascii="Times New Roman" w:cs="Times New Roman" w:eastAsia="Times New Roman" w:hAnsi="Times New Roman"/>
          <w:sz w:val="14"/>
          <w:szCs w:val="14"/>
          <w:u w:val="single" w:color="auto"/>
          <w:color w:val="auto"/>
        </w:rPr>
        <w:t>Sections 6.8</w:t>
      </w:r>
      <w:r>
        <w:rPr>
          <w:rFonts w:ascii="Times New Roman" w:cs="Times New Roman" w:eastAsia="Times New Roman" w:hAnsi="Times New Roman"/>
          <w:sz w:val="14"/>
          <w:szCs w:val="14"/>
          <w:color w:val="auto"/>
        </w:rPr>
        <w:t xml:space="preserve"> (with respect to the Company</w:t>
      </w:r>
    </w:p>
    <w:p>
      <w:pPr>
        <w:spacing w:after="0" w:line="2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211" w:name="page212"/>
    <w:bookmarkEnd w:id="211"/>
    <w:p>
      <w:pPr>
        <w:jc w:val="both"/>
        <w:ind w:left="1140" w:right="1159"/>
        <w:spacing w:after="0" w:line="275" w:lineRule="auto"/>
        <w:rPr>
          <w:sz w:val="20"/>
          <w:szCs w:val="20"/>
          <w:color w:val="auto"/>
        </w:rPr>
      </w:pPr>
      <w:r>
        <w:rPr>
          <w:rFonts w:ascii="Times New Roman" w:cs="Times New Roman" w:eastAsia="Times New Roman" w:hAnsi="Times New Roman"/>
          <w:sz w:val="14"/>
          <w:szCs w:val="14"/>
          <w:color w:val="auto"/>
        </w:rPr>
        <w:t xml:space="preserve">Representations and the Specified Representations) and </w:t>
      </w:r>
      <w:r>
        <w:rPr>
          <w:rFonts w:ascii="Times New Roman" w:cs="Times New Roman" w:eastAsia="Times New Roman" w:hAnsi="Times New Roman"/>
          <w:sz w:val="14"/>
          <w:szCs w:val="14"/>
          <w:u w:val="single" w:color="auto"/>
          <w:color w:val="auto"/>
        </w:rPr>
        <w:t>6.10</w:t>
      </w:r>
      <w:r>
        <w:rPr>
          <w:rFonts w:ascii="Times New Roman" w:cs="Times New Roman" w:eastAsia="Times New Roman" w:hAnsi="Times New Roman"/>
          <w:sz w:val="14"/>
          <w:szCs w:val="14"/>
          <w:color w:val="auto"/>
        </w:rPr>
        <w:t xml:space="preserve"> and certifying that since December 10, 2018, there has not occurred any change, effect, event, state of facts, development that has had or would reasonably be expected to have a Company Material Adverse Effect.</w:t>
      </w:r>
    </w:p>
    <w:p>
      <w:pPr>
        <w:spacing w:after="0" w:line="146"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6.6 Authorization of Proceedings of Holdings, the Borrower and the Guarantors; Corporate Documents</w:t>
      </w:r>
      <w:r>
        <w:rPr>
          <w:rFonts w:ascii="Times New Roman" w:cs="Times New Roman" w:eastAsia="Times New Roman" w:hAnsi="Times New Roman"/>
          <w:sz w:val="14"/>
          <w:szCs w:val="14"/>
          <w:color w:val="auto"/>
        </w:rPr>
        <w:t>. The Administrative Agent shall have received (i) a copy of the resolutions of the equity holders, board of directors or other managers (or a duly authorized committee thereof), as applicable, of Holdings, the Borrower and each other Guarantor authorizing (a) the execution, delivery, and performance of the Credit Documents (and any agreements relating thereto) to which it is a party and (b) in the case of the Borrower, the extensions of credit contemplated hereunder, (ii) the Certificate of Incorporation and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Laws, Certificate of Formation and Operating Agreement or other comparable organizational documents, as applicable, of Holdings, the Borrower and each other Guarantor, (iii) signature and incumbency certificates (or other comparable documents evidencing the same) of the Authorized Officers of Holdings, the Borrower and each other Guarantor executing the Credit Documents to which it is a party and (iv) good standing certificates from the Governmental Authorities of the jurisdictions of organization of Holdings, the Borrower and the other Guarantors, dated the Closing Date or a recent date prior thereto.</w:t>
      </w:r>
    </w:p>
    <w:p>
      <w:pPr>
        <w:spacing w:after="0" w:line="173"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6.7 Fees</w:t>
      </w:r>
      <w:r>
        <w:rPr>
          <w:rFonts w:ascii="Times New Roman" w:cs="Times New Roman" w:eastAsia="Times New Roman" w:hAnsi="Times New Roman"/>
          <w:sz w:val="14"/>
          <w:szCs w:val="14"/>
          <w:color w:val="auto"/>
        </w:rPr>
        <w:t>. The Agents and Lenders shall have received, substantially simultaneously with the funding of the Initial Term Loans, fees and, to the extent invoiced at least three Business Days prior to the Closing Date (except as otherwise reasonably agreed by the Borrower), reasonable out-of-pocket expenses in the amounts previously agreed in writing to be paid on the Closing Date (which amounts may, at the Borrower’s option, be offset against the proceeds of the Initial Term Loans).</w:t>
      </w:r>
    </w:p>
    <w:p>
      <w:pPr>
        <w:spacing w:after="0" w:line="155"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6.8 Representations and Warranties</w:t>
      </w:r>
      <w:r>
        <w:rPr>
          <w:rFonts w:ascii="Times New Roman" w:cs="Times New Roman" w:eastAsia="Times New Roman" w:hAnsi="Times New Roman"/>
          <w:sz w:val="14"/>
          <w:szCs w:val="14"/>
          <w:color w:val="auto"/>
        </w:rPr>
        <w:t>. On the Closing Date, the Specified Representations shall be true and correct in all material respects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Specified Representations which are qualified by materiality, material adverse effect or similar language shall be true and correct in all respects) and the Company Representations shall be true and correct in all material respects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Company Representations which are qualified by materiality, material adverse effect or similar language shall be true and correct in all respects).</w:t>
      </w:r>
    </w:p>
    <w:p>
      <w:pPr>
        <w:spacing w:after="0" w:line="327" w:lineRule="exact"/>
        <w:rPr>
          <w:sz w:val="20"/>
          <w:szCs w:val="20"/>
          <w:color w:val="auto"/>
        </w:rPr>
      </w:pPr>
    </w:p>
    <w:p>
      <w:pPr>
        <w:jc w:val="both"/>
        <w:ind w:left="1140" w:right="1159" w:firstLine="517"/>
        <w:spacing w:after="0" w:line="180" w:lineRule="exact"/>
        <w:rPr>
          <w:sz w:val="20"/>
          <w:szCs w:val="20"/>
          <w:color w:val="auto"/>
        </w:rPr>
      </w:pPr>
      <w:r>
        <w:rPr>
          <w:rFonts w:ascii="Times New Roman" w:cs="Times New Roman" w:eastAsia="Times New Roman" w:hAnsi="Times New Roman"/>
          <w:sz w:val="14"/>
          <w:szCs w:val="14"/>
          <w:u w:val="single" w:color="auto"/>
          <w:color w:val="auto"/>
        </w:rPr>
        <w:t>6.9 Solvency Certificate</w:t>
      </w:r>
      <w:r>
        <w:rPr>
          <w:rFonts w:ascii="Times New Roman" w:cs="Times New Roman" w:eastAsia="Times New Roman" w:hAnsi="Times New Roman"/>
          <w:sz w:val="14"/>
          <w:szCs w:val="14"/>
          <w:color w:val="auto"/>
        </w:rPr>
        <w:t>. On the Closing Date, the Administrative Agent shall have received a certificate from the Chief Executive Officer, the President, the Chief Financial Officer, the Treasurer, the Vice President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Finance, a Director, a Manager, or any other senior financial officer of the Borrower to the effect that after giving effect to the consummation of the Transactions, the Borrower on a consolidated basis with the Restricted Subsidiaries is Solvent.</w:t>
      </w:r>
    </w:p>
    <w:p>
      <w:pPr>
        <w:spacing w:after="0" w:line="327"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6.10 Acquisition</w:t>
      </w:r>
      <w:r>
        <w:rPr>
          <w:rFonts w:ascii="Times New Roman" w:cs="Times New Roman" w:eastAsia="Times New Roman" w:hAnsi="Times New Roman"/>
          <w:sz w:val="14"/>
          <w:szCs w:val="14"/>
          <w:color w:val="auto"/>
        </w:rPr>
        <w:t>. The Acquisition shall have been or, substantially concurrently with the initial Borrowing of the Initial Term Loans shall be, consummated in all material respects in accordance with the terms of the Acquisition Agreement, without giving effect to any modifications, amendments or express waivers or consents (including any consent under the definition of Company Material Adverse Effect) by the Borrower (or one of its Affiliates) thereto that are materially adverse to the Lenders or Joint Lead Arrangers in their capacities as such without the consent of the Majority Lead Arrangers (not to be unreasonably withheld, conditioned or delayed) (it being understood and agreed that (a) any change to the definition of Company Material Adverse Effect shall be deemed materially adverse to the Lenders and (b) any modification, amendment or express waiver or consents by the Borrower (or one of its affiliates) that results in an increase or reduction in the purchase price shall be deemed to not be materially adverse to the Lenders so long as (i) any increase in the purchase price shall not be funded with additional indebtedness (excluding the Credit Facilities to the extent permitted under this Agreement) and (ii) any reduction shall be allocated first to reduce the Equity Investments to the Minimum Equity Amount and thereafter to the Initial Term Loans and the Second Lien Facility on a pro rata basis).</w:t>
      </w:r>
    </w:p>
    <w:p>
      <w:pPr>
        <w:spacing w:after="0" w:line="162"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6.11 Patriot Act</w:t>
      </w:r>
      <w:r>
        <w:rPr>
          <w:rFonts w:ascii="Times New Roman" w:cs="Times New Roman" w:eastAsia="Times New Roman" w:hAnsi="Times New Roman"/>
          <w:sz w:val="14"/>
          <w:szCs w:val="14"/>
          <w:color w:val="auto"/>
        </w:rPr>
        <w:t>. The Administrative Agent and the Joint Lead Arrangers and Bookrunners shall have received at least three Business Days prior to the Closing Date such documentation and other information about the Borrower and the Guarantors as shall have been reasonably requested in writing by the Administrative Agent or the Joint Lead Arrangers and Bookrunners at least ten calendar days prior to the Closing Date and as required by U.S. regulatory authorities under applicable “know your customer” and anti</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money laundering rules and regulations, including, without limitation, the Patriot Act. If the Borrower qualifies as a “legal entity customer” under the Beneficial Ownership Regulation and the Administrative Agent has provided the Borrower the name of each requesting Lender and its electronic delivery requirements at least ten calendar days prior to the Closing Date, the</w:t>
      </w:r>
    </w:p>
    <w:p>
      <w:pPr>
        <w:spacing w:after="0" w:line="24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2" w:name="page213"/>
    <w:bookmarkEnd w:id="212"/>
    <w:p>
      <w:pPr>
        <w:jc w:val="both"/>
        <w:ind w:left="1140" w:right="1159"/>
        <w:spacing w:after="0" w:line="268" w:lineRule="auto"/>
        <w:rPr>
          <w:sz w:val="20"/>
          <w:szCs w:val="20"/>
          <w:color w:val="auto"/>
        </w:rPr>
      </w:pPr>
      <w:r>
        <w:rPr>
          <w:rFonts w:ascii="Times New Roman" w:cs="Times New Roman" w:eastAsia="Times New Roman" w:hAnsi="Times New Roman"/>
          <w:sz w:val="14"/>
          <w:szCs w:val="14"/>
          <w:color w:val="auto"/>
        </w:rPr>
        <w:t>Administrative Agent and each such Lender requesting a certification regarding beneficial ownership in relation to the Borrower as required by the Beneficial Ownership Regulation (the “</w:t>
      </w:r>
      <w:r>
        <w:rPr>
          <w:rFonts w:ascii="Times New Roman" w:cs="Times New Roman" w:eastAsia="Times New Roman" w:hAnsi="Times New Roman"/>
          <w:sz w:val="14"/>
          <w:szCs w:val="14"/>
          <w:b w:val="1"/>
          <w:bCs w:val="1"/>
          <w:color w:val="auto"/>
        </w:rPr>
        <w:t>Beneficial Ownership Certification</w:t>
      </w:r>
      <w:r>
        <w:rPr>
          <w:rFonts w:ascii="Times New Roman" w:cs="Times New Roman" w:eastAsia="Times New Roman" w:hAnsi="Times New Roman"/>
          <w:sz w:val="14"/>
          <w:szCs w:val="14"/>
          <w:color w:val="auto"/>
        </w:rPr>
        <w:t>”) shall have received at least three Business Days prior to the Closing Date, the Beneficial Ownership Certification in relation to the Borrower.</w:t>
      </w:r>
    </w:p>
    <w:p>
      <w:pPr>
        <w:spacing w:after="0" w:line="152"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6.12 Pro Forma Balance Sheet</w:t>
      </w:r>
      <w:r>
        <w:rPr>
          <w:rFonts w:ascii="Times New Roman" w:cs="Times New Roman" w:eastAsia="Times New Roman" w:hAnsi="Times New Roman"/>
          <w:sz w:val="14"/>
          <w:szCs w:val="14"/>
          <w:color w:val="auto"/>
        </w:rPr>
        <w:t>. The Joint Lead Arrangers and Bookrunners shall have received a pro forma consolidated balance sheet and related pro forma statement of income (collectively, the “</w:t>
      </w:r>
      <w:r>
        <w:rPr>
          <w:rFonts w:ascii="Times New Roman" w:cs="Times New Roman" w:eastAsia="Times New Roman" w:hAnsi="Times New Roman"/>
          <w:sz w:val="14"/>
          <w:szCs w:val="14"/>
          <w:b w:val="1"/>
          <w:bCs w:val="1"/>
          <w:color w:val="auto"/>
        </w:rPr>
        <w:t>Pro Forma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Financial Statements</w:t>
      </w:r>
      <w:r>
        <w:rPr>
          <w:rFonts w:ascii="Times New Roman" w:cs="Times New Roman" w:eastAsia="Times New Roman" w:hAnsi="Times New Roman"/>
          <w:sz w:val="14"/>
          <w:szCs w:val="14"/>
          <w:color w:val="auto"/>
        </w:rPr>
        <w:t>”) of the Borrower as of and for the 12</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period ending on the last day of the most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recently completed four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fiscal quarter period ended September 30, 2018, prepared after giving effect to the Transactions as if the Transactions had occurred as of such date (in the case of such balance sheet) or at the beginning of such period (in the case of such other statements of income), which need not be prepared in compliance with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X of the Securities Act of 1933, as amended, or include adjustments for purchase accounting (including adjustments of the type contemplated by the Financial Accounting Standards Board Accounting Standards Codification 805, Business Combinations (formerly SFAS 141R)).</w:t>
      </w:r>
    </w:p>
    <w:p>
      <w:pPr>
        <w:spacing w:after="0" w:line="175"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6.13 Financial Statements</w:t>
      </w:r>
      <w:r>
        <w:rPr>
          <w:rFonts w:ascii="Times New Roman" w:cs="Times New Roman" w:eastAsia="Times New Roman" w:hAnsi="Times New Roman"/>
          <w:sz w:val="14"/>
          <w:szCs w:val="14"/>
          <w:color w:val="auto"/>
        </w:rPr>
        <w:t>. The Joint Lead Arrangers and Bookrunners shall have received the Historical Financial Statements.</w:t>
      </w:r>
    </w:p>
    <w:p>
      <w:pPr>
        <w:spacing w:after="0" w:line="134"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6.14 No Company Material Adverse Effect</w:t>
      </w:r>
      <w:r>
        <w:rPr>
          <w:rFonts w:ascii="Times New Roman" w:cs="Times New Roman" w:eastAsia="Times New Roman" w:hAnsi="Times New Roman"/>
          <w:sz w:val="14"/>
          <w:szCs w:val="14"/>
          <w:color w:val="auto"/>
        </w:rPr>
        <w:t>. Since December 10, 2018, there has not been any change, effect, event, state of facts, development or occurrence that has had or would reasonably be expected to have a Company Material Adverse Effect (as defined in the Acquisition Agreement).</w:t>
      </w:r>
    </w:p>
    <w:p>
      <w:pPr>
        <w:spacing w:after="0" w:line="146"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6.15 Refinancing</w:t>
      </w:r>
      <w:r>
        <w:rPr>
          <w:rFonts w:ascii="Times New Roman" w:cs="Times New Roman" w:eastAsia="Times New Roman" w:hAnsi="Times New Roman"/>
          <w:sz w:val="14"/>
          <w:szCs w:val="14"/>
          <w:color w:val="auto"/>
        </w:rPr>
        <w:t>. Substantially simultaneously with the initial Borrowing of the Initial Term Loans, the Closing Date Refinancing shall be consummated.</w:t>
      </w:r>
    </w:p>
    <w:p>
      <w:pPr>
        <w:spacing w:after="0" w:line="134"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6.16 Notice of Borrowing</w:t>
      </w:r>
      <w:r>
        <w:rPr>
          <w:rFonts w:ascii="Times New Roman" w:cs="Times New Roman" w:eastAsia="Times New Roman" w:hAnsi="Times New Roman"/>
          <w:sz w:val="14"/>
          <w:szCs w:val="14"/>
          <w:color w:val="auto"/>
        </w:rPr>
        <w:t xml:space="preserve">. The Administrative Agent (or its counsel) shall have received a Notice of Borrowing meeting the requirements of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140" w:right="1179"/>
        <w:spacing w:after="0" w:line="265"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the conditions specified in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on the Closing Date,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40"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7.</w:t>
      </w:r>
      <w:r>
        <w:rPr>
          <w:sz w:val="20"/>
          <w:szCs w:val="20"/>
          <w:color w:val="auto"/>
        </w:rPr>
        <w:tab/>
      </w:r>
      <w:r>
        <w:rPr>
          <w:rFonts w:ascii="Times New Roman" w:cs="Times New Roman" w:eastAsia="Times New Roman" w:hAnsi="Times New Roman"/>
          <w:sz w:val="14"/>
          <w:szCs w:val="14"/>
          <w:color w:val="auto"/>
        </w:rPr>
        <w:t>Conditions Precedent to All Credit Events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296037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7">
                      <a:extLst>
                        <a:ext uri="{28A0092B-C50C-407E-A947-70E740481C1C}"/>
                      </a:extLst>
                    </a:blip>
                    <a:srcRect/>
                    <a:stretch>
                      <a:fillRect/>
                    </a:stretch>
                  </pic:blipFill>
                  <pic:spPr bwMode="auto">
                    <a:xfrm>
                      <a:off x="0" y="0"/>
                      <a:ext cx="2960370" cy="6985"/>
                    </a:xfrm>
                    <a:prstGeom prst="rect">
                      <a:avLst/>
                    </a:prstGeom>
                    <a:noFill/>
                  </pic:spPr>
                </pic:pic>
              </a:graphicData>
            </a:graphic>
          </wp:anchor>
        </w:drawing>
      </w:r>
    </w:p>
    <w:p>
      <w:pPr>
        <w:spacing w:after="0" w:line="155" w:lineRule="exact"/>
        <w:rPr>
          <w:sz w:val="20"/>
          <w:szCs w:val="20"/>
          <w:color w:val="auto"/>
        </w:rPr>
      </w:pPr>
    </w:p>
    <w:p>
      <w:pPr>
        <w:ind w:left="1140" w:right="1199" w:firstLine="1033"/>
        <w:spacing w:after="0" w:line="264" w:lineRule="auto"/>
        <w:rPr>
          <w:sz w:val="20"/>
          <w:szCs w:val="20"/>
          <w:color w:val="auto"/>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1.12</w:t>
      </w:r>
      <w:r>
        <w:rPr>
          <w:rFonts w:ascii="Times New Roman" w:cs="Times New Roman" w:eastAsia="Times New Roman" w:hAnsi="Times New Roman"/>
          <w:sz w:val="14"/>
          <w:szCs w:val="14"/>
          <w:color w:val="auto"/>
        </w:rPr>
        <w:t xml:space="preserve">, the agreement of each Lender to make any Loan requested to be made by it on any date (other than the initial Borrowing of Term Loans on the Closing Date under this Agreement), including any New Term Loans and/or any Replacement Term Loans (excluding Revolving Credit Loans required to be made by the Revolving Credit Lenders in respect of Unpaid Drawings pursuant to </w:t>
      </w:r>
      <w:r>
        <w:rPr>
          <w:rFonts w:ascii="Times New Roman" w:cs="Times New Roman" w:eastAsia="Times New Roman" w:hAnsi="Times New Roman"/>
          <w:sz w:val="14"/>
          <w:szCs w:val="14"/>
          <w:u w:val="single" w:color="auto"/>
          <w:color w:val="auto"/>
        </w:rPr>
        <w:t>Sections 3.3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3.4</w:t>
      </w:r>
      <w:r>
        <w:rPr>
          <w:rFonts w:ascii="Times New Roman" w:cs="Times New Roman" w:eastAsia="Times New Roman" w:hAnsi="Times New Roman"/>
          <w:sz w:val="14"/>
          <w:szCs w:val="14"/>
          <w:color w:val="auto"/>
        </w:rPr>
        <w:t>) and the obligation of the Letter of Credit Issuer to issue Letters of Credit on any date, is subject to the satisfaction (or waiver) of the following conditions precedent:</w:t>
      </w:r>
    </w:p>
    <w:p>
      <w:pPr>
        <w:spacing w:after="0" w:line="153"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7.1</w:t>
      </w:r>
      <w:r>
        <w:rPr>
          <w:sz w:val="20"/>
          <w:szCs w:val="20"/>
          <w:color w:val="auto"/>
        </w:rPr>
        <w:tab/>
      </w:r>
      <w:r>
        <w:rPr>
          <w:rFonts w:ascii="Times New Roman" w:cs="Times New Roman" w:eastAsia="Times New Roman" w:hAnsi="Times New Roman"/>
          <w:sz w:val="14"/>
          <w:szCs w:val="14"/>
          <w:u w:val="single" w:color="auto"/>
          <w:color w:val="auto"/>
        </w:rPr>
        <w:t>No Default; Representations and Warranties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1972" w:val="left"/>
        </w:tabs>
        <w:numPr>
          <w:ilvl w:val="0"/>
          <w:numId w:val="2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At the time of each Credit Event and also after giving effect thereto (other than any Credit Event on the Closing Date or pursuant to any Loan made pursuant to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2.15</w:t>
      </w:r>
      <w:r>
        <w:rPr>
          <w:rFonts w:ascii="Times New Roman" w:cs="Times New Roman" w:eastAsia="Times New Roman" w:hAnsi="Times New Roman"/>
          <w:sz w:val="14"/>
          <w:szCs w:val="14"/>
          <w:color w:val="auto"/>
        </w:rPr>
        <w:t xml:space="preserve"> (which shall be subject to the applicable terms of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2.15</w:t>
      </w:r>
      <w:r>
        <w:rPr>
          <w:rFonts w:ascii="Times New Roman" w:cs="Times New Roman" w:eastAsia="Times New Roman" w:hAnsi="Times New Roman"/>
          <w:sz w:val="14"/>
          <w:szCs w:val="14"/>
          <w:color w:val="auto"/>
        </w:rPr>
        <w:t>, as applicable)), (i) no Default or Event of Default shall have occurred and be continuing and (ii) all representations and warranties made by any Credit Party contained herein or in the other Credit Documents shall be true and correct in all material respects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representations and warranties which are qualified by materiality, material adverse effect or similar language shall be true and correct in 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representations and warranties which are qualified by materiality, material adverse effect or similar language shall be</w:t>
      </w: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3" w:name="page214"/>
    <w:bookmarkEnd w:id="213"/>
    <w:p>
      <w:pPr>
        <w:ind w:left="1140"/>
        <w:spacing w:after="0"/>
        <w:rPr>
          <w:sz w:val="20"/>
          <w:szCs w:val="20"/>
          <w:color w:val="auto"/>
        </w:rPr>
      </w:pPr>
      <w:r>
        <w:rPr>
          <w:rFonts w:ascii="Times New Roman" w:cs="Times New Roman" w:eastAsia="Times New Roman" w:hAnsi="Times New Roman"/>
          <w:sz w:val="14"/>
          <w:szCs w:val="14"/>
          <w:color w:val="auto"/>
        </w:rPr>
        <w:t>true and correct in all respects) as of such earlier date).</w:t>
      </w:r>
    </w:p>
    <w:p>
      <w:pPr>
        <w:spacing w:after="0" w:line="194"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7.2</w:t>
      </w:r>
      <w:r>
        <w:rPr>
          <w:sz w:val="20"/>
          <w:szCs w:val="20"/>
          <w:color w:val="auto"/>
        </w:rPr>
        <w:tab/>
      </w:r>
      <w:r>
        <w:rPr>
          <w:rFonts w:ascii="Times New Roman" w:cs="Times New Roman" w:eastAsia="Times New Roman" w:hAnsi="Times New Roman"/>
          <w:sz w:val="14"/>
          <w:szCs w:val="14"/>
          <w:u w:val="single" w:color="auto"/>
          <w:color w:val="auto"/>
        </w:rPr>
        <w:t>Notice of Borrowing</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140" w:right="1159" w:firstLine="524"/>
        <w:spacing w:after="0" w:line="293" w:lineRule="auto"/>
        <w:tabs>
          <w:tab w:leader="none" w:pos="1982" w:val="left"/>
        </w:tabs>
        <w:numPr>
          <w:ilvl w:val="0"/>
          <w:numId w:val="21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Prior to the making of each Term Loan after the Closing Date, the Administrative Agent shall have received a Notice of Borrowing meeting the requirements of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4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2011" w:val="left"/>
        </w:tabs>
        <w:numPr>
          <w:ilvl w:val="0"/>
          <w:numId w:val="21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Prior to the making of each Revolving Credit Loan (other than any Revolving Credit Loan made pursuant to </w:t>
      </w:r>
      <w:r>
        <w:rPr>
          <w:rFonts w:ascii="Times New Roman" w:cs="Times New Roman" w:eastAsia="Times New Roman" w:hAnsi="Times New Roman"/>
          <w:sz w:val="14"/>
          <w:szCs w:val="14"/>
          <w:u w:val="single" w:color="auto"/>
          <w:color w:val="auto"/>
        </w:rPr>
        <w:t>Section 3.4(a)</w:t>
      </w:r>
      <w:r>
        <w:rPr>
          <w:rFonts w:ascii="Times New Roman" w:cs="Times New Roman" w:eastAsia="Times New Roman" w:hAnsi="Times New Roman"/>
          <w:sz w:val="14"/>
          <w:szCs w:val="14"/>
          <w:color w:val="auto"/>
        </w:rPr>
        <w:t xml:space="preserve">), the Administrative Agent shall have received a Notice of Borrowing meeting the requirements of </w:t>
      </w:r>
      <w:r>
        <w:rPr>
          <w:rFonts w:ascii="Times New Roman" w:cs="Times New Roman" w:eastAsia="Times New Roman" w:hAnsi="Times New Roman"/>
          <w:sz w:val="14"/>
          <w:szCs w:val="14"/>
          <w:u w:val="single" w:color="auto"/>
          <w:color w:val="auto"/>
        </w:rPr>
        <w:t>Section 2.3</w:t>
      </w:r>
      <w:r>
        <w:rPr>
          <w:rFonts w:ascii="Times New Roman" w:cs="Times New Roman" w:eastAsia="Times New Roman" w:hAnsi="Times New Roman"/>
          <w:sz w:val="14"/>
          <w:szCs w:val="14"/>
          <w:color w:val="auto"/>
        </w:rPr>
        <w:t>.</w:t>
      </w:r>
    </w:p>
    <w:p>
      <w:pPr>
        <w:spacing w:after="0" w:line="156"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2001" w:val="left"/>
        </w:tabs>
        <w:numPr>
          <w:ilvl w:val="0"/>
          <w:numId w:val="21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Prior to the issuance of each Letter of Credit, the Administrative Agent and the applicable Letter of Credit Issuer shall have received a Letter of Credit Request meeting the requirements of </w:t>
      </w:r>
      <w:r>
        <w:rPr>
          <w:rFonts w:ascii="Times New Roman" w:cs="Times New Roman" w:eastAsia="Times New Roman" w:hAnsi="Times New Roman"/>
          <w:sz w:val="14"/>
          <w:szCs w:val="14"/>
          <w:u w:val="single" w:color="auto"/>
          <w:color w:val="auto"/>
        </w:rPr>
        <w:t>Section 3.2(a)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3A.2(a)</w:t>
      </w:r>
      <w:r>
        <w:rPr>
          <w:rFonts w:ascii="Times New Roman" w:cs="Times New Roman" w:eastAsia="Times New Roman" w:hAnsi="Times New Roman"/>
          <w:sz w:val="14"/>
          <w:szCs w:val="14"/>
          <w:color w:val="auto"/>
        </w:rPr>
        <w:t>, as applicable.</w:t>
      </w:r>
    </w:p>
    <w:p>
      <w:pPr>
        <w:spacing w:after="0" w:line="146"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7.3 Additional 2020 Letter of Credit Condition</w:t>
      </w:r>
      <w:r>
        <w:rPr>
          <w:rFonts w:ascii="Times New Roman" w:cs="Times New Roman" w:eastAsia="Times New Roman" w:hAnsi="Times New Roman"/>
          <w:sz w:val="14"/>
          <w:szCs w:val="14"/>
          <w:color w:val="auto"/>
        </w:rPr>
        <w:t>. With respect to any issuance or extension of, drawing under, and/or amendment of, a 2020 Letter of Credit, to the extent the aggregate amount of 2020 Letter of Credit Unpaid Drawings outstanding exceeds 35% of the Total 2020 Letter of Credit Commitment at such time, the Consolidated First Lien Secured Debt to Consolidated EBITDA Ratio as of the last day of the Test Period shall not be greater than 6.90:1.00.</w:t>
      </w:r>
    </w:p>
    <w:p>
      <w:pPr>
        <w:spacing w:after="0" w:line="144" w:lineRule="exact"/>
        <w:rPr>
          <w:sz w:val="20"/>
          <w:szCs w:val="20"/>
          <w:color w:val="auto"/>
        </w:rPr>
      </w:pPr>
    </w:p>
    <w:p>
      <w:pPr>
        <w:ind w:left="1140" w:right="1279"/>
        <w:spacing w:after="0" w:line="275" w:lineRule="auto"/>
        <w:rPr>
          <w:sz w:val="20"/>
          <w:szCs w:val="20"/>
          <w:color w:val="auto"/>
        </w:rPr>
      </w:pPr>
      <w:r>
        <w:rPr>
          <w:rFonts w:ascii="Times New Roman" w:cs="Times New Roman" w:eastAsia="Times New Roman" w:hAnsi="Times New Roman"/>
          <w:sz w:val="14"/>
          <w:szCs w:val="14"/>
          <w:color w:val="auto"/>
        </w:rPr>
        <w:t xml:space="preserve">The acceptance of the benefits of each Credit Event shall constitute a representation and warranty by each Credit Party to each of the Lenders that all the applicable conditions specified in </w:t>
      </w:r>
      <w:r>
        <w:rPr>
          <w:rFonts w:ascii="Times New Roman" w:cs="Times New Roman" w:eastAsia="Times New Roman" w:hAnsi="Times New Roman"/>
          <w:sz w:val="14"/>
          <w:szCs w:val="14"/>
          <w:u w:val="single" w:color="auto"/>
          <w:color w:val="auto"/>
        </w:rPr>
        <w:t>Section 7</w:t>
      </w:r>
      <w:r>
        <w:rPr>
          <w:rFonts w:ascii="Times New Roman" w:cs="Times New Roman" w:eastAsia="Times New Roman" w:hAnsi="Times New Roman"/>
          <w:sz w:val="14"/>
          <w:szCs w:val="14"/>
          <w:color w:val="auto"/>
        </w:rPr>
        <w:t xml:space="preserve"> above have been satisfied as of that time.</w:t>
      </w:r>
    </w:p>
    <w:p>
      <w:pPr>
        <w:spacing w:after="0" w:line="131"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8.</w:t>
      </w:r>
      <w:r>
        <w:rPr>
          <w:sz w:val="20"/>
          <w:szCs w:val="20"/>
          <w:color w:val="auto"/>
        </w:rPr>
        <w:tab/>
      </w:r>
      <w:r>
        <w:rPr>
          <w:rFonts w:ascii="Times New Roman" w:cs="Times New Roman" w:eastAsia="Times New Roman" w:hAnsi="Times New Roman"/>
          <w:sz w:val="14"/>
          <w:szCs w:val="14"/>
          <w:color w:val="auto"/>
        </w:rPr>
        <w:t>Representations and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175133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9">
                      <a:extLst>
                        <a:ext uri="{28A0092B-C50C-407E-A947-70E740481C1C}"/>
                      </a:extLst>
                    </a:blip>
                    <a:srcRect/>
                    <a:stretch>
                      <a:fillRect/>
                    </a:stretch>
                  </pic:blipFill>
                  <pic:spPr bwMode="auto">
                    <a:xfrm>
                      <a:off x="0" y="0"/>
                      <a:ext cx="1751330" cy="6985"/>
                    </a:xfrm>
                    <a:prstGeom prst="rect">
                      <a:avLst/>
                    </a:prstGeom>
                    <a:noFill/>
                  </pic:spPr>
                </pic:pic>
              </a:graphicData>
            </a:graphic>
          </wp:anchor>
        </w:drawing>
      </w:r>
    </w:p>
    <w:p>
      <w:pPr>
        <w:spacing w:after="0" w:line="155" w:lineRule="exact"/>
        <w:rPr>
          <w:sz w:val="20"/>
          <w:szCs w:val="20"/>
          <w:color w:val="auto"/>
        </w:rPr>
      </w:pPr>
    </w:p>
    <w:p>
      <w:pPr>
        <w:ind w:left="1140" w:right="1219" w:firstLine="1033"/>
        <w:spacing w:after="0" w:line="262" w:lineRule="auto"/>
        <w:rPr>
          <w:sz w:val="20"/>
          <w:szCs w:val="20"/>
          <w:color w:val="auto"/>
        </w:rPr>
      </w:pPr>
      <w:r>
        <w:rPr>
          <w:rFonts w:ascii="Times New Roman" w:cs="Times New Roman" w:eastAsia="Times New Roman" w:hAnsi="Times New Roman"/>
          <w:sz w:val="14"/>
          <w:szCs w:val="14"/>
          <w:color w:val="auto"/>
        </w:rPr>
        <w:t xml:space="preserve">In order to induce the Lenders to enter into this Agreement and to make the Loans and the Swingline Loans and issue or participate in Letters of Credit as provided for herein the Borrower (and, with respect to </w:t>
      </w:r>
      <w:r>
        <w:rPr>
          <w:rFonts w:ascii="Times New Roman" w:cs="Times New Roman" w:eastAsia="Times New Roman" w:hAnsi="Times New Roman"/>
          <w:sz w:val="14"/>
          <w:szCs w:val="14"/>
          <w:u w:val="single" w:color="auto"/>
          <w:color w:val="auto"/>
        </w:rPr>
        <w:t>Sections 8.1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8.10</w:t>
      </w:r>
      <w:r>
        <w:rPr>
          <w:rFonts w:ascii="Times New Roman" w:cs="Times New Roman" w:eastAsia="Times New Roman" w:hAnsi="Times New Roman"/>
          <w:sz w:val="14"/>
          <w:szCs w:val="14"/>
          <w:color w:val="auto"/>
        </w:rPr>
        <w:t xml:space="preserve"> only, Holdings) makes the following representations and warranties to the Lenders, all of which shall survive the execution and delivery of this Agreement and the making of the Loans and the Swingline Loans and the issuance of the Letters of Credit (it being understood that the following representations and warranties shall be deemed made with respect to any Foreign Subsidiary only to the extent relevant under applicable law):</w:t>
      </w:r>
    </w:p>
    <w:p>
      <w:pPr>
        <w:spacing w:after="0" w:line="158"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8.1 Corporate Status</w:t>
      </w:r>
      <w:r>
        <w:rPr>
          <w:rFonts w:ascii="Times New Roman" w:cs="Times New Roman" w:eastAsia="Times New Roman" w:hAnsi="Times New Roman"/>
          <w:sz w:val="14"/>
          <w:szCs w:val="14"/>
          <w:color w:val="auto"/>
        </w:rPr>
        <w:t>. Each Credit Party (a) is a duly organized and/or incorporated and validly existing corporation, limited liability company or other entity in good standing (if applicable) under the laws of the jurisdiction of its organization and/or incorporation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54"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8.2 Corporate Power and Authority</w:t>
      </w:r>
      <w:r>
        <w:rPr>
          <w:rFonts w:ascii="Times New Roman" w:cs="Times New Roman" w:eastAsia="Times New Roman" w:hAnsi="Times New Roman"/>
          <w:sz w:val="14"/>
          <w:szCs w:val="14"/>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except as the enforceability thereof may be limited by bankruptcy, insolvency, liquidation, winding up, dissolution, strike-off or similar laws affecting creditors’ rights generally and subject to general principles of equity.</w:t>
      </w:r>
    </w:p>
    <w:p>
      <w:pPr>
        <w:spacing w:after="0" w:line="160"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8.3 No Violation</w:t>
      </w:r>
      <w:r>
        <w:rPr>
          <w:rFonts w:ascii="Times New Roman" w:cs="Times New Roman" w:eastAsia="Times New Roman" w:hAnsi="Times New Roman"/>
          <w:sz w:val="14"/>
          <w:szCs w:val="14"/>
          <w:color w:val="auto"/>
        </w:rPr>
        <w:t>. Neither the execution, delivery or performance by any Credit Party of the Credit Documents to which it is a party nor compliance with the terms and provisions thereof nor the consummation of the Acquisition or the Abode Acquisition and the other transactions contemplated hereby or thereby will (a) contravene</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4" w:name="page215"/>
    <w:bookmarkEnd w:id="214"/>
    <w:p>
      <w:pPr>
        <w:jc w:val="both"/>
        <w:ind w:left="1140" w:right="1159"/>
        <w:spacing w:after="0" w:line="175" w:lineRule="exact"/>
        <w:rPr>
          <w:sz w:val="20"/>
          <w:szCs w:val="20"/>
          <w:color w:val="auto"/>
        </w:rPr>
      </w:pPr>
      <w:r>
        <w:rPr>
          <w:rFonts w:ascii="Times New Roman" w:cs="Times New Roman" w:eastAsia="Times New Roman" w:hAnsi="Times New Roman"/>
          <w:sz w:val="14"/>
          <w:szCs w:val="14"/>
          <w:color w:val="auto"/>
        </w:rPr>
        <w:t>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Times New Roman" w:cs="Times New Roman" w:eastAsia="Times New Roman" w:hAnsi="Times New Roman"/>
          <w:sz w:val="14"/>
          <w:szCs w:val="14"/>
          <w:b w:val="1"/>
          <w:bCs w:val="1"/>
          <w:color w:val="auto"/>
        </w:rPr>
        <w:t>Contractual Requirement</w:t>
      </w:r>
      <w:r>
        <w:rPr>
          <w:rFonts w:ascii="Times New Roman" w:cs="Times New Roman" w:eastAsia="Times New Roman" w:hAnsi="Times New Roman"/>
          <w:sz w:val="14"/>
          <w:szCs w:val="14"/>
          <w:color w:val="auto"/>
        </w:rPr>
        <w:t>”) other than any such breach, default or Lien that would not reasonably be expected to result in a Material Adverse Effect or (c) violate any provision of the certificate of incorporation, by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laws, memorandum and articles of association or other organizational documents of such Credit Party or any of the Restricted Subsidiaries (after giving effect to the Acquisition and the Abode Acquisition).</w:t>
      </w:r>
    </w:p>
    <w:p>
      <w:pPr>
        <w:spacing w:after="0" w:line="330"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8.4 Litigation</w:t>
      </w:r>
      <w:r>
        <w:rPr>
          <w:rFonts w:ascii="Times New Roman" w:cs="Times New Roman" w:eastAsia="Times New Roman" w:hAnsi="Times New Roman"/>
          <w:sz w:val="14"/>
          <w:szCs w:val="14"/>
          <w:color w:val="auto"/>
        </w:rPr>
        <w:t>. There are no actions, suits or proceedings pending or, to the knowledge of the Borrower, threatened in writing against the Borrower or any of the Restricted Subsidiaries that would reasonably be expected to result in a Material Adverse Effect.</w:t>
      </w:r>
    </w:p>
    <w:p>
      <w:pPr>
        <w:spacing w:after="0" w:line="146"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8.5 Margin Regulations</w:t>
      </w:r>
      <w:r>
        <w:rPr>
          <w:rFonts w:ascii="Times New Roman" w:cs="Times New Roman" w:eastAsia="Times New Roman" w:hAnsi="Times New Roman"/>
          <w:sz w:val="14"/>
          <w:szCs w:val="14"/>
          <w:color w:val="auto"/>
        </w:rPr>
        <w:t>. Neither the making of any Loan hereunder nor the use of the proceeds thereof will violate the provisions of Regulation T, U or X of the Board.</w:t>
      </w:r>
    </w:p>
    <w:p>
      <w:pPr>
        <w:spacing w:after="0" w:line="134"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u w:val="single" w:color="auto"/>
          <w:color w:val="auto"/>
        </w:rPr>
        <w:t>8.6 Governmental Approvals</w:t>
      </w:r>
      <w:r>
        <w:rPr>
          <w:rFonts w:ascii="Times New Roman" w:cs="Times New Roman" w:eastAsia="Times New Roman" w:hAnsi="Times New Roman"/>
          <w:sz w:val="14"/>
          <w:szCs w:val="14"/>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53"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8.7 Investment Company Act</w:t>
      </w:r>
      <w:r>
        <w:rPr>
          <w:rFonts w:ascii="Times New Roman" w:cs="Times New Roman" w:eastAsia="Times New Roman" w:hAnsi="Times New Roman"/>
          <w:sz w:val="14"/>
          <w:szCs w:val="14"/>
          <w:color w:val="auto"/>
        </w:rPr>
        <w:t>. None of Holdings, the Borrower or any other Restricted Subsidiary is an “investment company” within the meaning of the Investment Company Act of 1940, as amended.</w:t>
      </w:r>
    </w:p>
    <w:p>
      <w:pPr>
        <w:spacing w:after="0" w:line="134"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8.8</w:t>
      </w:r>
      <w:r>
        <w:rPr>
          <w:sz w:val="20"/>
          <w:szCs w:val="20"/>
          <w:color w:val="auto"/>
        </w:rPr>
        <w:tab/>
      </w:r>
      <w:r>
        <w:rPr>
          <w:rFonts w:ascii="Times New Roman" w:cs="Times New Roman" w:eastAsia="Times New Roman" w:hAnsi="Times New Roman"/>
          <w:sz w:val="14"/>
          <w:szCs w:val="14"/>
          <w:u w:val="single" w:color="auto"/>
          <w:color w:val="auto"/>
        </w:rPr>
        <w:t>True and Complete Disclosure</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174" w:lineRule="exact"/>
        <w:tabs>
          <w:tab w:leader="none" w:pos="2015" w:val="left"/>
        </w:tabs>
        <w:numPr>
          <w:ilvl w:val="0"/>
          <w:numId w:val="21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None of the written factual information and written data (taken as a whole) heretofore or contemporaneously furnished by or on behalf of the Borrower, any of the Restricted Subsidiaries or any of their respective authorized representatives to the Administrative Agent, any Joint Lead Arranger and Bookrunner and/or any Lender on or before the Closing Date (including all such written information and data contained in (i) the Confidential Information Memorandum (as updated prior to the Closing Date and including all information incorporated by reference therein) and (ii) the Credit Documents) for purposes of or in connection with this Agreement or any transaction contemplated herein was, when furnished, incorrect in any material respect or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the purposes of this </w:t>
      </w:r>
      <w:r>
        <w:rPr>
          <w:rFonts w:ascii="Times New Roman" w:cs="Times New Roman" w:eastAsia="Times New Roman" w:hAnsi="Times New Roman"/>
          <w:sz w:val="14"/>
          <w:szCs w:val="14"/>
          <w:u w:val="single" w:color="auto"/>
          <w:color w:val="auto"/>
        </w:rPr>
        <w:t>Section 8.8(a)</w:t>
      </w:r>
      <w:r>
        <w:rPr>
          <w:rFonts w:ascii="Times New Roman" w:cs="Times New Roman" w:eastAsia="Times New Roman" w:hAnsi="Times New Roman"/>
          <w:sz w:val="14"/>
          <w:szCs w:val="14"/>
          <w:color w:val="auto"/>
        </w:rPr>
        <w:t>, such factual information and data shall not include pro forma financial information, projections, estimates (including financial estimates, forecasts, and other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information) or other forward looking information and information of a general economic or general industry nature.</w:t>
      </w:r>
    </w:p>
    <w:p>
      <w:pPr>
        <w:spacing w:after="0" w:line="303" w:lineRule="exact"/>
        <w:rPr>
          <w:rFonts w:ascii="Times New Roman" w:cs="Times New Roman" w:eastAsia="Times New Roman" w:hAnsi="Times New Roman"/>
          <w:sz w:val="14"/>
          <w:szCs w:val="14"/>
          <w:color w:val="010000"/>
        </w:rPr>
      </w:pPr>
    </w:p>
    <w:p>
      <w:pPr>
        <w:jc w:val="both"/>
        <w:ind w:left="1140" w:right="1159" w:firstLine="524"/>
        <w:spacing w:after="0" w:line="182" w:lineRule="exact"/>
        <w:tabs>
          <w:tab w:leader="none" w:pos="1993" w:val="left"/>
        </w:tabs>
        <w:numPr>
          <w:ilvl w:val="0"/>
          <w:numId w:val="21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projections (including financial estimates, forecasts, and other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looking information) contained in the information and data referred to in </w:t>
      </w:r>
      <w:r>
        <w:rPr>
          <w:rFonts w:ascii="Times New Roman" w:cs="Times New Roman" w:eastAsia="Times New Roman" w:hAnsi="Times New Roman"/>
          <w:sz w:val="14"/>
          <w:szCs w:val="14"/>
          <w:u w:val="single" w:color="auto"/>
          <w:color w:val="auto"/>
        </w:rPr>
        <w:t>paragraph (a)</w:t>
      </w:r>
      <w:r>
        <w:rPr>
          <w:rFonts w:ascii="Times New Roman" w:cs="Times New Roman" w:eastAsia="Times New Roman" w:hAnsi="Times New Roman"/>
          <w:sz w:val="14"/>
          <w:szCs w:val="14"/>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169" w:lineRule="exact"/>
        <w:rPr>
          <w:sz w:val="20"/>
          <w:szCs w:val="20"/>
          <w:color w:val="auto"/>
        </w:rPr>
      </w:pPr>
    </w:p>
    <w:p>
      <w:pPr>
        <w:ind w:left="1660"/>
        <w:spacing w:after="0"/>
        <w:tabs>
          <w:tab w:leader="none" w:pos="1960" w:val="left"/>
        </w:tabs>
        <w:rPr>
          <w:sz w:val="20"/>
          <w:szCs w:val="20"/>
          <w:color w:val="auto"/>
        </w:rPr>
      </w:pPr>
      <w:r>
        <w:rPr>
          <w:rFonts w:ascii="Times New Roman" w:cs="Times New Roman" w:eastAsia="Times New Roman" w:hAnsi="Times New Roman"/>
          <w:sz w:val="14"/>
          <w:szCs w:val="14"/>
          <w:color w:val="auto"/>
        </w:rPr>
        <w:t>8.9</w:t>
      </w:r>
      <w:r>
        <w:rPr>
          <w:sz w:val="20"/>
          <w:szCs w:val="20"/>
          <w:color w:val="auto"/>
        </w:rPr>
        <w:tab/>
      </w:r>
      <w:r>
        <w:rPr>
          <w:rFonts w:ascii="Times New Roman" w:cs="Times New Roman" w:eastAsia="Times New Roman" w:hAnsi="Times New Roman"/>
          <w:sz w:val="14"/>
          <w:szCs w:val="14"/>
          <w:u w:val="single" w:color="auto"/>
          <w:color w:val="auto"/>
        </w:rPr>
        <w:t>Financial Condition; Financial Statements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93" w:lineRule="auto"/>
        <w:tabs>
          <w:tab w:leader="none" w:pos="1993" w:val="left"/>
        </w:tabs>
        <w:numPr>
          <w:ilvl w:val="0"/>
          <w:numId w:val="21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The unaudited historical consolidated financial information of the Borrower as set forth in the Confidential Information Memorandum, and (ii) the Historical Financial Statements, in each case present fairly in all</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5" w:name="page216"/>
    <w:bookmarkEnd w:id="215"/>
    <w:p>
      <w:pPr>
        <w:jc w:val="both"/>
        <w:ind w:left="1140" w:right="1159"/>
        <w:spacing w:after="0" w:line="261" w:lineRule="auto"/>
        <w:rPr>
          <w:sz w:val="20"/>
          <w:szCs w:val="20"/>
          <w:color w:val="auto"/>
        </w:rPr>
      </w:pPr>
      <w:r>
        <w:rPr>
          <w:rFonts w:ascii="Times New Roman" w:cs="Times New Roman" w:eastAsia="Times New Roman" w:hAnsi="Times New Roman"/>
          <w:sz w:val="14"/>
          <w:szCs w:val="14"/>
          <w:color w:val="auto"/>
        </w:rPr>
        <w:t xml:space="preserve">material respects the consolidated financial position of the Borrower at the respective dates of said information, statements and results of operations for the respective periods covered thereby. The Pro Forma Financial Statements, copies of which have heretofore been furnished to the Administrative Agent, have been prepared based on the Historical Financial Statements and have been prepared in good faith, based on assumptions believed by the Borrower to be reasonable as of the date of delivery thereof, and present fairly in all material respects on a Pro Forma Basis the estimated financial position of the Borrower and its Subsidiaries as at September 30, 2018 (as if the Transactions had been consummated on such date) and their estimated results of operations as if the Transactions had been consummated on October 1, 2017. The financial statements referred to in </w:t>
      </w:r>
      <w:r>
        <w:rPr>
          <w:rFonts w:ascii="Times New Roman" w:cs="Times New Roman" w:eastAsia="Times New Roman" w:hAnsi="Times New Roman"/>
          <w:sz w:val="14"/>
          <w:szCs w:val="14"/>
          <w:u w:val="single" w:color="auto"/>
          <w:color w:val="auto"/>
        </w:rPr>
        <w:t>clause (a)(ii)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8.9</w:t>
      </w:r>
      <w:r>
        <w:rPr>
          <w:rFonts w:ascii="Times New Roman" w:cs="Times New Roman" w:eastAsia="Times New Roman" w:hAnsi="Times New Roman"/>
          <w:sz w:val="14"/>
          <w:szCs w:val="14"/>
          <w:color w:val="auto"/>
        </w:rPr>
        <w:t xml:space="preserve"> have been prepared in accordance with GAAP consistently applied except to the extent provided in the notes to said financial statements.</w:t>
      </w:r>
    </w:p>
    <w:p>
      <w:pPr>
        <w:spacing w:after="0" w:line="329" w:lineRule="exact"/>
        <w:rPr>
          <w:sz w:val="20"/>
          <w:szCs w:val="20"/>
          <w:color w:val="auto"/>
        </w:rPr>
      </w:pPr>
    </w:p>
    <w:p>
      <w:pPr>
        <w:ind w:left="1980" w:hanging="316"/>
        <w:spacing w:after="0"/>
        <w:tabs>
          <w:tab w:leader="none" w:pos="1980" w:val="left"/>
        </w:tabs>
        <w:numPr>
          <w:ilvl w:val="0"/>
          <w:numId w:val="21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There has been no Material Adverse Effect since the Closing Date.</w:t>
      </w:r>
    </w:p>
    <w:p>
      <w:pPr>
        <w:spacing w:after="0" w:line="183" w:lineRule="exact"/>
        <w:rPr>
          <w:sz w:val="20"/>
          <w:szCs w:val="20"/>
          <w:color w:val="auto"/>
        </w:rPr>
      </w:pPr>
    </w:p>
    <w:p>
      <w:pPr>
        <w:ind w:left="1140" w:right="1239"/>
        <w:spacing w:after="0" w:line="268" w:lineRule="auto"/>
        <w:rPr>
          <w:sz w:val="20"/>
          <w:szCs w:val="20"/>
          <w:color w:val="auto"/>
        </w:rPr>
      </w:pPr>
      <w:r>
        <w:rPr>
          <w:rFonts w:ascii="Times New Roman" w:cs="Times New Roman" w:eastAsia="Times New Roman" w:hAnsi="Times New Roman"/>
          <w:sz w:val="14"/>
          <w:szCs w:val="14"/>
          <w:color w:val="auto"/>
        </w:rPr>
        <w:t>Each Lender and the Administrative Agent hereby acknowledges and agrees that the Borrower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8.10 </w:t>
      </w:r>
      <w:r>
        <w:rPr>
          <w:rFonts w:ascii="Times New Roman" w:cs="Times New Roman" w:eastAsia="Times New Roman" w:hAnsi="Times New Roman"/>
          <w:sz w:val="14"/>
          <w:szCs w:val="14"/>
          <w:u w:val="single" w:color="auto"/>
          <w:color w:val="auto"/>
        </w:rPr>
        <w:t>Compliance with Laws; No Default; OFAC; FCPA; Anti-Corruption Laws</w:t>
      </w:r>
      <w:r>
        <w:rPr>
          <w:rFonts w:ascii="Times New Roman" w:cs="Times New Roman" w:eastAsia="Times New Roman" w:hAnsi="Times New Roman"/>
          <w:sz w:val="14"/>
          <w:szCs w:val="14"/>
          <w:color w:val="auto"/>
        </w:rPr>
        <w:t>.</w:t>
      </w:r>
    </w:p>
    <w:p>
      <w:pPr>
        <w:spacing w:after="0" w:line="183" w:lineRule="exact"/>
        <w:rPr>
          <w:sz w:val="20"/>
          <w:szCs w:val="20"/>
          <w:color w:val="auto"/>
        </w:rPr>
      </w:pPr>
    </w:p>
    <w:p>
      <w:pPr>
        <w:ind w:left="1140" w:right="1479" w:firstLine="1040"/>
        <w:spacing w:after="0" w:line="275" w:lineRule="auto"/>
        <w:tabs>
          <w:tab w:leader="none" w:pos="246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Credit Party is in compliance with all Requirements of Law applicable to it or its property, except where the failure to be in compliance with such Requirements of Law would not reasonably be expected to result in a Material Adverse Effect.</w:t>
      </w:r>
    </w:p>
    <w:p>
      <w:pPr>
        <w:spacing w:after="0" w:line="135" w:lineRule="exact"/>
        <w:rPr>
          <w:rFonts w:ascii="Times New Roman" w:cs="Times New Roman" w:eastAsia="Times New Roman" w:hAnsi="Times New Roman"/>
          <w:sz w:val="14"/>
          <w:szCs w:val="14"/>
          <w:color w:val="auto"/>
        </w:rPr>
      </w:pPr>
    </w:p>
    <w:p>
      <w:pPr>
        <w:ind w:left="2460" w:hanging="280"/>
        <w:spacing w:after="0"/>
        <w:tabs>
          <w:tab w:leader="none" w:pos="246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has occurred and is continuing.</w:t>
      </w:r>
    </w:p>
    <w:p>
      <w:pPr>
        <w:spacing w:after="0" w:line="183" w:lineRule="exact"/>
        <w:rPr>
          <w:rFonts w:ascii="Times New Roman" w:cs="Times New Roman" w:eastAsia="Times New Roman" w:hAnsi="Times New Roman"/>
          <w:sz w:val="14"/>
          <w:szCs w:val="14"/>
          <w:color w:val="auto"/>
        </w:rPr>
      </w:pPr>
    </w:p>
    <w:p>
      <w:pPr>
        <w:ind w:left="1140" w:right="1159" w:firstLine="1040"/>
        <w:spacing w:after="0" w:line="259" w:lineRule="auto"/>
        <w:tabs>
          <w:tab w:leader="none" w:pos="2460"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Credit Party and, to the knowledge of such Credit Parties, each of their respective directors, officers, employees or agents, is (1) in compliance with (x) the Patriot Act and the Trading with the Enemy Act, as amended, and (y) each of the foreign assets control regulations of the United States Treasury Department (31 C.F.R., Subtitle B, Chapter V, as amended), including (i) the United States Treasury Department’s Office of Foreign Assets Control (“</w:t>
      </w:r>
      <w:r>
        <w:rPr>
          <w:rFonts w:ascii="Times New Roman" w:cs="Times New Roman" w:eastAsia="Times New Roman" w:hAnsi="Times New Roman"/>
          <w:sz w:val="14"/>
          <w:szCs w:val="14"/>
          <w:b w:val="1"/>
          <w:bCs w:val="1"/>
          <w:color w:val="auto"/>
        </w:rPr>
        <w:t>OFAC</w:t>
      </w:r>
      <w:r>
        <w:rPr>
          <w:rFonts w:ascii="Times New Roman" w:cs="Times New Roman" w:eastAsia="Times New Roman" w:hAnsi="Times New Roman"/>
          <w:sz w:val="14"/>
          <w:szCs w:val="14"/>
          <w:color w:val="auto"/>
        </w:rPr>
        <w:t>”) and any other enabling legislation or executive order relating thereto and (ii) the United States Foreign Corrupt Practices Act of 1977 as amended, and the rules and regulations promulgated thereunder (collectively, the “</w:t>
      </w:r>
      <w:r>
        <w:rPr>
          <w:rFonts w:ascii="Times New Roman" w:cs="Times New Roman" w:eastAsia="Times New Roman" w:hAnsi="Times New Roman"/>
          <w:sz w:val="14"/>
          <w:szCs w:val="14"/>
          <w:b w:val="1"/>
          <w:bCs w:val="1"/>
          <w:color w:val="auto"/>
        </w:rPr>
        <w:t>FCPA</w:t>
      </w:r>
      <w:r>
        <w:rPr>
          <w:rFonts w:ascii="Times New Roman" w:cs="Times New Roman" w:eastAsia="Times New Roman" w:hAnsi="Times New Roman"/>
          <w:sz w:val="14"/>
          <w:szCs w:val="14"/>
          <w:color w:val="auto"/>
        </w:rPr>
        <w:t>”), (2) is not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 (3) is in compliance with the FCPA, the UK Bribery Act 2010, and other similar anti-corruption legislation in other jurisdictions (collectively, the “</w:t>
      </w:r>
      <w:r>
        <w:rPr>
          <w:rFonts w:ascii="Times New Roman" w:cs="Times New Roman" w:eastAsia="Times New Roman" w:hAnsi="Times New Roman"/>
          <w:sz w:val="14"/>
          <w:szCs w:val="14"/>
          <w:b w:val="1"/>
          <w:bCs w:val="1"/>
          <w:color w:val="auto"/>
        </w:rPr>
        <w:t>Anti-Corruption Laws</w:t>
      </w:r>
      <w:r>
        <w:rPr>
          <w:rFonts w:ascii="Times New Roman" w:cs="Times New Roman" w:eastAsia="Times New Roman" w:hAnsi="Times New Roman"/>
          <w:sz w:val="14"/>
          <w:szCs w:val="14"/>
          <w:color w:val="auto"/>
        </w:rPr>
        <w:t>”), except, in each case, where the failure to be in compliance with the Anti-Corruption Laws would not reasonably be expected to result in a Material Adverse Effect, and (4) except where the failure to be in compliance would not reasonably be expected to result in a Material Adverse Effect, is in compliance with the Anti-Money Laundering Laws. Each Credit Party has instituted and maintained policies and procedures designed to promote and achieve compliance with the Anti-Corruption Laws.</w:t>
      </w:r>
    </w:p>
    <w:p>
      <w:pPr>
        <w:spacing w:after="0" w:line="331"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8.11 Tax Matters</w:t>
      </w:r>
      <w:r>
        <w:rPr>
          <w:rFonts w:ascii="Times New Roman" w:cs="Times New Roman" w:eastAsia="Times New Roman" w:hAnsi="Times New Roman"/>
          <w:sz w:val="14"/>
          <w:szCs w:val="14"/>
          <w:color w:val="auto"/>
        </w:rPr>
        <w:t>. Except as would not reasonably be expected to have a Material Adverse Effect, (a) Borrower and each 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the Borrower or such Restricted Subsidiary, as applicable) with respect thereto in accordance with GAAP and it can lawfully withhold such payment and (b) the Borrower and each of the Restricted Subsidiaries has paid, or has provided adequate reserves (in the good faith judgment of management of the Borrower or such Restricted Subsidiary, as applicable) in accordance with GAAP for the payment of all Taxes not yet due and payable. There is no current or proposed Tax assessment, deficiency or other</w:t>
      </w:r>
    </w:p>
    <w:p>
      <w:pPr>
        <w:spacing w:after="0" w:line="3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6" w:name="page217"/>
    <w:bookmarkEnd w:id="216"/>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claim against the Borrower or any Restricted Subsidiary that would reasonably be expected to result in a Material Adverse Effect.</w:t>
      </w:r>
    </w:p>
    <w:p>
      <w:pPr>
        <w:spacing w:after="0" w:line="134"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8.12 </w:t>
      </w:r>
      <w:r>
        <w:rPr>
          <w:rFonts w:ascii="Times New Roman" w:cs="Times New Roman" w:eastAsia="Times New Roman" w:hAnsi="Times New Roman"/>
          <w:sz w:val="14"/>
          <w:szCs w:val="14"/>
          <w:u w:val="single" w:color="auto"/>
          <w:color w:val="auto"/>
        </w:rPr>
        <w:t>Compliance with ERISA; Foreign Plan Compliance</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140" w:right="1159" w:firstLine="524"/>
        <w:spacing w:after="0" w:line="293" w:lineRule="auto"/>
        <w:tabs>
          <w:tab w:leader="none" w:pos="1972" w:val="left"/>
        </w:tabs>
        <w:numPr>
          <w:ilvl w:val="0"/>
          <w:numId w:val="21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Except as would not reasonably be expected to have a Material Adverse Effect, no ERISA Event has occurred or is reasonably expected to occur.</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1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Except as would not reasonably be expected to have a Material Adverse Effect, no Foreign Plan Event has occurred or is reasonably expected to occur.</w:t>
      </w:r>
    </w:p>
    <w:p>
      <w:pPr>
        <w:spacing w:after="0" w:line="134" w:lineRule="exact"/>
        <w:rPr>
          <w:sz w:val="20"/>
          <w:szCs w:val="20"/>
          <w:color w:val="auto"/>
        </w:rPr>
      </w:pPr>
    </w:p>
    <w:p>
      <w:pPr>
        <w:jc w:val="both"/>
        <w:ind w:left="1140" w:right="1159" w:firstLine="517"/>
        <w:spacing w:after="0" w:line="286" w:lineRule="auto"/>
        <w:rPr>
          <w:sz w:val="20"/>
          <w:szCs w:val="20"/>
          <w:color w:val="auto"/>
        </w:rPr>
      </w:pPr>
      <w:r>
        <w:rPr>
          <w:rFonts w:ascii="Times New Roman" w:cs="Times New Roman" w:eastAsia="Times New Roman" w:hAnsi="Times New Roman"/>
          <w:sz w:val="14"/>
          <w:szCs w:val="14"/>
          <w:u w:val="single" w:color="auto"/>
          <w:color w:val="auto"/>
        </w:rPr>
        <w:t>8.13 Subsidiaries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Schedule 8.13</w:t>
      </w:r>
      <w:r>
        <w:rPr>
          <w:rFonts w:ascii="Times New Roman" w:cs="Times New Roman" w:eastAsia="Times New Roman" w:hAnsi="Times New Roman"/>
          <w:sz w:val="14"/>
          <w:szCs w:val="14"/>
          <w:color w:val="auto"/>
        </w:rPr>
        <w:t xml:space="preserve"> lists each Subsidiary of the Borrower (and the direct and indirect ownership interest of the Borrower therein), in each case existing on the Closing Date after giving effect to the Transactions.</w:t>
      </w:r>
    </w:p>
    <w:p>
      <w:pPr>
        <w:spacing w:after="0" w:line="316"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8.14 Intellectual Property</w:t>
      </w:r>
      <w:r>
        <w:rPr>
          <w:rFonts w:ascii="Times New Roman" w:cs="Times New Roman" w:eastAsia="Times New Roman" w:hAnsi="Times New Roman"/>
          <w:sz w:val="14"/>
          <w:szCs w:val="14"/>
          <w:color w:val="auto"/>
        </w:rPr>
        <w:t>. Each of the Borrower and the other Restricted Subsidiaries owns or has the right to use all Intellectual Property that is necessary for the operation of their respective businesses in the United States as currently conducted, except where the failure to own or have a right to use such Intellectual Property would not reasonably be expected to have a Material Adverse Effect. To the knowledge of the Borrower, the operation of their respective businesses by each of the Borrower, and the other Restricted Subsidiaries does not infringe upon, misappropriate, violate or otherwise conflict with the Intellectual Property of any third party, except as would not reasonably be expected to have a Material Adverse Effect.</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8.15 </w:t>
      </w:r>
      <w:r>
        <w:rPr>
          <w:rFonts w:ascii="Times New Roman" w:cs="Times New Roman" w:eastAsia="Times New Roman" w:hAnsi="Times New Roman"/>
          <w:sz w:val="14"/>
          <w:szCs w:val="14"/>
          <w:u w:val="single" w:color="auto"/>
          <w:color w:val="auto"/>
        </w:rPr>
        <w:t>Environmental Laws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5" w:lineRule="auto"/>
        <w:tabs>
          <w:tab w:leader="none" w:pos="1982" w:val="left"/>
        </w:tabs>
        <w:numPr>
          <w:ilvl w:val="0"/>
          <w:numId w:val="21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Schedule 8.15</w:t>
      </w:r>
      <w:r>
        <w:rPr>
          <w:rFonts w:ascii="Times New Roman" w:cs="Times New Roman" w:eastAsia="Times New Roman" w:hAnsi="Times New Roman"/>
          <w:sz w:val="14"/>
          <w:szCs w:val="14"/>
          <w:color w:val="auto"/>
        </w:rPr>
        <w:t>, or as would not reasonably be expected to have a Material Adverse Effect: (i) each of the Borrower and the other Restricted Subsidiaries and their respective operations and properties are in compliance with all Environmental Laws; (ii) none of the Borrower or any other Restricted Subsidiary has received written notice of any Environmental Claim; and (iii) none of the Borrower or any Restricted Subsidiary is conducting any investigation, removal, remedial or other corrective action pursuant to any Environmental Law at any location.</w:t>
      </w:r>
    </w:p>
    <w:p>
      <w:pPr>
        <w:spacing w:after="0" w:line="327"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72" w:val="left"/>
        </w:tabs>
        <w:numPr>
          <w:ilvl w:val="0"/>
          <w:numId w:val="21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Except as set forth on </w:t>
      </w:r>
      <w:r>
        <w:rPr>
          <w:rFonts w:ascii="Times New Roman" w:cs="Times New Roman" w:eastAsia="Times New Roman" w:hAnsi="Times New Roman"/>
          <w:sz w:val="14"/>
          <w:szCs w:val="14"/>
          <w:u w:val="single" w:color="auto"/>
          <w:color w:val="auto"/>
        </w:rPr>
        <w:t>Schedule 8.15</w:t>
      </w:r>
      <w:r>
        <w:rPr>
          <w:rFonts w:ascii="Times New Roman" w:cs="Times New Roman" w:eastAsia="Times New Roman" w:hAnsi="Times New Roman"/>
          <w:sz w:val="14"/>
          <w:szCs w:val="14"/>
          <w:color w:val="auto"/>
        </w:rPr>
        <w:t>, none of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5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8.16 </w:t>
      </w:r>
      <w:r>
        <w:rPr>
          <w:rFonts w:ascii="Times New Roman" w:cs="Times New Roman" w:eastAsia="Times New Roman" w:hAnsi="Times New Roman"/>
          <w:sz w:val="14"/>
          <w:szCs w:val="14"/>
          <w:u w:val="single" w:color="auto"/>
          <w:color w:val="auto"/>
        </w:rPr>
        <w:t>Properties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1" w:lineRule="auto"/>
        <w:tabs>
          <w:tab w:leader="none" w:pos="1972" w:val="left"/>
        </w:tabs>
        <w:numPr>
          <w:ilvl w:val="0"/>
          <w:numId w:val="21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 Each of Borrower and the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(ii) no Mortgage encumbers improved Real Estate that is located in an area that has been identified by the Secretary of Housing and Urban Development as an area having special flood hazards within the meaning of the Flood Insurance Laws unless flood insurance available under such Flood Insurance Laws has been obtained in accordance with </w:t>
      </w:r>
      <w:r>
        <w:rPr>
          <w:rFonts w:ascii="Times New Roman" w:cs="Times New Roman" w:eastAsia="Times New Roman" w:hAnsi="Times New Roman"/>
          <w:sz w:val="14"/>
          <w:szCs w:val="14"/>
          <w:u w:val="single" w:color="auto"/>
          <w:color w:val="auto"/>
        </w:rPr>
        <w:t>Section 9.3(b)</w:t>
      </w:r>
      <w:r>
        <w:rPr>
          <w:rFonts w:ascii="Times New Roman" w:cs="Times New Roman" w:eastAsia="Times New Roman" w:hAnsi="Times New Roman"/>
          <w:sz w:val="14"/>
          <w:szCs w:val="14"/>
          <w:color w:val="auto"/>
        </w:rPr>
        <w:t>.</w:t>
      </w:r>
    </w:p>
    <w:p>
      <w:pPr>
        <w:spacing w:after="0" w:line="159"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1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Set forth on </w:t>
      </w:r>
      <w:r>
        <w:rPr>
          <w:rFonts w:ascii="Times New Roman" w:cs="Times New Roman" w:eastAsia="Times New Roman" w:hAnsi="Times New Roman"/>
          <w:sz w:val="14"/>
          <w:szCs w:val="14"/>
          <w:u w:val="single" w:color="auto"/>
          <w:color w:val="auto"/>
        </w:rPr>
        <w:t>Schedule 8.16</w:t>
      </w:r>
      <w:r>
        <w:rPr>
          <w:rFonts w:ascii="Times New Roman" w:cs="Times New Roman" w:eastAsia="Times New Roman" w:hAnsi="Times New Roman"/>
          <w:sz w:val="14"/>
          <w:szCs w:val="14"/>
          <w:color w:val="auto"/>
        </w:rPr>
        <w:t xml:space="preserve"> is a list of each Mortgaged Property owned by any Credit Party as of the Closing Date having a Fair Market Value in excess of $20 million.</w:t>
      </w:r>
    </w:p>
    <w:p>
      <w:pPr>
        <w:spacing w:after="0" w:line="134" w:lineRule="exact"/>
        <w:rPr>
          <w:sz w:val="20"/>
          <w:szCs w:val="20"/>
          <w:color w:val="auto"/>
        </w:rPr>
      </w:pPr>
    </w:p>
    <w:p>
      <w:pPr>
        <w:jc w:val="both"/>
        <w:ind w:left="1140" w:right="1159" w:firstLine="517"/>
        <w:spacing w:after="0" w:line="272" w:lineRule="auto"/>
        <w:rPr>
          <w:sz w:val="20"/>
          <w:szCs w:val="20"/>
          <w:color w:val="auto"/>
        </w:rPr>
      </w:pPr>
      <w:r>
        <w:rPr>
          <w:rFonts w:ascii="Times New Roman" w:cs="Times New Roman" w:eastAsia="Times New Roman" w:hAnsi="Times New Roman"/>
          <w:sz w:val="14"/>
          <w:szCs w:val="14"/>
          <w:u w:val="single" w:color="auto"/>
          <w:color w:val="auto"/>
        </w:rPr>
        <w:t>8.17 Solvency</w:t>
      </w:r>
      <w:r>
        <w:rPr>
          <w:rFonts w:ascii="Times New Roman" w:cs="Times New Roman" w:eastAsia="Times New Roman" w:hAnsi="Times New Roman"/>
          <w:sz w:val="14"/>
          <w:szCs w:val="14"/>
          <w:color w:val="auto"/>
        </w:rPr>
        <w:t>. On the Closing Date (after giving effect to the Transactions, including the making of the Second Lien Loans) immediately following the making of the Loans and after giving effect to the application of the proceeds of such Loans, the Borrower and the Restricted Subsidiaries on a consolidated basis will be Solvent. On the</w:t>
      </w:r>
    </w:p>
    <w:p>
      <w:pPr>
        <w:spacing w:after="0" w:line="3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7" w:name="page218"/>
    <w:bookmarkEnd w:id="217"/>
    <w:p>
      <w:pPr>
        <w:jc w:val="both"/>
        <w:ind w:left="1140" w:right="1159"/>
        <w:spacing w:after="0" w:line="268" w:lineRule="auto"/>
        <w:rPr>
          <w:sz w:val="20"/>
          <w:szCs w:val="20"/>
          <w:color w:val="auto"/>
        </w:rPr>
      </w:pPr>
      <w:r>
        <w:rPr>
          <w:rFonts w:ascii="Times New Roman" w:cs="Times New Roman" w:eastAsia="Times New Roman" w:hAnsi="Times New Roman"/>
          <w:sz w:val="14"/>
          <w:szCs w:val="14"/>
          <w:color w:val="auto"/>
        </w:rPr>
        <w:t xml:space="preserve">Amendment No. </w:t>
      </w:r>
      <w:r>
        <w:rPr>
          <w:rFonts w:ascii="Times New Roman" w:cs="Times New Roman" w:eastAsia="Times New Roman" w:hAnsi="Times New Roman"/>
          <w:sz w:val="14"/>
          <w:szCs w:val="14"/>
          <w:color w:val="FF0000"/>
          <w:strike w:val="1"/>
        </w:rPr>
        <w:t>5</w:t>
      </w:r>
      <w:r>
        <w:rPr>
          <w:rFonts w:ascii="Times New Roman" w:cs="Times New Roman" w:eastAsia="Times New Roman" w:hAnsi="Times New Roman"/>
          <w:sz w:val="14"/>
          <w:szCs w:val="14"/>
          <w:u w:val="single" w:color="auto"/>
          <w:color w:val="0000FF"/>
        </w:rPr>
        <w:t>7</w:t>
      </w:r>
      <w:r>
        <w:rPr>
          <w:rFonts w:ascii="Times New Roman" w:cs="Times New Roman" w:eastAsia="Times New Roman" w:hAnsi="Times New Roman"/>
          <w:sz w:val="14"/>
          <w:szCs w:val="14"/>
          <w:color w:val="auto"/>
        </w:rPr>
        <w:t xml:space="preserve"> Effective Date </w:t>
      </w:r>
      <w:r>
        <w:rPr>
          <w:rFonts w:ascii="Times New Roman" w:cs="Times New Roman" w:eastAsia="Times New Roman" w:hAnsi="Times New Roman"/>
          <w:sz w:val="14"/>
          <w:szCs w:val="14"/>
          <w:color w:val="FF0000"/>
          <w:strike w:val="1"/>
        </w:rPr>
        <w:t>(after giving effect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008000"/>
          <w:strike w:val="1"/>
        </w:rPr>
        <w:t>the transactions contemplated by Amendment No.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including the consummation of the Abode Acquisition)</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immediately following the making</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of the Amendment No. 5</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FF0000"/>
          <w:strike w:val="1"/>
        </w:rPr>
        <w:t>Incremental</w:t>
      </w:r>
      <w:r>
        <w:rPr>
          <w:rFonts w:ascii="Times New Roman" w:cs="Times New Roman" w:eastAsia="Times New Roman" w:hAnsi="Times New Roman"/>
          <w:sz w:val="14"/>
          <w:szCs w:val="14"/>
          <w:u w:val="single" w:color="auto"/>
          <w:color w:val="0000FF"/>
        </w:rPr>
        <w:t>(or deemed making) of the Tranche B-4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 Loans and after giving effect to the application of the</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proceeds of such Loans, the Borrower and the Restricted Subsidiaries on a consolidated basis will be Solvent.</w:t>
      </w:r>
    </w:p>
    <w:p>
      <w:pPr>
        <w:spacing w:after="0" w:line="152" w:lineRule="exact"/>
        <w:rPr>
          <w:sz w:val="20"/>
          <w:szCs w:val="20"/>
          <w:color w:val="auto"/>
        </w:rPr>
      </w:pPr>
    </w:p>
    <w:p>
      <w:pPr>
        <w:jc w:val="both"/>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8.18 Use of Proceeds</w:t>
      </w:r>
      <w:r>
        <w:rPr>
          <w:rFonts w:ascii="Times New Roman" w:cs="Times New Roman" w:eastAsia="Times New Roman" w:hAnsi="Times New Roman"/>
          <w:sz w:val="14"/>
          <w:szCs w:val="14"/>
          <w:color w:val="auto"/>
        </w:rPr>
        <w:t>. The use of proceeds of the Loans, Letters of Credit and/or Swingline Loans will not violate any Anti-Money Laundering Laws, Sanctions or Anti-Corruption Laws in any material respect.</w:t>
      </w:r>
    </w:p>
    <w:p>
      <w:pPr>
        <w:spacing w:after="0" w:line="134"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8.19 Beneficial Ownership Certification</w:t>
      </w:r>
      <w:r>
        <w:rPr>
          <w:rFonts w:ascii="Times New Roman" w:cs="Times New Roman" w:eastAsia="Times New Roman" w:hAnsi="Times New Roman"/>
          <w:sz w:val="14"/>
          <w:szCs w:val="14"/>
          <w:color w:val="auto"/>
        </w:rPr>
        <w:t>. As of the Closing Date, the information included in the Beneficial Ownership Certification with respect to any beneficial owner of the Borrower is true and correct in all material respects to the best knowledge of the Borrower.</w:t>
      </w:r>
    </w:p>
    <w:p>
      <w:pPr>
        <w:spacing w:after="0" w:line="131"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color w:val="auto"/>
        </w:rPr>
        <w:t>Section 9.</w:t>
      </w:r>
      <w:r>
        <w:rPr>
          <w:sz w:val="20"/>
          <w:szCs w:val="20"/>
          <w:color w:val="auto"/>
        </w:rPr>
        <w:tab/>
      </w:r>
      <w:r>
        <w:rPr>
          <w:rFonts w:ascii="Times New Roman" w:cs="Times New Roman" w:eastAsia="Times New Roman" w:hAnsi="Times New Roman"/>
          <w:sz w:val="14"/>
          <w:szCs w:val="14"/>
          <w:color w:val="auto"/>
        </w:rPr>
        <w:t>Affirmative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-8890</wp:posOffset>
            </wp:positionV>
            <wp:extent cx="1458595"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4">
                      <a:extLst>
                        <a:ext uri="{28A0092B-C50C-407E-A947-70E740481C1C}"/>
                      </a:extLst>
                    </a:blip>
                    <a:srcRect/>
                    <a:stretch>
                      <a:fillRect/>
                    </a:stretch>
                  </pic:blipFill>
                  <pic:spPr bwMode="auto">
                    <a:xfrm>
                      <a:off x="0" y="0"/>
                      <a:ext cx="1458595" cy="6985"/>
                    </a:xfrm>
                    <a:prstGeom prst="rect">
                      <a:avLst/>
                    </a:prstGeom>
                    <a:noFill/>
                  </pic:spPr>
                </pic:pic>
              </a:graphicData>
            </a:graphic>
          </wp:anchor>
        </w:drawing>
      </w:r>
    </w:p>
    <w:p>
      <w:pPr>
        <w:spacing w:after="0" w:line="155" w:lineRule="exact"/>
        <w:rPr>
          <w:sz w:val="20"/>
          <w:szCs w:val="20"/>
          <w:color w:val="auto"/>
        </w:rPr>
      </w:pPr>
    </w:p>
    <w:p>
      <w:pPr>
        <w:ind w:left="1140" w:right="1319" w:firstLine="1033"/>
        <w:spacing w:after="0" w:line="293" w:lineRule="auto"/>
        <w:rPr>
          <w:sz w:val="20"/>
          <w:szCs w:val="20"/>
          <w:color w:val="auto"/>
        </w:rPr>
      </w:pPr>
      <w:r>
        <w:rPr>
          <w:rFonts w:ascii="Times New Roman" w:cs="Times New Roman" w:eastAsia="Times New Roman" w:hAnsi="Times New Roman"/>
          <w:sz w:val="14"/>
          <w:szCs w:val="14"/>
          <w:color w:val="auto"/>
        </w:rPr>
        <w:t xml:space="preserve">The Borrower (and, with respect to </w:t>
      </w:r>
      <w:r>
        <w:rPr>
          <w:rFonts w:ascii="Times New Roman" w:cs="Times New Roman" w:eastAsia="Times New Roman" w:hAnsi="Times New Roman"/>
          <w:sz w:val="14"/>
          <w:szCs w:val="14"/>
          <w:u w:val="single" w:color="auto"/>
          <w:color w:val="auto"/>
        </w:rPr>
        <w:t>Sections 9.5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9.12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9.14</w:t>
      </w:r>
      <w:r>
        <w:rPr>
          <w:rFonts w:ascii="Times New Roman" w:cs="Times New Roman" w:eastAsia="Times New Roman" w:hAnsi="Times New Roman"/>
          <w:sz w:val="14"/>
          <w:szCs w:val="14"/>
          <w:color w:val="auto"/>
        </w:rPr>
        <w:t xml:space="preserve"> only, Holdings) hereby covenants and agrees that on the Closing Date and thereafter, until the Termination Date:</w:t>
      </w:r>
    </w:p>
    <w:p>
      <w:pPr>
        <w:spacing w:after="0" w:line="134" w:lineRule="exact"/>
        <w:rPr>
          <w:sz w:val="20"/>
          <w:szCs w:val="20"/>
          <w:color w:val="auto"/>
        </w:rPr>
      </w:pPr>
    </w:p>
    <w:p>
      <w:pPr>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9.1 Information Covenants</w:t>
      </w:r>
      <w:r>
        <w:rPr>
          <w:rFonts w:ascii="Times New Roman" w:cs="Times New Roman" w:eastAsia="Times New Roman" w:hAnsi="Times New Roman"/>
          <w:sz w:val="14"/>
          <w:szCs w:val="14"/>
          <w:color w:val="auto"/>
        </w:rPr>
        <w:t>. The Borrower will furnish to the Administrative Agent (which shall promptly make such information available to the Lenders in accordance with its customary practice):</w:t>
      </w:r>
    </w:p>
    <w:p>
      <w:pPr>
        <w:spacing w:after="0" w:line="134" w:lineRule="exact"/>
        <w:rPr>
          <w:sz w:val="20"/>
          <w:szCs w:val="20"/>
          <w:color w:val="auto"/>
        </w:rPr>
      </w:pPr>
    </w:p>
    <w:p>
      <w:pPr>
        <w:jc w:val="both"/>
        <w:ind w:left="1140" w:right="1159" w:firstLine="524"/>
        <w:spacing w:after="0" w:line="258" w:lineRule="auto"/>
        <w:tabs>
          <w:tab w:leader="none" w:pos="1972" w:val="left"/>
        </w:tabs>
        <w:numPr>
          <w:ilvl w:val="0"/>
          <w:numId w:val="22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Annual Financial Statements</w:t>
      </w:r>
      <w:r>
        <w:rPr>
          <w:rFonts w:ascii="Times New Roman" w:cs="Times New Roman" w:eastAsia="Times New Roman" w:hAnsi="Times New Roman"/>
          <w:sz w:val="14"/>
          <w:szCs w:val="14"/>
          <w:color w:val="auto"/>
        </w:rPr>
        <w:t xml:space="preserve">.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(120 days for the fiscal years of the Borrower ending December 31, 2018 and December 31, 2019), the consolidated balance sheets of the Borrower and the Restricted Subsidiaries as at the end of each fiscal year, and the related consolidated income statements and cash flows for such fiscal year (it being understood and agreed that for the fiscal year ending December 31, 2018, consolidated balance sheets as at the end of such fiscal year, and the related consolidated income statements and cash flows for such fiscal year, shall be delivered by each of the Borrower and the Company on a standalone basis (prior to giving effect to the Transactions) and, in each case, prepared in accordance with GAAP and certified by and as set forth below in this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and, starting with the fiscal year ending December 31, 2020, setting forth comparative consolidated figures for the preceding fiscal years all in reasonable detail and prepared in accordance with GAAP, and, in each case, certified by KPMG LLP or another independent certified public accountants of recognized national standing whose opinion shall not be qualified as to the scope of audit or as to the status of the Borrower or any of the Material Subsidiaries (or group of Subsidiaries that together would constitute a Material Subsidiary) as a going concern (other than any qualification, that is expressly solely with respect to, or expressly resulting solely from, (i) an upcoming maturity date under any Indebtedness, (ii) any actual or potential inability to satisfy a financial maintenance covenant at such time or on a future date or in a future period or (iii) the activities, operations, financial results, assets or liabilities of any Unrestricted Subsidiary).</w:t>
      </w:r>
    </w:p>
    <w:p>
      <w:pPr>
        <w:spacing w:after="0" w:line="338" w:lineRule="exact"/>
        <w:rPr>
          <w:rFonts w:ascii="Times New Roman" w:cs="Times New Roman" w:eastAsia="Times New Roman" w:hAnsi="Times New Roman"/>
          <w:sz w:val="14"/>
          <w:szCs w:val="14"/>
          <w:color w:val="010000"/>
        </w:rPr>
      </w:pPr>
    </w:p>
    <w:p>
      <w:pPr>
        <w:jc w:val="both"/>
        <w:ind w:left="1140" w:right="1159" w:firstLine="524"/>
        <w:spacing w:after="0" w:line="174" w:lineRule="exact"/>
        <w:tabs>
          <w:tab w:leader="none" w:pos="1972" w:val="left"/>
        </w:tabs>
        <w:numPr>
          <w:ilvl w:val="0"/>
          <w:numId w:val="22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Quarterly Financial Statements</w:t>
      </w:r>
      <w:r>
        <w:rPr>
          <w:rFonts w:ascii="Times New Roman" w:cs="Times New Roman" w:eastAsia="Times New Roman" w:hAnsi="Times New Roman"/>
          <w:sz w:val="14"/>
          <w:szCs w:val="14"/>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the Borrower (or, if such financial statements are not required to be filed with the SEC, on or before the date that is 45 days after the end of each such quarterly accounting period (60 days for the fiscal quarters of the Borrower ending March 31, 2019, June 30, 2019 and September 30, 2019)), the consolidated balance sheets of the Borrower and the Restricted Subsidiaries as at the end of such quarterly period and the related consolidated income statements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March 31, 2020 setting forth comparative consolidated figures for the related periods in the prior fiscal year or, in the case of such consolidated balance sheet, for the last day of the related period in the prior fiscal year, all of which shall be certified by an Authorized Officer of the Borrower as fairly presenting in all material respects the financial condition, results of operations and cash flows of the Borrower and its Restricted Subsidiaries in accordance with GAAP (except as noted therein), subject to changes resulting from normal year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end adjustments and the absence of footnotes, and, with respect to fiscal 2019 reporting</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8" w:name="page219"/>
    <w:bookmarkEnd w:id="218"/>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periods, subject to finalization of the purchase price allocation to the fair value of assets acquired and liabilities assumed in the Transactions, as required by GAAP.</w:t>
      </w:r>
    </w:p>
    <w:p>
      <w:pPr>
        <w:spacing w:after="0" w:line="134" w:lineRule="exact"/>
        <w:rPr>
          <w:sz w:val="20"/>
          <w:szCs w:val="20"/>
          <w:color w:val="auto"/>
        </w:rPr>
      </w:pPr>
    </w:p>
    <w:p>
      <w:pPr>
        <w:jc w:val="both"/>
        <w:ind w:left="1140" w:right="1159" w:firstLine="524"/>
        <w:spacing w:after="0" w:line="260" w:lineRule="auto"/>
        <w:tabs>
          <w:tab w:leader="none" w:pos="1993" w:val="left"/>
        </w:tabs>
        <w:numPr>
          <w:ilvl w:val="0"/>
          <w:numId w:val="2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Budgets</w:t>
      </w:r>
      <w:r>
        <w:rPr>
          <w:rFonts w:ascii="Times New Roman" w:cs="Times New Roman" w:eastAsia="Times New Roman" w:hAnsi="Times New Roman"/>
          <w:sz w:val="14"/>
          <w:szCs w:val="14"/>
          <w:color w:val="auto"/>
        </w:rPr>
        <w:t xml:space="preserve">. Prior to an IPO, within 90 days (120 days in the case of the fiscal years beginning on January 1, 2019 and January 1, 2020) after the commencement of each fiscal year of the Borrower, a consolidated budget of the Borrower in reasonable detail on a quarterly basis for such fiscal year as customarily prepared by management of the Borrower for its internal use consistent in scope with the financial statements provided pursuant to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setting forth the principal assumptions upon which such budget is based (collectively, the “</w:t>
      </w:r>
      <w:r>
        <w:rPr>
          <w:rFonts w:ascii="Times New Roman" w:cs="Times New Roman" w:eastAsia="Times New Roman" w:hAnsi="Times New Roman"/>
          <w:sz w:val="14"/>
          <w:szCs w:val="14"/>
          <w:b w:val="1"/>
          <w:bCs w:val="1"/>
          <w:color w:val="auto"/>
        </w:rPr>
        <w:t>Projections</w:t>
      </w:r>
      <w:r>
        <w:rPr>
          <w:rFonts w:ascii="Times New Roman" w:cs="Times New Roman" w:eastAsia="Times New Roman" w:hAnsi="Times New Roman"/>
          <w:sz w:val="14"/>
          <w:szCs w:val="14"/>
          <w:color w:val="auto"/>
        </w:rPr>
        <w:t>”), which Projections shall in each case be accompanied by a certificate of an Authorized Officer of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or a guarantee of performance, are subject to significant uncertainties and contingencies, many of which are beyond the control of the Borrower and its Subsidiaries and that actual results during the period or periods covered by any such Projections may differ from the projected results and such differences may be material.</w:t>
      </w:r>
    </w:p>
    <w:p>
      <w:pPr>
        <w:spacing w:after="0" w:line="155"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72" w:val="left"/>
        </w:tabs>
        <w:numPr>
          <w:ilvl w:val="0"/>
          <w:numId w:val="2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Officer’s Certificates</w:t>
      </w:r>
      <w:r>
        <w:rPr>
          <w:rFonts w:ascii="Times New Roman" w:cs="Times New Roman" w:eastAsia="Times New Roman" w:hAnsi="Times New Roman"/>
          <w:sz w:val="14"/>
          <w:szCs w:val="14"/>
          <w:color w:val="auto"/>
        </w:rPr>
        <w:t xml:space="preserve">. Not later than five days after the delivery of the financial statements provided for in </w:t>
      </w:r>
      <w:r>
        <w:rPr>
          <w:rFonts w:ascii="Times New Roman" w:cs="Times New Roman" w:eastAsia="Times New Roman" w:hAnsi="Times New Roman"/>
          <w:sz w:val="14"/>
          <w:szCs w:val="14"/>
          <w:u w:val="single" w:color="auto"/>
          <w:color w:val="auto"/>
        </w:rPr>
        <w:t>Sections 9.1(a)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 certificate of an Authorized Officer of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Closing Date or the most recent fiscal year or period, as the case may be and (ii) the then applicable Consolidated First Lien Secured Debt to Consolidated EBITDA Ratio and underlying calculations in connection therewith. At the time of the delivery of the financial statements provided for in </w:t>
      </w:r>
      <w:r>
        <w:rPr>
          <w:rFonts w:ascii="Times New Roman" w:cs="Times New Roman" w:eastAsia="Times New Roman" w:hAnsi="Times New Roman"/>
          <w:sz w:val="14"/>
          <w:szCs w:val="14"/>
          <w:u w:val="single" w:color="auto"/>
          <w:color w:val="auto"/>
        </w:rPr>
        <w:t>Section 9.1(a)</w:t>
      </w:r>
      <w:r>
        <w:rPr>
          <w:rFonts w:ascii="Times New Roman" w:cs="Times New Roman" w:eastAsia="Times New Roman" w:hAnsi="Times New Roman"/>
          <w:sz w:val="14"/>
          <w:szCs w:val="14"/>
          <w:color w:val="auto"/>
        </w:rPr>
        <w:t xml:space="preserve">, a certificate of an Authorized Officer of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Closing Date or the date of the most recent certificate delivered pursuant to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as the case may be.</w:t>
      </w:r>
    </w:p>
    <w:p>
      <w:pPr>
        <w:spacing w:after="0" w:line="160"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2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Notice of Default or Litigation</w:t>
      </w:r>
      <w:r>
        <w:rPr>
          <w:rFonts w:ascii="Times New Roman" w:cs="Times New Roman" w:eastAsia="Times New Roman" w:hAnsi="Times New Roman"/>
          <w:sz w:val="14"/>
          <w:szCs w:val="14"/>
          <w:color w:val="auto"/>
        </w:rPr>
        <w:t>. Promptly after an Authorized Officer of the Borrower or any of the Restricted Subsidiaries obtains knowledge thereof, notice of (i) the occurrence of any event that constitutes a Default or Event of Default, which notice shall specify the nature thereof, the period of existence thereof and what action the Borrower proposes to take with respect thereto and (ii) any litigation or governmental proceeding pending against the Borrower or any of the Restricted Subsidiaries that would reasonably be expected to be determined adversely and, if so determined, to result in a Material Adverse Effect.</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2004" w:val="left"/>
        </w:tabs>
        <w:numPr>
          <w:ilvl w:val="0"/>
          <w:numId w:val="22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Environmental Matters</w:t>
      </w:r>
      <w:r>
        <w:rPr>
          <w:rFonts w:ascii="Times New Roman" w:cs="Times New Roman" w:eastAsia="Times New Roman" w:hAnsi="Times New Roman"/>
          <w:sz w:val="14"/>
          <w:szCs w:val="14"/>
          <w:color w:val="auto"/>
        </w:rPr>
        <w:t>. Promptly after an Authorized Officer of the Borrower or any of the Restricted Subsidiaries obtains knowledge of any one or more of the following environmental matters, unless such environmental matters would not reasonably be expected to result in a Material Adverse Effect, notice of:</w:t>
      </w:r>
    </w:p>
    <w:p>
      <w:pPr>
        <w:spacing w:after="0" w:line="146" w:lineRule="exact"/>
        <w:rPr>
          <w:sz w:val="20"/>
          <w:szCs w:val="20"/>
          <w:color w:val="auto"/>
        </w:rPr>
      </w:pPr>
    </w:p>
    <w:p>
      <w:pPr>
        <w:ind w:left="1980" w:hanging="316"/>
        <w:spacing w:after="0"/>
        <w:tabs>
          <w:tab w:leader="none" w:pos="1980" w:val="left"/>
        </w:tabs>
        <w:numPr>
          <w:ilvl w:val="0"/>
          <w:numId w:val="22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pending or threatened Environmental Claim against any Credit Party or any Real Estate; and</w:t>
      </w:r>
    </w:p>
    <w:p>
      <w:pPr>
        <w:spacing w:after="0" w:line="183" w:lineRule="exact"/>
        <w:rPr>
          <w:rFonts w:ascii="Times New Roman" w:cs="Times New Roman" w:eastAsia="Times New Roman" w:hAnsi="Times New Roman"/>
          <w:sz w:val="14"/>
          <w:szCs w:val="14"/>
          <w:color w:val="010000"/>
        </w:rPr>
      </w:pPr>
    </w:p>
    <w:p>
      <w:pPr>
        <w:jc w:val="both"/>
        <w:ind w:left="1660" w:right="1159" w:firstLine="520"/>
        <w:spacing w:after="0" w:line="275" w:lineRule="auto"/>
        <w:tabs>
          <w:tab w:leader="none" w:pos="2463" w:val="left"/>
        </w:tabs>
        <w:numPr>
          <w:ilvl w:val="1"/>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135" w:lineRule="exact"/>
        <w:rPr>
          <w:sz w:val="20"/>
          <w:szCs w:val="20"/>
          <w:color w:val="auto"/>
        </w:rPr>
      </w:pPr>
    </w:p>
    <w:p>
      <w:pPr>
        <w:jc w:val="both"/>
        <w:ind w:left="1660" w:right="1159"/>
        <w:spacing w:after="0" w:line="275" w:lineRule="auto"/>
        <w:rPr>
          <w:sz w:val="20"/>
          <w:szCs w:val="20"/>
          <w:color w:val="auto"/>
        </w:rPr>
      </w:pPr>
      <w:r>
        <w:rPr>
          <w:rFonts w:ascii="Times New Roman" w:cs="Times New Roman" w:eastAsia="Times New Roman" w:hAnsi="Times New Roman"/>
          <w:sz w:val="14"/>
          <w:szCs w:val="14"/>
          <w:color w:val="auto"/>
        </w:rPr>
        <w:t>All such notices shall describe in reasonable detail the nature of the claim, investigation or removal, remedial or other corrective action in response thereto. The term “</w:t>
      </w:r>
      <w:r>
        <w:rPr>
          <w:rFonts w:ascii="Times New Roman" w:cs="Times New Roman" w:eastAsia="Times New Roman" w:hAnsi="Times New Roman"/>
          <w:sz w:val="14"/>
          <w:szCs w:val="14"/>
          <w:b w:val="1"/>
          <w:bCs w:val="1"/>
          <w:color w:val="auto"/>
        </w:rPr>
        <w:t>Real Estate</w:t>
      </w:r>
      <w:r>
        <w:rPr>
          <w:rFonts w:ascii="Times New Roman" w:cs="Times New Roman" w:eastAsia="Times New Roman" w:hAnsi="Times New Roman"/>
          <w:sz w:val="14"/>
          <w:szCs w:val="14"/>
          <w:color w:val="auto"/>
        </w:rPr>
        <w:t>” shall mean land, buildings, facilities and improvements owned or leased by any Credit Party.</w:t>
      </w:r>
    </w:p>
    <w:p>
      <w:pPr>
        <w:spacing w:after="0" w:line="115" w:lineRule="exact"/>
        <w:rPr>
          <w:sz w:val="20"/>
          <w:szCs w:val="20"/>
          <w:color w:val="auto"/>
        </w:rPr>
      </w:pPr>
    </w:p>
    <w:p>
      <w:pPr>
        <w:jc w:val="both"/>
        <w:ind w:left="1140" w:right="1159" w:firstLine="524"/>
        <w:spacing w:after="0" w:line="188" w:lineRule="exact"/>
        <w:tabs>
          <w:tab w:leader="none" w:pos="1982" w:val="left"/>
        </w:tabs>
        <w:numPr>
          <w:ilvl w:val="0"/>
          <w:numId w:val="22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Other Information</w:t>
      </w:r>
      <w:r>
        <w:rPr>
          <w:rFonts w:ascii="Times New Roman" w:cs="Times New Roman" w:eastAsia="Times New Roman" w:hAnsi="Times New Roman"/>
          <w:sz w:val="14"/>
          <w:szCs w:val="14"/>
          <w:color w:val="auto"/>
        </w:rPr>
        <w:t>. Promptly upon filing thereof, copies of any filings (including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or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or registration statements (other than drafts of pre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versions of registration statements) with, and reports to, the SEC or any analogous Governmental Authority in any relevant jurisdiction by the Borrower or any of the Restricted Subsidiaries (other than amendments to any registration statement (to the extent such registration</w:t>
      </w:r>
    </w:p>
    <w:p>
      <w:pPr>
        <w:spacing w:after="0" w:line="3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19" w:name="page220"/>
    <w:bookmarkEnd w:id="219"/>
    <w:p>
      <w:pPr>
        <w:jc w:val="both"/>
        <w:ind w:left="1140" w:right="1159"/>
        <w:spacing w:after="0" w:line="174" w:lineRule="exact"/>
        <w:rPr>
          <w:sz w:val="20"/>
          <w:szCs w:val="20"/>
          <w:color w:val="auto"/>
        </w:rPr>
      </w:pPr>
      <w:r>
        <w:rPr>
          <w:rFonts w:ascii="Times New Roman" w:cs="Times New Roman" w:eastAsia="Times New Roman" w:hAnsi="Times New Roman"/>
          <w:sz w:val="14"/>
          <w:szCs w:val="14"/>
          <w:color w:val="auto"/>
        </w:rPr>
        <w:t>statement, in the form it becomes effective, is delivered to the Administrative Agent), exhibits to any registration statement and, if applicable, any registration statements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8) and copies of all financial statements, proxy statements, notices, and reports that the Borrower or any of the Restricted Subsidiaries shall send to the holders of any publicly issued debt of the Borrower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none of the Borrower nor any other Restricted Subsidiary will be required to disclose or permit the inspection or discussion of any document, information or other matter (i) that constitutes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financial trade secrets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financial proprietary information, (ii) in respect of which disclosure to the Administrative Agent or any Lender (or their respective contractors) is prohibited by law, or any binding agreement, (iii) that is subject to attorney client or similar privilege or constitutes attorney work product or (iv) that is otherwise subject to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or the limitations set forth in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w:t>
      </w:r>
    </w:p>
    <w:p>
      <w:pPr>
        <w:spacing w:after="0" w:line="171" w:lineRule="exact"/>
        <w:rPr>
          <w:sz w:val="20"/>
          <w:szCs w:val="20"/>
          <w:color w:val="auto"/>
        </w:rPr>
      </w:pPr>
    </w:p>
    <w:p>
      <w:pPr>
        <w:jc w:val="both"/>
        <w:ind w:left="1140" w:right="1159" w:firstLine="524"/>
        <w:spacing w:after="0" w:line="264" w:lineRule="auto"/>
        <w:tabs>
          <w:tab w:leader="none" w:pos="1972" w:val="left"/>
        </w:tabs>
        <w:numPr>
          <w:ilvl w:val="0"/>
          <w:numId w:val="22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KYC Information.</w:t>
      </w:r>
      <w:r>
        <w:rPr>
          <w:rFonts w:ascii="Times New Roman" w:cs="Times New Roman" w:eastAsia="Times New Roman" w:hAnsi="Times New Roman"/>
          <w:sz w:val="14"/>
          <w:szCs w:val="14"/>
          <w:color w:val="auto"/>
        </w:rPr>
        <w:t xml:space="preserve"> At the reasonable request of the Administrative Agent (or any Lender through the Administrative Agent), the Borrower shall promptly deliver (i) such documentation and other information (including Beneficial Ownership Certification) about the Borrower and the Guarantors as required by U.S. regulatory authorities under applicable “know your customer” and anti-money laundering rules and regulations, including, without limitation, the Patriot Act and (ii) for the avoidance of doubt, to the extent the Borrower qualifies as a “legal entity customer” under the Beneficial Ownership Regulation, the Beneficial Ownership Certification.</w:t>
      </w:r>
    </w:p>
    <w:p>
      <w:pPr>
        <w:spacing w:after="0" w:line="143" w:lineRule="exact"/>
        <w:rPr>
          <w:sz w:val="20"/>
          <w:szCs w:val="20"/>
          <w:color w:val="auto"/>
        </w:rPr>
      </w:pPr>
    </w:p>
    <w:p>
      <w:pPr>
        <w:ind w:left="1140" w:right="1199" w:firstLine="1033"/>
        <w:spacing w:after="0" w:line="174" w:lineRule="exact"/>
        <w:rPr>
          <w:sz w:val="20"/>
          <w:szCs w:val="20"/>
          <w:color w:val="auto"/>
        </w:rPr>
      </w:pPr>
      <w:r>
        <w:rPr>
          <w:rFonts w:ascii="Times New Roman" w:cs="Times New Roman" w:eastAsia="Times New Roman" w:hAnsi="Times New Roman"/>
          <w:sz w:val="14"/>
          <w:szCs w:val="14"/>
          <w:color w:val="auto"/>
        </w:rPr>
        <w:t xml:space="preserve">Documents required to be delivered pursuant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(to the extent any such documents are included in materials otherwise filed with the SEC) may be delivered electronically and if so delivered, shall be deemed to have been delivered on the earliest date on which (i) the Borrower posts such documents, or provides a link thereto on the Borrower’s websites on the Internet; (ii) such documents are posted on the Borrower’s behalf on IntraLinks/IntraAgency or another website, if any, to which each Lender and the Administrative Agent have access (whether a commercial,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party website or whether sponsored by the Administrative Agent), or (iii) such financial statements and/or other documents are posted on the SEC’s website on the internet at www.sec.gov;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Borrower shall, at the request of the Administrative Agent, continue to deliver copies (which delivery may be by electronic transmission)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60" w:lineRule="exact"/>
        <w:rPr>
          <w:sz w:val="20"/>
          <w:szCs w:val="20"/>
          <w:color w:val="auto"/>
        </w:rPr>
      </w:pPr>
    </w:p>
    <w:p>
      <w:pPr>
        <w:ind w:left="1140" w:right="1199" w:firstLine="1033"/>
        <w:spacing w:after="0" w:line="261" w:lineRule="auto"/>
        <w:rPr>
          <w:sz w:val="20"/>
          <w:szCs w:val="20"/>
          <w:color w:val="auto"/>
        </w:rPr>
      </w:pPr>
      <w:r>
        <w:rPr>
          <w:rFonts w:ascii="Times New Roman" w:cs="Times New Roman" w:eastAsia="Times New Roman" w:hAnsi="Times New Roman"/>
          <w:sz w:val="14"/>
          <w:szCs w:val="14"/>
          <w:color w:val="auto"/>
        </w:rPr>
        <w:t xml:space="preserve">The parties hereto hereby acknowledge and agree that, notwithstanding anything to the contrary in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the financial statements delivered pursuant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9.1</w:t>
      </w:r>
      <w:r>
        <w:rPr>
          <w:rFonts w:ascii="Times New Roman" w:cs="Times New Roman" w:eastAsia="Times New Roman" w:hAnsi="Times New Roman"/>
          <w:sz w:val="14"/>
          <w:szCs w:val="14"/>
          <w:color w:val="auto"/>
        </w:rPr>
        <w:t xml:space="preserve"> may be (i) with respect to the Borrower and its Subsidiaries so long as, simultaneously with the delivery of such financial statements, the related consolidated financial statements reflecting adjustments necessary to eliminate the accounts of Unrestricted Subsidiaries from such consolidated financial statements are also delivered or (ii) the applicable financial statements of Holdings or any other Parent Entity of the Borrower so long as, simultaneously with the delivery of such financial statements, the related consolidated financial statements reflecting adjustments necessary to eliminate the accounts of Holdings or such other Parent Entity are also delivered.</w:t>
      </w:r>
    </w:p>
    <w:p>
      <w:pPr>
        <w:spacing w:after="0" w:line="149" w:lineRule="exact"/>
        <w:rPr>
          <w:sz w:val="20"/>
          <w:szCs w:val="20"/>
          <w:color w:val="auto"/>
        </w:rPr>
      </w:pPr>
    </w:p>
    <w:p>
      <w:pPr>
        <w:ind w:left="1140" w:right="1219" w:firstLine="1033"/>
        <w:spacing w:after="0" w:line="268" w:lineRule="auto"/>
        <w:rPr>
          <w:sz w:val="20"/>
          <w:szCs w:val="20"/>
          <w:color w:val="auto"/>
        </w:rPr>
      </w:pPr>
      <w:r>
        <w:rPr>
          <w:rFonts w:ascii="Times New Roman" w:cs="Times New Roman" w:eastAsia="Times New Roman" w:hAnsi="Times New Roman"/>
          <w:sz w:val="14"/>
          <w:szCs w:val="14"/>
          <w:color w:val="auto"/>
        </w:rPr>
        <w:t xml:space="preserve">Each Credit Party hereby acknowledges and agrees that, unless the Borrower notifies the Administrative Agent in advance, all financial statements and certificates furnished pursuant to </w:t>
      </w:r>
      <w:r>
        <w:rPr>
          <w:rFonts w:ascii="Times New Roman" w:cs="Times New Roman" w:eastAsia="Times New Roman" w:hAnsi="Times New Roman"/>
          <w:sz w:val="14"/>
          <w:szCs w:val="14"/>
          <w:u w:val="single" w:color="auto"/>
          <w:color w:val="auto"/>
        </w:rPr>
        <w:t>Sections 9.1(a)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42" w:lineRule="exact"/>
        <w:rPr>
          <w:sz w:val="20"/>
          <w:szCs w:val="20"/>
          <w:color w:val="auto"/>
        </w:rPr>
      </w:pPr>
    </w:p>
    <w:p>
      <w:pPr>
        <w:ind w:left="1140" w:right="1219" w:firstLine="1033"/>
        <w:spacing w:after="0" w:line="262" w:lineRule="auto"/>
        <w:rPr>
          <w:sz w:val="20"/>
          <w:szCs w:val="20"/>
          <w:color w:val="auto"/>
        </w:rPr>
      </w:pPr>
      <w:r>
        <w:rPr>
          <w:rFonts w:ascii="Times New Roman" w:cs="Times New Roman" w:eastAsia="Times New Roman" w:hAnsi="Times New Roman"/>
          <w:sz w:val="14"/>
          <w:szCs w:val="14"/>
          <w:u w:val="single" w:color="auto"/>
          <w:color w:val="0000FF"/>
        </w:rPr>
        <w:t>Notwithstanding the foregoing, neither the Borrower nor any Restricted Subsidiary shall be required to disclose or permit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 provided that the Borrower agrees to, and will cause each Restricted Subsidiary to, use commercially reasonable efforts to have any such binding agreement waived, and otherwise in all instances, to the extent</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0" w:name="page221"/>
    <w:bookmarkEnd w:id="220"/>
    <w:p>
      <w:pPr>
        <w:ind w:left="1140" w:right="1339"/>
        <w:spacing w:after="0" w:line="293" w:lineRule="auto"/>
        <w:rPr>
          <w:sz w:val="20"/>
          <w:szCs w:val="20"/>
          <w:color w:val="auto"/>
        </w:rPr>
      </w:pPr>
      <w:r>
        <w:rPr>
          <w:rFonts w:ascii="Times New Roman" w:cs="Times New Roman" w:eastAsia="Times New Roman" w:hAnsi="Times New Roman"/>
          <w:sz w:val="14"/>
          <w:szCs w:val="14"/>
          <w:u w:val="single" w:color="auto"/>
          <w:color w:val="0000FF"/>
        </w:rPr>
        <w:t>practicable and not prohibited by applicable law, rule or regulation, promptly notify the Administrative Agent that information is being withheld pursuant to this sentence.</w:t>
      </w:r>
    </w:p>
    <w:p>
      <w:pPr>
        <w:spacing w:after="0" w:line="134" w:lineRule="exact"/>
        <w:rPr>
          <w:sz w:val="20"/>
          <w:szCs w:val="20"/>
          <w:color w:val="auto"/>
        </w:rPr>
      </w:pPr>
    </w:p>
    <w:p>
      <w:pPr>
        <w:jc w:val="both"/>
        <w:ind w:left="1140" w:right="1159" w:firstLine="517"/>
        <w:spacing w:after="0" w:line="173" w:lineRule="exact"/>
        <w:rPr>
          <w:sz w:val="20"/>
          <w:szCs w:val="20"/>
          <w:color w:val="auto"/>
        </w:rPr>
      </w:pPr>
      <w:r>
        <w:rPr>
          <w:rFonts w:ascii="Times New Roman" w:cs="Times New Roman" w:eastAsia="Times New Roman" w:hAnsi="Times New Roman"/>
          <w:sz w:val="14"/>
          <w:szCs w:val="14"/>
          <w:u w:val="single" w:color="auto"/>
          <w:color w:val="auto"/>
        </w:rPr>
        <w:t>9.2 Books, Records, and Inspections</w:t>
      </w:r>
      <w:r>
        <w:rPr>
          <w:rFonts w:ascii="Times New Roman" w:cs="Times New Roman" w:eastAsia="Times New Roman" w:hAnsi="Times New Roman"/>
          <w:sz w:val="14"/>
          <w:szCs w:val="14"/>
          <w:color w:val="auto"/>
        </w:rPr>
        <w:t xml:space="preserve">. The Borrower will, and will cause each Restricted Subsidiary to, permit officers and designated representatives of the Administrative Agent or the Required Lenders to visit and inspect any of the properties or assets of the Borrower and any such Subsidiary in whomsoever’s possession to the extent that it is within such party’s control to permit such inspection (and shall use commercially reasonable efforts to cause such inspection to be permitted to the extent that it is not within such party’s control to permit such inspection), and to examine the books and records of the Borrower and any such Subsidiary and discuss the affairs, finances and accounts of the Borrower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excluding any such visits and inspections during the continuation of an Event of Default, (a) only the Administrative Agent on behalf of the Required Lenders may exercise rights of the Administrative Agent and the Lenders under this </w:t>
      </w:r>
      <w:r>
        <w:rPr>
          <w:rFonts w:ascii="Times New Roman" w:cs="Times New Roman" w:eastAsia="Times New Roman" w:hAnsi="Times New Roman"/>
          <w:sz w:val="14"/>
          <w:szCs w:val="14"/>
          <w:u w:val="single" w:color="auto"/>
          <w:color w:val="auto"/>
        </w:rPr>
        <w:t>Section 9.2</w:t>
      </w:r>
      <w:r>
        <w:rPr>
          <w:rFonts w:ascii="Times New Roman" w:cs="Times New Roman" w:eastAsia="Times New Roman" w:hAnsi="Times New Roman"/>
          <w:sz w:val="14"/>
          <w:szCs w:val="14"/>
          <w:color w:val="auto"/>
        </w:rPr>
        <w:t xml:space="preserve">, (b) the Administrative Agent shall not exercise such rights more than one time in any calendar year, which such visit will be at the Borrower’s expense, and (c) notwithstanding anything to the contrary in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9.2</w:t>
      </w:r>
      <w:r>
        <w:rPr>
          <w:rFonts w:ascii="Times New Roman" w:cs="Times New Roman" w:eastAsia="Times New Roman" w:hAnsi="Times New Roman"/>
          <w:sz w:val="14"/>
          <w:szCs w:val="14"/>
          <w:color w:val="auto"/>
        </w:rPr>
        <w:t>, none of the Borrower or any of the Restricted Subsidiaries will be required to disclose, permit the inspection, examination or making copies or abstracts of, or discussion of, any document, information or other matter that (i) constitutes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financial trade secrets or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financial proprietary information, (ii) in respect of which disclosure to the Administrative Agent or any Lender (or their respective representatives or contractors) is prohibited by law or any agreement binding on a third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or (iii) is subject to attorney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client or similar privilege or constitutes attorney work product;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when an Event of Default exists, the Administrative Agent (or any of its respective representatives or independent contractors) or any representative of the Required Lenders may do any of the foregoing at the expense of the Borrower at any time during normal business hours and upon reasonable advance notice. The Administrative Agent and the Required Lenders shall give the Borrower the opportunity to participate in any discussions with the Borrower’s independent public accountants.</w:t>
      </w:r>
    </w:p>
    <w:p>
      <w:pPr>
        <w:spacing w:after="0" w:line="177" w:lineRule="exact"/>
        <w:rPr>
          <w:sz w:val="20"/>
          <w:szCs w:val="20"/>
          <w:color w:val="auto"/>
        </w:rPr>
      </w:pPr>
    </w:p>
    <w:p>
      <w:pPr>
        <w:jc w:val="both"/>
        <w:ind w:left="1140" w:right="1159" w:firstLine="517"/>
        <w:spacing w:after="0" w:line="173" w:lineRule="exact"/>
        <w:rPr>
          <w:sz w:val="20"/>
          <w:szCs w:val="20"/>
          <w:color w:val="auto"/>
        </w:rPr>
      </w:pPr>
      <w:r>
        <w:rPr>
          <w:rFonts w:ascii="Times New Roman" w:cs="Times New Roman" w:eastAsia="Times New Roman" w:hAnsi="Times New Roman"/>
          <w:sz w:val="14"/>
          <w:szCs w:val="14"/>
          <w:u w:val="single" w:color="auto"/>
          <w:color w:val="auto"/>
        </w:rPr>
        <w:t>9.3 Maintenance of Insurance</w:t>
      </w:r>
      <w:r>
        <w:rPr>
          <w:rFonts w:ascii="Times New Roman" w:cs="Times New Roman" w:eastAsia="Times New Roman" w:hAnsi="Times New Roman"/>
          <w:sz w:val="14"/>
          <w:szCs w:val="14"/>
          <w:color w:val="auto"/>
        </w:rPr>
        <w:t>. (a) The Borrower will, and will cause each Material Subsidiary to, at all times maintain in full force and effect, pursuant to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insurance arrangements or with insurance companies that the Borrower believes (in the good faith judgment of the management of the Borrower) are financially sound and responsible at the time the relevant coverage is placed or renewed, insurance in at least such amounts (after giving effect to any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insurance which the Borrower believes (in the good faith judgment of management of the Borrower) is reasonable and prudent in light of the size and nature of its business and the availability of insurance on a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basis) and against at least such risks (and with such risk retentions) as the Borrower believes (in the good faith judgment of management of the Borrower) is reasonable and prudent in light of the size and nature of its business and the availability of insurance on a cost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effective basis; and will furnish to the Administrative Agent, promptly following written request from the Administrative Agent, information presented in reasonable detail as to the insurance so carried and (b) with respect to any improved Mortgaged Property located in a special flood hazard area, the Borrower will obtain flood insurance in such total amount as required by the Flood Insurance Laws and shall otherwise comply with the Flood Insurance Laws. Each such policy of insurance shall (i) name the Collateral Agent, on behalf of the Secured Parties as an additional insured thereunder as its interests may appear and (ii) in the case of each casualty insurance policy, contain a lender’s loss payable clause or endorsement that names the Collateral Agent, on behalf of the Secured Parties as the lender’s loss payee thereunder.</w:t>
      </w:r>
    </w:p>
    <w:p>
      <w:pPr>
        <w:spacing w:after="0" w:line="179"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9.4 Payment of Taxes</w:t>
      </w:r>
      <w:r>
        <w:rPr>
          <w:rFonts w:ascii="Times New Roman" w:cs="Times New Roman" w:eastAsia="Times New Roman" w:hAnsi="Times New Roman"/>
          <w:sz w:val="14"/>
          <w:szCs w:val="14"/>
          <w:color w:val="auto"/>
        </w:rPr>
        <w:t xml:space="preserve">. The Borrower will pay and discharge or cause to be paid and discharged,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the Borrower properties of the Borrower or any of the Restricted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neither the Borrower nor any of the Restricted Subsidiaries shall be required to pay any such Tax that is being contested in good faith and by proper proceedings if it has maintained adequate reserves (in the good faith judgment of management of the Borrower) with</w:t>
      </w:r>
    </w:p>
    <w:p>
      <w:pPr>
        <w:spacing w:after="0" w:line="22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1" w:name="page222"/>
    <w:bookmarkEnd w:id="221"/>
    <w:p>
      <w:pPr>
        <w:jc w:val="both"/>
        <w:ind w:left="1140" w:right="1159"/>
        <w:spacing w:after="0" w:line="293" w:lineRule="auto"/>
        <w:rPr>
          <w:sz w:val="20"/>
          <w:szCs w:val="20"/>
          <w:color w:val="auto"/>
        </w:rPr>
      </w:pPr>
      <w:r>
        <w:rPr>
          <w:rFonts w:ascii="Times New Roman" w:cs="Times New Roman" w:eastAsia="Times New Roman" w:hAnsi="Times New Roman"/>
          <w:sz w:val="14"/>
          <w:szCs w:val="14"/>
          <w:color w:val="auto"/>
        </w:rPr>
        <w:t>respect thereto in accordance with GAAP, it can lawfully withhold such payment and the failure to pay would not reasonably be expected to result in a Material Adverse Effect.</w:t>
      </w:r>
    </w:p>
    <w:p>
      <w:pPr>
        <w:spacing w:after="0" w:line="134"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9.5 Preservation of Existence; Consolidated Corporate Franchises</w:t>
      </w:r>
      <w:r>
        <w:rPr>
          <w:rFonts w:ascii="Times New Roman" w:cs="Times New Roman" w:eastAsia="Times New Roman" w:hAnsi="Times New Roman"/>
          <w:sz w:val="14"/>
          <w:szCs w:val="14"/>
          <w:color w:val="auto"/>
        </w:rPr>
        <w:t xml:space="preserve">. Holdings and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 to the extent that the failure to do so would not reasonably be expected to have a Material Adverse Effect;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Borrower and its Subsidiaries may consummate any transaction permitted under Permitted Investments and </w:t>
      </w:r>
      <w:r>
        <w:rPr>
          <w:rFonts w:ascii="Times New Roman" w:cs="Times New Roman" w:eastAsia="Times New Roman" w:hAnsi="Times New Roman"/>
          <w:sz w:val="14"/>
          <w:szCs w:val="14"/>
          <w:u w:val="single" w:color="auto"/>
          <w:color w:val="auto"/>
        </w:rPr>
        <w:t>Sections 10.2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10.5</w:t>
      </w:r>
      <w:r>
        <w:rPr>
          <w:rFonts w:ascii="Times New Roman" w:cs="Times New Roman" w:eastAsia="Times New Roman" w:hAnsi="Times New Roman"/>
          <w:sz w:val="14"/>
          <w:szCs w:val="14"/>
          <w:color w:val="auto"/>
        </w:rPr>
        <w:t>.</w:t>
      </w:r>
    </w:p>
    <w:p>
      <w:pPr>
        <w:spacing w:after="0" w:line="158"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9.6 Compliance with Statutes, Regulations, Etc.</w:t>
      </w:r>
      <w:r>
        <w:rPr>
          <w:rFonts w:ascii="Times New Roman" w:cs="Times New Roman" w:eastAsia="Times New Roman" w:hAnsi="Times New Roman"/>
          <w:sz w:val="14"/>
          <w:szCs w:val="14"/>
          <w:color w:val="auto"/>
        </w:rPr>
        <w:t xml:space="preserve"> Holdings will, and will cause each Restricted Subsidiary to, (a) comply with all applicable laws, rules, regulations, and orders applicable to it or its property, including, without limitation, all Sanctions, Anti-Corruption Laws and Anti-Money Laundering Laws,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9.6</w:t>
      </w:r>
      <w:r>
        <w:rPr>
          <w:rFonts w:ascii="Times New Roman" w:cs="Times New Roman" w:eastAsia="Times New Roman" w:hAnsi="Times New Roman"/>
          <w:sz w:val="14"/>
          <w:szCs w:val="14"/>
          <w:color w:val="auto"/>
        </w:rPr>
        <w:t>, where the failure to do so would not reasonably be expected to result in a Material Adverse Effect.</w:t>
      </w:r>
    </w:p>
    <w:p>
      <w:pPr>
        <w:spacing w:after="0" w:line="162"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9.7 ERISA</w:t>
      </w:r>
      <w:r>
        <w:rPr>
          <w:rFonts w:ascii="Times New Roman" w:cs="Times New Roman" w:eastAsia="Times New Roman" w:hAnsi="Times New Roman"/>
          <w:sz w:val="14"/>
          <w:szCs w:val="14"/>
          <w:color w:val="auto"/>
        </w:rPr>
        <w:t xml:space="preserve">. Where applicable, (a) the Borrower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Credit Parties or any of their Subsidiaries have not requested such documents or notices from the administrator or sponsor of the applicable Multiemployer Plan, then, upon reasonable request of the Administrative Agent, the applicable Credit Party or Subsidiary shall promptly make a request for such documents or notices from such administrator or sponsor and the Borrower shall provide copies of such documents and notices to the Administrative Agent promptly after receipt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the rights granted to the Administrative Agent in this Section shall be exercised not more than once with respect to the same Multiemployer Plan during any applicable plan year, and (b) the Borrower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62"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u w:val="single" w:color="auto"/>
          <w:color w:val="auto"/>
        </w:rPr>
        <w:t>9.8 Maintenance of Properties</w:t>
      </w:r>
      <w:r>
        <w:rPr>
          <w:rFonts w:ascii="Times New Roman" w:cs="Times New Roman" w:eastAsia="Times New Roman" w:hAnsi="Times New Roman"/>
          <w:sz w:val="14"/>
          <w:szCs w:val="14"/>
          <w:color w:val="auto"/>
        </w:rPr>
        <w:t>. The Borrower will, and will cause each of the Restricted Subsidiaries to, keep and maintain all tangible property material to the conduct of its business in good working order and condition, ordinary wear and tear, casualty, and condemnation excepted, except to the extent that the failure to do so would not reasonably be expected to have a Material Adverse Effect.</w:t>
      </w:r>
    </w:p>
    <w:p>
      <w:pPr>
        <w:spacing w:after="0" w:line="152"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9.9 Transactions with Affiliates</w:t>
      </w:r>
      <w:r>
        <w:rPr>
          <w:rFonts w:ascii="Times New Roman" w:cs="Times New Roman" w:eastAsia="Times New Roman" w:hAnsi="Times New Roman"/>
          <w:sz w:val="14"/>
          <w:szCs w:val="14"/>
          <w:color w:val="auto"/>
        </w:rPr>
        <w:t>. The Borrower will conduct, and cause each of the Restricted Subsidiaries to conduct, all transactions with any of its Affiliates (other than the Borrower and the Restricted Subsidiaries) involving aggregate payments or consideration in excess of the greater of (x) $</w:t>
      </w:r>
      <w:r>
        <w:rPr>
          <w:rFonts w:ascii="Times New Roman" w:cs="Times New Roman" w:eastAsia="Times New Roman" w:hAnsi="Times New Roman"/>
          <w:sz w:val="14"/>
          <w:szCs w:val="14"/>
          <w:color w:val="FF0000"/>
          <w:strike w:val="1"/>
        </w:rPr>
        <w:t>30</w:t>
      </w:r>
      <w:r>
        <w:rPr>
          <w:rFonts w:ascii="Times New Roman" w:cs="Times New Roman" w:eastAsia="Times New Roman" w:hAnsi="Times New Roman"/>
          <w:sz w:val="14"/>
          <w:szCs w:val="14"/>
          <w:u w:val="single" w:color="auto"/>
          <w:color w:val="0000FF"/>
        </w:rPr>
        <w:t>50</w:t>
      </w:r>
      <w:r>
        <w:rPr>
          <w:rFonts w:ascii="Times New Roman" w:cs="Times New Roman" w:eastAsia="Times New Roman" w:hAnsi="Times New Roman"/>
          <w:sz w:val="14"/>
          <w:szCs w:val="14"/>
          <w:color w:val="auto"/>
        </w:rPr>
        <w:t xml:space="preserve"> million and (y) 8.5% of Consolidated EBITDA for the most recently ended Test Period (calculated on a Pro Forma Basis) at the time of such Affiliate transaction, for any individual transaction or series of related transactions on terms that are at least substantially as favorable to the Borrower or such Restricted Subsidiary as it would obtain in a comparable arm’s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length transaction with a Person that is not an Affiliate, as determined by the board of directors of the Borrower or such Restricted Subsidiary in good faith;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restrictions shall not apply to (a) the payment of fees to the Sponsors for management, consulting and financial services rendered to the Borrower and the Restricted Subsidiaries pursuant to the Sponsor Management Agreement and customary investment banking fees paid to the Sponsors for services rendered to the Borrower and the Subsidiaries in connection with divestitures, acquisitions, financings and other transactions which payments are approved by a majority of the board of directors of the Borrower</w:t>
      </w: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2" w:name="page223"/>
    <w:bookmarkEnd w:id="222"/>
    <w:p>
      <w:pPr>
        <w:jc w:val="both"/>
        <w:ind w:left="1140" w:right="1159"/>
        <w:spacing w:after="0" w:line="257" w:lineRule="auto"/>
        <w:rPr>
          <w:sz w:val="20"/>
          <w:szCs w:val="20"/>
          <w:color w:val="auto"/>
        </w:rPr>
      </w:pPr>
      <w:r>
        <w:rPr>
          <w:rFonts w:ascii="Times New Roman" w:cs="Times New Roman" w:eastAsia="Times New Roman" w:hAnsi="Times New Roman"/>
          <w:sz w:val="14"/>
          <w:szCs w:val="14"/>
          <w:color w:val="auto"/>
        </w:rPr>
        <w:t xml:space="preserve">in good faith, (b) transactions permitted by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(c) consummation of the Transactions and the payment of the Transaction Expenses, (d) the issuance of Capital Stock or Stock Equivalents of the Borrower (or any direct or indirect parent thereof) or any of its Subsidiaries not otherwise prohibited by the Credit Documents, (e) loans, advances and other transactions between or among the Borrower, any Restricted Subsidiary or any joint venture (regardless of the form of legal entity) in which the Borrower or any Subsidiary has invested (and which Subsidiary or joint venture would not be an Affiliate of the Borrower but for the Borrower’s or a Subsidiary’s ownership of Capital Stock or Stock Equivalents in such joint venture or Subsidiary) to the extent permitted under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(f) employment and severance arrangements between the Borrower and the 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the Borrower (and any direct or indirect parent thereof) and the Subsidiaries pursuant to the tax sharing agreements among the Borrower (and any such parent) and the Subsidiaries that are permitted under </w:t>
      </w:r>
      <w:r>
        <w:rPr>
          <w:rFonts w:ascii="Times New Roman" w:cs="Times New Roman" w:eastAsia="Times New Roman" w:hAnsi="Times New Roman"/>
          <w:sz w:val="14"/>
          <w:szCs w:val="14"/>
          <w:u w:val="single" w:color="auto"/>
          <w:color w:val="auto"/>
        </w:rPr>
        <w:t>Section 10.5(b)(15)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case the amount of such payments in any fiscal year does not exceed the amount that the Borrower, the Restricted Subsidiaries and the Unrestricted Subsidiaries (to the extent of the amount received from Unrestricted Subsidiaries) would have been required to pay in respect of such foreign, U.S. federal, state and/or local taxes for such fiscal year had the Borrower, the Restricted Subsidiaries and the Unrestricted Subsidiaries (to the extent described above) paid such taxes separately from any such direct or indirect parent company of the Borrower, (h) the payment of customary fees and reasonable out of pocket costs to, and indemnities provided on behalf of, directors, managers, consultants, officers or employees of the Borrower (or any direct or indirect parent thereof) and the Subsidiaries in the ordinary course of business to the extent attributable to the ownership or operation of the Borrower and the Subsidiaries, (i) transactions undertaken pursuant to membership in a purchasing consortium, (j) transactions pursuant to any agreement or arrangement as in effect as of the Closing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Closing Date as determined by the Borrower in good faith), (k) customary payments by the Borrower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(n) any customary transactions with a Receivables Subsidiary effected as part of a Receivables Facility and (o) undertaking or consummating any IPO Reorganization Transactions.</w:t>
      </w:r>
    </w:p>
    <w:p>
      <w:pPr>
        <w:spacing w:after="0" w:line="346"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9.10 End of Fiscal Years</w:t>
      </w:r>
      <w:r>
        <w:rPr>
          <w:rFonts w:ascii="Times New Roman" w:cs="Times New Roman" w:eastAsia="Times New Roman" w:hAnsi="Times New Roman"/>
          <w:sz w:val="14"/>
          <w:szCs w:val="14"/>
          <w:color w:val="auto"/>
        </w:rPr>
        <w:t xml:space="preserve">. The Borrower will, for financial reporting purposes, cause each of its, and each of the Restricted Subsidiaries’, fiscal years to end on dates consistent with past practice;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Borrower may, upon written notice to the Administrative Agent change the financial reporting convention specified above to (x) align the dates of such fiscal year and for any Restricted Subsidiary whose fiscal years end on dates different from those of the Borrower or (y) any other financial reporting convention (including a change of fiscal year) reasonably acceptable (such consent not to be unreasonably withheld or delayed) to the Administrative Agent, in which case the Borrower and the Administrative Agent will, and are hereby authorized by the Lenders to, make any adjustments to this Agreement that are necessary in order to reflect such change in financial reporting.</w:t>
      </w:r>
    </w:p>
    <w:p>
      <w:pPr>
        <w:spacing w:after="0" w:line="160"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9.11 Additional Guarantors and Grantors</w:t>
      </w:r>
      <w:r>
        <w:rPr>
          <w:rFonts w:ascii="Times New Roman" w:cs="Times New Roman" w:eastAsia="Times New Roman" w:hAnsi="Times New Roman"/>
          <w:sz w:val="14"/>
          <w:szCs w:val="14"/>
          <w:color w:val="auto"/>
        </w:rPr>
        <w:t>. Subject to any applicable limitations set forth in the Security Documents, Holdings will cause each direct or indirect Domestic Subsidiary (other than any Excluded Subsidiary) formed or otherwise purchased or acquired after the Closing Date (including pursuant to a Permitted Acquisition and upon the formation of any Domestic Subsidiary that is a Delaware Divided LLC),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other Domestic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w:t>
      </w:r>
    </w:p>
    <w:p>
      <w:pPr>
        <w:spacing w:after="0" w:line="39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3" w:name="page224"/>
    <w:bookmarkEnd w:id="223"/>
    <w:p>
      <w:pPr>
        <w:jc w:val="both"/>
        <w:ind w:left="1140" w:right="1159"/>
        <w:spacing w:after="0" w:line="262" w:lineRule="auto"/>
        <w:rPr>
          <w:sz w:val="20"/>
          <w:szCs w:val="20"/>
          <w:color w:val="auto"/>
        </w:rPr>
      </w:pPr>
      <w:r>
        <w:rPr>
          <w:rFonts w:ascii="Times New Roman" w:cs="Times New Roman" w:eastAsia="Times New Roman" w:hAnsi="Times New Roman"/>
          <w:sz w:val="14"/>
          <w:szCs w:val="14"/>
          <w:color w:val="auto"/>
        </w:rPr>
        <w:t xml:space="preserve">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Closing Date and pursuant to </w:t>
      </w:r>
      <w:r>
        <w:rPr>
          <w:rFonts w:ascii="Times New Roman" w:cs="Times New Roman" w:eastAsia="Times New Roman" w:hAnsi="Times New Roman"/>
          <w:sz w:val="14"/>
          <w:szCs w:val="14"/>
          <w:u w:val="single" w:color="auto"/>
          <w:color w:val="auto"/>
        </w:rPr>
        <w:t>Section 9.14(d)</w:t>
      </w:r>
      <w:r>
        <w:rPr>
          <w:rFonts w:ascii="Times New Roman" w:cs="Times New Roman" w:eastAsia="Times New Roman" w:hAnsi="Times New Roman"/>
          <w:sz w:val="14"/>
          <w:szCs w:val="14"/>
          <w:color w:val="auto"/>
        </w:rPr>
        <w:t xml:space="preserve"> in the case of such Credit Parties. For the avoidance of doubt, neither Holdings nor any Restricted Subsidiary shall be required to take any action outside the United States to perfect any security interest in the Collateral (including the execution of any agreement, document or other instrument governed by the law of any jurisdiction other than the United States, any State thereof or the District of Columbia).</w:t>
      </w:r>
    </w:p>
    <w:p>
      <w:pPr>
        <w:spacing w:after="0" w:line="330"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auto"/>
        </w:rPr>
        <w:t>9.12 Pledge of Additional Stock and Evidence of Indebtedness</w:t>
      </w:r>
      <w:r>
        <w:rPr>
          <w:rFonts w:ascii="Times New Roman" w:cs="Times New Roman" w:eastAsia="Times New Roman" w:hAnsi="Times New Roman"/>
          <w:sz w:val="14"/>
          <w:szCs w:val="14"/>
          <w:color w:val="auto"/>
        </w:rPr>
        <w:t>.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Secured Parties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the greater of (a) $</w:t>
      </w:r>
      <w:r>
        <w:rPr>
          <w:rFonts w:ascii="Times New Roman" w:cs="Times New Roman" w:eastAsia="Times New Roman" w:hAnsi="Times New Roman"/>
          <w:sz w:val="14"/>
          <w:szCs w:val="14"/>
          <w:color w:val="FF0000"/>
          <w:strike w:val="1"/>
        </w:rPr>
        <w:t>40</w:t>
      </w:r>
      <w:r>
        <w:rPr>
          <w:rFonts w:ascii="Times New Roman" w:cs="Times New Roman" w:eastAsia="Times New Roman" w:hAnsi="Times New Roman"/>
          <w:sz w:val="14"/>
          <w:szCs w:val="14"/>
          <w:u w:val="single" w:color="auto"/>
          <w:color w:val="0000FF"/>
        </w:rPr>
        <w:t>60</w:t>
      </w:r>
      <w:r>
        <w:rPr>
          <w:rFonts w:ascii="Times New Roman" w:cs="Times New Roman" w:eastAsia="Times New Roman" w:hAnsi="Times New Roman"/>
          <w:sz w:val="14"/>
          <w:szCs w:val="14"/>
          <w:color w:val="auto"/>
        </w:rPr>
        <w:t xml:space="preserve"> million and (b) 10% of Consolidated EBITDA for the most recently ended Test Period (calculated on a Pro Forma Basis) at the time of any disposition of assets pursuant to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received by Holdings, the Borrower or any of the Guarantors in connection with any disposition of assets pursuant to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and (iii) any promissory notes executed after the Closing Date evidencing Indebtedness in excess of the greater of (a) $</w:t>
      </w:r>
      <w:r>
        <w:rPr>
          <w:rFonts w:ascii="Times New Roman" w:cs="Times New Roman" w:eastAsia="Times New Roman" w:hAnsi="Times New Roman"/>
          <w:sz w:val="14"/>
          <w:szCs w:val="14"/>
          <w:color w:val="FF0000"/>
          <w:strike w:val="1"/>
        </w:rPr>
        <w:t>40</w:t>
      </w:r>
      <w:r>
        <w:rPr>
          <w:rFonts w:ascii="Times New Roman" w:cs="Times New Roman" w:eastAsia="Times New Roman" w:hAnsi="Times New Roman"/>
          <w:sz w:val="14"/>
          <w:szCs w:val="14"/>
          <w:u w:val="single" w:color="auto"/>
          <w:color w:val="0000FF"/>
        </w:rPr>
        <w:t>60</w:t>
      </w:r>
      <w:r>
        <w:rPr>
          <w:rFonts w:ascii="Times New Roman" w:cs="Times New Roman" w:eastAsia="Times New Roman" w:hAnsi="Times New Roman"/>
          <w:sz w:val="14"/>
          <w:szCs w:val="14"/>
          <w:color w:val="auto"/>
        </w:rPr>
        <w:t xml:space="preserve"> million and (b) 10% of Consolidated EBITDA for the most recently ended Test Period (calculated on a Pro Forma Basis) at the time such promissory note is executed;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33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9.13 </w:t>
      </w:r>
      <w:r>
        <w:rPr>
          <w:rFonts w:ascii="Times New Roman" w:cs="Times New Roman" w:eastAsia="Times New Roman" w:hAnsi="Times New Roman"/>
          <w:sz w:val="14"/>
          <w:szCs w:val="14"/>
          <w:u w:val="single" w:color="auto"/>
          <w:color w:val="auto"/>
        </w:rPr>
        <w:t>Use of Proceeds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9" w:lineRule="auto"/>
        <w:tabs>
          <w:tab w:leader="none" w:pos="1972" w:val="left"/>
        </w:tabs>
        <w:numPr>
          <w:ilvl w:val="1"/>
          <w:numId w:val="22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On the Closing Date, the Borrower will use (i) the proceeds of the Initial Term Loans (other than the Delayed Draw First Lien Term Loan Facility), the Second Lien Facility and the Equity Investments to effect the Transactions and pay related fees, (ii) up to $20 million, in the aggregate, of the proceeds of the borrowing of the Revolving Credit Facility to fund certain Transaction Expenses and the proceeds of the borrowing of the Revolving Credit Facility (exclusive of Letter of Credit usage) to fund working capital and (iii) cash on hand to effect the Transactions and pay related fees. Any proceeds of the Tranche B-1 Term Loans shall be applied on the Amendment No. 1 Effective Date to prepay Existing Term Loans of Non-Consenting Lenders and Post-Closing Option Lenders in full. Any proceeds of the Initial Tranche B-3 Term Loans shall be applied on the Amendment No. 4 Effective Date to prepay in full all Existing Tranche B-2 Term Loans of Non-Consenting Existing Tranche B-2 Term Loan Lenders and Post-Closing Option Tranche B-2 Lenders. </w:t>
      </w:r>
      <w:r>
        <w:rPr>
          <w:rFonts w:ascii="Times New Roman" w:cs="Times New Roman" w:eastAsia="Times New Roman" w:hAnsi="Times New Roman"/>
          <w:sz w:val="14"/>
          <w:szCs w:val="14"/>
          <w:color w:val="0000FF"/>
        </w:rPr>
        <w:t>Any proceeds of the Tranche B-4 Term Loans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shall be applied on the Amendment No. 7 Effective Date (i) to prepay in full all Existing Tranche B-1/B-3 Term Loans of Non-Consenting Existing Tranche B-1/B-3 Term Loan Lenders and Post-Closing Option Tranche B-1/B-3 Lenders (in the case of Post-Closing Option Tranche B-1/B-3 Lenders, limited to the Existing Tranche B-1/B-3 Term Loans for which the “Post-Closing Settlement Option” was selected), (ii) to pay accrued but unpaid interest on the Existing Tranche B-1/B-3 Term Loans and fees, costs and expenses incurred in connection with Amendment No. 7 and (iii) for general corporate purposes.</w:t>
      </w:r>
    </w:p>
    <w:p>
      <w:pPr>
        <w:spacing w:after="0" w:line="157"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1"/>
          <w:numId w:val="22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and it Restricted Subsidiaries will use the proceeds of the Delayed Draw Term Loans</w:t>
      </w:r>
    </w:p>
    <w:p>
      <w:pPr>
        <w:spacing w:after="0" w:line="24" w:lineRule="exact"/>
        <w:rPr>
          <w:rFonts w:ascii="Times New Roman" w:cs="Times New Roman" w:eastAsia="Times New Roman" w:hAnsi="Times New Roman"/>
          <w:sz w:val="14"/>
          <w:szCs w:val="14"/>
          <w:color w:val="010000"/>
        </w:rPr>
      </w:pPr>
    </w:p>
    <w:p>
      <w:pPr>
        <w:jc w:val="both"/>
        <w:ind w:left="1140" w:right="1159" w:firstLine="7"/>
        <w:spacing w:after="0" w:line="264" w:lineRule="auto"/>
        <w:tabs>
          <w:tab w:leader="none" w:pos="1314"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finance one or more Permitted Acquisitions or Permitted Investments, (ii) to pay fees and expenses incurred in connection with such Permitted Acquisitions, Permitted Investments and the Delayed Draw Term Loans and (iii) with respect to any remaining balance after the uses described in clauses (i) and (ii) above, for general corporate purposes.</w:t>
      </w:r>
    </w:p>
    <w:p>
      <w:pPr>
        <w:spacing w:after="0" w:line="326" w:lineRule="exact"/>
        <w:rPr>
          <w:rFonts w:ascii="Times New Roman" w:cs="Times New Roman" w:eastAsia="Times New Roman" w:hAnsi="Times New Roman"/>
          <w:sz w:val="14"/>
          <w:szCs w:val="14"/>
          <w:color w:val="auto"/>
        </w:rPr>
      </w:pPr>
    </w:p>
    <w:p>
      <w:pPr>
        <w:jc w:val="both"/>
        <w:ind w:left="1140" w:right="1159" w:firstLine="524"/>
        <w:spacing w:after="0" w:line="275" w:lineRule="auto"/>
        <w:tabs>
          <w:tab w:leader="none" w:pos="1982" w:val="left"/>
        </w:tabs>
        <w:numPr>
          <w:ilvl w:val="1"/>
          <w:numId w:val="22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Borrower will use Letters of Credit, Swingline Loans and Revolving Loans for working capital and for other general corporate purposes (including the Transactions (to the extent permitted under the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and any other transactions not prohibited by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-1796415</wp:posOffset>
            </wp:positionV>
            <wp:extent cx="174942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1">
                      <a:extLst>
                        <a:ext uri="{28A0092B-C50C-407E-A947-70E740481C1C}"/>
                      </a:extLst>
                    </a:blip>
                    <a:srcRect/>
                    <a:stretch>
                      <a:fillRect/>
                    </a:stretch>
                  </pic:blipFill>
                  <pic:spPr bwMode="auto">
                    <a:xfrm>
                      <a:off x="0" y="0"/>
                      <a:ext cx="1749425" cy="6985"/>
                    </a:xfrm>
                    <a:prstGeom prst="rect">
                      <a:avLst/>
                    </a:prstGeom>
                    <a:noFill/>
                  </pic:spPr>
                </pic:pic>
              </a:graphicData>
            </a:graphic>
          </wp:anchor>
        </w:drawing>
      </w:r>
    </w:p>
    <w:p>
      <w:pPr>
        <w:spacing w:after="0" w:line="19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4" w:name="page225"/>
    <w:bookmarkEnd w:id="224"/>
    <w:p>
      <w:pPr>
        <w:jc w:val="both"/>
        <w:ind w:left="1140" w:right="1159" w:firstLine="524"/>
        <w:spacing w:after="0" w:line="268" w:lineRule="auto"/>
        <w:tabs>
          <w:tab w:leader="none" w:pos="2032" w:val="left"/>
        </w:tabs>
        <w:numPr>
          <w:ilvl w:val="0"/>
          <w:numId w:val="22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proceeds of the Tranche B-2 Term Loans shall be applied on the Amendment No. 3 Effective Date to (i) to finance one or more Permitted Acquisitions or Permitted Investments, (ii) to pay fees and expenses incurred in connection with such Permitted Acquisitions, Permitted Investments and the Tranche B-2 Term Loans and (iii) for general corporate purposes.</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22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proceeds of the Amendment No. 5 Incremental Term Loans shall be applied on the Amendment No. 5 Effective Date, together with cash on hand of the Borrower and Abode Target, solely to fund the merger consideration in respect of the Abode Acquisition;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notwithstanding the foregoing, up to $75,000,000 of the proceeds of the Amendment No. 5 Incremental Term Loans may be used by the Borrower for working capital and for other general corporate purposes (including the Amendment No. 5 Transactions and any other transactions not prohibited by the Credit Documents).</w:t>
      </w:r>
    </w:p>
    <w:p>
      <w:pPr>
        <w:spacing w:after="0" w:line="15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9.14 </w:t>
      </w:r>
      <w:r>
        <w:rPr>
          <w:rFonts w:ascii="Times New Roman" w:cs="Times New Roman" w:eastAsia="Times New Roman" w:hAnsi="Times New Roman"/>
          <w:sz w:val="14"/>
          <w:szCs w:val="14"/>
          <w:u w:val="single" w:color="auto"/>
          <w:color w:val="auto"/>
        </w:rPr>
        <w:t>Further Assurances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2" w:lineRule="auto"/>
        <w:tabs>
          <w:tab w:leader="none" w:pos="2004" w:val="left"/>
        </w:tabs>
        <w:numPr>
          <w:ilvl w:val="0"/>
          <w:numId w:val="2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the terms of </w:t>
      </w:r>
      <w:r>
        <w:rPr>
          <w:rFonts w:ascii="Times New Roman" w:cs="Times New Roman" w:eastAsia="Times New Roman" w:hAnsi="Times New Roman"/>
          <w:sz w:val="14"/>
          <w:szCs w:val="14"/>
          <w:u w:val="single" w:color="auto"/>
          <w:color w:val="auto"/>
        </w:rPr>
        <w:t>Sections 9.11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9.12</w:t>
      </w:r>
      <w:r>
        <w:rPr>
          <w:rFonts w:ascii="Times New Roman" w:cs="Times New Roman" w:eastAsia="Times New Roman" w:hAnsi="Times New Roman"/>
          <w:sz w:val="14"/>
          <w:szCs w:val="14"/>
          <w:color w:val="auto"/>
        </w:rPr>
        <w:t xml:space="preserve">, this </w:t>
      </w:r>
      <w:r>
        <w:rPr>
          <w:rFonts w:ascii="Times New Roman" w:cs="Times New Roman" w:eastAsia="Times New Roman" w:hAnsi="Times New Roman"/>
          <w:sz w:val="14"/>
          <w:szCs w:val="14"/>
          <w:u w:val="single" w:color="auto"/>
          <w:color w:val="auto"/>
        </w:rPr>
        <w:t>Section 9.14</w:t>
      </w:r>
      <w:r>
        <w:rPr>
          <w:rFonts w:ascii="Times New Roman" w:cs="Times New Roman" w:eastAsia="Times New Roman" w:hAnsi="Times New Roman"/>
          <w:sz w:val="14"/>
          <w:szCs w:val="14"/>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Security Documents, all at the expense of Holdings and the Restricted Subsidiaries.</w:t>
      </w:r>
    </w:p>
    <w:p>
      <w:pPr>
        <w:spacing w:after="0" w:line="157"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72" w:val="left"/>
        </w:tabs>
        <w:numPr>
          <w:ilvl w:val="0"/>
          <w:numId w:val="2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Secured Parties therefrom (including, without limitation, the cost of title insurance, surveys or flood insurance)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applicable Credit Party intends to dispose of pursuant to a Permitted Sale Leaseback so long as actually disposed of within 270 days of acquisition (or such longer period as the Administrative Agent may reasonably agree)) with a Fair Market Value in excess of $20 million (at the time of acquisition) are acquired by Holdings or any other Credit Party after the Closing Date (other than assets constituting Collateral under a Security Document that become subject to the Lien of the applicable Security Document upon acquisition thereof) that are of a nature secured by a Security Document or that constitute a fee interest in real property in the United States, the Borrower will notify the Collateral Agent, and, if requested by the Collateral Agent, Holdings will cause such assets to be subjected to a Lien securing the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in the event any Mortgage delivered pursuant to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incur any mortgage recording tax or similar charges in connection with the recording thereof, such Mortgage shall not secure an amount in excess of the Fair Market Value of the applicable Mortgaged Property) and will take, and cause the other applicable Credit Parties to take, such actions as shall be necessary or reasonably requested by the Collateral Agent, as soon as commercially reasonable but in no event later than 90 days, unless waived or extended by the Administrative Agent in its sole discretion, to grant and perfect such Liens consistent with the applicable requirements of the Security Documents, including actions described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9.14</w:t>
      </w:r>
      <w:r>
        <w:rPr>
          <w:rFonts w:ascii="Times New Roman" w:cs="Times New Roman" w:eastAsia="Times New Roman" w:hAnsi="Times New Roman"/>
          <w:sz w:val="14"/>
          <w:szCs w:val="14"/>
          <w:color w:val="auto"/>
        </w:rPr>
        <w:t>.</w:t>
      </w:r>
    </w:p>
    <w:p>
      <w:pPr>
        <w:spacing w:after="0" w:line="335"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93" w:val="left"/>
        </w:tabs>
        <w:numPr>
          <w:ilvl w:val="0"/>
          <w:numId w:val="22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Mortgage delivered to the Administrative Agent in accordance with the preceding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if requested by the Collateral Agent, be received as soon as commercially reasonable but in no event later than 90 days (except as set forth in the preceding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unless waived or extended by the Administrative Agent acting reasonably and accompanied by (x) a policy or policies (or an unconditional binding commitment therefor to be replaced by a final title policy) of title insurance issued by a nationally recognized title insurance company (each such policy, a “</w:t>
      </w:r>
      <w:r>
        <w:rPr>
          <w:rFonts w:ascii="Times New Roman" w:cs="Times New Roman" w:eastAsia="Times New Roman" w:hAnsi="Times New Roman"/>
          <w:sz w:val="14"/>
          <w:szCs w:val="14"/>
          <w:b w:val="1"/>
          <w:bCs w:val="1"/>
          <w:color w:val="auto"/>
        </w:rPr>
        <w:t>Title Policy</w:t>
      </w:r>
      <w:r>
        <w:rPr>
          <w:rFonts w:ascii="Times New Roman" w:cs="Times New Roman" w:eastAsia="Times New Roman" w:hAnsi="Times New Roman"/>
          <w:sz w:val="14"/>
          <w:szCs w:val="14"/>
          <w:color w:val="auto"/>
        </w:rPr>
        <w:t xml:space="preserve">”),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in no event shall the Administrative Agent request a creditors’ rights endorsement) and (ii)</w:t>
      </w: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25" w:name="page226"/>
    <w:bookmarkEnd w:id="225"/>
    <w:p>
      <w:pPr>
        <w:jc w:val="both"/>
        <w:ind w:left="1140" w:right="1159"/>
        <w:spacing w:after="0" w:line="175" w:lineRule="exact"/>
        <w:rPr>
          <w:sz w:val="20"/>
          <w:szCs w:val="20"/>
          <w:color w:val="auto"/>
        </w:rPr>
      </w:pPr>
      <w:r>
        <w:rPr>
          <w:rFonts w:ascii="Times New Roman" w:cs="Times New Roman" w:eastAsia="Times New Roman" w:hAnsi="Times New Roman"/>
          <w:sz w:val="14"/>
          <w:szCs w:val="14"/>
          <w:color w:val="auto"/>
        </w:rPr>
        <w:t>available at commercially reasonable rates, (y) an opinion of local counsel to the applicable Credit Party in form and substance reasonably acceptable to the Administrative Agent, (z) a completed “Life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certificates of insurance evidencing the insurance required by </w:t>
      </w:r>
      <w:r>
        <w:rPr>
          <w:rFonts w:ascii="Times New Roman" w:cs="Times New Roman" w:eastAsia="Times New Roman" w:hAnsi="Times New Roman"/>
          <w:sz w:val="14"/>
          <w:szCs w:val="14"/>
          <w:u w:val="single" w:color="auto"/>
          <w:color w:val="auto"/>
        </w:rPr>
        <w:t>Section 9.3</w:t>
      </w:r>
      <w:r>
        <w:rPr>
          <w:rFonts w:ascii="Times New Roman" w:cs="Times New Roman" w:eastAsia="Times New Roman" w:hAnsi="Times New Roman"/>
          <w:sz w:val="14"/>
          <w:szCs w:val="14"/>
          <w:color w:val="auto"/>
        </w:rPr>
        <w:t xml:space="preserve"> in form and substance reasonably satisfactory to the Administrative Agent, and (aa) an ALTA/NSPS survey in a form and substance reasonably acceptable to the Collateral Agent or such existing survey together with a no</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change affidavit sufficient for the title company to remove all standard survey exceptions from the Title Policy related to such Mortgaged Property and issue the endorsements required in </w:t>
      </w:r>
      <w:r>
        <w:rPr>
          <w:rFonts w:ascii="Times New Roman" w:cs="Times New Roman" w:eastAsia="Times New Roman" w:hAnsi="Times New Roman"/>
          <w:sz w:val="14"/>
          <w:szCs w:val="14"/>
          <w:u w:val="single" w:color="auto"/>
          <w:color w:val="auto"/>
        </w:rPr>
        <w:t>clause (x)</w:t>
      </w:r>
      <w:r>
        <w:rPr>
          <w:rFonts w:ascii="Times New Roman" w:cs="Times New Roman" w:eastAsia="Times New Roman" w:hAnsi="Times New Roman"/>
          <w:sz w:val="14"/>
          <w:szCs w:val="14"/>
          <w:color w:val="auto"/>
        </w:rPr>
        <w:t xml:space="preserve"> above.</w:t>
      </w:r>
    </w:p>
    <w:p>
      <w:pPr>
        <w:spacing w:after="0" w:line="142" w:lineRule="exact"/>
        <w:rPr>
          <w:sz w:val="20"/>
          <w:szCs w:val="20"/>
          <w:color w:val="auto"/>
        </w:rPr>
      </w:pPr>
    </w:p>
    <w:p>
      <w:pPr>
        <w:jc w:val="both"/>
        <w:ind w:left="1140" w:right="1159" w:firstLine="524"/>
        <w:spacing w:after="0" w:line="184" w:lineRule="exact"/>
        <w:tabs>
          <w:tab w:leader="none" w:pos="1993" w:val="left"/>
        </w:tabs>
        <w:numPr>
          <w:ilvl w:val="0"/>
          <w:numId w:val="22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Post</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Closing Covenant</w:t>
      </w:r>
      <w:r>
        <w:rPr>
          <w:rFonts w:ascii="Times New Roman" w:cs="Times New Roman" w:eastAsia="Times New Roman" w:hAnsi="Times New Roman"/>
          <w:sz w:val="14"/>
          <w:szCs w:val="14"/>
          <w:color w:val="auto"/>
        </w:rPr>
        <w:t xml:space="preserve">. Each of Holdings and the Borrower agree that it will, or will cause its relevant Subsidiaries to, complete each of the actions described on </w:t>
      </w:r>
      <w:r>
        <w:rPr>
          <w:rFonts w:ascii="Times New Roman" w:cs="Times New Roman" w:eastAsia="Times New Roman" w:hAnsi="Times New Roman"/>
          <w:sz w:val="14"/>
          <w:szCs w:val="14"/>
          <w:u w:val="single" w:color="auto"/>
          <w:color w:val="auto"/>
        </w:rPr>
        <w:t>Schedule 9.14</w:t>
      </w:r>
      <w:r>
        <w:rPr>
          <w:rFonts w:ascii="Times New Roman" w:cs="Times New Roman" w:eastAsia="Times New Roman" w:hAnsi="Times New Roman"/>
          <w:sz w:val="14"/>
          <w:szCs w:val="14"/>
          <w:color w:val="auto"/>
        </w:rPr>
        <w:t xml:space="preserve"> as soon as commercially reasonable and by no later than the date set forth on </w:t>
      </w:r>
      <w:r>
        <w:rPr>
          <w:rFonts w:ascii="Times New Roman" w:cs="Times New Roman" w:eastAsia="Times New Roman" w:hAnsi="Times New Roman"/>
          <w:sz w:val="14"/>
          <w:szCs w:val="14"/>
          <w:u w:val="single" w:color="auto"/>
          <w:color w:val="auto"/>
        </w:rPr>
        <w:t>Schedule 9.14</w:t>
      </w:r>
      <w:r>
        <w:rPr>
          <w:rFonts w:ascii="Times New Roman" w:cs="Times New Roman" w:eastAsia="Times New Roman" w:hAnsi="Times New Roman"/>
          <w:sz w:val="14"/>
          <w:szCs w:val="14"/>
          <w:color w:val="auto"/>
        </w:rPr>
        <w:t xml:space="preserve"> with respect to such action or such later date as the Administrative Agent may reasonably agree.</w:t>
      </w:r>
    </w:p>
    <w:p>
      <w:pPr>
        <w:spacing w:after="0" w:line="170"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9.15 Maintenance of Ratings</w:t>
      </w:r>
      <w:r>
        <w:rPr>
          <w:rFonts w:ascii="Times New Roman" w:cs="Times New Roman" w:eastAsia="Times New Roman" w:hAnsi="Times New Roman"/>
          <w:sz w:val="14"/>
          <w:szCs w:val="14"/>
          <w:color w:val="auto"/>
        </w:rPr>
        <w:t>. The Borrower will use commercially reasonable efforts to obtain and maintain (but not maintain any specific rating) a corporate family and/or corporate credit rating and ratings in respect of the Term Loans provided pursuant to this Agreement, in each case, from each of S&amp;P and Moody’s.</w:t>
      </w:r>
    </w:p>
    <w:p>
      <w:pPr>
        <w:spacing w:after="0" w:line="146" w:lineRule="exact"/>
        <w:rPr>
          <w:sz w:val="20"/>
          <w:szCs w:val="20"/>
          <w:color w:val="auto"/>
        </w:rPr>
      </w:pPr>
    </w:p>
    <w:p>
      <w:pPr>
        <w:jc w:val="both"/>
        <w:ind w:left="1140" w:right="1159" w:firstLine="517"/>
        <w:spacing w:after="0" w:line="180" w:lineRule="exact"/>
        <w:rPr>
          <w:sz w:val="20"/>
          <w:szCs w:val="20"/>
          <w:color w:val="auto"/>
        </w:rPr>
      </w:pPr>
      <w:r>
        <w:rPr>
          <w:rFonts w:ascii="Times New Roman" w:cs="Times New Roman" w:eastAsia="Times New Roman" w:hAnsi="Times New Roman"/>
          <w:sz w:val="14"/>
          <w:szCs w:val="14"/>
          <w:u w:val="single" w:color="auto"/>
          <w:color w:val="auto"/>
        </w:rPr>
        <w:t>9.16 Lines of Business</w:t>
      </w:r>
      <w:r>
        <w:rPr>
          <w:rFonts w:ascii="Times New Roman" w:cs="Times New Roman" w:eastAsia="Times New Roman" w:hAnsi="Times New Roman"/>
          <w:sz w:val="14"/>
          <w:szCs w:val="14"/>
          <w:color w:val="auto"/>
        </w:rPr>
        <w:t>. The Borrower and the Restricted Subsidiaries, taken as a whole, will not fundamentally and substantively alter the character of their business, taken as a whole, from the business conducted by the Borrower and the Subsidiaries, taken as a whole, on the Closing Date and other business activities which are extensions thereof or otherwise incidental, synergistic, reasonably related, or ancillary to any of the foregoing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core incidental businesses acquired in connection with any Permitted Acquisition or Permitted Investment).</w:t>
      </w:r>
    </w:p>
    <w:p>
      <w:pPr>
        <w:spacing w:after="0" w:line="133"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u w:val="single" w:color="auto"/>
          <w:color w:val="auto"/>
        </w:rPr>
        <w:t>Section 10.</w:t>
      </w:r>
      <w:r>
        <w:rPr>
          <w:sz w:val="20"/>
          <w:szCs w:val="20"/>
          <w:color w:val="auto"/>
        </w:rPr>
        <w:tab/>
      </w:r>
      <w:r>
        <w:rPr>
          <w:rFonts w:ascii="Times New Roman" w:cs="Times New Roman" w:eastAsia="Times New Roman" w:hAnsi="Times New Roman"/>
          <w:sz w:val="14"/>
          <w:szCs w:val="14"/>
          <w:u w:val="single" w:color="auto"/>
          <w:color w:val="auto"/>
        </w:rPr>
        <w:t>Negative Covenants</w:t>
      </w:r>
      <w:r>
        <w:rPr>
          <w:rFonts w:ascii="Times New Roman" w:cs="Times New Roman" w:eastAsia="Times New Roman" w:hAnsi="Times New Roman"/>
          <w:sz w:val="14"/>
          <w:szCs w:val="14"/>
          <w:color w:val="auto"/>
        </w:rPr>
        <w:t>.</w:t>
      </w:r>
    </w:p>
    <w:p>
      <w:pPr>
        <w:spacing w:after="0" w:line="175" w:lineRule="exact"/>
        <w:rPr>
          <w:sz w:val="20"/>
          <w:szCs w:val="20"/>
          <w:color w:val="auto"/>
        </w:rPr>
      </w:pPr>
    </w:p>
    <w:p>
      <w:pPr>
        <w:ind w:left="1140" w:right="1219" w:firstLine="1033"/>
        <w:spacing w:after="0" w:line="293" w:lineRule="auto"/>
        <w:rPr>
          <w:sz w:val="20"/>
          <w:szCs w:val="20"/>
          <w:color w:val="auto"/>
        </w:rPr>
      </w:pPr>
      <w:r>
        <w:rPr>
          <w:rFonts w:ascii="Times New Roman" w:cs="Times New Roman" w:eastAsia="Times New Roman" w:hAnsi="Times New Roman"/>
          <w:sz w:val="14"/>
          <w:szCs w:val="14"/>
          <w:color w:val="auto"/>
        </w:rPr>
        <w:t xml:space="preserve">The Borrower (and, with respect to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 xml:space="preserve"> only, Holdings) hereby covenants and agrees that on the Closing Date and thereafter, until the Termination Date:</w:t>
      </w:r>
    </w:p>
    <w:p>
      <w:pPr>
        <w:spacing w:after="0" w:line="134"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10.1 Limitation on Indebtedness</w:t>
      </w:r>
      <w:r>
        <w:rPr>
          <w:rFonts w:ascii="Times New Roman" w:cs="Times New Roman" w:eastAsia="Times New Roman" w:hAnsi="Times New Roman"/>
          <w:sz w:val="14"/>
          <w:szCs w:val="14"/>
          <w:color w:val="auto"/>
        </w:rPr>
        <w:t>. The Borrower will not, and will not permit any of its Restricted Subsidiaries to create, incur, issue, assume, guarantee or otherwise become liable, contingently or otherwise (collectively, “</w:t>
      </w:r>
      <w:r>
        <w:rPr>
          <w:rFonts w:ascii="Times New Roman" w:cs="Times New Roman" w:eastAsia="Times New Roman" w:hAnsi="Times New Roman"/>
          <w:sz w:val="14"/>
          <w:szCs w:val="14"/>
          <w:b w:val="1"/>
          <w:bCs w:val="1"/>
          <w:color w:val="auto"/>
        </w:rPr>
        <w:t>incur</w:t>
      </w:r>
      <w:r>
        <w:rPr>
          <w:rFonts w:ascii="Times New Roman" w:cs="Times New Roman" w:eastAsia="Times New Roman" w:hAnsi="Times New Roman"/>
          <w:sz w:val="14"/>
          <w:szCs w:val="14"/>
          <w:color w:val="auto"/>
        </w:rPr>
        <w:t>” and collectively, an “</w:t>
      </w:r>
      <w:r>
        <w:rPr>
          <w:rFonts w:ascii="Times New Roman" w:cs="Times New Roman" w:eastAsia="Times New Roman" w:hAnsi="Times New Roman"/>
          <w:sz w:val="14"/>
          <w:szCs w:val="14"/>
          <w:b w:val="1"/>
          <w:bCs w:val="1"/>
          <w:color w:val="auto"/>
        </w:rPr>
        <w:t>incurrence</w:t>
      </w:r>
      <w:r>
        <w:rPr>
          <w:rFonts w:ascii="Times New Roman" w:cs="Times New Roman" w:eastAsia="Times New Roman" w:hAnsi="Times New Roman"/>
          <w:sz w:val="14"/>
          <w:szCs w:val="14"/>
          <w:color w:val="auto"/>
        </w:rPr>
        <w:t xml:space="preserve">”) with respect to any Indebtedness (including Acquired Indebtedness) and the Borrower will not issue any shares of Disqualified Stock and will not permit any Restricted Subsidiary to issue any shares of Disqualified Stock or, in the case of Restricted Subsidiaries that are not Guarantors, preferred stock;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Borrower and its Restricted Subsidiaries may incur Indebtedness (including Acquired Indebtedness) or issue shares of Disqualified Stock, and any Restricted Subsidiary may incur Indebtedness (including Acquired Indebtedness), issue shares of Disqualified Stock and issue shares of preferred stock, if, after giving effect thereto, the Fixed Charge Coverage Ratio of the Borrower and the Restricted Subsidiaries is at least 2.00:1.00 or (B) the Borrower and its Restricted Subsidiaries may incur Indebtedness (including Acquired Indebtedness), if, after giving effect thereto, the Consolidated Total Debt to Consolidated EBITDA Ratio (calculated on a Pro Forma Basis) shall be less than or equal to 5.75:1.00;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the amount of Indebtedness (other than Acquired Indebtedness), Disqualified Stock and preferred stock that may be incurred pursuant to the foregoing together with any amounts incurred under </w:t>
      </w:r>
      <w:r>
        <w:rPr>
          <w:rFonts w:ascii="Times New Roman" w:cs="Times New Roman" w:eastAsia="Times New Roman" w:hAnsi="Times New Roman"/>
          <w:sz w:val="14"/>
          <w:szCs w:val="14"/>
          <w:u w:val="single" w:color="auto"/>
          <w:color w:val="auto"/>
        </w:rPr>
        <w:t>Sections 10.1(l)(ii)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(n)(x)</w:t>
      </w:r>
      <w:r>
        <w:rPr>
          <w:rFonts w:ascii="Times New Roman" w:cs="Times New Roman" w:eastAsia="Times New Roman" w:hAnsi="Times New Roman"/>
          <w:sz w:val="14"/>
          <w:szCs w:val="14"/>
          <w:color w:val="auto"/>
        </w:rPr>
        <w:t xml:space="preserve"> by Restricted Subsidiaries that are not Guarantors shall not exceed the greater of (x) $</w:t>
      </w:r>
      <w:r>
        <w:rPr>
          <w:rFonts w:ascii="Times New Roman" w:cs="Times New Roman" w:eastAsia="Times New Roman" w:hAnsi="Times New Roman"/>
          <w:sz w:val="14"/>
          <w:szCs w:val="14"/>
          <w:color w:val="FF0000"/>
          <w:strike w:val="1"/>
        </w:rPr>
        <w:t>150</w:t>
      </w:r>
      <w:r>
        <w:rPr>
          <w:rFonts w:ascii="Times New Roman" w:cs="Times New Roman" w:eastAsia="Times New Roman" w:hAnsi="Times New Roman"/>
          <w:sz w:val="14"/>
          <w:szCs w:val="14"/>
          <w:u w:val="single" w:color="auto"/>
          <w:color w:val="0000FF"/>
        </w:rPr>
        <w:t>235</w:t>
      </w:r>
      <w:r>
        <w:rPr>
          <w:rFonts w:ascii="Times New Roman" w:cs="Times New Roman" w:eastAsia="Times New Roman" w:hAnsi="Times New Roman"/>
          <w:sz w:val="14"/>
          <w:szCs w:val="14"/>
          <w:color w:val="auto"/>
        </w:rPr>
        <w:t xml:space="preserve"> million and (y) 40% of Consolidated EBITDA for the most recently ended Test Period (calculated on a Pro Forma Basis) at any one time outstanding.</w:t>
      </w:r>
    </w:p>
    <w:p>
      <w:pPr>
        <w:spacing w:after="0" w:line="14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The foregoing limitations will not apply to:</w:t>
      </w:r>
    </w:p>
    <w:p>
      <w:pPr>
        <w:spacing w:after="0" w:line="194" w:lineRule="exact"/>
        <w:rPr>
          <w:sz w:val="20"/>
          <w:szCs w:val="20"/>
          <w:color w:val="auto"/>
        </w:rPr>
      </w:pPr>
    </w:p>
    <w:p>
      <w:pPr>
        <w:ind w:left="1980" w:hanging="316"/>
        <w:spacing w:after="0"/>
        <w:tabs>
          <w:tab w:leader="none" w:pos="1980" w:val="left"/>
        </w:tabs>
        <w:numPr>
          <w:ilvl w:val="0"/>
          <w:numId w:val="23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arising under the Credit Documents;</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23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Indebtedness represented by the Second Lien Facility, Permitted Second Lien Exchange Notes, and any guarantee thereof in an aggregate principal amount (together with any Refinancing Indebtedness in respect thereof and all accrued interest, fees and expenses) not to exceed $450,000,000 and (ii) Indebtedness that may be incurred pursuant to Sections 2.14 and 10.1(x)(i) of the Second Lien Credit Agreement (as in effect on the Closing</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7" w:right="1440" w:bottom="1440" w:gutter="0" w:footer="0" w:header="0"/>
        </w:sectPr>
      </w:pPr>
    </w:p>
    <w:bookmarkStart w:id="226" w:name="page227"/>
    <w:bookmarkEnd w:id="226"/>
    <w:p>
      <w:pPr>
        <w:ind w:left="1140"/>
        <w:spacing w:after="0"/>
        <w:rPr>
          <w:sz w:val="20"/>
          <w:szCs w:val="20"/>
          <w:color w:val="auto"/>
        </w:rPr>
      </w:pPr>
      <w:r>
        <w:rPr>
          <w:rFonts w:ascii="Times New Roman" w:cs="Times New Roman" w:eastAsia="Times New Roman" w:hAnsi="Times New Roman"/>
          <w:sz w:val="14"/>
          <w:szCs w:val="14"/>
          <w:color w:val="auto"/>
        </w:rPr>
        <w:t>Date) (together with any Refinancing Indebtedness in respect thereof and all accrued interest, fees and expenses);</w:t>
      </w:r>
    </w:p>
    <w:p>
      <w:pPr>
        <w:spacing w:after="0" w:line="194" w:lineRule="exact"/>
        <w:rPr>
          <w:sz w:val="20"/>
          <w:szCs w:val="20"/>
          <w:color w:val="auto"/>
        </w:rPr>
      </w:pPr>
    </w:p>
    <w:p>
      <w:pPr>
        <w:jc w:val="both"/>
        <w:ind w:left="1140" w:right="1159" w:firstLine="524"/>
        <w:spacing w:after="0" w:line="268" w:lineRule="auto"/>
        <w:tabs>
          <w:tab w:leader="none" w:pos="2015"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Indebtedness</w:t>
      </w:r>
      <w:r>
        <w:rPr>
          <w:rFonts w:ascii="Times New Roman" w:cs="Times New Roman" w:eastAsia="Times New Roman" w:hAnsi="Times New Roman"/>
          <w:sz w:val="14"/>
          <w:szCs w:val="14"/>
          <w:u w:val="single" w:color="auto"/>
          <w:color w:val="0000FF"/>
        </w:rPr>
        <w:t>, Disqualified Stock and preferred stock</w:t>
      </w:r>
      <w:r>
        <w:rPr>
          <w:rFonts w:ascii="Times New Roman" w:cs="Times New Roman" w:eastAsia="Times New Roman" w:hAnsi="Times New Roman"/>
          <w:sz w:val="14"/>
          <w:szCs w:val="14"/>
          <w:color w:val="auto"/>
        </w:rPr>
        <w:t xml:space="preserve"> (including</w:t>
      </w:r>
      <w:r>
        <w:rPr>
          <w:rFonts w:ascii="Times New Roman" w:cs="Times New Roman" w:eastAsia="Times New Roman" w:hAnsi="Times New Roman"/>
          <w:sz w:val="14"/>
          <w:szCs w:val="14"/>
          <w:u w:val="single" w:color="auto"/>
          <w:color w:val="0000FF"/>
        </w:rPr>
        <w:t>, in each case,</w:t>
      </w:r>
      <w:r>
        <w:rPr>
          <w:rFonts w:ascii="Times New Roman" w:cs="Times New Roman" w:eastAsia="Times New Roman" w:hAnsi="Times New Roman"/>
          <w:sz w:val="14"/>
          <w:szCs w:val="14"/>
          <w:color w:val="auto"/>
        </w:rPr>
        <w:t xml:space="preserve"> any unused commitment) outstanding on the Closing Date listed on </w:t>
      </w:r>
      <w:r>
        <w:rPr>
          <w:rFonts w:ascii="Times New Roman" w:cs="Times New Roman" w:eastAsia="Times New Roman" w:hAnsi="Times New Roman"/>
          <w:sz w:val="14"/>
          <w:szCs w:val="14"/>
          <w:u w:val="single" w:color="auto"/>
          <w:color w:val="auto"/>
        </w:rPr>
        <w:t>Schedule 10.1</w:t>
      </w:r>
      <w:r>
        <w:rPr>
          <w:rFonts w:ascii="Times New Roman" w:cs="Times New Roman" w:eastAsia="Times New Roman" w:hAnsi="Times New Roman"/>
          <w:sz w:val="14"/>
          <w:szCs w:val="14"/>
          <w:color w:val="auto"/>
        </w:rPr>
        <w:t xml:space="preserve"> and (ii) intercompany Indebtedness</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Disqualified Stock and preferred stock</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(including any unused commitment) outstanding on the Closing Date listed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on </w:t>
      </w:r>
      <w:r>
        <w:rPr>
          <w:rFonts w:ascii="Times New Roman" w:cs="Times New Roman" w:eastAsia="Times New Roman" w:hAnsi="Times New Roman"/>
          <w:sz w:val="14"/>
          <w:szCs w:val="14"/>
          <w:u w:val="single" w:color="auto"/>
          <w:color w:val="000000"/>
        </w:rPr>
        <w:t>Schedule 10.1</w:t>
      </w:r>
      <w:r>
        <w:rPr>
          <w:rFonts w:ascii="Times New Roman" w:cs="Times New Roman" w:eastAsia="Times New Roman" w:hAnsi="Times New Roman"/>
          <w:sz w:val="14"/>
          <w:szCs w:val="14"/>
          <w:color w:val="000000"/>
        </w:rPr>
        <w:t xml:space="preserve"> (other than intercompany Indebtedness owed by a Credit Party to another Credit Party);</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174" w:lineRule="exact"/>
        <w:tabs>
          <w:tab w:leader="none" w:pos="2004"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(including Capitalized Lease Obligations), Disqualified Stock and preferred stock incurred by the Borrower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the Borrower or any Restricted Subsidiary under or pursuant to any “synthetic lease” transactions to 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balance sheet Indebtedness of the Borrower or such Restricted Subsidiary, in an aggregate principal amount which, when aggregated with the principal amount of all other Indebtedness, Disqualified Stock and preferred stock then outstanding and incurred pursuant to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and all Refinancing Indebtedness incurred to refinance any other Indebtedness, Disqualified Stock and preferred stock incurred pursuant to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does not exceed the greater of (x) $</w:t>
      </w:r>
      <w:r>
        <w:rPr>
          <w:rFonts w:ascii="Times New Roman" w:cs="Times New Roman" w:eastAsia="Times New Roman" w:hAnsi="Times New Roman"/>
          <w:sz w:val="14"/>
          <w:szCs w:val="14"/>
          <w:color w:val="FF0000"/>
          <w:strike w:val="1"/>
        </w:rPr>
        <w:t>130</w:t>
      </w:r>
      <w:r>
        <w:rPr>
          <w:rFonts w:ascii="Times New Roman" w:cs="Times New Roman" w:eastAsia="Times New Roman" w:hAnsi="Times New Roman"/>
          <w:sz w:val="14"/>
          <w:szCs w:val="14"/>
          <w:u w:val="single" w:color="auto"/>
          <w:color w:val="0000FF"/>
        </w:rPr>
        <w:t>205</w:t>
      </w:r>
      <w:r>
        <w:rPr>
          <w:rFonts w:ascii="Times New Roman" w:cs="Times New Roman" w:eastAsia="Times New Roman" w:hAnsi="Times New Roman"/>
          <w:sz w:val="14"/>
          <w:szCs w:val="14"/>
          <w:color w:val="auto"/>
        </w:rPr>
        <w:t xml:space="preserve"> million and (y) 35% of Consolidated EBITDA for the most recently ended Test Period (calculated on a Pro Forma Basis) at the time of incurrence;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Capitalized Lease Obligations incurred by the Borrower or any Restricted Subsidiary pursuant to this </w:t>
      </w:r>
      <w:r>
        <w:rPr>
          <w:rFonts w:ascii="Times New Roman" w:cs="Times New Roman" w:eastAsia="Times New Roman" w:hAnsi="Times New Roman"/>
          <w:sz w:val="14"/>
          <w:szCs w:val="14"/>
          <w:u w:val="single" w:color="auto"/>
          <w:color w:val="auto"/>
        </w:rPr>
        <w:t>clause (d)</w:t>
      </w:r>
      <w:r>
        <w:rPr>
          <w:rFonts w:ascii="Times New Roman" w:cs="Times New Roman" w:eastAsia="Times New Roman" w:hAnsi="Times New Roman"/>
          <w:sz w:val="14"/>
          <w:szCs w:val="14"/>
          <w:color w:val="auto"/>
        </w:rPr>
        <w:t xml:space="preserve"> in connection with a Permitted Sale Leaseback shall not be subject to the foregoing limitation so long as the proceeds of such Permitted Sale Leaseback are used by the Borrower or such Restricted Subsidiary in accordance with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w:t>
      </w:r>
    </w:p>
    <w:p>
      <w:pPr>
        <w:spacing w:after="0" w:line="332" w:lineRule="exact"/>
        <w:rPr>
          <w:rFonts w:ascii="Times New Roman" w:cs="Times New Roman" w:eastAsia="Times New Roman" w:hAnsi="Times New Roman"/>
          <w:sz w:val="14"/>
          <w:szCs w:val="14"/>
          <w:color w:val="010000"/>
        </w:rPr>
      </w:pPr>
    </w:p>
    <w:p>
      <w:pPr>
        <w:jc w:val="both"/>
        <w:ind w:left="1140" w:right="1159" w:firstLine="524"/>
        <w:spacing w:after="0" w:line="178" w:lineRule="exact"/>
        <w:tabs>
          <w:tab w:leader="none" w:pos="2004"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incurred by the Borrower or any Restricted Subsidiary (including letter of credit obligations consistent with past practice constituting Reimbursement Obligations with respect to letters of credit issued in the ordinary course of business), in respect of workers’ compensation claims, deferred compensation, performance or surety bonds, health, disability or other employee benefits or property, casualty or liability insurance or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insurance or other Indebtedness with respect to reimbursement or indemnification type obligations regarding workers’ compensation claims, deferred compensation, performance or surety bonds, health, disability or other employee benefits or property, casualty or liability insurance or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insurance;</w:t>
      </w:r>
    </w:p>
    <w:p>
      <w:pPr>
        <w:spacing w:after="0" w:line="148"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93"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arising from agreements of the Borrower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Indebtedness of the Borrower to a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such Indebtedness owing to a Restricted Subsidiary that is not the Borrower or a Guarantor is subordinated in right of payment to the Borrower’s Guarantee;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subsequent issuance or transfer of any Capital Stock or any other event which results in any such Restricted Subsidiary ceasing to be a Restricted Subsidiary or any other subsequent transfer of any such Indebtedness (except to the Borrower or another Restricted Subsidiary) shall be deemed, in each case to be an incurrence of such Indebtedness not permitted by this clause;</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93"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Indebtedness of a Restricted Subsidiary owing to the Borrower or another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 Guarantor incurs such Indebtedness owing to a Restricted Subsidiary that is not a Guarantor, such Indebtedness is subordinated in right of payment to the Obligations and to the Guarantee of such Guarantor as the case may be;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any subsequent transfer of any such Indebtedness (except to the Borrower or another Restricted Subsidiary) shall be deemed, in each case to be an incurrence of such Indebtedness not permitted by this clause;</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93" w:val="left"/>
        </w:tabs>
        <w:numPr>
          <w:ilvl w:val="0"/>
          <w:numId w:val="23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shares of preferred stock of a Restricted Subsidiary issued to the Borrower or another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the Borrower or another Restricted Subsidiary) shall be deemed in each case to be an issuance of such shares of preferred stock not permitted by this clause;</w:t>
      </w:r>
    </w:p>
    <w:p>
      <w:pPr>
        <w:spacing w:after="0" w:line="2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7" w:name="page228"/>
    <w:bookmarkEnd w:id="227"/>
    <w:p>
      <w:pPr>
        <w:ind w:left="1980" w:hanging="316"/>
        <w:spacing w:after="0"/>
        <w:tabs>
          <w:tab w:leader="none" w:pos="1980" w:val="left"/>
        </w:tabs>
        <w:numPr>
          <w:ilvl w:val="1"/>
          <w:numId w:val="23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Hedging Obligations (excluding Hedging Obligations entered into for speculative purposes);</w:t>
      </w:r>
    </w:p>
    <w:p>
      <w:pPr>
        <w:spacing w:after="0" w:line="162" w:lineRule="exact"/>
        <w:rPr>
          <w:rFonts w:ascii="Times New Roman" w:cs="Times New Roman" w:eastAsia="Times New Roman" w:hAnsi="Times New Roman"/>
          <w:sz w:val="14"/>
          <w:szCs w:val="14"/>
          <w:color w:val="010000"/>
        </w:rPr>
      </w:pPr>
    </w:p>
    <w:p>
      <w:pPr>
        <w:jc w:val="both"/>
        <w:ind w:left="1140" w:right="1159" w:firstLine="524"/>
        <w:spacing w:after="0" w:line="184" w:lineRule="exact"/>
        <w:tabs>
          <w:tab w:leader="none" w:pos="2098" w:val="left"/>
        </w:tabs>
        <w:numPr>
          <w:ilvl w:val="1"/>
          <w:numId w:val="23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obligations in respect of self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insurance, performance, bid, appeal, and surety bonds and completion guarantees and similar obligations provided by the Borrower or any Restricted Subsidiary or (ii) obligations in respect of letters of credit, bank guarantees or similar instruments related thereto, in each case, in the ordinary course of business or consistent with past practice;</w:t>
      </w:r>
    </w:p>
    <w:p>
      <w:pPr>
        <w:spacing w:after="0" w:line="170" w:lineRule="exact"/>
        <w:rPr>
          <w:rFonts w:ascii="Times New Roman" w:cs="Times New Roman" w:eastAsia="Times New Roman" w:hAnsi="Times New Roman"/>
          <w:sz w:val="14"/>
          <w:szCs w:val="14"/>
          <w:color w:val="010000"/>
        </w:rPr>
      </w:pPr>
    </w:p>
    <w:p>
      <w:pPr>
        <w:jc w:val="both"/>
        <w:ind w:left="1140" w:right="1159" w:firstLine="524"/>
        <w:spacing w:after="0" w:line="258" w:lineRule="auto"/>
        <w:tabs>
          <w:tab w:leader="none" w:pos="1972" w:val="left"/>
        </w:tabs>
        <w:numPr>
          <w:ilvl w:val="1"/>
          <w:numId w:val="23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 Indebtedness, Disqualified Stock and preferred stock of the Borrower or any Restricted Subsidiary in an aggregate principal amount or liquidation preference (together with any Refinancing Indebtedness in respect thereof) up to 100% of the net cash proceeds received by the Borrower since immediately after the Closing Date from the issue or sale of Equity Interests of the Borrower or cash contributed to the capital of the Borrower (in each case, other than Excluded Contributions, any Cure Amount or proceeds of Disqualified Stock or sales of Equity Interests to the Borrower or any of its Subsidiaries) as determined in accordance with </w:t>
      </w:r>
      <w:r>
        <w:rPr>
          <w:rFonts w:ascii="Times New Roman" w:cs="Times New Roman" w:eastAsia="Times New Roman" w:hAnsi="Times New Roman"/>
          <w:sz w:val="14"/>
          <w:szCs w:val="14"/>
          <w:u w:val="single" w:color="auto"/>
          <w:color w:val="auto"/>
        </w:rPr>
        <w:t>Sections 10.5(a)(iii)(B)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10.5(a)(iii)(C)</w:t>
      </w:r>
      <w:r>
        <w:rPr>
          <w:rFonts w:ascii="Times New Roman" w:cs="Times New Roman" w:eastAsia="Times New Roman" w:hAnsi="Times New Roman"/>
          <w:sz w:val="14"/>
          <w:szCs w:val="14"/>
          <w:color w:val="auto"/>
        </w:rPr>
        <w:t xml:space="preserve"> to the extent such net cash proceeds or cash have not been applied pursuant to such clauses to make Restricted Payments or to make other Investments, payments or exchanges pursuant to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or to make Permitted Investments (other than Permitted Investments specified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of the definition thereof) and (ii) Indebtedness, Disqualified Stock or preferred stock of the Borrower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Times New Roman" w:cs="Times New Roman" w:eastAsia="Times New Roman" w:hAnsi="Times New Roman"/>
          <w:sz w:val="14"/>
          <w:szCs w:val="14"/>
          <w:u w:val="single" w:color="auto"/>
          <w:color w:val="auto"/>
        </w:rPr>
        <w:t>clause (l)(ii)</w:t>
      </w:r>
      <w:r>
        <w:rPr>
          <w:rFonts w:ascii="Times New Roman" w:cs="Times New Roman" w:eastAsia="Times New Roman" w:hAnsi="Times New Roman"/>
          <w:sz w:val="14"/>
          <w:szCs w:val="14"/>
          <w:color w:val="auto"/>
        </w:rPr>
        <w:t>, does not at any one time outstanding exceed the sum of (A) the greater of (x) $</w:t>
      </w:r>
      <w:r>
        <w:rPr>
          <w:rFonts w:ascii="Times New Roman" w:cs="Times New Roman" w:eastAsia="Times New Roman" w:hAnsi="Times New Roman"/>
          <w:sz w:val="14"/>
          <w:szCs w:val="14"/>
          <w:color w:val="FF0000"/>
          <w:strike w:val="1"/>
        </w:rPr>
        <w:t>185</w:t>
      </w:r>
      <w:r>
        <w:rPr>
          <w:rFonts w:ascii="Times New Roman" w:cs="Times New Roman" w:eastAsia="Times New Roman" w:hAnsi="Times New Roman"/>
          <w:sz w:val="14"/>
          <w:szCs w:val="14"/>
          <w:u w:val="single" w:color="auto"/>
          <w:color w:val="0000FF"/>
        </w:rPr>
        <w:t>290</w:t>
      </w:r>
      <w:r>
        <w:rPr>
          <w:rFonts w:ascii="Times New Roman" w:cs="Times New Roman" w:eastAsia="Times New Roman" w:hAnsi="Times New Roman"/>
          <w:sz w:val="14"/>
          <w:szCs w:val="14"/>
          <w:color w:val="auto"/>
        </w:rPr>
        <w:t xml:space="preserve"> million and (y) 50% of Consolidated EBITDA for the most recently ended Test Period (calculated on a Pro Forma Basis) at the time of incurrence and (B) an additional amount of Indebtedness in lieu of Restricted Payments permitted under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(it being understood that such Indebtedness shall be deemed a Restricted Payment for purposes of compliance with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(it being further understood that any Indebtedness, Disqualified Stock or preferred stock incurred pursuant to this </w:t>
      </w:r>
      <w:r>
        <w:rPr>
          <w:rFonts w:ascii="Times New Roman" w:cs="Times New Roman" w:eastAsia="Times New Roman" w:hAnsi="Times New Roman"/>
          <w:sz w:val="14"/>
          <w:szCs w:val="14"/>
          <w:u w:val="single" w:color="auto"/>
          <w:color w:val="auto"/>
        </w:rPr>
        <w:t>clause (l)(ii)</w:t>
      </w:r>
      <w:r>
        <w:rPr>
          <w:rFonts w:ascii="Times New Roman" w:cs="Times New Roman" w:eastAsia="Times New Roman" w:hAnsi="Times New Roman"/>
          <w:sz w:val="14"/>
          <w:szCs w:val="14"/>
          <w:color w:val="auto"/>
        </w:rPr>
        <w:t xml:space="preserve"> shall cease to be deemed incurred or outstanding for purposes of this </w:t>
      </w:r>
      <w:r>
        <w:rPr>
          <w:rFonts w:ascii="Times New Roman" w:cs="Times New Roman" w:eastAsia="Times New Roman" w:hAnsi="Times New Roman"/>
          <w:sz w:val="14"/>
          <w:szCs w:val="14"/>
          <w:u w:val="single" w:color="auto"/>
          <w:color w:val="auto"/>
        </w:rPr>
        <w:t>clause (l)(ii)</w:t>
      </w:r>
      <w:r>
        <w:rPr>
          <w:rFonts w:ascii="Times New Roman" w:cs="Times New Roman" w:eastAsia="Times New Roman" w:hAnsi="Times New Roman"/>
          <w:sz w:val="14"/>
          <w:szCs w:val="14"/>
          <w:color w:val="auto"/>
        </w:rPr>
        <w:t xml:space="preserve"> but shall be deemed incurred for the purposes of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from and after the first date on which the Borrower or such Restricted Subsidiary could have incurred such Indebtedness, Disqualified Stock or preferred stock under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without reliance on this </w:t>
      </w:r>
      <w:r>
        <w:rPr>
          <w:rFonts w:ascii="Times New Roman" w:cs="Times New Roman" w:eastAsia="Times New Roman" w:hAnsi="Times New Roman"/>
          <w:sz w:val="14"/>
          <w:szCs w:val="14"/>
          <w:u w:val="single" w:color="auto"/>
          <w:color w:val="auto"/>
        </w:rPr>
        <w:t>clause (l)(ii)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Indebtedness (other than Acquired Indebtedness), Disqualified Stock and preferred stock that may be incurred pursuant to the foregoing, together with any amounts incurred under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10.1(n)(x)</w:t>
      </w:r>
      <w:r>
        <w:rPr>
          <w:rFonts w:ascii="Times New Roman" w:cs="Times New Roman" w:eastAsia="Times New Roman" w:hAnsi="Times New Roman"/>
          <w:sz w:val="14"/>
          <w:szCs w:val="14"/>
          <w:color w:val="auto"/>
        </w:rPr>
        <w:t xml:space="preserve"> by Restricted Subsidiaries that are not Guarantors shall not exceed the greater of (x) $</w:t>
      </w:r>
      <w:r>
        <w:rPr>
          <w:rFonts w:ascii="Times New Roman" w:cs="Times New Roman" w:eastAsia="Times New Roman" w:hAnsi="Times New Roman"/>
          <w:sz w:val="14"/>
          <w:szCs w:val="14"/>
          <w:color w:val="FF0000"/>
          <w:strike w:val="1"/>
        </w:rPr>
        <w:t>150</w:t>
      </w:r>
      <w:r>
        <w:rPr>
          <w:rFonts w:ascii="Times New Roman" w:cs="Times New Roman" w:eastAsia="Times New Roman" w:hAnsi="Times New Roman"/>
          <w:sz w:val="14"/>
          <w:szCs w:val="14"/>
          <w:u w:val="single" w:color="auto"/>
          <w:color w:val="0000FF"/>
        </w:rPr>
        <w:t>235</w:t>
      </w:r>
      <w:r>
        <w:rPr>
          <w:rFonts w:ascii="Times New Roman" w:cs="Times New Roman" w:eastAsia="Times New Roman" w:hAnsi="Times New Roman"/>
          <w:sz w:val="14"/>
          <w:szCs w:val="14"/>
          <w:color w:val="auto"/>
        </w:rPr>
        <w:t xml:space="preserve"> million and (y) 40% of Consolidated EBITDA for the most recently ended Test Period (calculated on a Pro Forma Basis) at any one time outstanding;</w:t>
      </w:r>
    </w:p>
    <w:p>
      <w:pPr>
        <w:spacing w:after="0" w:line="331" w:lineRule="exact"/>
        <w:rPr>
          <w:rFonts w:ascii="Times New Roman" w:cs="Times New Roman" w:eastAsia="Times New Roman" w:hAnsi="Times New Roman"/>
          <w:sz w:val="14"/>
          <w:szCs w:val="14"/>
          <w:color w:val="010000"/>
        </w:rPr>
      </w:pPr>
    </w:p>
    <w:p>
      <w:pPr>
        <w:jc w:val="both"/>
        <w:ind w:left="1140" w:right="1159" w:firstLine="524"/>
        <w:spacing w:after="0" w:line="263" w:lineRule="auto"/>
        <w:tabs>
          <w:tab w:leader="none" w:pos="1972" w:val="left"/>
        </w:tabs>
        <w:numPr>
          <w:ilvl w:val="1"/>
          <w:numId w:val="23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incurrence or issuance by the Borrower or any Restricted Subsidiary of Indebtedness, Disqualified Stock or preferred stock which serves to refinance any Indebtedness, Disqualified Stock or preferred stock incurred as permitted under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clauses (b)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above, </w:t>
      </w:r>
      <w:r>
        <w:rPr>
          <w:rFonts w:ascii="Times New Roman" w:cs="Times New Roman" w:eastAsia="Times New Roman" w:hAnsi="Times New Roman"/>
          <w:sz w:val="14"/>
          <w:szCs w:val="14"/>
          <w:u w:val="single" w:color="auto"/>
          <w:color w:val="auto"/>
        </w:rPr>
        <w:t>clause (l)(i)</w:t>
      </w:r>
      <w:r>
        <w:rPr>
          <w:rFonts w:ascii="Times New Roman" w:cs="Times New Roman" w:eastAsia="Times New Roman" w:hAnsi="Times New Roman"/>
          <w:sz w:val="14"/>
          <w:szCs w:val="14"/>
          <w:color w:val="auto"/>
        </w:rPr>
        <w:t xml:space="preserve"> and this </w:t>
      </w:r>
      <w:r>
        <w:rPr>
          <w:rFonts w:ascii="Times New Roman" w:cs="Times New Roman" w:eastAsia="Times New Roman" w:hAnsi="Times New Roman"/>
          <w:sz w:val="14"/>
          <w:szCs w:val="14"/>
          <w:u w:val="single" w:color="auto"/>
          <w:color w:val="auto"/>
        </w:rPr>
        <w:t>clause</w:t>
      </w:r>
    </w:p>
    <w:p>
      <w:pPr>
        <w:jc w:val="both"/>
        <w:ind w:left="1140" w:right="1159" w:firstLine="7"/>
        <w:spacing w:after="0" w:line="257" w:lineRule="auto"/>
        <w:tabs>
          <w:tab w:leader="none" w:pos="1394" w:val="left"/>
        </w:tabs>
        <w:numPr>
          <w:ilvl w:val="0"/>
          <w:numId w:val="233"/>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or </w:t>
      </w:r>
      <w:r>
        <w:rPr>
          <w:rFonts w:ascii="Times New Roman" w:cs="Times New Roman" w:eastAsia="Times New Roman" w:hAnsi="Times New Roman"/>
          <w:sz w:val="14"/>
          <w:szCs w:val="14"/>
          <w:u w:val="single" w:color="auto"/>
          <w:color w:val="auto"/>
        </w:rPr>
        <w:t>clause (n)</w:t>
      </w:r>
      <w:r>
        <w:rPr>
          <w:rFonts w:ascii="Times New Roman" w:cs="Times New Roman" w:eastAsia="Times New Roman" w:hAnsi="Times New Roman"/>
          <w:sz w:val="14"/>
          <w:szCs w:val="14"/>
          <w:color w:val="auto"/>
        </w:rPr>
        <w:t xml:space="preserve"> below or any Indebtedness, Disqualified Stock or preferred stock issued to so refinance, replace, refund, extend, renew, defease, restructure, amend, restate or otherwise modify (collectively, “</w:t>
      </w:r>
      <w:r>
        <w:rPr>
          <w:rFonts w:ascii="Times New Roman" w:cs="Times New Roman" w:eastAsia="Times New Roman" w:hAnsi="Times New Roman"/>
          <w:sz w:val="14"/>
          <w:szCs w:val="14"/>
          <w:b w:val="1"/>
          <w:bCs w:val="1"/>
          <w:color w:val="auto"/>
        </w:rPr>
        <w:t>refinance</w:t>
      </w:r>
      <w:r>
        <w:rPr>
          <w:rFonts w:ascii="Times New Roman" w:cs="Times New Roman" w:eastAsia="Times New Roman" w:hAnsi="Times New Roman"/>
          <w:sz w:val="14"/>
          <w:szCs w:val="14"/>
          <w:color w:val="auto"/>
        </w:rPr>
        <w:t>”) such Indebtedness, Disqualified Stock or preferred stock (the “</w:t>
      </w:r>
      <w:r>
        <w:rPr>
          <w:rFonts w:ascii="Times New Roman" w:cs="Times New Roman" w:eastAsia="Times New Roman" w:hAnsi="Times New Roman"/>
          <w:sz w:val="14"/>
          <w:szCs w:val="14"/>
          <w:b w:val="1"/>
          <w:bCs w:val="1"/>
          <w:color w:val="auto"/>
        </w:rPr>
        <w:t>Refinancing Indebtedness</w:t>
      </w:r>
      <w:r>
        <w:rPr>
          <w:rFonts w:ascii="Times New Roman" w:cs="Times New Roman" w:eastAsia="Times New Roman" w:hAnsi="Times New Roman"/>
          <w:sz w:val="14"/>
          <w:szCs w:val="14"/>
          <w:color w:val="auto"/>
        </w:rPr>
        <w:t xml:space="preserve">”) prior to its respective maturity;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in right of payment to the Obligations, such Refinancing Indebtedness is subordinated in right of payment to the Obligations at least to the same extent as the Indebtedness being refinanced, (3) shall not include Indebtedness, Disqualified Stock or preferred stock of a Subsidiary of the Borrower that is not a Guarantor that refinances Indebtedness, Disqualified Stock or preferred stock of the Borrower or a Guarantor and (4) shall have an aggregate principal amount (or liquidation preference, as applicable) that does not exceed the aggregate principal amount (or liquidation preference, as applicable) of such Indebtedness, Disqualified Stock or preferred stock being refinanced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 amount equal to all accrued but unpaid interest, fees, premiums and expenses incurred in connection therewith);</w:t>
      </w:r>
    </w:p>
    <w:p>
      <w:pPr>
        <w:spacing w:after="0" w:line="165" w:lineRule="exact"/>
        <w:rPr>
          <w:rFonts w:ascii="Times New Roman" w:cs="Times New Roman" w:eastAsia="Times New Roman" w:hAnsi="Times New Roman"/>
          <w:sz w:val="14"/>
          <w:szCs w:val="14"/>
          <w:u w:val="single" w:color="auto"/>
          <w:color w:val="auto"/>
        </w:rPr>
      </w:pPr>
    </w:p>
    <w:p>
      <w:pPr>
        <w:ind w:left="1980" w:hanging="316"/>
        <w:spacing w:after="0"/>
        <w:tabs>
          <w:tab w:leader="none" w:pos="1980" w:val="left"/>
        </w:tabs>
        <w:numPr>
          <w:ilvl w:val="1"/>
          <w:numId w:val="23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Disqualified Stock or preferred stock of (x) the Borrower or a Restricted Subsidiary</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228" w:name="page229"/>
    <w:bookmarkEnd w:id="228"/>
    <w:p>
      <w:pPr>
        <w:jc w:val="both"/>
        <w:ind w:left="1140" w:right="1159"/>
        <w:spacing w:after="0" w:line="259" w:lineRule="auto"/>
        <w:rPr>
          <w:sz w:val="20"/>
          <w:szCs w:val="20"/>
          <w:color w:val="auto"/>
        </w:rPr>
      </w:pPr>
      <w:r>
        <w:rPr>
          <w:rFonts w:ascii="Times New Roman" w:cs="Times New Roman" w:eastAsia="Times New Roman" w:hAnsi="Times New Roman"/>
          <w:sz w:val="14"/>
          <w:szCs w:val="14"/>
          <w:color w:val="auto"/>
        </w:rPr>
        <w:t xml:space="preserve">incurred or issued to finance an acquisition, merger, or consolidation;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Indebtedness (other than Acquired Indebtedness), Disqualified Stock and preferred stock that may be incurred pursuant to the foregoing, together with any amounts incurred under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10.1(l)(ii)</w:t>
      </w:r>
      <w:r>
        <w:rPr>
          <w:rFonts w:ascii="Times New Roman" w:cs="Times New Roman" w:eastAsia="Times New Roman" w:hAnsi="Times New Roman"/>
          <w:sz w:val="14"/>
          <w:szCs w:val="14"/>
          <w:color w:val="auto"/>
        </w:rPr>
        <w:t xml:space="preserve"> by Restricted Subsidiaries that are not Guarantors shall not exceed the greater of (x) $</w:t>
      </w:r>
      <w:r>
        <w:rPr>
          <w:rFonts w:ascii="Times New Roman" w:cs="Times New Roman" w:eastAsia="Times New Roman" w:hAnsi="Times New Roman"/>
          <w:sz w:val="14"/>
          <w:szCs w:val="14"/>
          <w:color w:val="FF0000"/>
          <w:strike w:val="1"/>
        </w:rPr>
        <w:t>150</w:t>
      </w:r>
      <w:r>
        <w:rPr>
          <w:rFonts w:ascii="Times New Roman" w:cs="Times New Roman" w:eastAsia="Times New Roman" w:hAnsi="Times New Roman"/>
          <w:sz w:val="14"/>
          <w:szCs w:val="14"/>
          <w:u w:val="single" w:color="auto"/>
          <w:color w:val="0000FF"/>
        </w:rPr>
        <w:t>235</w:t>
      </w:r>
      <w:r>
        <w:rPr>
          <w:rFonts w:ascii="Times New Roman" w:cs="Times New Roman" w:eastAsia="Times New Roman" w:hAnsi="Times New Roman"/>
          <w:sz w:val="14"/>
          <w:szCs w:val="14"/>
          <w:color w:val="auto"/>
        </w:rPr>
        <w:t xml:space="preserve"> million and (y) 40% of Consolidated EBITDA for the most recently ended Test Period (calculated on a Pro Forma Basis) at any one time outstanding, or (y) Persons that are acquired by the Borrower or any Restricted Subsidiary or merged into or consolidated with the Borrower or a Restricted Subsidiary in accordance with the terms hereof (including designating an Unrestricted Subsidiary a Restricted Subsidiary);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effect to any such acquisition, merger, consolidation or designation described in this </w:t>
      </w:r>
      <w:r>
        <w:rPr>
          <w:rFonts w:ascii="Times New Roman" w:cs="Times New Roman" w:eastAsia="Times New Roman" w:hAnsi="Times New Roman"/>
          <w:sz w:val="14"/>
          <w:szCs w:val="14"/>
          <w:u w:val="single" w:color="auto"/>
          <w:color w:val="auto"/>
        </w:rPr>
        <w:t>clause (n)</w:t>
      </w:r>
      <w:r>
        <w:rPr>
          <w:rFonts w:ascii="Times New Roman" w:cs="Times New Roman" w:eastAsia="Times New Roman" w:hAnsi="Times New Roman"/>
          <w:sz w:val="14"/>
          <w:szCs w:val="14"/>
          <w:color w:val="auto"/>
        </w:rPr>
        <w:t xml:space="preserve">, (i) either (1) the Borrower would be permitted to incur at least $1.00 of additional Indebtedness pursuant to the Fixed Charge Coverage Ratio test set forth in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or (2) the Fixed Charge Coverage Ratio of the Borrower and the Restricted Subsidiaries is equal to or greater than that immediately prior to such acquisition, merger, consolidation or designation or (ii) the Consolidated Total Debt to Consolidated EBITDA Ratio (calculated on a Pro Forma Basis) shall be either (1) less than or equal to the Consolidated Total Debt to Consolidated EBITDA Ratio immediate prior to such acquisition, merger, consolidation or designation or (2) less than or equal to 5.75:1.00;</w:t>
      </w:r>
    </w:p>
    <w:p>
      <w:pPr>
        <w:spacing w:after="0" w:line="159" w:lineRule="exact"/>
        <w:rPr>
          <w:sz w:val="20"/>
          <w:szCs w:val="20"/>
          <w:color w:val="auto"/>
        </w:rPr>
      </w:pPr>
    </w:p>
    <w:p>
      <w:pPr>
        <w:ind w:left="1140" w:right="1159" w:firstLine="524"/>
        <w:spacing w:after="0" w:line="293" w:lineRule="auto"/>
        <w:tabs>
          <w:tab w:leader="none" w:pos="1982"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arising from the honoring by a bank or other financial institution of a check, draft or similar instrument drawn against insufficient funds in the ordinary course of business;</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2035"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 Indebtedness of the Borrower or any Restricted Subsidiary supported by a letter of credit, in a principal amount not in excess of the stated amount of such letter of credit so long as such letter of credit is otherwise permitted to be incurred pursuant to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or (ii) 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(1) any guarantee by the Borrower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the Borrower;</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93"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of Restricted Subsidiaries that are not Guarantors in the aggregate at any one time outstanding not to exceed the greater of (x) $</w:t>
      </w:r>
      <w:r>
        <w:rPr>
          <w:rFonts w:ascii="Times New Roman" w:cs="Times New Roman" w:eastAsia="Times New Roman" w:hAnsi="Times New Roman"/>
          <w:sz w:val="14"/>
          <w:szCs w:val="14"/>
          <w:color w:val="FF0000"/>
          <w:strike w:val="1"/>
        </w:rPr>
        <w:t>85</w:t>
      </w:r>
      <w:r>
        <w:rPr>
          <w:rFonts w:ascii="Times New Roman" w:cs="Times New Roman" w:eastAsia="Times New Roman" w:hAnsi="Times New Roman"/>
          <w:sz w:val="14"/>
          <w:szCs w:val="14"/>
          <w:u w:val="single" w:color="auto"/>
          <w:color w:val="0000FF"/>
        </w:rPr>
        <w:t>130</w:t>
      </w:r>
      <w:r>
        <w:rPr>
          <w:rFonts w:ascii="Times New Roman" w:cs="Times New Roman" w:eastAsia="Times New Roman" w:hAnsi="Times New Roman"/>
          <w:sz w:val="14"/>
          <w:szCs w:val="14"/>
          <w:color w:val="auto"/>
        </w:rPr>
        <w:t xml:space="preserve"> million and (y) 22.5% of Consolidated EBITDA for the most recently ended Test Period (calculated on a Pro Forma Basis) (it being understood that any Indebtedness incurred pursuant to this </w:t>
      </w:r>
      <w:r>
        <w:rPr>
          <w:rFonts w:ascii="Times New Roman" w:cs="Times New Roman" w:eastAsia="Times New Roman" w:hAnsi="Times New Roman"/>
          <w:sz w:val="14"/>
          <w:szCs w:val="14"/>
          <w:u w:val="single" w:color="auto"/>
          <w:color w:val="auto"/>
        </w:rPr>
        <w:t>clause (r)</w:t>
      </w:r>
      <w:r>
        <w:rPr>
          <w:rFonts w:ascii="Times New Roman" w:cs="Times New Roman" w:eastAsia="Times New Roman" w:hAnsi="Times New Roman"/>
          <w:sz w:val="14"/>
          <w:szCs w:val="14"/>
          <w:color w:val="auto"/>
        </w:rPr>
        <w:t xml:space="preserve"> shall cease to be deemed incurred or outstanding for purposes of this </w:t>
      </w:r>
      <w:r>
        <w:rPr>
          <w:rFonts w:ascii="Times New Roman" w:cs="Times New Roman" w:eastAsia="Times New Roman" w:hAnsi="Times New Roman"/>
          <w:sz w:val="14"/>
          <w:szCs w:val="14"/>
          <w:u w:val="single" w:color="auto"/>
          <w:color w:val="auto"/>
        </w:rPr>
        <w:t>clause (r)</w:t>
      </w:r>
      <w:r>
        <w:rPr>
          <w:rFonts w:ascii="Times New Roman" w:cs="Times New Roman" w:eastAsia="Times New Roman" w:hAnsi="Times New Roman"/>
          <w:sz w:val="14"/>
          <w:szCs w:val="14"/>
          <w:color w:val="auto"/>
        </w:rPr>
        <w:t xml:space="preserve"> 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Times New Roman" w:cs="Times New Roman" w:eastAsia="Times New Roman" w:hAnsi="Times New Roman"/>
          <w:sz w:val="14"/>
          <w:szCs w:val="14"/>
          <w:u w:val="single" w:color="auto"/>
          <w:color w:val="auto"/>
        </w:rPr>
        <w:t>clause (r)</w:t>
      </w:r>
      <w:r>
        <w:rPr>
          <w:rFonts w:ascii="Times New Roman" w:cs="Times New Roman" w:eastAsia="Times New Roman" w:hAnsi="Times New Roman"/>
          <w:sz w:val="14"/>
          <w:szCs w:val="14"/>
          <w:color w:val="auto"/>
        </w:rPr>
        <w:t>);</w:t>
      </w:r>
    </w:p>
    <w:p>
      <w:pPr>
        <w:spacing w:after="0" w:line="157"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of the Borrower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2013"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Indebtedness of the Borrower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 and (ii) Indebtedness owed on a short-term basis of no longer than 30 days to banks and other financial institutions incurred in the ordinary course of business of the Borrower and its Restricted Subsidiaries with such banks or financial institutions that arises in connection with ordinary banking arrangements to manage cash balances of the Borrower and its Restricted Subsidiaries;</w:t>
      </w:r>
    </w:p>
    <w:p>
      <w:pPr>
        <w:spacing w:after="0" w:line="157"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23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Indebtedness consisting of Indebtedness issued by the Borrower or any of the Restricted Subsidiaries to future, current or former officers, directors, managers and employees thereof, their respective estates, spouses or former spouses, in each case to finance the purchase or redemption of Equity Interests of the Borrower or any direct or indirect parent company of the Borrower to the extent described in </w:t>
      </w:r>
      <w:r>
        <w:rPr>
          <w:rFonts w:ascii="Times New Roman" w:cs="Times New Roman" w:eastAsia="Times New Roman" w:hAnsi="Times New Roman"/>
          <w:sz w:val="14"/>
          <w:szCs w:val="14"/>
          <w:u w:val="single" w:color="auto"/>
          <w:color w:val="auto"/>
        </w:rPr>
        <w:t>clause (4)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29" w:name="page230"/>
    <w:bookmarkEnd w:id="229"/>
    <w:p>
      <w:pPr>
        <w:ind w:left="1980" w:hanging="316"/>
        <w:spacing w:after="0"/>
        <w:tabs>
          <w:tab w:leader="none" w:pos="1980" w:val="left"/>
        </w:tabs>
        <w:numPr>
          <w:ilvl w:val="1"/>
          <w:numId w:val="23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in respect of a Receivables Facility;</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3" w:lineRule="auto"/>
        <w:tabs>
          <w:tab w:leader="none" w:pos="1993" w:val="left"/>
        </w:tabs>
        <w:numPr>
          <w:ilvl w:val="1"/>
          <w:numId w:val="23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Indebtedness in respect of (i) Permitted Other Indebtedness to the extent that all of the Net Cash Proceeds therefrom are applied to the prepayment of Term Loans in the manner set forth in </w:t>
      </w:r>
      <w:r>
        <w:rPr>
          <w:rFonts w:ascii="Times New Roman" w:cs="Times New Roman" w:eastAsia="Times New Roman" w:hAnsi="Times New Roman"/>
          <w:sz w:val="14"/>
          <w:szCs w:val="14"/>
          <w:u w:val="single" w:color="auto"/>
          <w:color w:val="auto"/>
        </w:rPr>
        <w:t>Section 5.2(a)(i)</w:t>
      </w:r>
      <w:r>
        <w:rPr>
          <w:rFonts w:ascii="Times New Roman" w:cs="Times New Roman" w:eastAsia="Times New Roman" w:hAnsi="Times New Roman"/>
          <w:sz w:val="14"/>
          <w:szCs w:val="14"/>
          <w:color w:val="auto"/>
        </w:rPr>
        <w:t xml:space="preserve"> and (ii) any refinancing, refunding, renewal or extension of any Indebtedness specified in </w:t>
      </w:r>
      <w:r>
        <w:rPr>
          <w:rFonts w:ascii="Times New Roman" w:cs="Times New Roman" w:eastAsia="Times New Roman" w:hAnsi="Times New Roman"/>
          <w:sz w:val="14"/>
          <w:szCs w:val="14"/>
          <w:u w:val="single" w:color="auto"/>
          <w:color w:val="auto"/>
        </w:rPr>
        <w:t>subclause (i)</w:t>
      </w:r>
      <w:r>
        <w:rPr>
          <w:rFonts w:ascii="Times New Roman" w:cs="Times New Roman" w:eastAsia="Times New Roman" w:hAnsi="Times New Roman"/>
          <w:sz w:val="14"/>
          <w:szCs w:val="14"/>
          <w:color w:val="auto"/>
        </w:rPr>
        <w:t xml:space="preserve">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jc w:val="both"/>
        <w:ind w:left="1140" w:right="1159" w:firstLine="7"/>
        <w:spacing w:after="0" w:line="262" w:lineRule="auto"/>
        <w:tabs>
          <w:tab w:leader="none" w:pos="1353"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54" w:lineRule="exact"/>
        <w:rPr>
          <w:rFonts w:ascii="Times New Roman" w:cs="Times New Roman" w:eastAsia="Times New Roman" w:hAnsi="Times New Roman"/>
          <w:sz w:val="14"/>
          <w:szCs w:val="14"/>
          <w:color w:val="auto"/>
        </w:rPr>
      </w:pPr>
    </w:p>
    <w:p>
      <w:pPr>
        <w:jc w:val="both"/>
        <w:ind w:left="1140" w:right="1159" w:firstLine="524"/>
        <w:spacing w:after="0" w:line="260" w:lineRule="auto"/>
        <w:tabs>
          <w:tab w:leader="none" w:pos="1982" w:val="left"/>
        </w:tabs>
        <w:numPr>
          <w:ilvl w:val="1"/>
          <w:numId w:val="23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Indebtedness in respect of (i) Permitted Other Indebtedness;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either (a) the aggregate principal amount of all such Permitted Other Indebtedness issued or incurred pursuant to this </w:t>
      </w:r>
      <w:r>
        <w:rPr>
          <w:rFonts w:ascii="Times New Roman" w:cs="Times New Roman" w:eastAsia="Times New Roman" w:hAnsi="Times New Roman"/>
          <w:sz w:val="14"/>
          <w:szCs w:val="14"/>
          <w:u w:val="single" w:color="auto"/>
          <w:color w:val="auto"/>
        </w:rPr>
        <w:t>clause (i)(a)</w:t>
      </w:r>
      <w:r>
        <w:rPr>
          <w:rFonts w:ascii="Times New Roman" w:cs="Times New Roman" w:eastAsia="Times New Roman" w:hAnsi="Times New Roman"/>
          <w:sz w:val="14"/>
          <w:szCs w:val="14"/>
          <w:color w:val="auto"/>
        </w:rPr>
        <w:t xml:space="preserve"> shall not exceed the Maximum Incremental Facilities Amount or (b) the Net Cash Proceeds thereof shall be applied no later than ten Business Days after the receipt thereof to repurchase, repay, redeem or otherwise defease Second Lien Loans (provided, in the case of this </w:t>
      </w:r>
      <w:r>
        <w:rPr>
          <w:rFonts w:ascii="Times New Roman" w:cs="Times New Roman" w:eastAsia="Times New Roman" w:hAnsi="Times New Roman"/>
          <w:sz w:val="14"/>
          <w:szCs w:val="14"/>
          <w:u w:val="single" w:color="auto"/>
          <w:color w:val="auto"/>
        </w:rPr>
        <w:t>clause (i)(b)</w:t>
      </w:r>
      <w:r>
        <w:rPr>
          <w:rFonts w:ascii="Times New Roman" w:cs="Times New Roman" w:eastAsia="Times New Roman" w:hAnsi="Times New Roman"/>
          <w:sz w:val="14"/>
          <w:szCs w:val="14"/>
          <w:color w:val="auto"/>
        </w:rPr>
        <w:t xml:space="preserve">, such Permitted Other Indebtedness is unsecured or secured by a Lien ranking junior to the Liens securing the Obligations) and (ii) any refinancing, refunding, renewal or extension of any Indebtedness specified in </w:t>
      </w:r>
      <w:r>
        <w:rPr>
          <w:rFonts w:ascii="Times New Roman" w:cs="Times New Roman" w:eastAsia="Times New Roman" w:hAnsi="Times New Roman"/>
          <w:sz w:val="14"/>
          <w:szCs w:val="14"/>
          <w:u w:val="single" w:color="auto"/>
          <w:color w:val="auto"/>
        </w:rPr>
        <w:t>subclause (i)</w:t>
      </w:r>
      <w:r>
        <w:rPr>
          <w:rFonts w:ascii="Times New Roman" w:cs="Times New Roman" w:eastAsia="Times New Roman" w:hAnsi="Times New Roman"/>
          <w:sz w:val="14"/>
          <w:szCs w:val="14"/>
          <w:color w:val="auto"/>
        </w:rPr>
        <w:t xml:space="preserve">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158"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2014" w:val="left"/>
        </w:tabs>
        <w:numPr>
          <w:ilvl w:val="1"/>
          <w:numId w:val="23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 Indebtedness in respect of Permitted Debt Exchange Notes incurred pursuant to a Permitted Debt Exchange in accordance with </w:t>
      </w:r>
      <w:r>
        <w:rPr>
          <w:rFonts w:ascii="Times New Roman" w:cs="Times New Roman" w:eastAsia="Times New Roman" w:hAnsi="Times New Roman"/>
          <w:sz w:val="14"/>
          <w:szCs w:val="14"/>
          <w:u w:val="single" w:color="auto"/>
          <w:color w:val="auto"/>
        </w:rPr>
        <w:t>Section 2.15</w:t>
      </w:r>
      <w:r>
        <w:rPr>
          <w:rFonts w:ascii="Times New Roman" w:cs="Times New Roman" w:eastAsia="Times New Roman" w:hAnsi="Times New Roman"/>
          <w:sz w:val="14"/>
          <w:szCs w:val="14"/>
          <w:color w:val="auto"/>
        </w:rPr>
        <w:t xml:space="preserve"> (and which does not generate any additional proceeds) and (ii) any refinancing, refunding, renewal or extension of any Indebtedness specified in </w:t>
      </w:r>
      <w:r>
        <w:rPr>
          <w:rFonts w:ascii="Times New Roman" w:cs="Times New Roman" w:eastAsia="Times New Roman" w:hAnsi="Times New Roman"/>
          <w:sz w:val="14"/>
          <w:szCs w:val="14"/>
          <w:u w:val="single" w:color="auto"/>
          <w:color w:val="auto"/>
        </w:rPr>
        <w:t>subclause (i)</w:t>
      </w:r>
      <w:r>
        <w:rPr>
          <w:rFonts w:ascii="Times New Roman" w:cs="Times New Roman" w:eastAsia="Times New Roman" w:hAnsi="Times New Roman"/>
          <w:sz w:val="14"/>
          <w:szCs w:val="14"/>
          <w:color w:val="auto"/>
        </w:rPr>
        <w:t xml:space="preserve">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47" w:lineRule="exact"/>
        <w:rPr>
          <w:sz w:val="20"/>
          <w:szCs w:val="20"/>
          <w:color w:val="auto"/>
        </w:rPr>
      </w:pPr>
    </w:p>
    <w:p>
      <w:pPr>
        <w:ind w:left="1140" w:right="1179" w:firstLine="1033"/>
        <w:spacing w:after="0" w:line="259"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(y)</w:t>
      </w:r>
      <w:r>
        <w:rPr>
          <w:rFonts w:ascii="Times New Roman" w:cs="Times New Roman" w:eastAsia="Times New Roman" w:hAnsi="Times New Roman"/>
          <w:sz w:val="14"/>
          <w:szCs w:val="14"/>
          <w:color w:val="auto"/>
        </w:rPr>
        <w:t xml:space="preserve"> above or is entitled to be incurred pursuant to the first paragraph of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the Borrower, in its sole discretion, will classify and may reclassify (including within the definition of “Maximum Incremental Facilities Amount”) such item of Indebtedness, Disqualified Stock or preferred stock (or any portion thereof) and will only be required to include the amount and type of such Indebtedness, Disqualified Stock or preferred stock in one of the above clauses or paragraphs; and (ii) at the time of incurrence, the Borrower will be entitled to divide and classify an item of Indebtedness in more than one of the types of Indebtedness described in this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t>
      </w:r>
      <w:r>
        <w:rPr>
          <w:rFonts w:ascii="Times New Roman" w:cs="Times New Roman" w:eastAsia="Times New Roman" w:hAnsi="Times New Roman"/>
          <w:sz w:val="14"/>
          <w:szCs w:val="14"/>
          <w:u w:val="single" w:color="auto"/>
          <w:color w:val="0000FF"/>
        </w:rPr>
        <w:t>if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any Consolidated Total Debt to Consolidated EBITDA Ratio, Consolidated First Lien Secured Debt to Consolidated EBITDA Ratio or Fixed Charge Coverage Ratio tests, as applicable, for the Incurrence of any such Indebtedness would be satisfied on a pro forma basis as of the end of any subsequent Test Period of the Borrower after such Incurrence, the reclassification described in this paragraph shall be deemed to have occurred automatically; provided further that</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all Indebtedness outstanding under the Second Lien Facility on the Closing Date will be treated as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 xml:space="preserve">incurred under </w:t>
      </w:r>
      <w:r>
        <w:rPr>
          <w:rFonts w:ascii="Times New Roman" w:cs="Times New Roman" w:eastAsia="Times New Roman" w:hAnsi="Times New Roman"/>
          <w:sz w:val="14"/>
          <w:szCs w:val="14"/>
          <w:u w:val="single" w:color="auto"/>
          <w:color w:val="000000"/>
        </w:rPr>
        <w:t>clause (b)(i)</w:t>
      </w:r>
      <w:r>
        <w:rPr>
          <w:rFonts w:ascii="Times New Roman" w:cs="Times New Roman" w:eastAsia="Times New Roman" w:hAnsi="Times New Roman"/>
          <w:sz w:val="14"/>
          <w:szCs w:val="14"/>
          <w:color w:val="000000"/>
        </w:rPr>
        <w:t xml:space="preserve"> above.</w:t>
      </w:r>
    </w:p>
    <w:p>
      <w:pPr>
        <w:spacing w:after="0" w:line="322" w:lineRule="exact"/>
        <w:rPr>
          <w:sz w:val="20"/>
          <w:szCs w:val="20"/>
          <w:color w:val="auto"/>
        </w:rPr>
      </w:pPr>
    </w:p>
    <w:p>
      <w:pPr>
        <w:ind w:left="1140" w:right="1199" w:firstLine="1033"/>
        <w:spacing w:after="0" w:line="262" w:lineRule="auto"/>
        <w:rPr>
          <w:sz w:val="20"/>
          <w:szCs w:val="20"/>
          <w:color w:val="auto"/>
        </w:rPr>
      </w:pPr>
      <w:r>
        <w:rPr>
          <w:rFonts w:ascii="Times New Roman" w:cs="Times New Roman" w:eastAsia="Times New Roman" w:hAnsi="Times New Roman"/>
          <w:sz w:val="14"/>
          <w:szCs w:val="14"/>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(l)(i)</w:t>
      </w:r>
      <w:r>
        <w:rPr>
          <w:rFonts w:ascii="Times New Roman" w:cs="Times New Roman" w:eastAsia="Times New Roman" w:hAnsi="Times New Roman"/>
          <w:sz w:val="14"/>
          <w:szCs w:val="14"/>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16" w:lineRule="exact"/>
        <w:rPr>
          <w:sz w:val="20"/>
          <w:szCs w:val="20"/>
          <w:color w:val="auto"/>
        </w:rPr>
      </w:pPr>
    </w:p>
    <w:p>
      <w:pPr>
        <w:ind w:left="1140" w:right="1719" w:firstLine="1033"/>
        <w:spacing w:after="0" w:line="195" w:lineRule="exact"/>
        <w:rPr>
          <w:sz w:val="20"/>
          <w:szCs w:val="20"/>
          <w:color w:val="auto"/>
        </w:rPr>
      </w:pPr>
      <w:r>
        <w:rPr>
          <w:rFonts w:ascii="Times New Roman" w:cs="Times New Roman" w:eastAsia="Times New Roman" w:hAnsi="Times New Roman"/>
          <w:sz w:val="14"/>
          <w:szCs w:val="14"/>
          <w:color w:val="auto"/>
        </w:rPr>
        <w:t>For purposes of determining compliance with any Dollar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denominated restriction on the incurrence of Indebtedness, the principal amount of Indebtedness denominated in another currency shall be</w:t>
      </w:r>
    </w:p>
    <w:p>
      <w:pPr>
        <w:spacing w:after="0" w:line="2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230" w:name="page231"/>
    <w:bookmarkEnd w:id="230"/>
    <w:p>
      <w:pPr>
        <w:ind w:left="1140" w:right="1179"/>
        <w:spacing w:after="0" w:line="174" w:lineRule="exact"/>
        <w:rPr>
          <w:sz w:val="20"/>
          <w:szCs w:val="20"/>
          <w:color w:val="auto"/>
        </w:rPr>
      </w:pPr>
      <w:r>
        <w:rPr>
          <w:rFonts w:ascii="Times New Roman" w:cs="Times New Roman" w:eastAsia="Times New Roman" w:hAnsi="Times New Roman"/>
          <w:sz w:val="14"/>
          <w:szCs w:val="14"/>
          <w:color w:val="auto"/>
        </w:rPr>
        <w:t xml:space="preserve">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such Indebtedness is incurred to refinance other Indebtedness denominated in another currency, and such refinancing would cause the applicable Dollar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denominated restriction to be exceeded if calculated at the relevant currency exchange rate in effect on the date of such refinancing, such Dollar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denominated restriction shall be deemed not to have been exceeded so long as the principal amount of such Refinancing Indebtedness does not exceed (i) the principal amount of such Indebtedness being refinanced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(ii) the aggregate amount of fees, underwriting discounts, premiums, and other costs and expenses and accrued and unpaid interest incurred in connection with such refinancing.</w:t>
      </w:r>
    </w:p>
    <w:p>
      <w:pPr>
        <w:spacing w:after="0" w:line="160" w:lineRule="exact"/>
        <w:rPr>
          <w:sz w:val="20"/>
          <w:szCs w:val="20"/>
          <w:color w:val="auto"/>
        </w:rPr>
      </w:pPr>
    </w:p>
    <w:p>
      <w:pPr>
        <w:ind w:left="1140" w:right="1199" w:firstLine="1033"/>
        <w:spacing w:after="0" w:line="268" w:lineRule="auto"/>
        <w:rPr>
          <w:sz w:val="20"/>
          <w:szCs w:val="20"/>
          <w:color w:val="auto"/>
        </w:rPr>
      </w:pPr>
      <w:r>
        <w:rPr>
          <w:rFonts w:ascii="Times New Roman" w:cs="Times New Roman" w:eastAsia="Times New Roman" w:hAnsi="Times New Roman"/>
          <w:sz w:val="14"/>
          <w:szCs w:val="14"/>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4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This Agreement will not treat (1) unsecured Indebtedness as subordinated or junior to secured</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Indebtedness merely because it is unsecured or (2) senior Indebtedness as subordinated or junior to any other senior</w:t>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Indebtedness merely because it has a junior priority with respect to the same collateral.</w:t>
      </w:r>
    </w:p>
    <w:p>
      <w:pPr>
        <w:spacing w:after="0" w:line="18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10.2 </w:t>
      </w:r>
      <w:r>
        <w:rPr>
          <w:rFonts w:ascii="Times New Roman" w:cs="Times New Roman" w:eastAsia="Times New Roman" w:hAnsi="Times New Roman"/>
          <w:sz w:val="14"/>
          <w:szCs w:val="14"/>
          <w:u w:val="single" w:color="auto"/>
          <w:color w:val="auto"/>
        </w:rPr>
        <w:t>Limitation on Liens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7" w:lineRule="auto"/>
        <w:tabs>
          <w:tab w:leader="none" w:pos="1972" w:val="left"/>
        </w:tabs>
        <w:numPr>
          <w:ilvl w:val="0"/>
          <w:numId w:val="23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will not, and will not permit any of its Restricted Subsidiaries to, create, incur, assume or suffer to exist any Lien upon any property or assets of any kind (real or personal, tangible or intangible) of the Borrower or any Restricted Subsidiary, whether now owned or hereafter acquired (each, a “</w:t>
      </w:r>
      <w:r>
        <w:rPr>
          <w:rFonts w:ascii="Times New Roman" w:cs="Times New Roman" w:eastAsia="Times New Roman" w:hAnsi="Times New Roman"/>
          <w:sz w:val="14"/>
          <w:szCs w:val="14"/>
          <w:b w:val="1"/>
          <w:bCs w:val="1"/>
          <w:color w:val="auto"/>
        </w:rPr>
        <w:t>Subject Lien</w:t>
      </w:r>
      <w:r>
        <w:rPr>
          <w:rFonts w:ascii="Times New Roman" w:cs="Times New Roman" w:eastAsia="Times New Roman" w:hAnsi="Times New Roman"/>
          <w:sz w:val="14"/>
          <w:szCs w:val="14"/>
          <w:color w:val="auto"/>
        </w:rPr>
        <w:t>”) that secures obligations under any Indebtedness on any asset or property of Holdings or any Restricted Subsidiary, except:</w:t>
      </w:r>
    </w:p>
    <w:p>
      <w:pPr>
        <w:spacing w:after="0" w:line="327" w:lineRule="exact"/>
        <w:rPr>
          <w:sz w:val="20"/>
          <w:szCs w:val="20"/>
          <w:color w:val="auto"/>
        </w:rPr>
      </w:pPr>
    </w:p>
    <w:p>
      <w:pPr>
        <w:ind w:left="1980" w:hanging="316"/>
        <w:spacing w:after="0"/>
        <w:tabs>
          <w:tab w:leader="none" w:pos="1980" w:val="left"/>
        </w:tabs>
        <w:numPr>
          <w:ilvl w:val="0"/>
          <w:numId w:val="23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such Subject Lien is a Permitted Lien;</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0" w:lineRule="auto"/>
        <w:tabs>
          <w:tab w:leader="none" w:pos="1972" w:val="left"/>
        </w:tabs>
        <w:numPr>
          <w:ilvl w:val="0"/>
          <w:numId w:val="23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other Subject Lien if the obligations secured by such Subject Lien are junior to the Obligations;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Borrower’s election, in the case of Liens securing Permitted Other Indebtedness Obligations,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the Collateral Agent, the Administrative Agent and the representative of the holders of such Permitted Other Indebtedness Obligations shall have entered into the Second Lien Intercreditor Agreement and (y) in the case of subsequent issuances of Permitted Other Indebtedness, the representative for the holders of such Permitted Other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First Lien Intercreditor Agreement and the Second Lien Intercreditor Agreement contemplated by this </w:t>
      </w:r>
      <w:r>
        <w:rPr>
          <w:rFonts w:ascii="Times New Roman" w:cs="Times New Roman" w:eastAsia="Times New Roman" w:hAnsi="Times New Roman"/>
          <w:sz w:val="14"/>
          <w:szCs w:val="14"/>
          <w:u w:val="single" w:color="auto"/>
          <w:color w:val="auto"/>
        </w:rPr>
        <w:t>clause (ii)</w:t>
      </w:r>
      <w:r>
        <w:rPr>
          <w:rFonts w:ascii="Times New Roman" w:cs="Times New Roman" w:eastAsia="Times New Roman" w:hAnsi="Times New Roman"/>
          <w:sz w:val="14"/>
          <w:szCs w:val="14"/>
          <w:color w:val="auto"/>
        </w:rPr>
        <w:t>; and</w:t>
      </w:r>
    </w:p>
    <w:p>
      <w:pPr>
        <w:spacing w:after="0" w:line="155"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23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the case of any Subject Lien on assets or property not constituting Collateral, any Subject Lien if (i) the Obligations are equally and ratably secured with (or on a senior basis to, in the case such Subject Lien secures any Junior Debt) the obligations secured by such Subject Lien or (ii) such Subject Lien is a Permitted Lien.</w:t>
      </w:r>
    </w:p>
    <w:p>
      <w:pPr>
        <w:spacing w:after="0" w:line="146" w:lineRule="exact"/>
        <w:rPr>
          <w:sz w:val="20"/>
          <w:szCs w:val="20"/>
          <w:color w:val="auto"/>
        </w:rPr>
      </w:pPr>
    </w:p>
    <w:p>
      <w:pPr>
        <w:jc w:val="both"/>
        <w:ind w:left="1140" w:right="1159" w:firstLine="524"/>
        <w:spacing w:after="0" w:line="275" w:lineRule="auto"/>
        <w:tabs>
          <w:tab w:leader="none" w:pos="1982" w:val="left"/>
        </w:tabs>
        <w:numPr>
          <w:ilvl w:val="0"/>
          <w:numId w:val="23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Lien created for the benefit of the Secured Parties pursuant to </w:t>
      </w:r>
      <w:r>
        <w:rPr>
          <w:rFonts w:ascii="Times New Roman" w:cs="Times New Roman" w:eastAsia="Times New Roman" w:hAnsi="Times New Roman"/>
          <w:sz w:val="14"/>
          <w:szCs w:val="14"/>
          <w:u w:val="single" w:color="auto"/>
          <w:color w:val="auto"/>
        </w:rPr>
        <w:t>Section 10.2(a)(iii)</w:t>
      </w:r>
      <w:r>
        <w:rPr>
          <w:rFonts w:ascii="Times New Roman" w:cs="Times New Roman" w:eastAsia="Times New Roman" w:hAnsi="Times New Roman"/>
          <w:sz w:val="14"/>
          <w:szCs w:val="14"/>
          <w:color w:val="auto"/>
        </w:rPr>
        <w:t xml:space="preserve"> above shall provide by its terms that such Lien shall be automatically and unconditionally be released and discharged upon the release and discharge of the Subject Lien that gave rise to the obligation to so secure the Obligations.</w:t>
      </w:r>
    </w:p>
    <w:p>
      <w:pPr>
        <w:spacing w:after="0" w:line="135" w:lineRule="exact"/>
        <w:rPr>
          <w:sz w:val="20"/>
          <w:szCs w:val="20"/>
          <w:color w:val="auto"/>
        </w:rPr>
      </w:pPr>
    </w:p>
    <w:p>
      <w:pPr>
        <w:ind w:left="1140" w:right="1179" w:firstLine="1033"/>
        <w:spacing w:after="0" w:line="262" w:lineRule="auto"/>
        <w:rPr>
          <w:sz w:val="20"/>
          <w:szCs w:val="20"/>
          <w:color w:val="auto"/>
        </w:rPr>
      </w:pPr>
      <w:r>
        <w:rPr>
          <w:rFonts w:ascii="Times New Roman" w:cs="Times New Roman" w:eastAsia="Times New Roman" w:hAnsi="Times New Roman"/>
          <w:sz w:val="14"/>
          <w:szCs w:val="14"/>
          <w:u w:val="single" w:color="auto"/>
          <w:color w:val="0000FF"/>
        </w:rPr>
        <w:t>For purposes of determining compliance with this Section 10.2: (i) in the event that a Lien meets the criteria of more than one of the categories of permitted Liens described in clause (a) above or is permitted pursuant to the definition of “Permitted Liens”, the Borrower, in its sole discretion, will classify and may reclassify (including within the definition of “Permitted Liens”) such Lien; and (ii) at the time of incurrence, the Borrower will be entitled to divide and classify a Lien in more than one of the types of Liens described in this Section 10.2 and within the definition of “Permitted Liens”; provided that, if any Consolidated Total Debt to Consolidated EBITDA Ratio, Consolidated First Lien Secured Debt to Consolidated EBITDA Ratio or Fixed Charge Coverage Ratio tests,</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31" w:name="page232"/>
    <w:bookmarkEnd w:id="231"/>
    <w:p>
      <w:pPr>
        <w:ind w:left="1140" w:right="1319"/>
        <w:spacing w:after="0" w:line="275" w:lineRule="auto"/>
        <w:rPr>
          <w:sz w:val="20"/>
          <w:szCs w:val="20"/>
          <w:color w:val="auto"/>
        </w:rPr>
      </w:pPr>
      <w:r>
        <w:rPr>
          <w:rFonts w:ascii="Times New Roman" w:cs="Times New Roman" w:eastAsia="Times New Roman" w:hAnsi="Times New Roman"/>
          <w:sz w:val="14"/>
          <w:szCs w:val="14"/>
          <w:u w:val="single" w:color="auto"/>
          <w:color w:val="0000FF"/>
        </w:rPr>
        <w:t>as applicable, for the incurrence of any such Lien would be satisfied on a pro forma basis as of the end of any subsequent Test Period of the Borrower after such incurrence, the reclassification described in this paragraph shall be deemed to have occurred automatically.</w:t>
      </w:r>
    </w:p>
    <w:p>
      <w:pPr>
        <w:spacing w:after="0" w:line="146" w:lineRule="exact"/>
        <w:rPr>
          <w:sz w:val="20"/>
          <w:szCs w:val="20"/>
          <w:color w:val="auto"/>
        </w:rPr>
      </w:pPr>
    </w:p>
    <w:p>
      <w:pPr>
        <w:jc w:val="both"/>
        <w:ind w:left="1140" w:right="1159" w:firstLine="517"/>
        <w:spacing w:after="0" w:line="267" w:lineRule="auto"/>
        <w:rPr>
          <w:sz w:val="20"/>
          <w:szCs w:val="20"/>
          <w:color w:val="auto"/>
        </w:rPr>
      </w:pPr>
      <w:r>
        <w:rPr>
          <w:rFonts w:ascii="Times New Roman" w:cs="Times New Roman" w:eastAsia="Times New Roman" w:hAnsi="Times New Roman"/>
          <w:sz w:val="14"/>
          <w:szCs w:val="14"/>
          <w:u w:val="single" w:color="auto"/>
          <w:color w:val="auto"/>
        </w:rPr>
        <w:t>10.3 Limitation on Fundamental Changes</w:t>
      </w:r>
      <w:r>
        <w:rPr>
          <w:rFonts w:ascii="Times New Roman" w:cs="Times New Roman" w:eastAsia="Times New Roman" w:hAnsi="Times New Roman"/>
          <w:sz w:val="14"/>
          <w:szCs w:val="14"/>
          <w:color w:val="auto"/>
        </w:rPr>
        <w:t>. The Borrower will not, and will not permit any of its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(including, in each case, pursuant to a Delaware LLC Division), except that:</w:t>
      </w:r>
    </w:p>
    <w:p>
      <w:pPr>
        <w:spacing w:after="0" w:line="327" w:lineRule="exact"/>
        <w:rPr>
          <w:sz w:val="20"/>
          <w:szCs w:val="20"/>
          <w:color w:val="auto"/>
        </w:rPr>
      </w:pPr>
    </w:p>
    <w:p>
      <w:pPr>
        <w:jc w:val="both"/>
        <w:ind w:left="1140" w:right="1159" w:firstLine="524"/>
        <w:spacing w:after="0" w:line="258" w:lineRule="auto"/>
        <w:tabs>
          <w:tab w:leader="none" w:pos="2004" w:val="left"/>
        </w:tabs>
        <w:numPr>
          <w:ilvl w:val="1"/>
          <w:numId w:val="24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so long as no Event of Default has occurred and is continuing or would result therefrom, any Subsidiary of the Borrower or any other Person may be merged, amalgamated or consolidated with or into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the Borrower shall be the continuing or surviving corporation or (B) if the Person formed by or surviving any such merger, amalgamation or consolidation is not the Borrower (such other Person, the “</w:t>
      </w:r>
      <w:r>
        <w:rPr>
          <w:rFonts w:ascii="Times New Roman" w:cs="Times New Roman" w:eastAsia="Times New Roman" w:hAnsi="Times New Roman"/>
          <w:sz w:val="14"/>
          <w:szCs w:val="14"/>
          <w:b w:val="1"/>
          <w:bCs w:val="1"/>
          <w:color w:val="auto"/>
        </w:rPr>
        <w:t>Successor Borrower</w:t>
      </w:r>
      <w:r>
        <w:rPr>
          <w:rFonts w:ascii="Times New Roman" w:cs="Times New Roman" w:eastAsia="Times New Roman" w:hAnsi="Times New Roman"/>
          <w:sz w:val="14"/>
          <w:szCs w:val="14"/>
          <w:color w:val="auto"/>
        </w:rPr>
        <w:t xml:space="preserve">”), (1) the Successor Borrower shall be an entity organized or existing under the laws of the United States, any state thereof, the District of Columbia or any territory thereof, (2) the Successor Borrower shall expressly assume all the obligations of the Borrower under this Agreement and the other Credit Documents pursuant to a supplement hereto or thereto or in a form otherwise reasonably satisfactory to the Administrative Agent, (3) Holdings and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w:t>
      </w:r>
    </w:p>
    <w:p>
      <w:pPr>
        <w:spacing w:after="0" w:line="1" w:lineRule="exact"/>
        <w:rPr>
          <w:rFonts w:ascii="Times New Roman" w:cs="Times New Roman" w:eastAsia="Times New Roman" w:hAnsi="Times New Roman"/>
          <w:sz w:val="14"/>
          <w:szCs w:val="14"/>
          <w:color w:val="010000"/>
        </w:rPr>
      </w:pPr>
    </w:p>
    <w:p>
      <w:pPr>
        <w:jc w:val="both"/>
        <w:ind w:left="1140" w:right="1159" w:firstLine="7"/>
        <w:spacing w:after="0" w:line="256" w:lineRule="auto"/>
        <w:tabs>
          <w:tab w:leader="none" w:pos="1384"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mortgagor of a Mortgaged Property, unless it is the other party to such merger, amalgamation or consolidation, shall have affirmed that its obligations under the applicable Mortgage shall apply to its Guarantee as reaffirmed pursuant to </w:t>
      </w:r>
      <w:r>
        <w:rPr>
          <w:rFonts w:ascii="Times New Roman" w:cs="Times New Roman" w:eastAsia="Times New Roman" w:hAnsi="Times New Roman"/>
          <w:sz w:val="14"/>
          <w:szCs w:val="14"/>
          <w:u w:val="single" w:color="auto"/>
          <w:color w:val="auto"/>
        </w:rPr>
        <w:t>clause (3)</w:t>
      </w:r>
      <w:r>
        <w:rPr>
          <w:rFonts w:ascii="Times New Roman" w:cs="Times New Roman" w:eastAsia="Times New Roman" w:hAnsi="Times New Roman"/>
          <w:sz w:val="14"/>
          <w:szCs w:val="14"/>
          <w:color w:val="auto"/>
        </w:rPr>
        <w:t>, and (6) the Successor Borrower shall have delivered to the Administrative Agent</w:t>
      </w:r>
    </w:p>
    <w:p>
      <w:pPr>
        <w:spacing w:after="0" w:line="1" w:lineRule="exact"/>
        <w:rPr>
          <w:rFonts w:ascii="Times New Roman" w:cs="Times New Roman" w:eastAsia="Times New Roman" w:hAnsi="Times New Roman"/>
          <w:sz w:val="14"/>
          <w:szCs w:val="14"/>
          <w:color w:val="auto"/>
        </w:rPr>
      </w:pPr>
    </w:p>
    <w:p>
      <w:pPr>
        <w:jc w:val="both"/>
        <w:ind w:left="1140" w:right="11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an officer’s certificate stating that such merger, amalgamation, or consolidation and such supplements preserve the enforceability of the Guarantee and the perfection and priority of the Liens under the Security Documents and</w:t>
      </w:r>
    </w:p>
    <w:p>
      <w:pPr>
        <w:jc w:val="both"/>
        <w:ind w:left="1140" w:right="1159"/>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(y) if requested by the Administrative Agent, an opinion of counsel to the effect that such merger, amalgamation, or consolidation does not violate this Agreement or any other Credit Document and that the provisions set forth in the preceding </w:t>
      </w:r>
      <w:r>
        <w:rPr>
          <w:rFonts w:ascii="Times New Roman" w:cs="Times New Roman" w:eastAsia="Times New Roman" w:hAnsi="Times New Roman"/>
          <w:sz w:val="14"/>
          <w:szCs w:val="14"/>
          <w:u w:val="single" w:color="auto"/>
          <w:color w:val="auto"/>
        </w:rPr>
        <w:t>clauses (3)</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(5)</w:t>
      </w:r>
      <w:r>
        <w:rPr>
          <w:rFonts w:ascii="Times New Roman" w:cs="Times New Roman" w:eastAsia="Times New Roman" w:hAnsi="Times New Roman"/>
          <w:sz w:val="14"/>
          <w:szCs w:val="14"/>
          <w:color w:val="auto"/>
        </w:rPr>
        <w:t xml:space="preserve"> preserve the enforceability of the Guarantee and the perfection of the Liens created under the Security Documents (it being understood that if the foregoing are satisfied, the Successor Borrower will succeed to, and be substituted for, the Borrower under this Agreement);</w:t>
      </w:r>
    </w:p>
    <w:p>
      <w:pPr>
        <w:spacing w:after="0" w:line="158" w:lineRule="exact"/>
        <w:rPr>
          <w:rFonts w:ascii="Times New Roman" w:cs="Times New Roman" w:eastAsia="Times New Roman" w:hAnsi="Times New Roman"/>
          <w:sz w:val="14"/>
          <w:szCs w:val="14"/>
          <w:color w:val="auto"/>
        </w:rPr>
      </w:pPr>
    </w:p>
    <w:p>
      <w:pPr>
        <w:jc w:val="both"/>
        <w:ind w:left="1140" w:right="1159" w:firstLine="524"/>
        <w:spacing w:after="0" w:line="259" w:lineRule="auto"/>
        <w:tabs>
          <w:tab w:leader="none" w:pos="2004" w:val="left"/>
        </w:tabs>
        <w:numPr>
          <w:ilvl w:val="1"/>
          <w:numId w:val="24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so long as no Event of Default has occurred and is continuing or would result therefrom, any Subsidiary of the Borrower or any other Person (other than the Borrower) may be merged, amalgamated or consolidated with or into any one or more Subsidiaries of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in the case of any merger, amalgamation or consolidation involving one or more Restricted Subsidiaries, (A) a Restricted Subsidiary shall be the continuing or surviving Person or (B) the Borrower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 Secured Parties, and (iii) the Borrower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Security Documents;</w:t>
      </w:r>
    </w:p>
    <w:p>
      <w:pPr>
        <w:spacing w:after="0" w:line="332"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1"/>
          <w:numId w:val="24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Transactions may be consummated;</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82" w:val="left"/>
        </w:tabs>
        <w:numPr>
          <w:ilvl w:val="1"/>
          <w:numId w:val="24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any Restricted Subsidiary that is not a Credit Party may convey, sell, lease, assign, transfer or otherwise dispose of any or all of its assets (upon voluntary liquidation or dissolution or otherwise) to the Borrower or any other Restricted Subsidiary or (ii) any Credit Party (other than the Borrower) may convey, sell, lease, assign, transfer or otherwise dispose of any or all of its assets (upon voluntary liquidation or dissolution or otherwise) to any other Credit Party;</w:t>
      </w:r>
    </w:p>
    <w:p>
      <w:pPr>
        <w:spacing w:after="0" w:line="2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32" w:name="page233"/>
    <w:bookmarkEnd w:id="232"/>
    <w:p>
      <w:pPr>
        <w:jc w:val="both"/>
        <w:ind w:left="1140" w:right="1159" w:firstLine="524"/>
        <w:spacing w:after="0" w:line="275" w:lineRule="auto"/>
        <w:tabs>
          <w:tab w:leader="none" w:pos="1972" w:val="left"/>
        </w:tabs>
        <w:numPr>
          <w:ilvl w:val="0"/>
          <w:numId w:val="2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Subsidiary may convey, sell, lease, assign, transfer or otherwise dispose of any or all of its assets (upon voluntary liquidation or dissolution or otherwise) to a Credit Party;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consideration for any such disposition by any Person other than a Guarantor shall not exceed the fair value of such assets;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72" w:val="left"/>
        </w:tabs>
        <w:numPr>
          <w:ilvl w:val="0"/>
          <w:numId w:val="2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Restricted Subsidiary may liquidate or dissolve if the Borrower determines in good faith that such liquidation or dissolution is in the best interests of the Borrower and is not materially disadvantageous to the interests of the Lenders;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93" w:val="left"/>
        </w:tabs>
        <w:numPr>
          <w:ilvl w:val="0"/>
          <w:numId w:val="2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Borrower and the Restricted Subsidiaries may consummate a merger, dissolution, liquidation, consolidation, investment or conveyance, sale, lease, assignment or disposition, the purpose of which is to effect an Asset Sale (which for purposes of this </w:t>
      </w:r>
      <w:r>
        <w:rPr>
          <w:rFonts w:ascii="Times New Roman" w:cs="Times New Roman" w:eastAsia="Times New Roman" w:hAnsi="Times New Roman"/>
          <w:sz w:val="14"/>
          <w:szCs w:val="14"/>
          <w:u w:val="single" w:color="auto"/>
          <w:color w:val="auto"/>
        </w:rPr>
        <w:t>Section 10.3(g)</w:t>
      </w:r>
      <w:r>
        <w:rPr>
          <w:rFonts w:ascii="Times New Roman" w:cs="Times New Roman" w:eastAsia="Times New Roman" w:hAnsi="Times New Roman"/>
          <w:sz w:val="14"/>
          <w:szCs w:val="14"/>
          <w:color w:val="auto"/>
        </w:rPr>
        <w:t xml:space="preserve">, will include any disposition below the dollar threshold set forth in </w:t>
      </w:r>
      <w:r>
        <w:rPr>
          <w:rFonts w:ascii="Times New Roman" w:cs="Times New Roman" w:eastAsia="Times New Roman" w:hAnsi="Times New Roman"/>
          <w:sz w:val="14"/>
          <w:szCs w:val="14"/>
          <w:u w:val="single" w:color="auto"/>
          <w:color w:val="auto"/>
        </w:rPr>
        <w:t>clause (ii)(d)</w:t>
      </w:r>
      <w:r>
        <w:rPr>
          <w:rFonts w:ascii="Times New Roman" w:cs="Times New Roman" w:eastAsia="Times New Roman" w:hAnsi="Times New Roman"/>
          <w:sz w:val="14"/>
          <w:szCs w:val="14"/>
          <w:color w:val="auto"/>
        </w:rPr>
        <w:t xml:space="preserve"> of the definition of “Asset Sale”) permitted by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 xml:space="preserve"> or an investment permitted pursuant to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or an investment that constitutes a Permitted Investment; and</w:t>
      </w:r>
    </w:p>
    <w:p>
      <w:pPr>
        <w:spacing w:after="0" w:line="15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24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undertaking or consummating any IPO Reorganization Transactions.</w:t>
      </w:r>
    </w:p>
    <w:p>
      <w:pPr>
        <w:spacing w:after="0" w:line="194" w:lineRule="exact"/>
        <w:rPr>
          <w:sz w:val="20"/>
          <w:szCs w:val="20"/>
          <w:color w:val="auto"/>
        </w:rPr>
      </w:pPr>
    </w:p>
    <w:p>
      <w:pPr>
        <w:ind w:left="1140" w:right="1159" w:firstLine="517"/>
        <w:spacing w:after="0" w:line="293" w:lineRule="auto"/>
        <w:rPr>
          <w:sz w:val="20"/>
          <w:szCs w:val="20"/>
          <w:color w:val="auto"/>
        </w:rPr>
      </w:pPr>
      <w:r>
        <w:rPr>
          <w:rFonts w:ascii="Times New Roman" w:cs="Times New Roman" w:eastAsia="Times New Roman" w:hAnsi="Times New Roman"/>
          <w:sz w:val="14"/>
          <w:szCs w:val="14"/>
          <w:u w:val="single" w:color="auto"/>
          <w:color w:val="auto"/>
        </w:rPr>
        <w:t>10.4 Limitations on Sale of Assets</w:t>
      </w:r>
      <w:r>
        <w:rPr>
          <w:rFonts w:ascii="Times New Roman" w:cs="Times New Roman" w:eastAsia="Times New Roman" w:hAnsi="Times New Roman"/>
          <w:sz w:val="14"/>
          <w:szCs w:val="14"/>
          <w:color w:val="auto"/>
        </w:rPr>
        <w:t>. The Borrower will not, and will not permit any of its Restricted Subsidiaries to, consummate an Asset Sale, unless:</w:t>
      </w:r>
    </w:p>
    <w:p>
      <w:pPr>
        <w:spacing w:after="0" w:line="134" w:lineRule="exact"/>
        <w:rPr>
          <w:sz w:val="20"/>
          <w:szCs w:val="20"/>
          <w:color w:val="auto"/>
        </w:rPr>
      </w:pPr>
    </w:p>
    <w:p>
      <w:pPr>
        <w:jc w:val="both"/>
        <w:ind w:left="1140" w:right="1159" w:firstLine="524"/>
        <w:spacing w:after="0" w:line="275" w:lineRule="auto"/>
        <w:tabs>
          <w:tab w:leader="none" w:pos="1972" w:val="left"/>
        </w:tabs>
        <w:numPr>
          <w:ilvl w:val="0"/>
          <w:numId w:val="24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24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except in the case of a Permitted Asset Swap, if the property or assets sold or otherwise disposed of have a Fair Market Value in excess of the greater of (a) $</w:t>
      </w:r>
      <w:r>
        <w:rPr>
          <w:rFonts w:ascii="Times New Roman" w:cs="Times New Roman" w:eastAsia="Times New Roman" w:hAnsi="Times New Roman"/>
          <w:sz w:val="14"/>
          <w:szCs w:val="14"/>
          <w:color w:val="FF0000"/>
          <w:strike w:val="1"/>
        </w:rPr>
        <w:t>50</w:t>
      </w:r>
      <w:r>
        <w:rPr>
          <w:rFonts w:ascii="Times New Roman" w:cs="Times New Roman" w:eastAsia="Times New Roman" w:hAnsi="Times New Roman"/>
          <w:sz w:val="14"/>
          <w:szCs w:val="14"/>
          <w:u w:val="single" w:color="auto"/>
          <w:color w:val="0000FF"/>
        </w:rPr>
        <w:t>82.25</w:t>
      </w:r>
      <w:r>
        <w:rPr>
          <w:rFonts w:ascii="Times New Roman" w:cs="Times New Roman" w:eastAsia="Times New Roman" w:hAnsi="Times New Roman"/>
          <w:sz w:val="14"/>
          <w:szCs w:val="14"/>
          <w:color w:val="auto"/>
        </w:rPr>
        <w:t xml:space="preserve"> million and (b) 1.5% of Consolidated Total Assets for the most recently ended Test Period (calculated on a Pro Forma Basis) at the time of such disposition, either (A) at least 75% of the consideration therefor received by the Borrower or such Restricted Subsidiary, as the case may be, is in the form of cash or Cash Equivalents or (B) at least 50% of the consideration therefor received by the Borrower or such Restricted Subsidiary, as the case may be, is in the form of cash or Cash Equivalents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Net Cash Proceeds received pursuant to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must be used to repay the Loans in accordance with </w:t>
      </w:r>
      <w:r>
        <w:rPr>
          <w:rFonts w:ascii="Times New Roman" w:cs="Times New Roman" w:eastAsia="Times New Roman" w:hAnsi="Times New Roman"/>
          <w:sz w:val="14"/>
          <w:szCs w:val="14"/>
          <w:u w:val="single" w:color="auto"/>
          <w:color w:val="auto"/>
        </w:rPr>
        <w:t>Section 5.2(a)</w:t>
      </w:r>
      <w:r>
        <w:rPr>
          <w:rFonts w:ascii="Times New Roman" w:cs="Times New Roman" w:eastAsia="Times New Roman" w:hAnsi="Times New Roman"/>
          <w:sz w:val="14"/>
          <w:szCs w:val="14"/>
          <w:color w:val="auto"/>
        </w:rPr>
        <w:t xml:space="preserve"> within three (3) Business Days of receipt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w:t>
      </w:r>
    </w:p>
    <w:p>
      <w:pPr>
        <w:spacing w:after="0" w:line="160" w:lineRule="exact"/>
        <w:rPr>
          <w:sz w:val="20"/>
          <w:szCs w:val="20"/>
          <w:color w:val="auto"/>
        </w:rPr>
      </w:pPr>
    </w:p>
    <w:p>
      <w:pPr>
        <w:jc w:val="both"/>
        <w:ind w:left="1140" w:right="1159" w:firstLine="524"/>
        <w:spacing w:after="0" w:line="261" w:lineRule="auto"/>
        <w:tabs>
          <w:tab w:leader="none" w:pos="2004" w:val="left"/>
        </w:tabs>
        <w:numPr>
          <w:ilvl w:val="0"/>
          <w:numId w:val="2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liabilities (as reflected on the Borrower’s most recent consolidated balance sheet or in the footnotes thereto, or if incurred or accrued subsequent to the date of such balance sheet, such liabilities that would have been reflected on the Borrower’s consolidated balance sheet or in the footnotes thereto if such incurrence or accrual had taken place on or prior to the date of such consolidated balance sheet, as determined in good faith by the Borrower) of the Borrower, other than liabilities that are by their terms subordinated to the Loans, that are assumed by the transferee of any such assets (or are otherwise extinguished in connection with the transactions relating to such Asset Sale) and for which the Borrower and all such Restricted Subsidiaries have been validly released by all applicable creditors in writing;</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93" w:val="left"/>
        </w:tabs>
        <w:numPr>
          <w:ilvl w:val="0"/>
          <w:numId w:val="2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securities, notes or other obligations or assets received by the Borrower or such Restricted Subsidiary from such transferee that are converted by the Borrower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2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Indebtedness, other than liabilities that are by their terms subordinated to the Loans, that are of any Restricted Subsidiary that is no longer a Restricted Subsidiary as a result of such Asset Sale, to the extent that the Borrower and all Restricted Subsidiaries have been validly released from any Guarantee of payment of such Indebtedness in connection with such Asset Sale; and</w:t>
      </w:r>
    </w:p>
    <w:p>
      <w:pPr>
        <w:spacing w:after="0" w:line="121" w:lineRule="exact"/>
        <w:rPr>
          <w:rFonts w:ascii="Times New Roman" w:cs="Times New Roman" w:eastAsia="Times New Roman" w:hAnsi="Times New Roman"/>
          <w:sz w:val="14"/>
          <w:szCs w:val="14"/>
          <w:color w:val="010000"/>
        </w:rPr>
      </w:pPr>
    </w:p>
    <w:p>
      <w:pPr>
        <w:jc w:val="both"/>
        <w:ind w:left="1140" w:right="1159" w:firstLine="524"/>
        <w:spacing w:after="0" w:line="190" w:lineRule="exact"/>
        <w:tabs>
          <w:tab w:leader="none" w:pos="1982" w:val="left"/>
        </w:tabs>
        <w:numPr>
          <w:ilvl w:val="0"/>
          <w:numId w:val="24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Consideration received by the Borrower or such Restricted Subsidiary in such Asset Sale having an aggregate Fair Market Value, taken together with all other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Cash Consideration received pursuant to this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that is at that time outstanding, not to exceed the greater of $</w:t>
      </w:r>
      <w:r>
        <w:rPr>
          <w:rFonts w:ascii="Times New Roman" w:cs="Times New Roman" w:eastAsia="Times New Roman" w:hAnsi="Times New Roman"/>
          <w:sz w:val="14"/>
          <w:szCs w:val="14"/>
          <w:color w:val="FF0000"/>
          <w:strike w:val="1"/>
        </w:rPr>
        <w:t>205</w:t>
      </w:r>
      <w:r>
        <w:rPr>
          <w:rFonts w:ascii="Times New Roman" w:cs="Times New Roman" w:eastAsia="Times New Roman" w:hAnsi="Times New Roman"/>
          <w:sz w:val="14"/>
          <w:szCs w:val="14"/>
          <w:u w:val="single" w:color="auto"/>
          <w:color w:val="0000FF"/>
        </w:rPr>
        <w:t>329.5</w:t>
      </w:r>
      <w:r>
        <w:rPr>
          <w:rFonts w:ascii="Times New Roman" w:cs="Times New Roman" w:eastAsia="Times New Roman" w:hAnsi="Times New Roman"/>
          <w:sz w:val="14"/>
          <w:szCs w:val="14"/>
          <w:color w:val="auto"/>
        </w:rPr>
        <w:t xml:space="preserve"> million and 6.0% of Consolidated Total Assets at the time of the receipt of such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233" w:name="page234"/>
    <w:bookmarkEnd w:id="233"/>
    <w:p>
      <w:pPr>
        <w:ind w:left="1140" w:right="1159"/>
        <w:spacing w:after="0" w:line="195" w:lineRule="exact"/>
        <w:rPr>
          <w:sz w:val="20"/>
          <w:szCs w:val="20"/>
          <w:color w:val="auto"/>
        </w:rPr>
      </w:pPr>
      <w:r>
        <w:rPr>
          <w:rFonts w:ascii="Times New Roman" w:cs="Times New Roman" w:eastAsia="Times New Roman" w:hAnsi="Times New Roman"/>
          <w:sz w:val="14"/>
          <w:szCs w:val="14"/>
          <w:color w:val="auto"/>
        </w:rPr>
        <w:t>Consideration, with the Fair Market Value of each item of Designated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Consideration being measured at the time received and without giving effect to subsequent changes in value,</w:t>
      </w:r>
    </w:p>
    <w:p>
      <w:pPr>
        <w:spacing w:after="0" w:line="15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shall be deemed to be cash for purposes of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provision and for no other purpose.</w:t>
      </w:r>
    </w:p>
    <w:p>
      <w:pPr>
        <w:spacing w:after="0" w:line="183" w:lineRule="exact"/>
        <w:rPr>
          <w:sz w:val="20"/>
          <w:szCs w:val="20"/>
          <w:color w:val="auto"/>
        </w:rPr>
      </w:pPr>
    </w:p>
    <w:p>
      <w:pPr>
        <w:jc w:val="both"/>
        <w:ind w:left="1140" w:right="1219" w:firstLine="1033"/>
        <w:spacing w:after="0" w:line="275" w:lineRule="auto"/>
        <w:rPr>
          <w:sz w:val="20"/>
          <w:szCs w:val="20"/>
          <w:color w:val="auto"/>
        </w:rPr>
      </w:pPr>
      <w:r>
        <w:rPr>
          <w:rFonts w:ascii="Times New Roman" w:cs="Times New Roman" w:eastAsia="Times New Roman" w:hAnsi="Times New Roman"/>
          <w:sz w:val="14"/>
          <w:szCs w:val="14"/>
          <w:color w:val="auto"/>
        </w:rPr>
        <w:t>Within the Reinvestment Period after the Borrower’s or any Restricted Subsidiary’s receipt of the Net Cash Proceeds of any Asset Sale, the Borrower or such Restricted Subsidiary shall apply the Net Cash Proceeds from such Asset Sale:</w:t>
      </w:r>
    </w:p>
    <w:p>
      <w:pPr>
        <w:spacing w:after="0" w:line="135" w:lineRule="exact"/>
        <w:rPr>
          <w:sz w:val="20"/>
          <w:szCs w:val="20"/>
          <w:color w:val="auto"/>
        </w:rPr>
      </w:pPr>
    </w:p>
    <w:p>
      <w:pPr>
        <w:ind w:left="2980" w:hanging="284"/>
        <w:spacing w:after="0"/>
        <w:tabs>
          <w:tab w:leader="none" w:pos="2980"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prepay Loans or Permitted Other Indebtedness in accordance with </w:t>
      </w:r>
      <w:r>
        <w:rPr>
          <w:rFonts w:ascii="Times New Roman" w:cs="Times New Roman" w:eastAsia="Times New Roman" w:hAnsi="Times New Roman"/>
          <w:sz w:val="14"/>
          <w:szCs w:val="14"/>
          <w:u w:val="single" w:color="auto"/>
          <w:color w:val="auto"/>
        </w:rPr>
        <w:t>Section 5.2(a)</w:t>
      </w:r>
    </w:p>
    <w:p>
      <w:pPr>
        <w:spacing w:after="0" w:line="24" w:lineRule="exact"/>
        <w:rPr>
          <w:rFonts w:ascii="Times New Roman" w:cs="Times New Roman" w:eastAsia="Times New Roman" w:hAnsi="Times New Roman"/>
          <w:sz w:val="14"/>
          <w:szCs w:val="14"/>
          <w:color w:val="auto"/>
        </w:rPr>
      </w:pPr>
    </w:p>
    <w:p>
      <w:pPr>
        <w:ind w:left="21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w:t>
      </w:r>
      <w:r>
        <w:rPr>
          <w:rFonts w:ascii="Times New Roman" w:cs="Times New Roman" w:eastAsia="Times New Roman" w:hAnsi="Times New Roman"/>
          <w:sz w:val="14"/>
          <w:szCs w:val="14"/>
          <w:color w:val="auto"/>
        </w:rPr>
        <w:t>; and/or</w:t>
      </w:r>
    </w:p>
    <w:p>
      <w:pPr>
        <w:spacing w:after="0" w:line="169" w:lineRule="exact"/>
        <w:rPr>
          <w:rFonts w:ascii="Times New Roman" w:cs="Times New Roman" w:eastAsia="Times New Roman" w:hAnsi="Times New Roman"/>
          <w:sz w:val="14"/>
          <w:szCs w:val="14"/>
          <w:color w:val="auto"/>
        </w:rPr>
      </w:pPr>
    </w:p>
    <w:p>
      <w:pPr>
        <w:jc w:val="both"/>
        <w:ind w:left="2180" w:right="1159" w:firstLine="516"/>
        <w:spacing w:after="0" w:line="260" w:lineRule="auto"/>
        <w:tabs>
          <w:tab w:leader="none" w:pos="2983" w:val="left"/>
        </w:tabs>
        <w:numPr>
          <w:ilvl w:val="1"/>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to make investments in the Borrower and its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Borrower and the Restricted Subsidiaries will be deemed to have complied with this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if and to the extent that, within the Reinvestment Period after the Asset Sale that generated the Net Cash Proceeds, the Borrower or such Restricted Subsidiary has entered into and not abandoned or rejected a binding agreement or letter of intent to consummate any such investment described in this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the Borrower or such Restricted Subsidiary prepays the Loans in accordance with </w:t>
      </w:r>
      <w:r>
        <w:rPr>
          <w:rFonts w:ascii="Times New Roman" w:cs="Times New Roman" w:eastAsia="Times New Roman" w:hAnsi="Times New Roman"/>
          <w:sz w:val="14"/>
          <w:szCs w:val="14"/>
          <w:u w:val="single" w:color="auto"/>
          <w:color w:val="auto"/>
        </w:rPr>
        <w:t>Section 5.2(a)(i)</w:t>
      </w:r>
      <w:r>
        <w:rPr>
          <w:rFonts w:ascii="Times New Roman" w:cs="Times New Roman" w:eastAsia="Times New Roman" w:hAnsi="Times New Roman"/>
          <w:sz w:val="14"/>
          <w:szCs w:val="14"/>
          <w:color w:val="auto"/>
        </w:rPr>
        <w:t>.</w:t>
      </w:r>
    </w:p>
    <w:p>
      <w:pPr>
        <w:spacing w:after="0" w:line="160" w:lineRule="exact"/>
        <w:rPr>
          <w:rFonts w:ascii="Times New Roman" w:cs="Times New Roman" w:eastAsia="Times New Roman" w:hAnsi="Times New Roman"/>
          <w:sz w:val="14"/>
          <w:szCs w:val="14"/>
          <w:color w:val="auto"/>
        </w:rPr>
      </w:pPr>
    </w:p>
    <w:p>
      <w:pPr>
        <w:jc w:val="both"/>
        <w:ind w:left="1140" w:right="1159" w:firstLine="524"/>
        <w:spacing w:after="0" w:line="268" w:lineRule="auto"/>
        <w:tabs>
          <w:tab w:leader="none" w:pos="1972" w:val="left"/>
        </w:tabs>
        <w:numPr>
          <w:ilvl w:val="0"/>
          <w:numId w:val="24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Pending the final application of any Net Cash Proceeds pursuant to this covenant, the Borrower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10.5 </w:t>
      </w:r>
      <w:r>
        <w:rPr>
          <w:rFonts w:ascii="Times New Roman" w:cs="Times New Roman" w:eastAsia="Times New Roman" w:hAnsi="Times New Roman"/>
          <w:sz w:val="14"/>
          <w:szCs w:val="14"/>
          <w:u w:val="single" w:color="auto"/>
          <w:color w:val="auto"/>
        </w:rPr>
        <w:t>Limitation on Restricted Payments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980" w:hanging="316"/>
        <w:spacing w:after="0"/>
        <w:tabs>
          <w:tab w:leader="none" w:pos="1980" w:val="left"/>
        </w:tabs>
        <w:numPr>
          <w:ilvl w:val="0"/>
          <w:numId w:val="24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will not, and will not permit any of its Restricted Subsidiaries to, directly or indirectly:</w:t>
      </w:r>
    </w:p>
    <w:p>
      <w:pPr>
        <w:spacing w:after="0" w:line="183" w:lineRule="exact"/>
        <w:rPr>
          <w:rFonts w:ascii="Times New Roman" w:cs="Times New Roman" w:eastAsia="Times New Roman" w:hAnsi="Times New Roman"/>
          <w:sz w:val="14"/>
          <w:szCs w:val="14"/>
          <w:color w:val="010000"/>
        </w:rPr>
      </w:pPr>
    </w:p>
    <w:p>
      <w:pPr>
        <w:ind w:left="1660" w:right="1279" w:firstLine="520"/>
        <w:spacing w:after="0" w:line="275" w:lineRule="auto"/>
        <w:tabs>
          <w:tab w:leader="none" w:pos="2463"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declare or pay any dividend or make any payment or distribution on account of the Borrower’s or any Restricted Subsidiary’s Equity Interests, including any dividend or distribution payable in connection with any merger or consolidation, other than:</w:t>
      </w:r>
    </w:p>
    <w:p>
      <w:pPr>
        <w:spacing w:after="0" w:line="135" w:lineRule="exact"/>
        <w:rPr>
          <w:rFonts w:ascii="Times New Roman" w:cs="Times New Roman" w:eastAsia="Times New Roman" w:hAnsi="Times New Roman"/>
          <w:sz w:val="14"/>
          <w:szCs w:val="14"/>
          <w:color w:val="auto"/>
        </w:rPr>
      </w:pPr>
    </w:p>
    <w:p>
      <w:pPr>
        <w:jc w:val="both"/>
        <w:ind w:left="2180" w:right="1159" w:firstLine="516"/>
        <w:spacing w:after="0" w:line="275" w:lineRule="auto"/>
        <w:tabs>
          <w:tab w:leader="none" w:pos="2983" w:val="left"/>
        </w:tabs>
        <w:numPr>
          <w:ilvl w:val="2"/>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or distributions by the Borrower payable in Equity Interests (other than Disqualified Stock) of the Borrower or in options, warrants or other rights to purchase such Equity Interests, or</w:t>
      </w:r>
    </w:p>
    <w:p>
      <w:pPr>
        <w:spacing w:after="0" w:line="135" w:lineRule="exact"/>
        <w:rPr>
          <w:rFonts w:ascii="Times New Roman" w:cs="Times New Roman" w:eastAsia="Times New Roman" w:hAnsi="Times New Roman"/>
          <w:sz w:val="14"/>
          <w:szCs w:val="14"/>
          <w:color w:val="auto"/>
        </w:rPr>
      </w:pPr>
    </w:p>
    <w:p>
      <w:pPr>
        <w:jc w:val="both"/>
        <w:ind w:left="2180" w:right="1159" w:firstLine="516"/>
        <w:spacing w:after="0" w:line="175" w:lineRule="exact"/>
        <w:tabs>
          <w:tab w:leader="none" w:pos="2983" w:val="left"/>
        </w:tabs>
        <w:numPr>
          <w:ilvl w:val="2"/>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dividends or distributions by a Restricted Subsidiary so long as, in the case of any dividend or distribution payable on or in respect of any class or series of securities issued by a Subsidiary other than a Wholly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Owned Subsidiary, the Borrower or a Restricted Subsidiary receives at least its pro rata share of such dividend or distribution in accordance with its Equity Interests in such class or series of securities;</w:t>
      </w:r>
    </w:p>
    <w:p>
      <w:pPr>
        <w:spacing w:after="0" w:line="160" w:lineRule="exact"/>
        <w:rPr>
          <w:rFonts w:ascii="Times New Roman" w:cs="Times New Roman" w:eastAsia="Times New Roman" w:hAnsi="Times New Roman"/>
          <w:sz w:val="14"/>
          <w:szCs w:val="14"/>
          <w:color w:val="auto"/>
        </w:rPr>
      </w:pPr>
    </w:p>
    <w:p>
      <w:pPr>
        <w:ind w:left="1660" w:right="1239" w:firstLine="520"/>
        <w:spacing w:after="0" w:line="275" w:lineRule="auto"/>
        <w:tabs>
          <w:tab w:leader="none" w:pos="2463"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redeem, defease or otherwise acquire or retire for value any Equity Interests of the Borrower or any direct or indirect parent company of the Borrower, including in connection with any merger or consolidation;</w:t>
      </w:r>
    </w:p>
    <w:p>
      <w:pPr>
        <w:spacing w:after="0" w:line="135" w:lineRule="exact"/>
        <w:rPr>
          <w:rFonts w:ascii="Times New Roman" w:cs="Times New Roman" w:eastAsia="Times New Roman" w:hAnsi="Times New Roman"/>
          <w:sz w:val="14"/>
          <w:szCs w:val="14"/>
          <w:color w:val="auto"/>
        </w:rPr>
      </w:pPr>
    </w:p>
    <w:p>
      <w:pPr>
        <w:ind w:left="1660" w:right="1199" w:firstLine="520"/>
        <w:spacing w:after="0" w:line="268" w:lineRule="auto"/>
        <w:tabs>
          <w:tab w:leader="none" w:pos="2463" w:val="left"/>
        </w:tabs>
        <w:numPr>
          <w:ilvl w:val="1"/>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make any principal payment on, or redeem, repurchase, defease or otherwise acquire or retire for value, in each case, prior to any scheduled repayment, sinking fund payment or maturity, any Junior Debt of the Borrower or any Restricted Subsidiary, other than (A) Indebtedness permitted under </w:t>
      </w:r>
      <w:r>
        <w:rPr>
          <w:rFonts w:ascii="Times New Roman" w:cs="Times New Roman" w:eastAsia="Times New Roman" w:hAnsi="Times New Roman"/>
          <w:sz w:val="14"/>
          <w:szCs w:val="14"/>
          <w:u w:val="single" w:color="auto"/>
          <w:color w:val="auto"/>
        </w:rPr>
        <w:t>clauses (g)</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(h)</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or (B) the purchase, repurchase or other acquisition of Junior Debt</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234" w:name="page235"/>
    <w:bookmarkEnd w:id="234"/>
    <w:p>
      <w:pPr>
        <w:ind w:left="1660" w:right="1279"/>
        <w:spacing w:after="0" w:line="293" w:lineRule="auto"/>
        <w:rPr>
          <w:sz w:val="20"/>
          <w:szCs w:val="20"/>
          <w:color w:val="auto"/>
        </w:rPr>
      </w:pPr>
      <w:r>
        <w:rPr>
          <w:rFonts w:ascii="Times New Roman" w:cs="Times New Roman" w:eastAsia="Times New Roman" w:hAnsi="Times New Roman"/>
          <w:sz w:val="14"/>
          <w:szCs w:val="14"/>
          <w:color w:val="auto"/>
        </w:rPr>
        <w:t>purchased in anticipation of satisfying a sinking fund obligation, principal installment or final maturity, in each case due within one year of the date of purchase, repurchase or acquisition; or</w:t>
      </w:r>
    </w:p>
    <w:p>
      <w:pPr>
        <w:spacing w:after="0" w:line="123" w:lineRule="exact"/>
        <w:rPr>
          <w:sz w:val="20"/>
          <w:szCs w:val="20"/>
          <w:color w:val="auto"/>
        </w:rPr>
      </w:pPr>
    </w:p>
    <w:p>
      <w:pPr>
        <w:ind w:left="2180"/>
        <w:spacing w:after="0"/>
        <w:tabs>
          <w:tab w:leader="none" w:pos="2440" w:val="left"/>
        </w:tabs>
        <w:rPr>
          <w:sz w:val="20"/>
          <w:szCs w:val="20"/>
          <w:color w:val="auto"/>
        </w:rPr>
      </w:pPr>
      <w:r>
        <w:rPr>
          <w:rFonts w:ascii="Times New Roman" w:cs="Times New Roman" w:eastAsia="Times New Roman" w:hAnsi="Times New Roman"/>
          <w:sz w:val="14"/>
          <w:szCs w:val="14"/>
          <w:color w:val="auto"/>
        </w:rPr>
        <w:t>(4)</w:t>
        <w:tab/>
        <w:t>make any Restricted Investment;</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 xml:space="preserve">(all such payments and other actions set forth in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xml:space="preserve"> above (other than any exception thereto)</w:t>
      </w:r>
    </w:p>
    <w:p>
      <w:pPr>
        <w:spacing w:after="0" w:line="2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4"/>
          <w:szCs w:val="14"/>
          <w:color w:val="auto"/>
        </w:rPr>
        <w:t>being collectively referred to as “</w:t>
      </w:r>
      <w:r>
        <w:rPr>
          <w:rFonts w:ascii="Times New Roman" w:cs="Times New Roman" w:eastAsia="Times New Roman" w:hAnsi="Times New Roman"/>
          <w:sz w:val="14"/>
          <w:szCs w:val="14"/>
          <w:b w:val="1"/>
          <w:bCs w:val="1"/>
          <w:color w:val="auto"/>
        </w:rPr>
        <w:t>Restricted Payments</w:t>
      </w:r>
      <w:r>
        <w:rPr>
          <w:rFonts w:ascii="Times New Roman" w:cs="Times New Roman" w:eastAsia="Times New Roman" w:hAnsi="Times New Roman"/>
          <w:sz w:val="14"/>
          <w:szCs w:val="14"/>
          <w:color w:val="auto"/>
        </w:rPr>
        <w:t>”), unless, at the time of such Restricted Payment:</w:t>
      </w:r>
    </w:p>
    <w:p>
      <w:pPr>
        <w:spacing w:after="0" w:line="180" w:lineRule="exact"/>
        <w:rPr>
          <w:sz w:val="20"/>
          <w:szCs w:val="20"/>
          <w:color w:val="auto"/>
        </w:rPr>
      </w:pPr>
    </w:p>
    <w:p>
      <w:pPr>
        <w:jc w:val="both"/>
        <w:ind w:left="1140" w:right="1159" w:firstLine="524"/>
        <w:spacing w:after="0" w:line="275" w:lineRule="auto"/>
        <w:tabs>
          <w:tab w:leader="none" w:pos="1972" w:val="left"/>
        </w:tabs>
        <w:numPr>
          <w:ilvl w:val="0"/>
          <w:numId w:val="2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 Event of Default shall have occurred and be continuing or would occur as a consequence thereof (or in the case of a Restricted Investment, no Event of Default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shall have occurred and be continuing or would occur as a consequence thereof);</w:t>
      </w:r>
    </w:p>
    <w:p>
      <w:pPr>
        <w:spacing w:after="0" w:line="145"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2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[reserved]; and</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24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such Restricted Payment, together with the aggregate amount of all other Restricted Payments made by the Borrower and the Restricted Subsidiaries after the Closing Date (including Restricted Payments permitted by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w:t>
      </w:r>
      <w:r>
        <w:rPr>
          <w:rFonts w:ascii="Times New Roman" w:cs="Times New Roman" w:eastAsia="Times New Roman" w:hAnsi="Times New Roman"/>
          <w:sz w:val="14"/>
          <w:szCs w:val="14"/>
          <w:color w:val="auto"/>
        </w:rPr>
        <w:t xml:space="preserve"> (with respect to the payment of dividends on Refunding Capital Stock pursuant to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thereof only) and </w:t>
      </w:r>
      <w:r>
        <w:rPr>
          <w:rFonts w:ascii="Times New Roman" w:cs="Times New Roman" w:eastAsia="Times New Roman" w:hAnsi="Times New Roman"/>
          <w:sz w:val="14"/>
          <w:szCs w:val="14"/>
          <w:u w:val="single" w:color="auto"/>
          <w:color w:val="auto"/>
        </w:rPr>
        <w:t>6(C)</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below, but excluding all other Restricted Payments permitted by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is less than the sum of (without duplication) (the sum of the amounts attributable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(G)</w:t>
      </w:r>
      <w:r>
        <w:rPr>
          <w:rFonts w:ascii="Times New Roman" w:cs="Times New Roman" w:eastAsia="Times New Roman" w:hAnsi="Times New Roman"/>
          <w:sz w:val="14"/>
          <w:szCs w:val="14"/>
          <w:color w:val="auto"/>
        </w:rPr>
        <w:t xml:space="preserve"> below is referred to herein as the “</w:t>
      </w:r>
      <w:r>
        <w:rPr>
          <w:rFonts w:ascii="Times New Roman" w:cs="Times New Roman" w:eastAsia="Times New Roman" w:hAnsi="Times New Roman"/>
          <w:sz w:val="14"/>
          <w:szCs w:val="14"/>
          <w:b w:val="1"/>
          <w:bCs w:val="1"/>
          <w:color w:val="auto"/>
        </w:rPr>
        <w:t>Available Amount</w:t>
      </w:r>
      <w:r>
        <w:rPr>
          <w:rFonts w:ascii="Times New Roman" w:cs="Times New Roman" w:eastAsia="Times New Roman" w:hAnsi="Times New Roman"/>
          <w:sz w:val="14"/>
          <w:szCs w:val="14"/>
          <w:color w:val="auto"/>
        </w:rPr>
        <w:t>”):</w:t>
      </w:r>
    </w:p>
    <w:p>
      <w:pPr>
        <w:spacing w:after="0" w:line="153" w:lineRule="exact"/>
        <w:rPr>
          <w:rFonts w:ascii="Times New Roman" w:cs="Times New Roman" w:eastAsia="Times New Roman" w:hAnsi="Times New Roman"/>
          <w:sz w:val="14"/>
          <w:szCs w:val="14"/>
          <w:color w:val="010000"/>
        </w:rPr>
      </w:pPr>
    </w:p>
    <w:p>
      <w:pPr>
        <w:jc w:val="both"/>
        <w:ind w:left="2180" w:right="1159" w:firstLine="516"/>
        <w:spacing w:after="0" w:line="256" w:lineRule="auto"/>
        <w:tabs>
          <w:tab w:leader="none" w:pos="3012" w:val="left"/>
        </w:tabs>
        <w:numPr>
          <w:ilvl w:val="2"/>
          <w:numId w:val="248"/>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50% of the Consolidated Net Income of the Borrower for the period (taken as one accounting period) from the first day of the fiscal quarter during which the Closing Date occurs to the end of the Borrower’s most recently ended fiscal quarter for which internal financial statements are available at the time of such Restricted Payment, </w:t>
      </w:r>
      <w:r>
        <w:rPr>
          <w:rFonts w:ascii="Times New Roman" w:cs="Times New Roman" w:eastAsia="Times New Roman" w:hAnsi="Times New Roman"/>
          <w:sz w:val="14"/>
          <w:szCs w:val="14"/>
          <w:i w:val="1"/>
          <w:iCs w:val="1"/>
          <w:color w:val="auto"/>
        </w:rPr>
        <w:t>plus</w:t>
      </w:r>
    </w:p>
    <w:p>
      <w:pPr>
        <w:spacing w:after="0" w:line="160" w:lineRule="exact"/>
        <w:rPr>
          <w:rFonts w:ascii="Times New Roman" w:cs="Times New Roman" w:eastAsia="Times New Roman" w:hAnsi="Times New Roman"/>
          <w:sz w:val="16"/>
          <w:szCs w:val="16"/>
          <w:color w:val="010000"/>
        </w:rPr>
      </w:pPr>
    </w:p>
    <w:p>
      <w:pPr>
        <w:jc w:val="both"/>
        <w:ind w:left="2180" w:right="1159" w:firstLine="516"/>
        <w:spacing w:after="0" w:line="252" w:lineRule="auto"/>
        <w:tabs>
          <w:tab w:leader="none" w:pos="3012" w:val="left"/>
        </w:tabs>
        <w:numPr>
          <w:ilvl w:val="2"/>
          <w:numId w:val="248"/>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100% of the aggregate net cash proceeds and the Fair Market Value of marketable securities or other property received by the Borrower since immediately after the Closing Date (other than (i) net cash proceeds to the extent such net cash proceeds have been used to incur Indebtedness, Disqualified Stock or preferred stock pursuant to </w:t>
      </w:r>
      <w:r>
        <w:rPr>
          <w:rFonts w:ascii="Times New Roman" w:cs="Times New Roman" w:eastAsia="Times New Roman" w:hAnsi="Times New Roman"/>
          <w:sz w:val="14"/>
          <w:szCs w:val="14"/>
          <w:u w:val="single" w:color="auto"/>
          <w:color w:val="auto"/>
        </w:rPr>
        <w:t>clause (l)(i)</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and</w:t>
      </w:r>
    </w:p>
    <w:p>
      <w:pPr>
        <w:spacing w:after="0" w:line="1" w:lineRule="exact"/>
        <w:rPr>
          <w:rFonts w:ascii="Times New Roman" w:cs="Times New Roman" w:eastAsia="Times New Roman" w:hAnsi="Times New Roman"/>
          <w:sz w:val="16"/>
          <w:szCs w:val="16"/>
          <w:color w:val="010000"/>
        </w:rPr>
      </w:pPr>
    </w:p>
    <w:p>
      <w:pPr>
        <w:jc w:val="both"/>
        <w:ind w:left="2180" w:right="1159"/>
        <w:spacing w:after="0" w:line="256" w:lineRule="auto"/>
        <w:tabs>
          <w:tab w:leader="none" w:pos="2408" w:val="left"/>
        </w:tabs>
        <w:numPr>
          <w:ilvl w:val="1"/>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proceeds from Cure Amounts and amounts received from a Restricted Subsidiary) from the issue or sale of (x) Equity Interests of the Borrower, including Retired Capital Stock, but excluding cash proceeds and the Fair Market Value of marketable securities or other property received from the sale of (A) Equity Interests to any employee, director, manager or consultant of the Borrower, any direct or indirect parent company of the Borrower and the Borrower’s Subsidiaries after the Closing Date to the extent such amounts have been applied to Restricted Payments made in accordance with </w:t>
      </w:r>
      <w:r>
        <w:rPr>
          <w:rFonts w:ascii="Times New Roman" w:cs="Times New Roman" w:eastAsia="Times New Roman" w:hAnsi="Times New Roman"/>
          <w:sz w:val="14"/>
          <w:szCs w:val="14"/>
          <w:u w:val="single" w:color="auto"/>
          <w:color w:val="auto"/>
        </w:rPr>
        <w:t>clause (4)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below, and (B) Designated Preferred Stock, and, to the extent such net cash proceeds are actually contributed to the Borrower, Equity Interests of any direct or indirect parent company of the Borrower (excluding contributions of the proceeds from the sale of Designated Preferred Stock of such companies or contributions to the extent such amounts have been applied to Restricted Payments made in accordance with </w:t>
      </w:r>
      <w:r>
        <w:rPr>
          <w:rFonts w:ascii="Times New Roman" w:cs="Times New Roman" w:eastAsia="Times New Roman" w:hAnsi="Times New Roman"/>
          <w:sz w:val="14"/>
          <w:szCs w:val="14"/>
          <w:u w:val="single" w:color="auto"/>
          <w:color w:val="auto"/>
        </w:rPr>
        <w:t>clause</w:t>
      </w:r>
    </w:p>
    <w:p>
      <w:pPr>
        <w:spacing w:after="0" w:line="4" w:lineRule="exact"/>
        <w:rPr>
          <w:rFonts w:ascii="Times New Roman" w:cs="Times New Roman" w:eastAsia="Times New Roman" w:hAnsi="Times New Roman"/>
          <w:sz w:val="14"/>
          <w:szCs w:val="14"/>
          <w:color w:val="auto"/>
        </w:rPr>
      </w:pPr>
    </w:p>
    <w:p>
      <w:pPr>
        <w:jc w:val="both"/>
        <w:ind w:left="2180" w:right="115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(4)</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below) or (y) Indebtedness of the Borrower or a Restricted Subsidiary that has been converted into or exchanged for such Equity Interests of the Borrower or any direct or indirect parent company of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not include the proceeds from (a) Refunding Capital Stock, (b) Equity Interests or Indebtedness that has been converted or exchanged for Equity Interests of the Borrower sold to a Restricted Subsidiary or the Borrower, as the case may be, (c) Disqualified Stock or Indebtedness that has been converted or exchanged into Disqualified Stock or (d) Excluded Contributions, </w:t>
      </w:r>
      <w:r>
        <w:rPr>
          <w:rFonts w:ascii="Times New Roman" w:cs="Times New Roman" w:eastAsia="Times New Roman" w:hAnsi="Times New Roman"/>
          <w:sz w:val="14"/>
          <w:szCs w:val="14"/>
          <w:i w:val="1"/>
          <w:iCs w:val="1"/>
          <w:color w:val="auto"/>
        </w:rPr>
        <w:t>plus</w:t>
      </w:r>
    </w:p>
    <w:p>
      <w:pPr>
        <w:spacing w:after="0" w:line="158" w:lineRule="exact"/>
        <w:rPr>
          <w:rFonts w:ascii="Times New Roman" w:cs="Times New Roman" w:eastAsia="Times New Roman" w:hAnsi="Times New Roman"/>
          <w:sz w:val="14"/>
          <w:szCs w:val="14"/>
          <w:color w:val="auto"/>
        </w:rPr>
      </w:pPr>
    </w:p>
    <w:p>
      <w:pPr>
        <w:jc w:val="both"/>
        <w:ind w:left="2180" w:right="1159" w:firstLine="516"/>
        <w:spacing w:after="0" w:line="256" w:lineRule="auto"/>
        <w:tabs>
          <w:tab w:leader="none" w:pos="3022" w:val="left"/>
        </w:tabs>
        <w:numPr>
          <w:ilvl w:val="2"/>
          <w:numId w:val="249"/>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100% of the aggregate amount of cash and the Fair Market Value of marketable securities or other property contributed to the capital of the Borrower following the Closing Date (other than net cash proceeds from Cure Amounts or to the extent such net cash proceeds (i) have been used to incur Indebtedness, Disqualified Stock or preferred stock pursuant to </w:t>
      </w:r>
      <w:r>
        <w:rPr>
          <w:rFonts w:ascii="Times New Roman" w:cs="Times New Roman" w:eastAsia="Times New Roman" w:hAnsi="Times New Roman"/>
          <w:sz w:val="14"/>
          <w:szCs w:val="14"/>
          <w:u w:val="single" w:color="auto"/>
          <w:color w:val="auto"/>
        </w:rPr>
        <w:t>clause (l)(i)</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(ii) are contributed by a Restricted Subsidiary or (iii) constitute Excluded Contributions), </w:t>
      </w:r>
      <w:r>
        <w:rPr>
          <w:rFonts w:ascii="Times New Roman" w:cs="Times New Roman" w:eastAsia="Times New Roman" w:hAnsi="Times New Roman"/>
          <w:sz w:val="14"/>
          <w:szCs w:val="14"/>
          <w:i w:val="1"/>
          <w:iCs w:val="1"/>
          <w:color w:val="auto"/>
        </w:rPr>
        <w:t>plus</w:t>
      </w:r>
    </w:p>
    <w:p>
      <w:pPr>
        <w:spacing w:after="0" w:line="23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35" w:name="page236"/>
    <w:bookmarkEnd w:id="235"/>
    <w:p>
      <w:pPr>
        <w:jc w:val="both"/>
        <w:ind w:left="2180" w:right="1159" w:firstLine="516"/>
        <w:spacing w:after="0" w:line="256" w:lineRule="auto"/>
        <w:tabs>
          <w:tab w:leader="none" w:pos="3033" w:val="left"/>
        </w:tabs>
        <w:numPr>
          <w:ilvl w:val="2"/>
          <w:numId w:val="25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100% of the aggregate amount received in cash and the Fair Market Value of marketable securities or other property received by means of (A) the sale or other disposition (other than to the Borrower or a Restricted Subsidiary) of Restricted Investments made by the Borrower and the Restricted Subsidiaries and repurchases and redemptions of such Restricted Investments from the Borrower and the Restricted Subsidiaries and repayments of loans or advances, and releases of guarantees, which constitute Restricted Investments made by the Borrower or the Restricted Subsidiaries, in each case, after the Closing Date; or (B) the sale (other than to the Borrower or a Restricted Subsidiary) of the stock of an Unrestricted Subsidiary or a distribution from an Unrestricted Subsidiary (other than, in each case, to the extent the Investment in such Unrestricted Subsidiary was made by the Borrower or a Restricted Subsidiary pursuant to </w:t>
      </w:r>
      <w:r>
        <w:rPr>
          <w:rFonts w:ascii="Times New Roman" w:cs="Times New Roman" w:eastAsia="Times New Roman" w:hAnsi="Times New Roman"/>
          <w:sz w:val="14"/>
          <w:szCs w:val="14"/>
          <w:u w:val="single" w:color="auto"/>
          <w:color w:val="auto"/>
        </w:rPr>
        <w:t>clause (7)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below at the time made or to the extent such Investment constituted a Permitted Investment) or a distribution or dividend from an Unrestricted Subsidiary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amount shall not be in excess of the amount of the original Investment; </w:t>
      </w:r>
      <w:r>
        <w:rPr>
          <w:rFonts w:ascii="Times New Roman" w:cs="Times New Roman" w:eastAsia="Times New Roman" w:hAnsi="Times New Roman"/>
          <w:sz w:val="14"/>
          <w:szCs w:val="14"/>
          <w:i w:val="1"/>
          <w:iCs w:val="1"/>
          <w:color w:val="auto"/>
        </w:rPr>
        <w:t>plus</w:t>
      </w:r>
    </w:p>
    <w:p>
      <w:pPr>
        <w:spacing w:after="0" w:line="336" w:lineRule="exact"/>
        <w:rPr>
          <w:rFonts w:ascii="Times New Roman" w:cs="Times New Roman" w:eastAsia="Times New Roman" w:hAnsi="Times New Roman"/>
          <w:sz w:val="16"/>
          <w:szCs w:val="16"/>
          <w:color w:val="010000"/>
        </w:rPr>
      </w:pPr>
    </w:p>
    <w:p>
      <w:pPr>
        <w:jc w:val="both"/>
        <w:ind w:left="2180" w:right="1159" w:firstLine="516"/>
        <w:spacing w:after="0" w:line="256" w:lineRule="auto"/>
        <w:tabs>
          <w:tab w:leader="none" w:pos="3044" w:val="left"/>
        </w:tabs>
        <w:numPr>
          <w:ilvl w:val="2"/>
          <w:numId w:val="25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 xml:space="preserve">in the case of the redesignation of an Unrestricted Subsidiary as a Restricted Subsidiary after the Closing Date, the Fair Market Value of the Investment in such Unrestricted Subsidiary at the time of the redesignation of such Unrestricted Subsidiary as a Restricted Subsidiary, other than to the extent the Investment in such Unrestricted Subsidiary was made by the Borrower or a Restricted Subsidiary pursuant to </w:t>
      </w:r>
      <w:r>
        <w:rPr>
          <w:rFonts w:ascii="Times New Roman" w:cs="Times New Roman" w:eastAsia="Times New Roman" w:hAnsi="Times New Roman"/>
          <w:sz w:val="14"/>
          <w:szCs w:val="14"/>
          <w:u w:val="single" w:color="auto"/>
          <w:color w:val="auto"/>
        </w:rPr>
        <w:t>clause (7)</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below at the time made or to the extent such Investment constituted a Permitted Investment;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amount shall not be in excess of the amount of the original Investment; </w:t>
      </w:r>
      <w:r>
        <w:rPr>
          <w:rFonts w:ascii="Times New Roman" w:cs="Times New Roman" w:eastAsia="Times New Roman" w:hAnsi="Times New Roman"/>
          <w:sz w:val="14"/>
          <w:szCs w:val="14"/>
          <w:i w:val="1"/>
          <w:iCs w:val="1"/>
          <w:color w:val="auto"/>
        </w:rPr>
        <w:t>plus</w:t>
      </w:r>
    </w:p>
    <w:p>
      <w:pPr>
        <w:spacing w:after="0" w:line="161" w:lineRule="exact"/>
        <w:rPr>
          <w:rFonts w:ascii="Times New Roman" w:cs="Times New Roman" w:eastAsia="Times New Roman" w:hAnsi="Times New Roman"/>
          <w:sz w:val="16"/>
          <w:szCs w:val="16"/>
          <w:color w:val="010000"/>
        </w:rPr>
      </w:pPr>
    </w:p>
    <w:p>
      <w:pPr>
        <w:ind w:left="3020" w:hanging="324"/>
        <w:spacing w:after="0"/>
        <w:tabs>
          <w:tab w:leader="none" w:pos="3020" w:val="left"/>
        </w:tabs>
        <w:numPr>
          <w:ilvl w:val="2"/>
          <w:numId w:val="25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the aggregate amount of any Retained Declined Proceeds since the Closing Date,</w:t>
      </w:r>
    </w:p>
    <w:p>
      <w:pPr>
        <w:spacing w:after="0" w:line="4" w:lineRule="exact"/>
        <w:rPr>
          <w:rFonts w:ascii="Times New Roman" w:cs="Times New Roman" w:eastAsia="Times New Roman" w:hAnsi="Times New Roman"/>
          <w:sz w:val="16"/>
          <w:szCs w:val="16"/>
          <w:color w:val="010000"/>
        </w:rPr>
      </w:pPr>
    </w:p>
    <w:p>
      <w:pPr>
        <w:ind w:left="2180"/>
        <w:spacing w:after="0"/>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i w:val="1"/>
          <w:iCs w:val="1"/>
          <w:color w:val="auto"/>
        </w:rPr>
        <w:t>plus</w:t>
      </w:r>
    </w:p>
    <w:p>
      <w:pPr>
        <w:spacing w:after="0" w:line="178" w:lineRule="exact"/>
        <w:rPr>
          <w:rFonts w:ascii="Times New Roman" w:cs="Times New Roman" w:eastAsia="Times New Roman" w:hAnsi="Times New Roman"/>
          <w:sz w:val="16"/>
          <w:szCs w:val="16"/>
          <w:color w:val="010000"/>
        </w:rPr>
      </w:pPr>
    </w:p>
    <w:p>
      <w:pPr>
        <w:jc w:val="both"/>
        <w:ind w:left="2180" w:right="1159" w:firstLine="516"/>
        <w:spacing w:after="0" w:line="259" w:lineRule="auto"/>
        <w:tabs>
          <w:tab w:leader="none" w:pos="3033" w:val="left"/>
        </w:tabs>
        <w:numPr>
          <w:ilvl w:val="2"/>
          <w:numId w:val="250"/>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an aggregate amount not to exceed the greater of $</w:t>
      </w:r>
      <w:r>
        <w:rPr>
          <w:rFonts w:ascii="Times New Roman" w:cs="Times New Roman" w:eastAsia="Times New Roman" w:hAnsi="Times New Roman"/>
          <w:sz w:val="14"/>
          <w:szCs w:val="14"/>
          <w:color w:val="FF0000"/>
          <w:strike w:val="1"/>
        </w:rPr>
        <w:t>110</w:t>
      </w:r>
      <w:r>
        <w:rPr>
          <w:rFonts w:ascii="Times New Roman" w:cs="Times New Roman" w:eastAsia="Times New Roman" w:hAnsi="Times New Roman"/>
          <w:sz w:val="14"/>
          <w:szCs w:val="14"/>
          <w:u w:val="single" w:color="auto"/>
          <w:color w:val="0000FF"/>
        </w:rPr>
        <w:t>175</w:t>
      </w:r>
      <w:r>
        <w:rPr>
          <w:rFonts w:ascii="Times New Roman" w:cs="Times New Roman" w:eastAsia="Times New Roman" w:hAnsi="Times New Roman"/>
          <w:sz w:val="14"/>
          <w:szCs w:val="14"/>
          <w:color w:val="auto"/>
        </w:rPr>
        <w:t xml:space="preserve"> million and 30% of Consolidated EBITDA for the most recently ended Test Period (calculated on a Pro Forma Basis).</w:t>
      </w:r>
    </w:p>
    <w:p>
      <w:pPr>
        <w:spacing w:after="0" w:line="154" w:lineRule="exact"/>
        <w:rPr>
          <w:rFonts w:ascii="Times New Roman" w:cs="Times New Roman" w:eastAsia="Times New Roman" w:hAnsi="Times New Roman"/>
          <w:sz w:val="16"/>
          <w:szCs w:val="16"/>
          <w:color w:val="010000"/>
        </w:rPr>
      </w:pPr>
    </w:p>
    <w:p>
      <w:pPr>
        <w:ind w:left="1980" w:hanging="316"/>
        <w:spacing w:after="0"/>
        <w:tabs>
          <w:tab w:leader="none" w:pos="1980" w:val="left"/>
        </w:tabs>
        <w:numPr>
          <w:ilvl w:val="0"/>
          <w:numId w:val="25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foregoing provisions of </w:t>
      </w:r>
      <w:r>
        <w:rPr>
          <w:rFonts w:ascii="Times New Roman" w:cs="Times New Roman" w:eastAsia="Times New Roman" w:hAnsi="Times New Roman"/>
          <w:sz w:val="14"/>
          <w:szCs w:val="14"/>
          <w:u w:val="single" w:color="auto"/>
          <w:color w:val="auto"/>
        </w:rPr>
        <w:t>Section 10.5(a)</w:t>
      </w:r>
      <w:r>
        <w:rPr>
          <w:rFonts w:ascii="Times New Roman" w:cs="Times New Roman" w:eastAsia="Times New Roman" w:hAnsi="Times New Roman"/>
          <w:sz w:val="14"/>
          <w:szCs w:val="14"/>
          <w:color w:val="auto"/>
        </w:rPr>
        <w:t xml:space="preserve"> will not prohibit:</w:t>
      </w:r>
    </w:p>
    <w:p>
      <w:pPr>
        <w:spacing w:after="0" w:line="183" w:lineRule="exact"/>
        <w:rPr>
          <w:rFonts w:ascii="Times New Roman" w:cs="Times New Roman" w:eastAsia="Times New Roman" w:hAnsi="Times New Roman"/>
          <w:sz w:val="14"/>
          <w:szCs w:val="14"/>
          <w:color w:val="010000"/>
        </w:rPr>
      </w:pPr>
    </w:p>
    <w:p>
      <w:pPr>
        <w:ind w:left="1660" w:right="1279" w:firstLine="520"/>
        <w:spacing w:after="0" w:line="268" w:lineRule="auto"/>
        <w:tabs>
          <w:tab w:leader="none" w:pos="2463"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141" w:lineRule="exact"/>
        <w:rPr>
          <w:rFonts w:ascii="Times New Roman" w:cs="Times New Roman" w:eastAsia="Times New Roman" w:hAnsi="Times New Roman"/>
          <w:sz w:val="14"/>
          <w:szCs w:val="14"/>
          <w:color w:val="auto"/>
        </w:rPr>
      </w:pPr>
    </w:p>
    <w:p>
      <w:pPr>
        <w:ind w:left="2460" w:hanging="280"/>
        <w:spacing w:after="0"/>
        <w:tabs>
          <w:tab w:leader="none" w:pos="2460" w:val="left"/>
        </w:tabs>
        <w:numPr>
          <w:ilvl w:val="1"/>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redemption, repurchase, retirement or other acquisition of any Equity Interests</w:t>
      </w:r>
    </w:p>
    <w:p>
      <w:pPr>
        <w:spacing w:after="0" w:line="25" w:lineRule="exact"/>
        <w:rPr>
          <w:sz w:val="20"/>
          <w:szCs w:val="20"/>
          <w:color w:val="auto"/>
        </w:rPr>
      </w:pPr>
    </w:p>
    <w:p>
      <w:pPr>
        <w:ind w:left="1660" w:right="1159"/>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Retired Capital Stock</w:t>
      </w:r>
      <w:r>
        <w:rPr>
          <w:rFonts w:ascii="Times New Roman" w:cs="Times New Roman" w:eastAsia="Times New Roman" w:hAnsi="Times New Roman"/>
          <w:sz w:val="14"/>
          <w:szCs w:val="14"/>
          <w:color w:val="auto"/>
        </w:rPr>
        <w:t>”) or Junior Debt of the Borrower or any Restricted Subsidiary, or any Equity Interests of any direct or indirect parent company of the Borrower, in exchange for, or out of the proceeds of the substantially concurrent sale or issuance (other than to a Restricted Subsidiary) of, Equity Interests of the Borrower or any direct or indirect Parent Entity or management investment vehicle to the extent contributed to the Borrower (in each case, other than any Disqualified Stock) (“</w:t>
      </w:r>
      <w:r>
        <w:rPr>
          <w:rFonts w:ascii="Times New Roman" w:cs="Times New Roman" w:eastAsia="Times New Roman" w:hAnsi="Times New Roman"/>
          <w:sz w:val="14"/>
          <w:szCs w:val="14"/>
          <w:b w:val="1"/>
          <w:bCs w:val="1"/>
          <w:color w:val="auto"/>
        </w:rPr>
        <w:t>Refunding Capital Stock</w:t>
      </w:r>
      <w:r>
        <w:rPr>
          <w:rFonts w:ascii="Times New Roman" w:cs="Times New Roman" w:eastAsia="Times New Roman" w:hAnsi="Times New Roman"/>
          <w:sz w:val="14"/>
          <w:szCs w:val="14"/>
          <w:color w:val="auto"/>
        </w:rPr>
        <w:t xml:space="preserve">”) and (b) if immediately prior to the retirement of Retired Capital Stock, the declaration and payment of dividends thereon was permitted under </w:t>
      </w:r>
      <w:r>
        <w:rPr>
          <w:rFonts w:ascii="Times New Roman" w:cs="Times New Roman" w:eastAsia="Times New Roman" w:hAnsi="Times New Roman"/>
          <w:sz w:val="14"/>
          <w:szCs w:val="14"/>
          <w:u w:val="single" w:color="auto"/>
          <w:color w:val="auto"/>
        </w:rPr>
        <w:t>clause (6)</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the declaration and payment of dividends on the Refunding Capital Stock (other than Refunding Capital Stock the proceeds of which were used to redeem, repurchase, retire or otherwise acquire any Equity Interests of any direct or indirect parent company of the Borrower) in an aggregate amount per year no greater than the aggregate amount of dividends per annum that was declarable and payable on such Retired Capital Stock immediately prior to such retirement;</w:t>
      </w:r>
    </w:p>
    <w:p>
      <w:pPr>
        <w:spacing w:after="0" w:line="321" w:lineRule="exact"/>
        <w:rPr>
          <w:sz w:val="20"/>
          <w:szCs w:val="20"/>
          <w:color w:val="auto"/>
        </w:rPr>
      </w:pPr>
    </w:p>
    <w:p>
      <w:pPr>
        <w:ind w:left="1660" w:right="1259" w:firstLine="520"/>
        <w:spacing w:after="0" w:line="264" w:lineRule="auto"/>
        <w:tabs>
          <w:tab w:leader="none" w:pos="2463"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prepayment, redemption, defeasance, repurchase or other acquisition or retirement for value of Junior Debt of the Borrower or a Restricted Subsidiary made by exchange for, or out of the proceeds of the substantially concurrent sale of, new Indebtedness of the Borrower or a Restricted Subsidiary, as the case may be, which is incurred in compliance with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so long as: (A) the principal amount (or accreted value, if applicable) of such new Indebtedness does not exceed the principal amount of (or accreted value, if applicable),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any accrued and unpaid interest on the Junior Debt being</w:t>
      </w:r>
    </w:p>
    <w:p>
      <w:pPr>
        <w:spacing w:after="0" w:line="22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9" w:right="1440" w:bottom="1440" w:gutter="0" w:footer="0" w:header="0"/>
        </w:sectPr>
      </w:pPr>
    </w:p>
    <w:bookmarkStart w:id="236" w:name="page237"/>
    <w:bookmarkEnd w:id="236"/>
    <w:p>
      <w:pPr>
        <w:ind w:left="1660" w:right="1199"/>
        <w:spacing w:after="0" w:line="259" w:lineRule="auto"/>
        <w:rPr>
          <w:sz w:val="20"/>
          <w:szCs w:val="20"/>
          <w:color w:val="auto"/>
        </w:rPr>
      </w:pPr>
      <w:r>
        <w:rPr>
          <w:rFonts w:ascii="Times New Roman" w:cs="Times New Roman" w:eastAsia="Times New Roman" w:hAnsi="Times New Roman"/>
          <w:sz w:val="14"/>
          <w:szCs w:val="14"/>
          <w:color w:val="auto"/>
        </w:rPr>
        <w:t xml:space="preserve">so redeemed, defeased, repurchased, exchanged, acquired or retired for value,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(i) unsecured then such new Indebtedness shall be unsecured or (ii) Permitted Other Indebtedness incurred pursuant to </w:t>
      </w:r>
      <w:r>
        <w:rPr>
          <w:rFonts w:ascii="Times New Roman" w:cs="Times New Roman" w:eastAsia="Times New Roman" w:hAnsi="Times New Roman"/>
          <w:sz w:val="14"/>
          <w:szCs w:val="14"/>
          <w:u w:val="single" w:color="auto"/>
          <w:color w:val="auto"/>
        </w:rPr>
        <w:t>Section 10.1(x)(i)(b)</w:t>
      </w:r>
      <w:r>
        <w:rPr>
          <w:rFonts w:ascii="Times New Roman" w:cs="Times New Roman" w:eastAsia="Times New Roman" w:hAnsi="Times New Roman"/>
          <w:sz w:val="14"/>
          <w:szCs w:val="14"/>
          <w:color w:val="auto"/>
        </w:rPr>
        <w:t xml:space="preserve"> and is secured by a Lien ranking junior to the Liens securing the Obligations then such new Indebtedness shall be unsecured or secured by a Lien ranking junior to the Liens securing the Obligations, and (E) such new Indebtedness has a weighted average life to maturity equal to or greater than the remaining weighted average life to maturity of the Junior Debt being so redeemed, defeased, repurchased, exchanged, acquired or retired;</w:t>
      </w:r>
    </w:p>
    <w:p>
      <w:pPr>
        <w:spacing w:after="0" w:line="152" w:lineRule="exact"/>
        <w:rPr>
          <w:sz w:val="20"/>
          <w:szCs w:val="20"/>
          <w:color w:val="auto"/>
        </w:rPr>
      </w:pPr>
    </w:p>
    <w:p>
      <w:pPr>
        <w:ind w:left="1660" w:right="1179" w:firstLine="520"/>
        <w:spacing w:after="0" w:line="173" w:lineRule="exact"/>
        <w:tabs>
          <w:tab w:leader="none" w:pos="2463"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Restricted Payment to pay for the repurchase, retirement or other acquisition or retirement for value of Equity Interests (other than Disqualified Stock) of the Borrower or any direct or indirect Parent Entity or management investment vehicle held by any future, present or former employee, director, manager or consultant of the Borrower, any of its Subsidiaries or any direct or indirect Parent Entity or management investment vehicle, or their estates, descendants, family, spouse or former spouse pursuant to any management equity plan or stock option or phantom equity plan or any other management or employee benefit plan or agreement, or any stock subscription or shareholder agreement (including, for the avoidance of doubt, any principal and interest payable on any notes issued by the Borrower or any direct or indirect Parent Entity or management investment vehicle in connection with such repurchase, retirement or other acquisition), including any Equity Interests rolled over by management of the Borrower or any direct or indirect Parent Entity or management investment vehicle in connection with the Transactions;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except with respect to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discretionary purchases, the aggregate Restricted Payments made under this </w:t>
      </w:r>
      <w:r>
        <w:rPr>
          <w:rFonts w:ascii="Times New Roman" w:cs="Times New Roman" w:eastAsia="Times New Roman" w:hAnsi="Times New Roman"/>
          <w:sz w:val="14"/>
          <w:szCs w:val="14"/>
          <w:u w:val="single" w:color="auto"/>
          <w:color w:val="auto"/>
        </w:rPr>
        <w:t>clause (4)</w:t>
      </w:r>
      <w:r>
        <w:rPr>
          <w:rFonts w:ascii="Times New Roman" w:cs="Times New Roman" w:eastAsia="Times New Roman" w:hAnsi="Times New Roman"/>
          <w:sz w:val="14"/>
          <w:szCs w:val="14"/>
          <w:color w:val="auto"/>
        </w:rPr>
        <w:t xml:space="preserve"> subsequent to the Closing Date do not exceed in any calendar year the greater of (a) $</w:t>
      </w:r>
      <w:r>
        <w:rPr>
          <w:rFonts w:ascii="Times New Roman" w:cs="Times New Roman" w:eastAsia="Times New Roman" w:hAnsi="Times New Roman"/>
          <w:sz w:val="14"/>
          <w:szCs w:val="14"/>
          <w:color w:val="FF0000"/>
          <w:strike w:val="1"/>
        </w:rPr>
        <w:t>30</w:t>
      </w:r>
      <w:r>
        <w:rPr>
          <w:rFonts w:ascii="Times New Roman" w:cs="Times New Roman" w:eastAsia="Times New Roman" w:hAnsi="Times New Roman"/>
          <w:sz w:val="14"/>
          <w:szCs w:val="14"/>
          <w:u w:val="single" w:color="auto"/>
          <w:color w:val="0000FF"/>
        </w:rPr>
        <w:t>50</w:t>
      </w:r>
      <w:r>
        <w:rPr>
          <w:rFonts w:ascii="Times New Roman" w:cs="Times New Roman" w:eastAsia="Times New Roman" w:hAnsi="Times New Roman"/>
          <w:sz w:val="14"/>
          <w:szCs w:val="14"/>
          <w:color w:val="auto"/>
        </w:rPr>
        <w:t xml:space="preserve"> million and (b) 8.5% of Consolidated EBITDA for the most recently ended Test Period (calculated on a Pro Forma Basis) (which subsequent to the consummation of an IPO shall increase to the greater of (a) $</w:t>
      </w:r>
      <w:r>
        <w:rPr>
          <w:rFonts w:ascii="Times New Roman" w:cs="Times New Roman" w:eastAsia="Times New Roman" w:hAnsi="Times New Roman"/>
          <w:sz w:val="14"/>
          <w:szCs w:val="14"/>
          <w:color w:val="FF0000"/>
          <w:strike w:val="1"/>
        </w:rPr>
        <w:t>65</w:t>
      </w:r>
      <w:r>
        <w:rPr>
          <w:rFonts w:ascii="Times New Roman" w:cs="Times New Roman" w:eastAsia="Times New Roman" w:hAnsi="Times New Roman"/>
          <w:sz w:val="14"/>
          <w:szCs w:val="14"/>
          <w:u w:val="single" w:color="auto"/>
          <w:color w:val="0000FF"/>
        </w:rPr>
        <w:t>100</w:t>
      </w:r>
      <w:r>
        <w:rPr>
          <w:rFonts w:ascii="Times New Roman" w:cs="Times New Roman" w:eastAsia="Times New Roman" w:hAnsi="Times New Roman"/>
          <w:sz w:val="14"/>
          <w:szCs w:val="14"/>
          <w:color w:val="auto"/>
        </w:rPr>
        <w:t xml:space="preserve"> million and (b) 17% of Consolidated EBITDA for the most recently ended Test Period (calculated on a Pro Forma Basis) (with unused amounts in any calendar year being carried over to succeeding calendar years);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such amount in any calendar year may be increased by an amount not to exceed: (A) the cash proceeds from the sale of Equity Interests (other than Disqualified Stock) of the Borrower and, to the extent contributed to the Borrower, the cash proceeds from the sale of Equity Interests of any direct or indirect Parent Entity or management investment vehicle, in each case to any future, present or former employees, directors, managers or consultants of the Borrower, any of its Subsidiaries or any direct or indirect Parent Entity or management investment vehicle that occurs after the Closing Date, to the extent the cash proceeds from the sale of such Equity Interests have not otherwise been applied to the payment of Restricted Payments by virtue of </w:t>
      </w:r>
      <w:r>
        <w:rPr>
          <w:rFonts w:ascii="Times New Roman" w:cs="Times New Roman" w:eastAsia="Times New Roman" w:hAnsi="Times New Roman"/>
          <w:sz w:val="14"/>
          <w:szCs w:val="14"/>
          <w:u w:val="single" w:color="auto"/>
          <w:color w:val="auto"/>
        </w:rPr>
        <w:t>Section 10.5(a)(iii)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(B) the cash proceeds of key man life insurance policies received by the Borrower and the Restricted Subsidiaries after the Closing Date, less (C) the amount of any Restricted Payments previously made pursuant to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clause (4)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cancellation of Indebtedness owing to the Borrower or any Restricted Subsidiary from any future, present or former employees, directors, managers or consultants of the Borrower, any direct or indirect Parent Entity or management investment vehicle or any Restricted Subsidiary, or their estates, descendants, family, spouse or former spouse in connection with a repurchase of Equity Interests of the Borrower or any direct or indirect Parent Entity or management investment vehicle will not be deemed to constitute a Restricted Payment for purposes of this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or any other provision of this Agreement;</w:t>
      </w:r>
    </w:p>
    <w:p>
      <w:pPr>
        <w:spacing w:after="0" w:line="336" w:lineRule="exact"/>
        <w:rPr>
          <w:rFonts w:ascii="Times New Roman" w:cs="Times New Roman" w:eastAsia="Times New Roman" w:hAnsi="Times New Roman"/>
          <w:sz w:val="14"/>
          <w:szCs w:val="14"/>
          <w:color w:val="auto"/>
        </w:rPr>
      </w:pPr>
    </w:p>
    <w:p>
      <w:pPr>
        <w:ind w:left="1660" w:right="1219" w:firstLine="520"/>
        <w:spacing w:after="0" w:line="268" w:lineRule="auto"/>
        <w:tabs>
          <w:tab w:leader="none" w:pos="2463"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declaration and payment of dividends to holders of any class or series of Disqualified Stock of the Borrower or any Restricted Subsidiary or any class or series of preferred stock of any Restricted Subsidiary, in each case, issued in accordance with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to the extent such dividends are included in the definition of “Fixed Charges”;</w:t>
      </w:r>
    </w:p>
    <w:p>
      <w:pPr>
        <w:spacing w:after="0" w:line="2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237" w:name="page238"/>
    <w:bookmarkEnd w:id="237"/>
    <w:p>
      <w:pPr>
        <w:ind w:left="1660" w:right="1159" w:firstLine="520"/>
        <w:spacing w:after="0" w:line="259" w:lineRule="auto"/>
        <w:tabs>
          <w:tab w:leader="none" w:pos="2463" w:val="left"/>
        </w:tabs>
        <w:numPr>
          <w:ilvl w:val="1"/>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the declaration and payment of dividends to holders of any class or series of Designated Preferred Stock (other than Disqualified Stock) issued by the Borrower after the Closing Date; (B) the declaration and payment of dividends to any direct or indirect parent company of the Borrower, the proceeds of which will be used to fund the payment of dividends to holders of any class or series of Designated Preferred Stock (other than Disqualified Stock) of such parent company issued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amount of dividends paid pursuant to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not exceed the aggregate amount of cash actually contributed to the Borrower from the sale of such Designated Preferred Stock; or</w:t>
      </w:r>
    </w:p>
    <w:p>
      <w:pPr>
        <w:spacing w:after="0" w:line="2" w:lineRule="exact"/>
        <w:rPr>
          <w:rFonts w:ascii="Times New Roman" w:cs="Times New Roman" w:eastAsia="Times New Roman" w:hAnsi="Times New Roman"/>
          <w:sz w:val="14"/>
          <w:szCs w:val="14"/>
          <w:color w:val="auto"/>
        </w:rPr>
      </w:pPr>
    </w:p>
    <w:p>
      <w:pPr>
        <w:ind w:left="1660" w:right="1299" w:firstLine="4"/>
        <w:spacing w:after="0" w:line="259" w:lineRule="auto"/>
        <w:tabs>
          <w:tab w:leader="none" w:pos="1887"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declaration and payment of dividends on Refunding Capital Stock in excess of the dividends declarable and payable thereon pursuant to </w:t>
      </w:r>
      <w:r>
        <w:rPr>
          <w:rFonts w:ascii="Times New Roman" w:cs="Times New Roman" w:eastAsia="Times New Roman" w:hAnsi="Times New Roman"/>
          <w:sz w:val="14"/>
          <w:szCs w:val="14"/>
          <w:u w:val="single" w:color="auto"/>
          <w:color w:val="auto"/>
        </w:rPr>
        <w:t>clause (2)</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the case of each of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clause (6)</w:t>
      </w:r>
      <w:r>
        <w:rPr>
          <w:rFonts w:ascii="Times New Roman" w:cs="Times New Roman" w:eastAsia="Times New Roman" w:hAnsi="Times New Roman"/>
          <w:sz w:val="14"/>
          <w:szCs w:val="14"/>
          <w:color w:val="auto"/>
        </w:rPr>
        <w:t>,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the Consolidated Total Debt to Consolidated EBITDA Ratio is equal to or less than 5.75:1.00;</w:t>
      </w:r>
    </w:p>
    <w:p>
      <w:pPr>
        <w:spacing w:after="0" w:line="147" w:lineRule="exact"/>
        <w:rPr>
          <w:rFonts w:ascii="Times New Roman" w:cs="Times New Roman" w:eastAsia="Times New Roman" w:hAnsi="Times New Roman"/>
          <w:sz w:val="14"/>
          <w:szCs w:val="14"/>
          <w:color w:val="auto"/>
        </w:rPr>
      </w:pPr>
    </w:p>
    <w:p>
      <w:pPr>
        <w:ind w:left="1660" w:right="1179" w:firstLine="520"/>
        <w:spacing w:after="0" w:line="262" w:lineRule="auto"/>
        <w:tabs>
          <w:tab w:leader="none" w:pos="2463"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Investments in Unrestricted Subsidiaries having an aggregate Fair Market Value, taken together with all other Investments made pursuant to this </w:t>
      </w:r>
      <w:r>
        <w:rPr>
          <w:rFonts w:ascii="Times New Roman" w:cs="Times New Roman" w:eastAsia="Times New Roman" w:hAnsi="Times New Roman"/>
          <w:sz w:val="14"/>
          <w:szCs w:val="14"/>
          <w:u w:val="single" w:color="auto"/>
          <w:color w:val="auto"/>
        </w:rPr>
        <w:t>clause (7)</w:t>
      </w:r>
      <w:r>
        <w:rPr>
          <w:rFonts w:ascii="Times New Roman" w:cs="Times New Roman" w:eastAsia="Times New Roman" w:hAnsi="Times New Roman"/>
          <w:sz w:val="14"/>
          <w:szCs w:val="14"/>
          <w:color w:val="auto"/>
        </w:rPr>
        <w:t xml:space="preserve"> that are at the time outstanding, without giving effect to the sale of an Unrestricted Subsidiary to the extent the proceeds of such sale do not consist of cash, Cash Equivalents or marketable securities, not to exceed the greater of (x) $</w:t>
      </w:r>
      <w:r>
        <w:rPr>
          <w:rFonts w:ascii="Times New Roman" w:cs="Times New Roman" w:eastAsia="Times New Roman" w:hAnsi="Times New Roman"/>
          <w:sz w:val="14"/>
          <w:szCs w:val="14"/>
          <w:color w:val="FF0000"/>
          <w:strike w:val="1"/>
        </w:rPr>
        <w:t>35</w:t>
      </w:r>
      <w:r>
        <w:rPr>
          <w:rFonts w:ascii="Times New Roman" w:cs="Times New Roman" w:eastAsia="Times New Roman" w:hAnsi="Times New Roman"/>
          <w:sz w:val="14"/>
          <w:szCs w:val="14"/>
          <w:u w:val="single" w:color="auto"/>
          <w:color w:val="0000FF"/>
        </w:rPr>
        <w:t>60</w:t>
      </w:r>
      <w:r>
        <w:rPr>
          <w:rFonts w:ascii="Times New Roman" w:cs="Times New Roman" w:eastAsia="Times New Roman" w:hAnsi="Times New Roman"/>
          <w:sz w:val="14"/>
          <w:szCs w:val="14"/>
          <w:color w:val="auto"/>
        </w:rPr>
        <w:t xml:space="preserve"> million and (y) 10% of Consolidated EBITDA for the most recently ended Test Period (calculated on a Pro Forma Basis) at the time of such Investment (with the Fair Market Value of each Investment being measured at the time made and without giving effect to subsequent changes in value);</w:t>
      </w:r>
    </w:p>
    <w:p>
      <w:pPr>
        <w:spacing w:after="0" w:line="147" w:lineRule="exact"/>
        <w:rPr>
          <w:rFonts w:ascii="Times New Roman" w:cs="Times New Roman" w:eastAsia="Times New Roman" w:hAnsi="Times New Roman"/>
          <w:sz w:val="14"/>
          <w:szCs w:val="14"/>
          <w:color w:val="auto"/>
        </w:rPr>
      </w:pPr>
    </w:p>
    <w:p>
      <w:pPr>
        <w:ind w:left="1660" w:right="1159" w:firstLine="520"/>
        <w:spacing w:after="0" w:line="262" w:lineRule="auto"/>
        <w:tabs>
          <w:tab w:leader="none" w:pos="2463"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payments made or expected to be made by the Borrower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147" w:lineRule="exact"/>
        <w:rPr>
          <w:rFonts w:ascii="Times New Roman" w:cs="Times New Roman" w:eastAsia="Times New Roman" w:hAnsi="Times New Roman"/>
          <w:sz w:val="14"/>
          <w:szCs w:val="14"/>
          <w:color w:val="auto"/>
        </w:rPr>
      </w:pPr>
    </w:p>
    <w:p>
      <w:pPr>
        <w:ind w:left="1660" w:right="1279" w:firstLine="520"/>
        <w:spacing w:after="0" w:line="174" w:lineRule="exact"/>
        <w:tabs>
          <w:tab w:leader="none" w:pos="2463"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and payment of dividends on the Borrower’s common stock (or the payment of dividends to any direct or indirect parent company of the Borrower to fund a payment of dividends on such company’s common stock), following consummation of an IPO, in an amount on an aggregate basis not to exceed the sum of (a) 6.00% per annum of the net cash proceeds received by or contributed to the Borrower in or from such IPO, other than public offerings with respect to the Borrower’s common stock registered on Form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8 and other than any public sale constituting an Excluded Contribution and (b) an aggregate amount not to exceed 7.00% of the market capitalization of the Borrower </w:t>
      </w:r>
      <w:r>
        <w:rPr>
          <w:rFonts w:ascii="Times New Roman" w:cs="Times New Roman" w:eastAsia="Times New Roman" w:hAnsi="Times New Roman"/>
          <w:sz w:val="14"/>
          <w:szCs w:val="14"/>
          <w:color w:val="0000FF"/>
        </w:rPr>
        <w:t>(or, as applicable, its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relevant Parent Entity)</w:t>
      </w:r>
      <w:r>
        <w:rPr>
          <w:rFonts w:ascii="Times New Roman" w:cs="Times New Roman" w:eastAsia="Times New Roman" w:hAnsi="Times New Roman"/>
          <w:sz w:val="14"/>
          <w:szCs w:val="14"/>
          <w:color w:val="000000"/>
        </w:rPr>
        <w:t>;</w:t>
      </w:r>
    </w:p>
    <w:p>
      <w:pPr>
        <w:spacing w:after="0" w:line="159" w:lineRule="exact"/>
        <w:rPr>
          <w:rFonts w:ascii="Times New Roman" w:cs="Times New Roman" w:eastAsia="Times New Roman" w:hAnsi="Times New Roman"/>
          <w:sz w:val="14"/>
          <w:szCs w:val="14"/>
          <w:color w:val="auto"/>
        </w:rPr>
      </w:pPr>
    </w:p>
    <w:p>
      <w:pPr>
        <w:ind w:left="1660" w:right="1979" w:firstLine="520"/>
        <w:spacing w:after="0" w:line="293" w:lineRule="auto"/>
        <w:tabs>
          <w:tab w:leader="none" w:pos="2463"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in an amount that does not exceed the amount of Excluded Contributions made since the Closing Date;</w:t>
      </w:r>
    </w:p>
    <w:p>
      <w:pPr>
        <w:spacing w:after="0" w:line="123" w:lineRule="exact"/>
        <w:rPr>
          <w:rFonts w:ascii="Times New Roman" w:cs="Times New Roman" w:eastAsia="Times New Roman" w:hAnsi="Times New Roman"/>
          <w:sz w:val="14"/>
          <w:szCs w:val="14"/>
          <w:color w:val="auto"/>
        </w:rPr>
      </w:pPr>
    </w:p>
    <w:p>
      <w:pPr>
        <w:jc w:val="both"/>
        <w:ind w:left="1660" w:right="1239" w:firstLine="520"/>
        <w:spacing w:after="0" w:line="293" w:lineRule="auto"/>
        <w:tabs>
          <w:tab w:leader="none" w:pos="2463"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Payments in an aggregate amount not to exceed the greater of $</w:t>
      </w:r>
      <w:r>
        <w:rPr>
          <w:rFonts w:ascii="Times New Roman" w:cs="Times New Roman" w:eastAsia="Times New Roman" w:hAnsi="Times New Roman"/>
          <w:sz w:val="14"/>
          <w:szCs w:val="14"/>
          <w:color w:val="FF0000"/>
          <w:strike w:val="1"/>
        </w:rPr>
        <w:t>95</w:t>
      </w:r>
      <w:r>
        <w:rPr>
          <w:rFonts w:ascii="Times New Roman" w:cs="Times New Roman" w:eastAsia="Times New Roman" w:hAnsi="Times New Roman"/>
          <w:sz w:val="14"/>
          <w:szCs w:val="14"/>
          <w:u w:val="single" w:color="auto"/>
          <w:color w:val="0000FF"/>
        </w:rPr>
        <w:t>150</w:t>
      </w:r>
      <w:r>
        <w:rPr>
          <w:rFonts w:ascii="Times New Roman" w:cs="Times New Roman" w:eastAsia="Times New Roman" w:hAnsi="Times New Roman"/>
          <w:sz w:val="14"/>
          <w:szCs w:val="14"/>
          <w:color w:val="auto"/>
        </w:rPr>
        <w:t xml:space="preserve"> million and 25% of Consolidated EBITDA for the most recently ended Test Period (calculated on a Pro Forma Basis);</w:t>
      </w:r>
    </w:p>
    <w:p>
      <w:pPr>
        <w:spacing w:after="0" w:line="123" w:lineRule="exact"/>
        <w:rPr>
          <w:rFonts w:ascii="Times New Roman" w:cs="Times New Roman" w:eastAsia="Times New Roman" w:hAnsi="Times New Roman"/>
          <w:sz w:val="14"/>
          <w:szCs w:val="14"/>
          <w:color w:val="auto"/>
        </w:rPr>
      </w:pPr>
    </w:p>
    <w:p>
      <w:pPr>
        <w:ind w:left="2460" w:hanging="280"/>
        <w:spacing w:after="0"/>
        <w:tabs>
          <w:tab w:leader="none" w:pos="2460"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or payments of Receivables Fees;</w:t>
      </w:r>
    </w:p>
    <w:p>
      <w:pPr>
        <w:spacing w:after="0" w:line="183" w:lineRule="exact"/>
        <w:rPr>
          <w:rFonts w:ascii="Times New Roman" w:cs="Times New Roman" w:eastAsia="Times New Roman" w:hAnsi="Times New Roman"/>
          <w:sz w:val="14"/>
          <w:szCs w:val="14"/>
          <w:color w:val="auto"/>
        </w:rPr>
      </w:pPr>
    </w:p>
    <w:p>
      <w:pPr>
        <w:ind w:left="1660" w:right="1179" w:firstLine="520"/>
        <w:spacing w:after="0" w:line="262" w:lineRule="auto"/>
        <w:tabs>
          <w:tab w:leader="none" w:pos="2463" w:val="left"/>
        </w:tabs>
        <w:numPr>
          <w:ilvl w:val="1"/>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Restricted Payment made in connection with the Transactions in connection with, or as a result of, their exercise of appraisal rights and the settlement of any claims or actions (whether actual, contingent or potential) with respect thereto), in each case, with respect to the Transactions and the fees and expenses related thereto or used to fund amounts owed to Affiliates (including dividends to any direct or indirect parent company of the Borrower to permit payment by such parent of such amount), to the extent permitted by </w:t>
      </w:r>
      <w:r>
        <w:rPr>
          <w:rFonts w:ascii="Times New Roman" w:cs="Times New Roman" w:eastAsia="Times New Roman" w:hAnsi="Times New Roman"/>
          <w:sz w:val="14"/>
          <w:szCs w:val="14"/>
          <w:u w:val="single" w:color="auto"/>
          <w:color w:val="auto"/>
        </w:rPr>
        <w:t>Section 9.9</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thereof), and Restricted Payments in respect of working capital adjustments or purchase price adjustments pursuant to the Acquisition Agreement, any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-1884680</wp:posOffset>
            </wp:positionV>
            <wp:extent cx="797560"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6">
                      <a:extLst>
                        <a:ext uri="{28A0092B-C50C-407E-A947-70E740481C1C}"/>
                      </a:extLst>
                    </a:blip>
                    <a:srcRect/>
                    <a:stretch>
                      <a:fillRect/>
                    </a:stretch>
                  </pic:blipFill>
                  <pic:spPr bwMode="auto">
                    <a:xfrm>
                      <a:off x="0" y="0"/>
                      <a:ext cx="797560" cy="6985"/>
                    </a:xfrm>
                    <a:prstGeom prst="rect">
                      <a:avLst/>
                    </a:prstGeom>
                    <a:noFill/>
                  </pic:spPr>
                </pic:pic>
              </a:graphicData>
            </a:graphic>
          </wp:anchor>
        </w:drawing>
      </w:r>
    </w:p>
    <w:p>
      <w:pPr>
        <w:spacing w:after="0" w:line="2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38" w:name="page239"/>
    <w:bookmarkEnd w:id="238"/>
    <w:p>
      <w:pPr>
        <w:ind w:left="1660" w:right="1259"/>
        <w:spacing w:after="0" w:line="293" w:lineRule="auto"/>
        <w:rPr>
          <w:sz w:val="20"/>
          <w:szCs w:val="20"/>
          <w:color w:val="auto"/>
        </w:rPr>
      </w:pPr>
      <w:r>
        <w:rPr>
          <w:rFonts w:ascii="Times New Roman" w:cs="Times New Roman" w:eastAsia="Times New Roman" w:hAnsi="Times New Roman"/>
          <w:sz w:val="14"/>
          <w:szCs w:val="14"/>
          <w:color w:val="auto"/>
        </w:rPr>
        <w:t>Acquisition or other Permitted Investment and to satisfy indemnity and other similar obligations under the Acquisition Agreement, any Permitted Acquisitions or other Permitted Investments;</w:t>
      </w:r>
    </w:p>
    <w:p>
      <w:pPr>
        <w:spacing w:after="0" w:line="123" w:lineRule="exact"/>
        <w:rPr>
          <w:sz w:val="20"/>
          <w:szCs w:val="20"/>
          <w:color w:val="auto"/>
        </w:rPr>
      </w:pPr>
    </w:p>
    <w:p>
      <w:pPr>
        <w:ind w:left="1660" w:right="1179" w:firstLine="520"/>
        <w:spacing w:after="0" w:line="265" w:lineRule="auto"/>
        <w:tabs>
          <w:tab w:leader="none" w:pos="2463"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Restricted Payments;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after giving Pro Forma Effect to such Restricted Payments the Consolidated Total Debt to Consolidated EBITDA Ratio is equal to or less than 4.75:1.00,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with respect to Investments and the prepayment, redemption, defeasance, repurchase or other acquisition or retirement for value of Junior Debt, the Consolidated Total Debt to Consolidated EBITDA Ratio is equal to or less than 5.00:1.00;</w:t>
      </w:r>
    </w:p>
    <w:p>
      <w:pPr>
        <w:spacing w:after="0" w:line="144" w:lineRule="exact"/>
        <w:rPr>
          <w:rFonts w:ascii="Times New Roman" w:cs="Times New Roman" w:eastAsia="Times New Roman" w:hAnsi="Times New Roman"/>
          <w:sz w:val="14"/>
          <w:szCs w:val="14"/>
          <w:color w:val="auto"/>
        </w:rPr>
      </w:pPr>
    </w:p>
    <w:p>
      <w:pPr>
        <w:ind w:left="1660" w:right="1159" w:firstLine="520"/>
        <w:spacing w:after="0" w:line="173" w:lineRule="exact"/>
        <w:tabs>
          <w:tab w:leader="none" w:pos="2463"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declaration and payment of dividends or distributions by the Borrower to, or the making of loans to, any direct or indirect parent company of the Borrower in amounts required for any direct or indirect parent company to pay: (A) franchise and excise taxes, and other fees and expenses, required to maintain its organizational existence or qualification to do business, (B) consolidated, combined or similar foreign, federal, state and local income and similar taxes, to the extent that such income taxes are attributable to the income of the Borrower and the Restricted Subsidiaries and, to the extent of the amount actually received from its Unrestricted Subsidiaries, in amounts required to pay such taxes to the extent attributable to the income of such Unrestricted Subsidiaries;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in each case the amount of such payments with respect to any fiscal year does not exceed the amount that the Borrower, the Restricted Subsidiaries and the Unrestricted Subsidiaries (to the extent described above) would have been required to pay in respect of such foreign, federal, state and local income taxes for such fiscal year had the Borrower, the Restricted Subsidiaries and the Unrestricted Subsidiaries (to the extent described above) been a stand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alone taxpayer or stand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alone group (separate from any such direct or indirect parent company of the Borrower) for all fiscal years ending after the Closing Date, (C) customary salary, bonus, and other benefits payable to officers, employees, directors, and managers of any direct or indirect parent company of the Borrower to the extent such salaries, bonuses, and other benefits are attributable to the ownership or operation of the Borrower and its Restricted Subsidiaries, including the Borrower’s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the Borrower to the extent such costs and expenses are attributable to the ownership or operation of the Borrower and its Restricted Subsidiaries, including the Borrower’s proportionate share of such amount relating to such parent company being a public company, (E) amounts required for any direct or indirect parent company of the Borrower to pay fees and expenses incurred by any direct or indirect parent company of the Borrower related to (i) the maintenance by such Parent Entity of its corporate or other entity existence and (ii) transactions of such parent company of the Borrower of the type described in </w:t>
      </w:r>
      <w:r>
        <w:rPr>
          <w:rFonts w:ascii="Times New Roman" w:cs="Times New Roman" w:eastAsia="Times New Roman" w:hAnsi="Times New Roman"/>
          <w:sz w:val="14"/>
          <w:szCs w:val="14"/>
          <w:u w:val="single" w:color="auto"/>
          <w:color w:val="auto"/>
        </w:rPr>
        <w:t>clause (xi)</w:t>
      </w:r>
      <w:r>
        <w:rPr>
          <w:rFonts w:ascii="Times New Roman" w:cs="Times New Roman" w:eastAsia="Times New Roman" w:hAnsi="Times New Roman"/>
          <w:sz w:val="14"/>
          <w:szCs w:val="14"/>
          <w:color w:val="auto"/>
        </w:rPr>
        <w:t xml:space="preserve"> of the definition of Consolidated Net Income, (F) cash payments in lieu of issuing fractional shares in connection with the exercise of warrants, options or other securities convertible into or exchangeable for Equity Interests of the Borrower or any such direct or indirect parent company of the Borrower, and (G) repurchases deemed to occur upon the cashless exercise of stock options;</w:t>
      </w:r>
    </w:p>
    <w:p>
      <w:pPr>
        <w:spacing w:after="0" w:line="337" w:lineRule="exact"/>
        <w:rPr>
          <w:rFonts w:ascii="Times New Roman" w:cs="Times New Roman" w:eastAsia="Times New Roman" w:hAnsi="Times New Roman"/>
          <w:sz w:val="14"/>
          <w:szCs w:val="14"/>
          <w:color w:val="auto"/>
        </w:rPr>
      </w:pPr>
    </w:p>
    <w:p>
      <w:pPr>
        <w:ind w:left="1660" w:right="1239" w:firstLine="520"/>
        <w:spacing w:after="0" w:line="267" w:lineRule="auto"/>
        <w:tabs>
          <w:tab w:leader="none" w:pos="2463"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repurchase, redemption or other acquisition for value of Equity Interests of the Borrower deemed to occur in connection with paying cash in lieu of fractional shares of such Equity Interests in connection with a share dividend, distribution, share split, reverse share split, merger, consolidation, amalgamation or other business combination of the Borrower, in each case, permitted under this Agreement;</w:t>
      </w:r>
    </w:p>
    <w:p>
      <w:pPr>
        <w:spacing w:after="0" w:line="316" w:lineRule="exact"/>
        <w:rPr>
          <w:rFonts w:ascii="Times New Roman" w:cs="Times New Roman" w:eastAsia="Times New Roman" w:hAnsi="Times New Roman"/>
          <w:sz w:val="14"/>
          <w:szCs w:val="14"/>
          <w:color w:val="auto"/>
        </w:rPr>
      </w:pPr>
    </w:p>
    <w:p>
      <w:pPr>
        <w:jc w:val="both"/>
        <w:ind w:left="1660" w:right="1479" w:firstLine="520"/>
        <w:spacing w:after="0" w:line="275" w:lineRule="auto"/>
        <w:tabs>
          <w:tab w:leader="none" w:pos="2463"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distribution, by dividend or otherwise, of shares of Capital Stock of, or Indebtedness owed to the Borrower or a Restricted Subsidiary by, Unrestricted Subsidiaries (other than Unrestricted Subsidiaries, the primary assets of which are cash and/or Cash Equivalents);</w:t>
      </w:r>
    </w:p>
    <w:p>
      <w:pPr>
        <w:spacing w:after="0" w:line="135" w:lineRule="exact"/>
        <w:rPr>
          <w:rFonts w:ascii="Times New Roman" w:cs="Times New Roman" w:eastAsia="Times New Roman" w:hAnsi="Times New Roman"/>
          <w:sz w:val="14"/>
          <w:szCs w:val="14"/>
          <w:color w:val="auto"/>
        </w:rPr>
      </w:pPr>
    </w:p>
    <w:p>
      <w:pPr>
        <w:jc w:val="both"/>
        <w:ind w:left="1660" w:right="1259" w:firstLine="520"/>
        <w:spacing w:after="0" w:line="268" w:lineRule="auto"/>
        <w:tabs>
          <w:tab w:leader="none" w:pos="2463"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prepayment, redemption, defeasance, repurchase or other acquisition or retirement for value of Junior Debt in an aggregate amount pursuant to this </w:t>
      </w:r>
      <w:r>
        <w:rPr>
          <w:rFonts w:ascii="Times New Roman" w:cs="Times New Roman" w:eastAsia="Times New Roman" w:hAnsi="Times New Roman"/>
          <w:sz w:val="14"/>
          <w:szCs w:val="14"/>
          <w:u w:val="single" w:color="auto"/>
          <w:color w:val="auto"/>
        </w:rPr>
        <w:t>clause (18)</w:t>
      </w:r>
      <w:r>
        <w:rPr>
          <w:rFonts w:ascii="Times New Roman" w:cs="Times New Roman" w:eastAsia="Times New Roman" w:hAnsi="Times New Roman"/>
          <w:sz w:val="14"/>
          <w:szCs w:val="14"/>
          <w:color w:val="auto"/>
        </w:rPr>
        <w:t xml:space="preserve"> not to exceed the greater of (x) $</w:t>
      </w:r>
      <w:r>
        <w:rPr>
          <w:rFonts w:ascii="Times New Roman" w:cs="Times New Roman" w:eastAsia="Times New Roman" w:hAnsi="Times New Roman"/>
          <w:sz w:val="14"/>
          <w:szCs w:val="14"/>
          <w:color w:val="FF0000"/>
          <w:strike w:val="1"/>
        </w:rPr>
        <w:t>95</w:t>
      </w:r>
      <w:r>
        <w:rPr>
          <w:rFonts w:ascii="Times New Roman" w:cs="Times New Roman" w:eastAsia="Times New Roman" w:hAnsi="Times New Roman"/>
          <w:sz w:val="14"/>
          <w:szCs w:val="14"/>
          <w:u w:val="single" w:color="auto"/>
          <w:color w:val="0000FF"/>
        </w:rPr>
        <w:t>150</w:t>
      </w:r>
      <w:r>
        <w:rPr>
          <w:rFonts w:ascii="Times New Roman" w:cs="Times New Roman" w:eastAsia="Times New Roman" w:hAnsi="Times New Roman"/>
          <w:sz w:val="14"/>
          <w:szCs w:val="14"/>
          <w:color w:val="auto"/>
        </w:rPr>
        <w:t xml:space="preserve"> million and (y) 25% of Consolidated EBITDA for the most recently ended Test Period (calculated on a Pro Forma Basis);</w:t>
      </w:r>
    </w:p>
    <w:p>
      <w:pPr>
        <w:spacing w:after="0" w:line="141" w:lineRule="exact"/>
        <w:rPr>
          <w:rFonts w:ascii="Times New Roman" w:cs="Times New Roman" w:eastAsia="Times New Roman" w:hAnsi="Times New Roman"/>
          <w:sz w:val="14"/>
          <w:szCs w:val="14"/>
          <w:color w:val="auto"/>
        </w:rPr>
      </w:pPr>
    </w:p>
    <w:p>
      <w:pPr>
        <w:ind w:left="2980" w:hanging="284"/>
        <w:spacing w:after="0"/>
        <w:tabs>
          <w:tab w:leader="none" w:pos="2980" w:val="left"/>
        </w:tabs>
        <w:numPr>
          <w:ilvl w:val="1"/>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undertaking or consummating any IPO Reorganization Transactions; and</w:t>
      </w:r>
    </w:p>
    <w:p>
      <w:pPr>
        <w:spacing w:after="0" w:line="2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39" w:name="page240"/>
    <w:bookmarkEnd w:id="239"/>
    <w:p>
      <w:pPr>
        <w:ind w:left="1660" w:right="1459" w:firstLine="520"/>
        <w:spacing w:after="0" w:line="275" w:lineRule="auto"/>
        <w:tabs>
          <w:tab w:leader="none" w:pos="2463"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payments or distributions to satisfy dissenters’ rights, pursuant to or in connection with a consolidation, amalgamation, merger or transfer of assets that complies with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 10.3(g)</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ind w:left="1140" w:right="1179"/>
        <w:spacing w:after="0" w:line="266" w:lineRule="auto"/>
        <w:rPr>
          <w:sz w:val="20"/>
          <w:szCs w:val="20"/>
          <w:color w:val="auto"/>
        </w:rPr>
      </w:pP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at the time of, and after giving effect to, any Restricted Payment permitted under the preceding </w:t>
      </w:r>
      <w:r>
        <w:rPr>
          <w:rFonts w:ascii="Times New Roman" w:cs="Times New Roman" w:eastAsia="Times New Roman" w:hAnsi="Times New Roman"/>
          <w:sz w:val="14"/>
          <w:szCs w:val="14"/>
          <w:u w:val="single" w:color="auto"/>
          <w:color w:val="auto"/>
        </w:rPr>
        <w:t>clauses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(14)</w:t>
      </w:r>
      <w:r>
        <w:rPr>
          <w:rFonts w:ascii="Times New Roman" w:cs="Times New Roman" w:eastAsia="Times New Roman" w:hAnsi="Times New Roman"/>
          <w:sz w:val="14"/>
          <w:szCs w:val="14"/>
          <w:color w:val="auto"/>
        </w:rPr>
        <w:t xml:space="preserve"> (except for an Investment where the standard shall be no Event of Default pursuant to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w:t>
      </w:r>
    </w:p>
    <w:p>
      <w:pPr>
        <w:spacing w:after="0" w:line="1" w:lineRule="exact"/>
        <w:rPr>
          <w:sz w:val="20"/>
          <w:szCs w:val="20"/>
          <w:color w:val="auto"/>
        </w:rPr>
      </w:pPr>
    </w:p>
    <w:p>
      <w:pPr>
        <w:jc w:val="both"/>
        <w:ind w:left="1140" w:right="1199"/>
        <w:spacing w:after="0" w:line="264" w:lineRule="auto"/>
        <w:rPr>
          <w:sz w:val="20"/>
          <w:szCs w:val="20"/>
          <w:color w:val="auto"/>
        </w:rPr>
      </w:pP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(18)</w:t>
      </w:r>
      <w:r>
        <w:rPr>
          <w:rFonts w:ascii="Times New Roman" w:cs="Times New Roman" w:eastAsia="Times New Roman" w:hAnsi="Times New Roman"/>
          <w:sz w:val="14"/>
          <w:szCs w:val="14"/>
          <w:color w:val="auto"/>
        </w:rPr>
        <w:t xml:space="preserve">, no Event of Default shall have occurred and be continuing or would occur as a consequence thereof (or in the case of a Restricted Investment, no Event of Default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shall have occurred and be continuing or would occur as a consequence thereof).</w:t>
      </w:r>
    </w:p>
    <w:p>
      <w:pPr>
        <w:spacing w:after="0" w:line="144" w:lineRule="exact"/>
        <w:rPr>
          <w:sz w:val="20"/>
          <w:szCs w:val="20"/>
          <w:color w:val="auto"/>
        </w:rPr>
      </w:pPr>
    </w:p>
    <w:p>
      <w:pPr>
        <w:ind w:left="1140" w:right="1199" w:firstLine="1033"/>
        <w:spacing w:after="0" w:line="261" w:lineRule="auto"/>
        <w:rPr>
          <w:sz w:val="20"/>
          <w:szCs w:val="20"/>
          <w:color w:val="auto"/>
        </w:rPr>
      </w:pPr>
      <w:r>
        <w:rPr>
          <w:rFonts w:ascii="Times New Roman" w:cs="Times New Roman" w:eastAsia="Times New Roman" w:hAnsi="Times New Roman"/>
          <w:sz w:val="14"/>
          <w:szCs w:val="14"/>
          <w:color w:val="auto"/>
        </w:rPr>
        <w:t xml:space="preserve">The Borrower will not permit any Unrestricted Subsidiary to become a Restricted Subsidiary except pursuant to the penultimate paragraph of the definition of Unrestricted Subsidiary. For purposes of designating any Restricted Subsidiary as an Unrestricted Subsidiary, all outstanding Investments by the Borrower and the Restricted Subsidiaries (except to the extent repaid) in the Subsidiary so designated will be deemed to be Restricted Payments in an amount determined as set forth in the last sentence of the definition of Investment. Such designation will be permitted only if a Restricted Payment in such amount would be permitted at such time pursuant to </w:t>
      </w:r>
      <w:r>
        <w:rPr>
          <w:rFonts w:ascii="Times New Roman" w:cs="Times New Roman" w:eastAsia="Times New Roman" w:hAnsi="Times New Roman"/>
          <w:sz w:val="14"/>
          <w:szCs w:val="14"/>
          <w:u w:val="single" w:color="auto"/>
          <w:color w:val="auto"/>
        </w:rPr>
        <w:t>Section 10.5(a)</w:t>
      </w:r>
      <w:r>
        <w:rPr>
          <w:rFonts w:ascii="Times New Roman" w:cs="Times New Roman" w:eastAsia="Times New Roman" w:hAnsi="Times New Roman"/>
          <w:sz w:val="14"/>
          <w:szCs w:val="14"/>
          <w:color w:val="auto"/>
        </w:rPr>
        <w:t xml:space="preserve"> or under </w:t>
      </w:r>
      <w:r>
        <w:rPr>
          <w:rFonts w:ascii="Times New Roman" w:cs="Times New Roman" w:eastAsia="Times New Roman" w:hAnsi="Times New Roman"/>
          <w:sz w:val="14"/>
          <w:szCs w:val="14"/>
          <w:u w:val="single" w:color="auto"/>
          <w:color w:val="auto"/>
        </w:rPr>
        <w:t>clauses (7)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10.5(b)</w:t>
      </w:r>
      <w:r>
        <w:rPr>
          <w:rFonts w:ascii="Times New Roman" w:cs="Times New Roman" w:eastAsia="Times New Roman" w:hAnsi="Times New Roman"/>
          <w:sz w:val="14"/>
          <w:szCs w:val="14"/>
          <w:color w:val="auto"/>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146" w:lineRule="exact"/>
        <w:rPr>
          <w:sz w:val="20"/>
          <w:szCs w:val="20"/>
          <w:color w:val="auto"/>
        </w:rPr>
      </w:pPr>
    </w:p>
    <w:p>
      <w:pPr>
        <w:ind w:left="1140" w:right="1199" w:firstLine="1033"/>
        <w:spacing w:after="0" w:line="260" w:lineRule="auto"/>
        <w:rPr>
          <w:sz w:val="20"/>
          <w:szCs w:val="20"/>
          <w:color w:val="auto"/>
        </w:rPr>
      </w:pPr>
      <w:r>
        <w:rPr>
          <w:rFonts w:ascii="Times New Roman" w:cs="Times New Roman" w:eastAsia="Times New Roman" w:hAnsi="Times New Roman"/>
          <w:sz w:val="14"/>
          <w:szCs w:val="14"/>
          <w:color w:val="auto"/>
        </w:rPr>
        <w:t xml:space="preserve">For purposes of determining compliance with this covenant, in the event that a proposed Restricted Payment or Investment (or a portion thereof) meets the criteria of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(18)</w:t>
      </w:r>
      <w:r>
        <w:rPr>
          <w:rFonts w:ascii="Times New Roman" w:cs="Times New Roman" w:eastAsia="Times New Roman" w:hAnsi="Times New Roman"/>
          <w:sz w:val="14"/>
          <w:szCs w:val="14"/>
          <w:color w:val="auto"/>
        </w:rPr>
        <w:t xml:space="preserve"> above or is entitled to be made pursuant to </w:t>
      </w:r>
      <w:r>
        <w:rPr>
          <w:rFonts w:ascii="Times New Roman" w:cs="Times New Roman" w:eastAsia="Times New Roman" w:hAnsi="Times New Roman"/>
          <w:sz w:val="14"/>
          <w:szCs w:val="14"/>
          <w:u w:val="single" w:color="auto"/>
          <w:color w:val="auto"/>
        </w:rPr>
        <w:t>Section 10.5(a)</w:t>
      </w:r>
      <w:r>
        <w:rPr>
          <w:rFonts w:ascii="Times New Roman" w:cs="Times New Roman" w:eastAsia="Times New Roman" w:hAnsi="Times New Roman"/>
          <w:sz w:val="14"/>
          <w:szCs w:val="14"/>
          <w:color w:val="auto"/>
        </w:rPr>
        <w:t xml:space="preserve"> and/or one or more of the exceptions contained in the definition of Permitted Investments, the Borrower will be entitled to classify or later reclassify (based on circumstances existing on the date of such reclassification) such Restricted Payment (or portion thereof) among such </w:t>
      </w:r>
      <w:r>
        <w:rPr>
          <w:rFonts w:ascii="Times New Roman" w:cs="Times New Roman" w:eastAsia="Times New Roman" w:hAnsi="Times New Roman"/>
          <w:sz w:val="14"/>
          <w:szCs w:val="14"/>
          <w:u w:val="single" w:color="auto"/>
          <w:color w:val="auto"/>
        </w:rPr>
        <w:t>clauses (1)</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(18)</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10.5(a)</w:t>
      </w:r>
      <w:r>
        <w:rPr>
          <w:rFonts w:ascii="Times New Roman" w:cs="Times New Roman" w:eastAsia="Times New Roman" w:hAnsi="Times New Roman"/>
          <w:sz w:val="14"/>
          <w:szCs w:val="14"/>
          <w:color w:val="auto"/>
        </w:rPr>
        <w:t xml:space="preserve"> and/or one or more of the exceptions contained in the definition of “Permitted Investments”, in a manner that otherwise complies with this covenant</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u w:val="single" w:color="auto"/>
          <w:color w:val="0000FF"/>
        </w:rPr>
        <w:t>; provided that, if any Consolidated Total Debt to Consolidated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EBITDA Ratio, Consolidated First Lien Secured Debt to Consolidated EBITDA Ratio or Fixed Charge Coverage Ratio tests, as applicable, for the making of any such Restricted Payment or Investment would be satisfied on a pro forma basis as of the end of any subsequent Test Period of the Borrower after the making of such Restricted Payment or Investment, the reclassification described in this paragraph shall be deemed to have occurred automatically.</w:t>
      </w:r>
    </w:p>
    <w:p>
      <w:pPr>
        <w:spacing w:after="0" w:line="330" w:lineRule="exact"/>
        <w:rPr>
          <w:sz w:val="20"/>
          <w:szCs w:val="20"/>
          <w:color w:val="auto"/>
        </w:rPr>
      </w:pPr>
    </w:p>
    <w:p>
      <w:pPr>
        <w:jc w:val="both"/>
        <w:ind w:left="1140" w:right="1159" w:firstLine="524"/>
        <w:spacing w:after="0" w:line="259" w:lineRule="auto"/>
        <w:tabs>
          <w:tab w:leader="none" w:pos="1982" w:val="left"/>
        </w:tabs>
        <w:numPr>
          <w:ilvl w:val="0"/>
          <w:numId w:val="25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Prior to the Tranche B Term Loan Maturity Date, to the extent any Permitted Debt Exchange Notes are issued pursuant to </w:t>
      </w:r>
      <w:r>
        <w:rPr>
          <w:rFonts w:ascii="Times New Roman" w:cs="Times New Roman" w:eastAsia="Times New Roman" w:hAnsi="Times New Roman"/>
          <w:sz w:val="14"/>
          <w:szCs w:val="14"/>
          <w:u w:val="single" w:color="auto"/>
          <w:color w:val="auto"/>
        </w:rPr>
        <w:t>Section 10.1(y)</w:t>
      </w:r>
      <w:r>
        <w:rPr>
          <w:rFonts w:ascii="Times New Roman" w:cs="Times New Roman" w:eastAsia="Times New Roman" w:hAnsi="Times New Roman"/>
          <w:sz w:val="14"/>
          <w:szCs w:val="14"/>
          <w:color w:val="auto"/>
        </w:rPr>
        <w:t xml:space="preserve"> for the purpose of consummating a Permitted Debt Exchange, (i) the Borrower will not, and will not permit its Restricted Subsidiaries to, prepay, repurchase, redeem or otherwise defease or acquire any Permitted Debt Exchange Notes unless the Borrower or a Restricted Subsidiary shall concurrently voluntarily prepay Term Loans pursuant to </w:t>
      </w:r>
      <w:r>
        <w:rPr>
          <w:rFonts w:ascii="Times New Roman" w:cs="Times New Roman" w:eastAsia="Times New Roman" w:hAnsi="Times New Roman"/>
          <w:sz w:val="14"/>
          <w:szCs w:val="14"/>
          <w:u w:val="single" w:color="auto"/>
          <w:color w:val="auto"/>
        </w:rPr>
        <w:t>Section 5.1(a)</w:t>
      </w:r>
      <w:r>
        <w:rPr>
          <w:rFonts w:ascii="Times New Roman" w:cs="Times New Roman" w:eastAsia="Times New Roman" w:hAnsi="Times New Roman"/>
          <w:sz w:val="14"/>
          <w:szCs w:val="14"/>
          <w:color w:val="auto"/>
        </w:rPr>
        <w:t xml:space="preserve"> on a pro rata basis among the Term Loans, in an amount not less than the product of (a) a fraction, the numerator of which is the aggregate principal amount (calculated on the face amount thereof) of such Permitted Debt Exchange Notes that are proposed to be prepaid, repurchased, redeemed, defeased or acquired and the denominator of which is the aggregate principal amount (calculated on the face amount thereof) of all Permitted Debt Exchange Notes in respect of the relevant Permitted Debt Exchange then outstanding (prior to giving effect to such proposed prepayment, repurchase, redemption, defeasance or acquisition) and (b) the aggregate principal amount (calculated on the face amount thereof) of Term Loans then outstanding and (ii) the Borrower will not waive, amend or modify the terms of any Permitted Debt Exchange Notes or any indenture pursuant to which such Permitted Debt Exchange Notes have been issued in any manner inconsistent with the terms of </w:t>
      </w:r>
      <w:r>
        <w:rPr>
          <w:rFonts w:ascii="Times New Roman" w:cs="Times New Roman" w:eastAsia="Times New Roman" w:hAnsi="Times New Roman"/>
          <w:sz w:val="14"/>
          <w:szCs w:val="14"/>
          <w:u w:val="single" w:color="auto"/>
          <w:color w:val="auto"/>
        </w:rPr>
        <w:t>Section 2.15(a)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10.1(y)</w:t>
      </w:r>
      <w:r>
        <w:rPr>
          <w:rFonts w:ascii="Times New Roman" w:cs="Times New Roman" w:eastAsia="Times New Roman" w:hAnsi="Times New Roman"/>
          <w:sz w:val="14"/>
          <w:szCs w:val="14"/>
          <w:color w:val="auto"/>
        </w:rPr>
        <w:t>, or the definition of Permitted Other Indebtedness or that would result in an Event of Default hereunder if such Permitted “Debt Exchange Notes” (as so amended or modified) were then being issued or incurred.</w:t>
      </w:r>
    </w:p>
    <w:p>
      <w:pPr>
        <w:spacing w:after="0" w:line="331"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10.6 Limitation on Subsidiary Distributions</w:t>
      </w:r>
      <w:r>
        <w:rPr>
          <w:rFonts w:ascii="Times New Roman" w:cs="Times New Roman" w:eastAsia="Times New Roman" w:hAnsi="Times New Roman"/>
          <w:sz w:val="14"/>
          <w:szCs w:val="14"/>
          <w:color w:val="auto"/>
        </w:rPr>
        <w:t>. The Borrower will not permit any of its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46" w:lineRule="exact"/>
        <w:rPr>
          <w:sz w:val="20"/>
          <w:szCs w:val="20"/>
          <w:color w:val="auto"/>
        </w:rPr>
      </w:pPr>
    </w:p>
    <w:p>
      <w:pPr>
        <w:jc w:val="both"/>
        <w:ind w:left="1140" w:right="1159" w:firstLine="524"/>
        <w:spacing w:after="0" w:line="275" w:lineRule="auto"/>
        <w:tabs>
          <w:tab w:leader="none" w:pos="2013" w:val="left"/>
        </w:tabs>
        <w:numPr>
          <w:ilvl w:val="0"/>
          <w:numId w:val="25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pay dividends or make any other distributions to the Borrower or any Restricted Subsidiary on its Capital Stock or with respect to any other interest or participation in, or measured by, its profits or (ii) pay any Indebtedness owed to the Borrower or any Restricted Subsidiary;</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0" w:name="page241"/>
    <w:bookmarkEnd w:id="240"/>
    <w:p>
      <w:pPr>
        <w:ind w:left="1980" w:hanging="316"/>
        <w:spacing w:after="0"/>
        <w:tabs>
          <w:tab w:leader="none" w:pos="1980" w:val="left"/>
        </w:tabs>
        <w:numPr>
          <w:ilvl w:val="0"/>
          <w:numId w:val="26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make loans or advances to the Borrower or any Restricted Subsidiary; or</w:t>
      </w:r>
    </w:p>
    <w:p>
      <w:pPr>
        <w:spacing w:after="0" w:line="19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26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sell, lease or transfer any of its properties or assets to the Borrower or any Restricted Subsidiary;</w:t>
      </w:r>
    </w:p>
    <w:p>
      <w:pPr>
        <w:spacing w:after="0" w:line="183" w:lineRule="exact"/>
        <w:rPr>
          <w:sz w:val="20"/>
          <w:szCs w:val="20"/>
          <w:color w:val="auto"/>
        </w:rPr>
      </w:pPr>
    </w:p>
    <w:p>
      <w:pPr>
        <w:ind w:left="1140" w:right="1179"/>
        <w:spacing w:after="0" w:line="275" w:lineRule="auto"/>
        <w:rPr>
          <w:sz w:val="20"/>
          <w:szCs w:val="20"/>
          <w:color w:val="auto"/>
        </w:rPr>
      </w:pPr>
      <w:r>
        <w:rPr>
          <w:rFonts w:ascii="Times New Roman" w:cs="Times New Roman" w:eastAsia="Times New Roman" w:hAnsi="Times New Roman"/>
          <w:sz w:val="14"/>
          <w:szCs w:val="14"/>
          <w:color w:val="auto"/>
        </w:rPr>
        <w:t>except (in each case) for such encumbrances or restrictions (x) which the Borrower has reasonably determined in good faith will not materially impair the Borrower’s ability to make payments under this Agreement when due or (y) existing under or by reason of:</w:t>
      </w:r>
    </w:p>
    <w:p>
      <w:pPr>
        <w:spacing w:after="0" w:line="146" w:lineRule="exact"/>
        <w:rPr>
          <w:sz w:val="20"/>
          <w:szCs w:val="20"/>
          <w:color w:val="auto"/>
        </w:rPr>
      </w:pPr>
    </w:p>
    <w:p>
      <w:pPr>
        <w:ind w:left="1140" w:right="1159" w:firstLine="524"/>
        <w:spacing w:after="0" w:line="293" w:lineRule="auto"/>
        <w:tabs>
          <w:tab w:leader="none" w:pos="1993"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contractual encumbrances or restrictions in effect on the Closing Date, including pursuant to this Agreement and the related documentation and related Hedging Obligations;</w:t>
      </w:r>
    </w:p>
    <w:p>
      <w:pPr>
        <w:spacing w:after="0" w:line="13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Second Lien Credit Documents and the Second Lien Loans;</w:t>
      </w:r>
    </w:p>
    <w:p>
      <w:pPr>
        <w:spacing w:after="0" w:line="19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purchase money obligations for property acquired in the ordinary course of business or consistent with past practice and Capitalized Lease Obligations that impose restrictions of the nature discussed in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above on the property so acquired;</w:t>
      </w:r>
    </w:p>
    <w:p>
      <w:pPr>
        <w:spacing w:after="0" w:line="145"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Requirements of Law or any applicable rule, regulation or order, or any request of any Governmental Authority having regulatory authority over the Borrower or any of its Subsidiaries;</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agreement or other instrument of a Person acquired by or merged or consolidated with or into the Borrower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198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contracts for the sale of assets, including customary restrictions with respect to a Subsidiary of the Borrower pursuant to an agreement that has been entered into for the sale or disposition of all or substantially all of the Capital Stock or assets of such Subsidiary and restrictions on transfer of assets subject to Permitted Liens;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(x) secured Indebtedness otherwise permitted to be incurred pursuant to </w:t>
      </w:r>
      <w:r>
        <w:rPr>
          <w:rFonts w:ascii="Times New Roman" w:cs="Times New Roman" w:eastAsia="Times New Roman" w:hAnsi="Times New Roman"/>
          <w:sz w:val="14"/>
          <w:szCs w:val="14"/>
          <w:u w:val="single" w:color="auto"/>
          <w:color w:val="auto"/>
        </w:rPr>
        <w:t>Sections 10.1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10.2</w:t>
      </w:r>
      <w:r>
        <w:rPr>
          <w:rFonts w:ascii="Times New Roman" w:cs="Times New Roman" w:eastAsia="Times New Roman" w:hAnsi="Times New Roman"/>
          <w:sz w:val="14"/>
          <w:szCs w:val="14"/>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152"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restrictions on cash or other deposits or net worth imposed by customers under contracts entered into in the ordinary course of business;</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other Indebtedness, Disqualified Stock or preferred stock of Restricted Subsidiaries permitted to be incurred subsequent to the Closing Date pursuant to the provisions of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8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customary provisions in joint venture agreements or arrangements and other similar agreements or arrangements relating solely to such joint venture and the Equity Interests issued thereby;</w:t>
      </w:r>
    </w:p>
    <w:p>
      <w:pPr>
        <w:spacing w:after="0" w:line="102" w:lineRule="exact"/>
        <w:rPr>
          <w:rFonts w:ascii="Times New Roman" w:cs="Times New Roman" w:eastAsia="Times New Roman" w:hAnsi="Times New Roman"/>
          <w:sz w:val="14"/>
          <w:szCs w:val="14"/>
          <w:color w:val="010000"/>
        </w:rPr>
      </w:pPr>
    </w:p>
    <w:p>
      <w:pPr>
        <w:ind w:left="1140" w:right="1159" w:firstLine="524"/>
        <w:spacing w:after="0" w:line="195" w:lineRule="exact"/>
        <w:tabs>
          <w:tab w:leader="none" w:pos="197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customary provisions contained in leases,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leases, licenses,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licenses or similar agreements, in each case, entered into in the ordinary course of business;</w:t>
      </w:r>
    </w:p>
    <w:p>
      <w:pPr>
        <w:spacing w:after="0" w:line="169"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restrictions created in connection with any Receivables Facility that, in the good faith determination of the board of directors of the Borrower, are necessary or advisable to effect such Receivables Facility; and</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26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encumbrances or restrictions of the type referred to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(c)</w:t>
      </w:r>
      <w:r>
        <w:rPr>
          <w:rFonts w:ascii="Times New Roman" w:cs="Times New Roman" w:eastAsia="Times New Roman" w:hAnsi="Times New Roman"/>
          <w:sz w:val="14"/>
          <w:szCs w:val="14"/>
          <w:color w:val="auto"/>
        </w:rPr>
        <w:t xml:space="preserve"> above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(xii)</w:t>
      </w:r>
      <w:r>
        <w:rPr>
          <w:rFonts w:ascii="Times New Roman" w:cs="Times New Roman" w:eastAsia="Times New Roman" w:hAnsi="Times New Roman"/>
          <w:sz w:val="14"/>
          <w:szCs w:val="14"/>
          <w:color w:val="auto"/>
        </w:rPr>
        <w:t xml:space="preserve"> above;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amendments, modifications, restatements, renewals, increases, supplements, refundings, replacements, or</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41" w:name="page242"/>
    <w:bookmarkEnd w:id="241"/>
    <w:p>
      <w:pPr>
        <w:jc w:val="both"/>
        <w:ind w:left="1140" w:right="1159"/>
        <w:spacing w:after="0" w:line="265" w:lineRule="auto"/>
        <w:rPr>
          <w:sz w:val="20"/>
          <w:szCs w:val="20"/>
          <w:color w:val="auto"/>
        </w:rPr>
      </w:pPr>
      <w:r>
        <w:rPr>
          <w:rFonts w:ascii="Times New Roman" w:cs="Times New Roman" w:eastAsia="Times New Roman" w:hAnsi="Times New Roman"/>
          <w:sz w:val="14"/>
          <w:szCs w:val="14"/>
          <w:color w:val="auto"/>
        </w:rPr>
        <w:t>refinancings (x) are, in the good faith judgment of the Borrower’s boards of 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155" w:lineRule="exact"/>
        <w:rPr>
          <w:sz w:val="20"/>
          <w:szCs w:val="20"/>
          <w:color w:val="auto"/>
        </w:rPr>
      </w:pPr>
    </w:p>
    <w:p>
      <w:pPr>
        <w:jc w:val="both"/>
        <w:ind w:left="1140" w:right="1159" w:firstLine="517"/>
        <w:spacing w:after="0" w:line="272" w:lineRule="auto"/>
        <w:rPr>
          <w:sz w:val="20"/>
          <w:szCs w:val="20"/>
          <w:color w:val="auto"/>
        </w:rPr>
      </w:pPr>
      <w:r>
        <w:rPr>
          <w:rFonts w:ascii="Times New Roman" w:cs="Times New Roman" w:eastAsia="Times New Roman" w:hAnsi="Times New Roman"/>
          <w:sz w:val="14"/>
          <w:szCs w:val="14"/>
          <w:u w:val="single" w:color="auto"/>
          <w:color w:val="auto"/>
        </w:rPr>
        <w:t>10.7 Consolidated First Lien Secured Debt to Consolidated EBITDA Ratio</w:t>
      </w:r>
      <w:r>
        <w:rPr>
          <w:rFonts w:ascii="Times New Roman" w:cs="Times New Roman" w:eastAsia="Times New Roman" w:hAnsi="Times New Roman"/>
          <w:sz w:val="14"/>
          <w:szCs w:val="14"/>
          <w:color w:val="auto"/>
        </w:rPr>
        <w:t>. Solely with respect to the Revolving Credit Facility, the Borrower will not permit the Consolidated First Lien Secured Debt to Consolidated EBITDA Ratio as of the last day of any Test Period ending during any Compliance Period to be greater than 6.90:1.00.</w:t>
      </w:r>
    </w:p>
    <w:p>
      <w:pPr>
        <w:spacing w:after="0" w:line="324"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auto"/>
        </w:rPr>
        <w:t>10.8 Permitted Activities</w:t>
      </w:r>
      <w:r>
        <w:rPr>
          <w:rFonts w:ascii="Times New Roman" w:cs="Times New Roman" w:eastAsia="Times New Roman" w:hAnsi="Times New Roman"/>
          <w:sz w:val="14"/>
          <w:szCs w:val="14"/>
          <w:color w:val="auto"/>
        </w:rPr>
        <w:t xml:space="preserve">. Holdings shall not conduct, transact or otherwise engage in any business or operations other than (i) the ownership and/or acquisition of the Capital Stock of the Borrower, (ii) the maintenance of its legal existence, including the ability to incur fees, costs and expenses relating to such maintenance, (iii) participating in tax, accounting and other administrative matters as owner of the Capital Stock of the Borrower and reporting related to such matters, (iv) the performance of its obligations under and in connection with the Credit Documents, the Second Lien Credit Documents, any documentation governing Permitted Other Indebtedness, any refinancing thereof and the other agreements contemplated hereby and thereby, (v) any public offering of its common stock or any other issuance or registration of its Capital Stock for sale or resale not prohibited by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w:t>
      </w:r>
      <w:r>
        <w:rPr>
          <w:rFonts w:ascii="Times New Roman" w:cs="Times New Roman" w:eastAsia="Times New Roman" w:hAnsi="Times New Roman"/>
          <w:sz w:val="14"/>
          <w:szCs w:val="14"/>
          <w:color w:val="auto"/>
        </w:rPr>
        <w:t xml:space="preserve"> (or that would be permitted to the extent that Holdings was considered to be the Borrower and/or a Restricted Subsidiary), including the ability to incur costs, fees and expenses related thereto, (vi) incurring fees, costs and expenses relating to overhead and general operating including professional fees for legal, tax and accounting matters, (vii) providing indemnification to officers and directors and as otherwise permitted hereunder, (viii) activities incidental to the consummation of the Transactions, (ix) financing activities, including the issuance of securities, incurrence of debt, payment of dividends, making contributions to the capital of the Borrower and guaranteeing the obligations of the Borrower, (x) any other transaction permitted pursuant to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(xi) undertaking or consummating any IPO Reorganization Transactions or any transaction related thereto or contemplated thereby and (xii) activities incidental to the businesses or activities described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(xi)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10.8</w:t>
      </w:r>
      <w:r>
        <w:rPr>
          <w:rFonts w:ascii="Times New Roman" w:cs="Times New Roman" w:eastAsia="Times New Roman" w:hAnsi="Times New Roman"/>
          <w:sz w:val="14"/>
          <w:szCs w:val="14"/>
          <w:color w:val="auto"/>
        </w:rPr>
        <w:t>.</w:t>
      </w:r>
    </w:p>
    <w:p>
      <w:pPr>
        <w:spacing w:after="0" w:line="325"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u w:val="single" w:color="auto"/>
          <w:color w:val="auto"/>
        </w:rPr>
        <w:t>Section 11.</w:t>
      </w:r>
      <w:r>
        <w:rPr>
          <w:sz w:val="20"/>
          <w:szCs w:val="20"/>
          <w:color w:val="auto"/>
        </w:rPr>
        <w:tab/>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7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Upon the occurrence of any of the following specified events (each an “</w:t>
      </w:r>
      <w:r>
        <w:rPr>
          <w:rFonts w:ascii="Times New Roman" w:cs="Times New Roman" w:eastAsia="Times New Roman" w:hAnsi="Times New Roman"/>
          <w:sz w:val="14"/>
          <w:szCs w:val="14"/>
          <w:b w:val="1"/>
          <w:bCs w:val="1"/>
          <w:color w:val="auto"/>
        </w:rPr>
        <w:t>Event of Default</w:t>
      </w:r>
      <w:r>
        <w:rPr>
          <w:rFonts w:ascii="Times New Roman" w:cs="Times New Roman" w:eastAsia="Times New Roman" w:hAnsi="Times New Roman"/>
          <w:sz w:val="14"/>
          <w:szCs w:val="14"/>
          <w:color w:val="auto"/>
        </w:rPr>
        <w:t>”):</w:t>
      </w:r>
    </w:p>
    <w:p>
      <w:pPr>
        <w:spacing w:after="0" w:line="19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u w:val="single" w:color="auto"/>
          <w:color w:val="auto"/>
        </w:rPr>
        <w:t>11.1 Payments</w:t>
      </w:r>
      <w:r>
        <w:rPr>
          <w:rFonts w:ascii="Times New Roman" w:cs="Times New Roman" w:eastAsia="Times New Roman" w:hAnsi="Times New Roman"/>
          <w:sz w:val="14"/>
          <w:szCs w:val="14"/>
          <w:color w:val="auto"/>
        </w:rPr>
        <w:t>. The Borrower shall (a) default in the payment when due of any principal of the Loans or</w:t>
      </w:r>
    </w:p>
    <w:p>
      <w:pPr>
        <w:spacing w:after="0" w:line="25" w:lineRule="exact"/>
        <w:rPr>
          <w:sz w:val="20"/>
          <w:szCs w:val="20"/>
          <w:color w:val="auto"/>
        </w:rPr>
      </w:pPr>
    </w:p>
    <w:p>
      <w:pPr>
        <w:jc w:val="both"/>
        <w:ind w:left="1140" w:right="1159" w:firstLine="7"/>
        <w:spacing w:after="0" w:line="264" w:lineRule="auto"/>
        <w:tabs>
          <w:tab w:leader="none" w:pos="1346"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and such default shall continue for five or more Business Days, in the payment when due of any interest on the Loans or any Fees or any Unpaid Drawings or of any other amounts owing hereunder or under any other Credit Document; or</w:t>
      </w:r>
    </w:p>
    <w:p>
      <w:pPr>
        <w:spacing w:after="0" w:line="154" w:lineRule="exact"/>
        <w:rPr>
          <w:sz w:val="20"/>
          <w:szCs w:val="20"/>
          <w:color w:val="auto"/>
        </w:rPr>
      </w:pPr>
    </w:p>
    <w:p>
      <w:pPr>
        <w:jc w:val="both"/>
        <w:ind w:left="1140" w:right="1159" w:firstLine="517"/>
        <w:spacing w:after="0" w:line="263" w:lineRule="auto"/>
        <w:rPr>
          <w:sz w:val="20"/>
          <w:szCs w:val="20"/>
          <w:color w:val="auto"/>
        </w:rPr>
      </w:pPr>
      <w:r>
        <w:rPr>
          <w:rFonts w:ascii="Times New Roman" w:cs="Times New Roman" w:eastAsia="Times New Roman" w:hAnsi="Times New Roman"/>
          <w:sz w:val="14"/>
          <w:szCs w:val="14"/>
          <w:u w:val="single" w:color="auto"/>
          <w:color w:val="auto"/>
        </w:rPr>
        <w:t>11.2 Representations, Etc</w:t>
      </w:r>
      <w:r>
        <w:rPr>
          <w:rFonts w:ascii="Times New Roman" w:cs="Times New Roman" w:eastAsia="Times New Roman" w:hAnsi="Times New Roman"/>
          <w:sz w:val="14"/>
          <w:szCs w:val="14"/>
          <w:color w:val="auto"/>
        </w:rPr>
        <w:t>. Any representation, warranty or statement made or deemed made by any Credit Party herein or in any other Credit Document or any certificate delivered or required to be delivered pursuant hereto or thereto (except those in the Credit Documents made or deemed made on the Closing Date that are not the Company Representations or the Specified Representations)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32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u w:val="single" w:color="auto"/>
          <w:color w:val="auto"/>
        </w:rPr>
        <w:t>11.3 Covenants</w:t>
      </w:r>
      <w:r>
        <w:rPr>
          <w:rFonts w:ascii="Times New Roman" w:cs="Times New Roman" w:eastAsia="Times New Roman" w:hAnsi="Times New Roman"/>
          <w:sz w:val="14"/>
          <w:szCs w:val="14"/>
          <w:color w:val="auto"/>
        </w:rPr>
        <w:t>. Any Credit Party shall:</w:t>
      </w:r>
    </w:p>
    <w:p>
      <w:pPr>
        <w:spacing w:after="0" w:line="194" w:lineRule="exact"/>
        <w:rPr>
          <w:sz w:val="20"/>
          <w:szCs w:val="20"/>
          <w:color w:val="auto"/>
        </w:rPr>
      </w:pPr>
    </w:p>
    <w:p>
      <w:pPr>
        <w:jc w:val="both"/>
        <w:ind w:left="1140" w:right="1159" w:firstLine="524"/>
        <w:spacing w:after="0" w:line="261" w:lineRule="auto"/>
        <w:tabs>
          <w:tab w:leader="none" w:pos="1972" w:val="left"/>
        </w:tabs>
        <w:numPr>
          <w:ilvl w:val="0"/>
          <w:numId w:val="26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default in the due performance or observance by it of any term, covenant or agreement contained in </w:t>
      </w:r>
      <w:r>
        <w:rPr>
          <w:rFonts w:ascii="Times New Roman" w:cs="Times New Roman" w:eastAsia="Times New Roman" w:hAnsi="Times New Roman"/>
          <w:sz w:val="14"/>
          <w:szCs w:val="14"/>
          <w:u w:val="single" w:color="auto"/>
          <w:color w:val="auto"/>
        </w:rPr>
        <w:t>Section 9.1(e)(i)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9.5(a)</w:t>
      </w:r>
      <w:r>
        <w:rPr>
          <w:rFonts w:ascii="Times New Roman" w:cs="Times New Roman" w:eastAsia="Times New Roman" w:hAnsi="Times New Roman"/>
          <w:sz w:val="14"/>
          <w:szCs w:val="14"/>
          <w:color w:val="auto"/>
        </w:rPr>
        <w:t xml:space="preserve"> (solely with respect to Holdings or the Borrower), </w:t>
      </w:r>
      <w:r>
        <w:rPr>
          <w:rFonts w:ascii="Times New Roman" w:cs="Times New Roman" w:eastAsia="Times New Roman" w:hAnsi="Times New Roman"/>
          <w:sz w:val="14"/>
          <w:szCs w:val="14"/>
          <w:u w:val="single" w:color="auto"/>
          <w:color w:val="auto"/>
        </w:rPr>
        <w:t>Section 9.14(d)</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any default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shall not constitute an Event of Default with respect to the Term Loans and/or the 2020 Revolving Credit Loans and neither the Term Loans nor the 2020 Revolving Credit Loans may be accelerated as a result thereof until the date on which the Revolving Credit Loans (if any) have been accelerated or the Revolving Credit Commitments have been terminated, in each case, by the Required Revolving Credit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Lenders under any Incremental Revolving Credit Commitment have agreed not to have the benefit of the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such Incremental Revolving Credit Commitments shall be disregarded for</w:t>
      </w:r>
    </w:p>
    <w:p>
      <w:pPr>
        <w:spacing w:after="0" w:line="200" w:lineRule="exact"/>
        <w:rPr>
          <w:sz w:val="20"/>
          <w:szCs w:val="20"/>
          <w:color w:val="auto"/>
        </w:rPr>
      </w:pPr>
    </w:p>
    <w:p>
      <w:pPr>
        <w:spacing w:after="0" w:line="20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2" w:name="page243"/>
    <w:bookmarkEnd w:id="242"/>
    <w:p>
      <w:pPr>
        <w:jc w:val="both"/>
        <w:ind w:left="1140" w:right="1159"/>
        <w:spacing w:after="0" w:line="250" w:lineRule="auto"/>
        <w:rPr>
          <w:sz w:val="20"/>
          <w:szCs w:val="20"/>
          <w:color w:val="auto"/>
        </w:rPr>
      </w:pPr>
      <w:r>
        <w:rPr>
          <w:rFonts w:ascii="Times New Roman" w:cs="Times New Roman" w:eastAsia="Times New Roman" w:hAnsi="Times New Roman"/>
          <w:sz w:val="14"/>
          <w:szCs w:val="14"/>
          <w:color w:val="auto"/>
        </w:rPr>
        <w:t xml:space="preserve">purposes of determining the Required Revolving Credit Lenders and such Incremental Revolving Credit Commitments shall be treated in the same way as the Term Loans are treated pursuant to this proviso (such period commencing with a default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and ending on the date on which the Required Revolving Credit Lenders with respect to the Revolving Credit Facility terminate and accelerate the Revolving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any Event of Default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is subject to cure as provided in </w:t>
      </w:r>
      <w:r>
        <w:rPr>
          <w:rFonts w:ascii="Times New Roman" w:cs="Times New Roman" w:eastAsia="Times New Roman" w:hAnsi="Times New Roman"/>
          <w:sz w:val="14"/>
          <w:szCs w:val="14"/>
          <w:u w:val="single" w:color="auto"/>
          <w:color w:val="auto"/>
        </w:rPr>
        <w:t>Section 11.14</w:t>
      </w:r>
      <w:r>
        <w:rPr>
          <w:rFonts w:ascii="Times New Roman" w:cs="Times New Roman" w:eastAsia="Times New Roman" w:hAnsi="Times New Roman"/>
          <w:sz w:val="14"/>
          <w:szCs w:val="14"/>
          <w:color w:val="auto"/>
        </w:rPr>
        <w:t xml:space="preserve"> and an Event of Default with respect to such Section shall not occur until the expiration of the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Business Day subsequent to the date the relevant financial statements are required to be delivered for the applicable fiscal quarter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or</w:t>
      </w:r>
    </w:p>
    <w:p>
      <w:pPr>
        <w:spacing w:after="0" w:line="337" w:lineRule="exact"/>
        <w:rPr>
          <w:sz w:val="20"/>
          <w:szCs w:val="20"/>
          <w:color w:val="auto"/>
        </w:rPr>
      </w:pPr>
    </w:p>
    <w:p>
      <w:pPr>
        <w:jc w:val="both"/>
        <w:ind w:left="1140" w:right="1159" w:firstLine="524"/>
        <w:spacing w:after="0" w:line="268" w:lineRule="auto"/>
        <w:tabs>
          <w:tab w:leader="none" w:pos="1982" w:val="left"/>
        </w:tabs>
        <w:numPr>
          <w:ilvl w:val="0"/>
          <w:numId w:val="26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default in the due performance or observance by it of any term, covenant or agreement (other than those referred to in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11.2</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11.3</w:t>
      </w:r>
      <w:r>
        <w:rPr>
          <w:rFonts w:ascii="Times New Roman" w:cs="Times New Roman" w:eastAsia="Times New Roman" w:hAnsi="Times New Roman"/>
          <w:sz w:val="14"/>
          <w:szCs w:val="14"/>
          <w:color w:val="auto"/>
        </w:rPr>
        <w:t>) contained in this Agreement or any Security Document and such default shall continue unremedied for a period of at least 30 days after receipt of written notice by the Borrower from the Administrative Agent or the Required Lenders; or</w:t>
      </w:r>
    </w:p>
    <w:p>
      <w:pPr>
        <w:spacing w:after="0" w:line="152" w:lineRule="exact"/>
        <w:rPr>
          <w:sz w:val="20"/>
          <w:szCs w:val="20"/>
          <w:color w:val="auto"/>
        </w:rPr>
      </w:pPr>
    </w:p>
    <w:p>
      <w:pPr>
        <w:jc w:val="both"/>
        <w:ind w:left="1140" w:right="1159" w:firstLine="517"/>
        <w:spacing w:after="0" w:line="257" w:lineRule="auto"/>
        <w:rPr>
          <w:sz w:val="20"/>
          <w:szCs w:val="20"/>
          <w:color w:val="auto"/>
        </w:rPr>
      </w:pPr>
      <w:r>
        <w:rPr>
          <w:rFonts w:ascii="Times New Roman" w:cs="Times New Roman" w:eastAsia="Times New Roman" w:hAnsi="Times New Roman"/>
          <w:sz w:val="14"/>
          <w:szCs w:val="14"/>
          <w:u w:val="single" w:color="auto"/>
          <w:color w:val="auto"/>
        </w:rPr>
        <w:t>11.4 Default Under Other Agreements</w:t>
      </w:r>
      <w:r>
        <w:rPr>
          <w:rFonts w:ascii="Times New Roman" w:cs="Times New Roman" w:eastAsia="Times New Roman" w:hAnsi="Times New Roman"/>
          <w:sz w:val="14"/>
          <w:szCs w:val="14"/>
          <w:color w:val="auto"/>
        </w:rPr>
        <w:t>. (a) Holdings, the Borrower, or any of the Restricted Subsidiaries shall (i) fail to make any payment with respect to any Indebtedness (other than the Obligations) in excess of the greater of (x) $</w:t>
      </w:r>
      <w:r>
        <w:rPr>
          <w:rFonts w:ascii="Times New Roman" w:cs="Times New Roman" w:eastAsia="Times New Roman" w:hAnsi="Times New Roman"/>
          <w:sz w:val="14"/>
          <w:szCs w:val="14"/>
          <w:color w:val="FF0000"/>
          <w:strike w:val="1"/>
        </w:rPr>
        <w:t>55</w:t>
      </w:r>
      <w:r>
        <w:rPr>
          <w:rFonts w:ascii="Times New Roman" w:cs="Times New Roman" w:eastAsia="Times New Roman" w:hAnsi="Times New Roman"/>
          <w:sz w:val="14"/>
          <w:szCs w:val="14"/>
          <w:u w:val="single" w:color="auto"/>
          <w:color w:val="0000FF"/>
        </w:rPr>
        <w:t>90</w:t>
      </w:r>
      <w:r>
        <w:rPr>
          <w:rFonts w:ascii="Times New Roman" w:cs="Times New Roman" w:eastAsia="Times New Roman" w:hAnsi="Times New Roman"/>
          <w:sz w:val="14"/>
          <w:szCs w:val="14"/>
          <w:color w:val="auto"/>
        </w:rPr>
        <w:t xml:space="preserve"> million and (y) 15% of Consolidated EBITDA for the most recently ended Test Period (calculated on a Pro Forma Basis) in the aggregate, for Holdings, the Borrower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above shall apply to any failure to make any payment in excess of the greater of (x) $</w:t>
      </w:r>
      <w:r>
        <w:rPr>
          <w:rFonts w:ascii="Times New Roman" w:cs="Times New Roman" w:eastAsia="Times New Roman" w:hAnsi="Times New Roman"/>
          <w:sz w:val="14"/>
          <w:szCs w:val="14"/>
          <w:color w:val="FF0000"/>
          <w:strike w:val="1"/>
        </w:rPr>
        <w:t>55</w:t>
      </w:r>
      <w:r>
        <w:rPr>
          <w:rFonts w:ascii="Times New Roman" w:cs="Times New Roman" w:eastAsia="Times New Roman" w:hAnsi="Times New Roman"/>
          <w:sz w:val="14"/>
          <w:szCs w:val="14"/>
          <w:u w:val="single" w:color="auto"/>
          <w:color w:val="0000FF"/>
        </w:rPr>
        <w:t>90</w:t>
      </w:r>
      <w:r>
        <w:rPr>
          <w:rFonts w:ascii="Times New Roman" w:cs="Times New Roman" w:eastAsia="Times New Roman" w:hAnsi="Times New Roman"/>
          <w:sz w:val="14"/>
          <w:szCs w:val="14"/>
          <w:color w:val="auto"/>
        </w:rPr>
        <w:t xml:space="preserve"> million and (y) 15% of Consolidated EBITDA for the most recently ended Test Period (calculated on a Pro Forma Basis) in the aggregate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Times New Roman" w:cs="Times New Roman" w:eastAsia="Times New Roman" w:hAnsi="Times New Roman"/>
          <w:sz w:val="14"/>
          <w:szCs w:val="14"/>
          <w:u w:val="single" w:color="auto"/>
          <w:color w:val="auto"/>
        </w:rPr>
        <w:t>clause (a)(i)</w:t>
      </w:r>
      <w:r>
        <w:rPr>
          <w:rFonts w:ascii="Times New Roman" w:cs="Times New Roman" w:eastAsia="Times New Roman" w:hAnsi="Times New Roman"/>
          <w:sz w:val="14"/>
          <w:szCs w:val="14"/>
          <w:color w:val="auto"/>
        </w:rPr>
        <w:t xml:space="preserve"> above shall apply to any failure to make any payment in excess of the greater of (x) $</w:t>
      </w:r>
      <w:r>
        <w:rPr>
          <w:rFonts w:ascii="Times New Roman" w:cs="Times New Roman" w:eastAsia="Times New Roman" w:hAnsi="Times New Roman"/>
          <w:sz w:val="14"/>
          <w:szCs w:val="14"/>
          <w:color w:val="FF0000"/>
          <w:strike w:val="1"/>
        </w:rPr>
        <w:t>55</w:t>
      </w:r>
      <w:r>
        <w:rPr>
          <w:rFonts w:ascii="Times New Roman" w:cs="Times New Roman" w:eastAsia="Times New Roman" w:hAnsi="Times New Roman"/>
          <w:sz w:val="14"/>
          <w:szCs w:val="14"/>
          <w:u w:val="single" w:color="auto"/>
          <w:color w:val="0000FF"/>
        </w:rPr>
        <w:t>90</w:t>
      </w:r>
      <w:r>
        <w:rPr>
          <w:rFonts w:ascii="Times New Roman" w:cs="Times New Roman" w:eastAsia="Times New Roman" w:hAnsi="Times New Roman"/>
          <w:sz w:val="14"/>
          <w:szCs w:val="14"/>
          <w:color w:val="auto"/>
        </w:rPr>
        <w:t xml:space="preserve"> million and (y) 15% of Consolidated EBITDA for the most recently ended Test Period (calculated on a Pro Forma Basis) in the aggregate that is required as a result of any such termination or similar event and that is not otherwise being contested in good faith)) prior to the stated maturity thereof;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 Qualified Stock and converts to Qualified Stock in accordance with its terms and such conversion is not prohibited hereunder, or (z) any breach or default that is (I) remedied by Holdings, the Borrower or the applicable Restricted Subsidiary or (II) waived (including in the form of amendment) by the required holders of the applicable item of Indebtedness, in either case, prior to the acceleration of Loans pursuant to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or</w:t>
      </w:r>
    </w:p>
    <w:p>
      <w:pPr>
        <w:spacing w:after="0" w:line="347"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11.5 Bankruptcy, Etc</w:t>
      </w:r>
      <w:r>
        <w:rPr>
          <w:rFonts w:ascii="Times New Roman" w:cs="Times New Roman" w:eastAsia="Times New Roman" w:hAnsi="Times New Roman"/>
          <w:sz w:val="14"/>
          <w:szCs w:val="14"/>
          <w:color w:val="auto"/>
        </w:rPr>
        <w:t xml:space="preserve">. Except as otherwise permitted by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Times New Roman" w:cs="Times New Roman" w:eastAsia="Times New Roman" w:hAnsi="Times New Roman"/>
          <w:sz w:val="14"/>
          <w:szCs w:val="14"/>
          <w:b w:val="1"/>
          <w:bCs w:val="1"/>
          <w:color w:val="auto"/>
        </w:rPr>
        <w:t>Bankruptcy Code</w:t>
      </w:r>
      <w:r>
        <w:rPr>
          <w:rFonts w:ascii="Times New Roman" w:cs="Times New Roman" w:eastAsia="Times New Roman" w:hAnsi="Times New Roman"/>
          <w:sz w:val="14"/>
          <w:szCs w:val="14"/>
          <w:color w:val="auto"/>
        </w:rPr>
        <w:t>”); or an involuntary case, proceeding or action is commenced against Holdings, the Borrower or any Significant Subsidiary and the petition is not controverted within 60 days after commencement of the case, proceeding or action; or an involuntary case, proceeding or action is commenced against Holdings, the Borrower or any Significant Subsidiary and the petition is not dismissed within 60 days after commencement of the case,</w:t>
      </w:r>
    </w:p>
    <w:p>
      <w:pPr>
        <w:spacing w:after="0" w:line="22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3" w:name="page244"/>
    <w:bookmarkEnd w:id="243"/>
    <w:p>
      <w:pPr>
        <w:jc w:val="both"/>
        <w:ind w:left="1140" w:right="1159"/>
        <w:spacing w:after="0" w:line="174" w:lineRule="exact"/>
        <w:rPr>
          <w:sz w:val="20"/>
          <w:szCs w:val="20"/>
          <w:color w:val="auto"/>
        </w:rPr>
      </w:pPr>
      <w:r>
        <w:rPr>
          <w:rFonts w:ascii="Times New Roman" w:cs="Times New Roman" w:eastAsia="Times New Roman" w:hAnsi="Times New Roman"/>
          <w:sz w:val="14"/>
          <w:szCs w:val="14"/>
          <w:color w:val="auto"/>
        </w:rPr>
        <w:t>proceeding or action; or a custodian (as defined in the Bankruptcy Code), receiver, receiver manager, trustee, administrator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(whether voluntarily or by the courts), strike-off, administration or liquidation or similar law of any jurisdiction whether now or hereafter in effect relating to Holdings, the Borrower or any Significant Subsidiary; or there is commenced against Holdings, the Borrower or any Significant Subsidiary any such proceeding or action that remains undismissed for a period of 60 days; or Holdings, the Borrower or any Significant Subsidiary is adjudicated bankrupt; or any order of relief or other order approving any such case or proceeding or action is entered; or Holdings, the Borrower or any Significant Subsidiary suffers any appointment of any custodian, receiver, receiver manager, trustee, administrator or similar Person for it or any substantial part of its property to continue undischarged or unstayed for a period of 60 days; or Holdings, the Borrower or any Significant Subsidiary makes a general assignment for the benefit of creditors; or</w:t>
      </w:r>
    </w:p>
    <w:p>
      <w:pPr>
        <w:spacing w:after="0" w:line="171"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11.6 ERISA</w:t>
      </w:r>
      <w:r>
        <w:rPr>
          <w:rFonts w:ascii="Times New Roman" w:cs="Times New Roman" w:eastAsia="Times New Roman" w:hAnsi="Times New Roman"/>
          <w:sz w:val="14"/>
          <w:szCs w:val="14"/>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Times New Roman" w:cs="Times New Roman" w:eastAsia="Times New Roman" w:hAnsi="Times New Roman"/>
          <w:sz w:val="14"/>
          <w:szCs w:val="14"/>
          <w:u w:val="single" w:color="auto"/>
          <w:color w:val="auto"/>
        </w:rPr>
        <w:t>clauses (a)</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 xml:space="preserve"> above, such event or condition, together with all other such events or conditions, if any, would reasonably be expected to result in a Material Adverse Effect; or</w:t>
      </w:r>
    </w:p>
    <w:p>
      <w:pPr>
        <w:spacing w:after="0" w:line="160"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u w:val="single" w:color="auto"/>
          <w:color w:val="auto"/>
        </w:rPr>
        <w:t>11.7 Guarantee</w:t>
      </w:r>
      <w:r>
        <w:rPr>
          <w:rFonts w:ascii="Times New Roman" w:cs="Times New Roman" w:eastAsia="Times New Roman" w:hAnsi="Times New Roman"/>
          <w:sz w:val="14"/>
          <w:szCs w:val="14"/>
          <w:color w:val="auto"/>
        </w:rPr>
        <w:t>. Other than as expressly permitted hereunder,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52"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11.8 Pledge Agreement</w:t>
      </w:r>
      <w:r>
        <w:rPr>
          <w:rFonts w:ascii="Times New Roman" w:cs="Times New Roman" w:eastAsia="Times New Roman" w:hAnsi="Times New Roman"/>
          <w:sz w:val="14"/>
          <w:szCs w:val="14"/>
          <w:color w:val="auto"/>
        </w:rPr>
        <w:t>. Other than as expressly permitted hereunder,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solely as a result of acts or omissions of the Collateral Agent or any Lender or solely as a result of the Collateral Agent’s failure to maintain possession of any Capital Stock or Stock Equivalents that have been previously delivered to it) or any pledgor thereunder or any Credit Party shall deny or disaffirm in writing any pledgor’s obligations under the Security Agreement or any other any Security Document; or</w:t>
      </w:r>
    </w:p>
    <w:p>
      <w:pPr>
        <w:spacing w:after="0" w:line="158"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11.9 Security Agreement</w:t>
      </w:r>
      <w:r>
        <w:rPr>
          <w:rFonts w:ascii="Times New Roman" w:cs="Times New Roman" w:eastAsia="Times New Roman" w:hAnsi="Times New Roman"/>
          <w:sz w:val="14"/>
          <w:szCs w:val="14"/>
          <w:color w:val="auto"/>
        </w:rPr>
        <w:t>. Other than as expressly permitted hereunder,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 thereof, solely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any Security Document; or</w:t>
      </w:r>
    </w:p>
    <w:p>
      <w:pPr>
        <w:spacing w:after="0" w:line="158"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11.10 Judgments</w:t>
      </w:r>
      <w:r>
        <w:rPr>
          <w:rFonts w:ascii="Times New Roman" w:cs="Times New Roman" w:eastAsia="Times New Roman" w:hAnsi="Times New Roman"/>
          <w:sz w:val="14"/>
          <w:szCs w:val="14"/>
          <w:color w:val="auto"/>
        </w:rPr>
        <w:t>. One or more final judgments or decrees shall be entered against the Borrower or any of the Restricted Subsidiaries involving a liability in excess of the greater of (x) $</w:t>
      </w:r>
      <w:r>
        <w:rPr>
          <w:rFonts w:ascii="Times New Roman" w:cs="Times New Roman" w:eastAsia="Times New Roman" w:hAnsi="Times New Roman"/>
          <w:sz w:val="14"/>
          <w:szCs w:val="14"/>
          <w:color w:val="FF0000"/>
          <w:strike w:val="1"/>
        </w:rPr>
        <w:t>55</w:t>
      </w:r>
      <w:r>
        <w:rPr>
          <w:rFonts w:ascii="Times New Roman" w:cs="Times New Roman" w:eastAsia="Times New Roman" w:hAnsi="Times New Roman"/>
          <w:sz w:val="14"/>
          <w:szCs w:val="14"/>
          <w:u w:val="single" w:color="auto"/>
          <w:color w:val="0000FF"/>
        </w:rPr>
        <w:t>90</w:t>
      </w:r>
      <w:r>
        <w:rPr>
          <w:rFonts w:ascii="Times New Roman" w:cs="Times New Roman" w:eastAsia="Times New Roman" w:hAnsi="Times New Roman"/>
          <w:sz w:val="14"/>
          <w:szCs w:val="14"/>
          <w:color w:val="auto"/>
        </w:rPr>
        <w:t xml:space="preserve"> million and (y) 15% of Consolidated EBITDA for the most recently ended Test Period (calculated on a Pro Forma Basis) in the aggregate for all such judgments and decrees for the Borrower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58" w:lineRule="exact"/>
        <w:rPr>
          <w:sz w:val="20"/>
          <w:szCs w:val="20"/>
          <w:color w:val="auto"/>
        </w:rPr>
      </w:pPr>
    </w:p>
    <w:p>
      <w:pPr>
        <w:ind w:left="1660"/>
        <w:spacing w:after="0"/>
        <w:tabs>
          <w:tab w:leader="none" w:pos="2280" w:val="left"/>
        </w:tabs>
        <w:rPr>
          <w:sz w:val="20"/>
          <w:szCs w:val="20"/>
          <w:color w:val="auto"/>
        </w:rPr>
      </w:pPr>
      <w:r>
        <w:rPr>
          <w:rFonts w:ascii="Times New Roman" w:cs="Times New Roman" w:eastAsia="Times New Roman" w:hAnsi="Times New Roman"/>
          <w:sz w:val="14"/>
          <w:szCs w:val="14"/>
          <w:u w:val="single" w:color="auto"/>
          <w:color w:val="auto"/>
        </w:rPr>
        <w:t>11.11</w:t>
      </w:r>
      <w:r>
        <w:rPr>
          <w:sz w:val="20"/>
          <w:szCs w:val="20"/>
          <w:color w:val="auto"/>
        </w:rPr>
        <w:tab/>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A Change of Control shall occur;</w:t>
      </w:r>
      <w:r>
        <w:rPr>
          <w:rFonts w:ascii="Times New Roman" w:cs="Times New Roman" w:eastAsia="Times New Roman" w:hAnsi="Times New Roman"/>
          <w:sz w:val="14"/>
          <w:szCs w:val="14"/>
          <w:u w:val="single" w:color="auto"/>
          <w:color w:val="auto"/>
        </w:rPr>
        <w:t xml:space="preserve"> </w:t>
      </w:r>
      <w:r>
        <w:rPr>
          <w:rFonts w:ascii="Times New Roman" w:cs="Times New Roman" w:eastAsia="Times New Roman" w:hAnsi="Times New Roman"/>
          <w:sz w:val="14"/>
          <w:szCs w:val="14"/>
          <w:color w:val="FF0000"/>
          <w:strike w:val="1"/>
        </w:rPr>
        <w:t>or</w:t>
      </w:r>
    </w:p>
    <w:p>
      <w:pPr>
        <w:spacing w:after="0" w:line="183" w:lineRule="exact"/>
        <w:rPr>
          <w:sz w:val="20"/>
          <w:szCs w:val="20"/>
          <w:color w:val="auto"/>
        </w:rPr>
      </w:pPr>
    </w:p>
    <w:p>
      <w:pPr>
        <w:jc w:val="both"/>
        <w:ind w:left="1140" w:right="1179"/>
        <w:spacing w:after="0" w:line="293" w:lineRule="auto"/>
        <w:rPr>
          <w:sz w:val="20"/>
          <w:szCs w:val="20"/>
          <w:color w:val="auto"/>
        </w:rPr>
      </w:pPr>
      <w:r>
        <w:rPr>
          <w:rFonts w:ascii="Times New Roman" w:cs="Times New Roman" w:eastAsia="Times New Roman" w:hAnsi="Times New Roman"/>
          <w:sz w:val="14"/>
          <w:szCs w:val="14"/>
          <w:u w:val="single" w:color="auto"/>
          <w:color w:val="0000FF"/>
        </w:rPr>
        <w:t>provided that, in the case of each of Section 11.2 and 11.3(b), no notice of a Default or Event of Default may be given by the Administrative Agent or any Lender with respect to any action taken and reported to the Administrative</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4" w:name="page245"/>
    <w:bookmarkEnd w:id="244"/>
    <w:p>
      <w:pPr>
        <w:ind w:left="1140" w:right="1179"/>
        <w:spacing w:after="0" w:line="263" w:lineRule="auto"/>
        <w:rPr>
          <w:sz w:val="20"/>
          <w:szCs w:val="20"/>
          <w:color w:val="auto"/>
        </w:rPr>
      </w:pPr>
      <w:r>
        <w:rPr>
          <w:rFonts w:ascii="Times New Roman" w:cs="Times New Roman" w:eastAsia="Times New Roman" w:hAnsi="Times New Roman"/>
          <w:sz w:val="14"/>
          <w:szCs w:val="14"/>
          <w:u w:val="single" w:color="auto"/>
          <w:color w:val="0000FF"/>
        </w:rPr>
        <w:t>Agent and all Lenders more than two years prior to the date of such notice of Default or Event of Default; provided, further, that such two year limitation shall not apply if (i) the Administrative Agent or the Required Lenders have reserved their rights to or have commenced or previously taken any action in respect of any such Event of Default or</w:t>
      </w:r>
    </w:p>
    <w:p>
      <w:pPr>
        <w:spacing w:after="0" w:line="1" w:lineRule="exact"/>
        <w:rPr>
          <w:sz w:val="20"/>
          <w:szCs w:val="20"/>
          <w:color w:val="auto"/>
        </w:rPr>
      </w:pPr>
    </w:p>
    <w:p>
      <w:pPr>
        <w:ind w:left="1140" w:right="2019" w:firstLine="7"/>
        <w:spacing w:after="0" w:line="273" w:lineRule="auto"/>
        <w:tabs>
          <w:tab w:leader="none" w:pos="1351" w:val="left"/>
        </w:tabs>
        <w:numPr>
          <w:ilvl w:val="0"/>
          <w:numId w:val="265"/>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any Credit Party had actual knowledge of such Default or Event of Default and failed to notify the Administrative Agent as required hereby.</w:t>
      </w:r>
    </w:p>
    <w:p>
      <w:pPr>
        <w:spacing w:after="0" w:line="147" w:lineRule="exact"/>
        <w:rPr>
          <w:sz w:val="20"/>
          <w:szCs w:val="20"/>
          <w:color w:val="auto"/>
        </w:rPr>
      </w:pPr>
    </w:p>
    <w:p>
      <w:pPr>
        <w:jc w:val="both"/>
        <w:ind w:left="1140" w:right="1159" w:firstLine="517"/>
        <w:spacing w:after="0" w:line="257" w:lineRule="auto"/>
        <w:rPr>
          <w:sz w:val="20"/>
          <w:szCs w:val="20"/>
          <w:color w:val="auto"/>
        </w:rPr>
      </w:pPr>
      <w:r>
        <w:rPr>
          <w:rFonts w:ascii="Times New Roman" w:cs="Times New Roman" w:eastAsia="Times New Roman" w:hAnsi="Times New Roman"/>
          <w:sz w:val="14"/>
          <w:szCs w:val="14"/>
          <w:u w:val="single" w:color="auto"/>
          <w:color w:val="auto"/>
        </w:rPr>
        <w:t>11.12 Remedies Upon Event of Default</w:t>
      </w:r>
      <w:r>
        <w:rPr>
          <w:rFonts w:ascii="Times New Roman" w:cs="Times New Roman" w:eastAsia="Times New Roman" w:hAnsi="Times New Roman"/>
          <w:sz w:val="14"/>
          <w:szCs w:val="14"/>
          <w:color w:val="auto"/>
        </w:rPr>
        <w:t xml:space="preserve">. If an Event of Default occurs and is continuing (other than in the case of an Event of Default under </w:t>
      </w:r>
      <w:r>
        <w:rPr>
          <w:rFonts w:ascii="Times New Roman" w:cs="Times New Roman" w:eastAsia="Times New Roman" w:hAnsi="Times New Roman"/>
          <w:sz w:val="14"/>
          <w:szCs w:val="14"/>
          <w:u w:val="single" w:color="auto"/>
          <w:color w:val="auto"/>
        </w:rPr>
        <w:t>Section 11.3(a)</w:t>
      </w:r>
      <w:r>
        <w:rPr>
          <w:rFonts w:ascii="Times New Roman" w:cs="Times New Roman" w:eastAsia="Times New Roman" w:hAnsi="Times New Roman"/>
          <w:sz w:val="14"/>
          <w:szCs w:val="14"/>
          <w:color w:val="auto"/>
        </w:rPr>
        <w:t xml:space="preserve"> with respect to any default of performance or compliance with the covenant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the Administrative Agent shall, upon the written request of the Required Lenders, by written notice to the Borrower, without prejudice to the rights of the Administrative Agent or any Lender to enforce its claims against Holdings and the Borrower, except as otherwise specifically provided for in this Agreement: (i) declare the Total Revolving Credit Commitment terminated, whereupon the Revolving Credit Commitment of each Lender shall forthwith terminate immediately and any Fees theretofore accrued shall forthwith become due and payable without any other notice of any kind, (ii) declare the Total 2020 Letter of Credit Commitment terminated, whereupon the 2020 Letter of Credit Commitment of each Lender shall forthwith terminate immediately and any Fees theretofore accrued shall forthwith become due and payable without any other notice of any kind, (iii)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(iv) terminate any Letter of Credit that may be terminated in accordance with its terms, and/or (v) direct the Borrower to pay (and the Borrower agrees that upon receipt of such notice, or upon the occurrence of an Event of Default specified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with respect to the Borrower, it will pay) to the Administrative Agent at the Administrative Agent’s Office such additional amounts of cash, to be held as security for the Borrower’s Reimbursement Obligations for Unpaid Drawings that may subsequently occur thereunder, equal to 101% of the aggregate Stated Amount of all Letters of Credit issued and then outstanding;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an Event of Default specified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shall occur with respect to the Borrower or Holdings, the result that would occur upon the giving of written notice by the Administrative Agent shall occur automatically without the giving of any such notice. In the case of an Event of Default under </w:t>
      </w:r>
      <w:r>
        <w:rPr>
          <w:rFonts w:ascii="Times New Roman" w:cs="Times New Roman" w:eastAsia="Times New Roman" w:hAnsi="Times New Roman"/>
          <w:sz w:val="14"/>
          <w:szCs w:val="14"/>
          <w:u w:val="single" w:color="auto"/>
          <w:color w:val="auto"/>
        </w:rPr>
        <w:t>Section 11.3(a)</w:t>
      </w:r>
      <w:r>
        <w:rPr>
          <w:rFonts w:ascii="Times New Roman" w:cs="Times New Roman" w:eastAsia="Times New Roman" w:hAnsi="Times New Roman"/>
          <w:sz w:val="14"/>
          <w:szCs w:val="14"/>
          <w:color w:val="auto"/>
        </w:rPr>
        <w:t xml:space="preserve"> in respect of a failure to observe or perform the covenant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actions hereinafter described will be permitted to occur only following the expiration of the ability to effectuate the Cure Right if such Cure Right has not been so exercised, and at any time thereafter during the continuance of such event, the Administrative Agent shall, upon the written request of the Required Revolving Credit Lenders, by written notice to Holdings, take either or both of the following actions, at the same or different times (except the following actions may not be taken until the ability to exercise the Cure Right under </w:t>
      </w:r>
      <w:r>
        <w:rPr>
          <w:rFonts w:ascii="Times New Roman" w:cs="Times New Roman" w:eastAsia="Times New Roman" w:hAnsi="Times New Roman"/>
          <w:sz w:val="14"/>
          <w:szCs w:val="14"/>
          <w:u w:val="single" w:color="auto"/>
          <w:color w:val="auto"/>
        </w:rPr>
        <w:t>Section 11.14</w:t>
      </w:r>
      <w:r>
        <w:rPr>
          <w:rFonts w:ascii="Times New Roman" w:cs="Times New Roman" w:eastAsia="Times New Roman" w:hAnsi="Times New Roman"/>
          <w:sz w:val="14"/>
          <w:szCs w:val="14"/>
          <w:color w:val="auto"/>
        </w:rPr>
        <w:t xml:space="preserve"> has expired (but may be taken as soon as the ability to exercise the Cure Right has expired and it has not been so exercised)): (a) declare the Total Revolving Credit Commitment terminated, whereupon the Revolving Credit Commitment of each Lender and Swingline Commitment of each Swingline Lender, shall forthwith terminate immediately and any Fees theretofore accrued shall forthwith become due and payable without any other notice of any kind; and (b) declare the Revolving Loans then outstanding to be due and payable in whole (or in part, in which case any principal not so declared to be due and payable may thereafter, during the continuance of such event, be declared to be due and payable), and thereupon the principal of the Revolving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 On or after the date on which the Required Revolving Credit Lenders have, by written request to the Administrative Agent, elected to take the action under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above as a result of an Event of Default under </w:t>
      </w:r>
      <w:r>
        <w:rPr>
          <w:rFonts w:ascii="Times New Roman" w:cs="Times New Roman" w:eastAsia="Times New Roman" w:hAnsi="Times New Roman"/>
          <w:sz w:val="14"/>
          <w:szCs w:val="14"/>
          <w:u w:val="single" w:color="auto"/>
          <w:color w:val="auto"/>
        </w:rPr>
        <w:t>Section 11.3(a)</w:t>
      </w:r>
      <w:r>
        <w:rPr>
          <w:rFonts w:ascii="Times New Roman" w:cs="Times New Roman" w:eastAsia="Times New Roman" w:hAnsi="Times New Roman"/>
          <w:sz w:val="14"/>
          <w:szCs w:val="14"/>
          <w:color w:val="auto"/>
        </w:rPr>
        <w:t xml:space="preserve"> in respect of a failure to observe or perform the covenant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(1) the Required Term Loan Lenders may, upon the written request of the Required Term Loan Lenders to the Administrative Agent, elect to declare the Term Loans then outstanding to be due and payable in whole (or in part, in which case any principal not so declared to be due and payable may thereafter, during the continuance of such event, be declared to be due and payable), and thereupon the principal of the Term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 On or after the date on which the Required Revolving Credit Lenders have, by written request to the Administrative Agent, elected to take the action under </w:t>
      </w:r>
      <w:r>
        <w:rPr>
          <w:rFonts w:ascii="Times New Roman" w:cs="Times New Roman" w:eastAsia="Times New Roman" w:hAnsi="Times New Roman"/>
          <w:sz w:val="14"/>
          <w:szCs w:val="14"/>
          <w:u w:val="single" w:color="auto"/>
          <w:color w:val="auto"/>
        </w:rPr>
        <w:t>clause (iii)</w:t>
      </w:r>
      <w:r>
        <w:rPr>
          <w:rFonts w:ascii="Times New Roman" w:cs="Times New Roman" w:eastAsia="Times New Roman" w:hAnsi="Times New Roman"/>
          <w:sz w:val="14"/>
          <w:szCs w:val="14"/>
          <w:color w:val="auto"/>
        </w:rPr>
        <w:t xml:space="preserve"> above as a result of an Event of Default under </w:t>
      </w:r>
      <w:r>
        <w:rPr>
          <w:rFonts w:ascii="Times New Roman" w:cs="Times New Roman" w:eastAsia="Times New Roman" w:hAnsi="Times New Roman"/>
          <w:sz w:val="14"/>
          <w:szCs w:val="14"/>
          <w:u w:val="single" w:color="auto"/>
          <w:color w:val="auto"/>
        </w:rPr>
        <w:t>Section 11.3(a)</w:t>
      </w:r>
      <w:r>
        <w:rPr>
          <w:rFonts w:ascii="Times New Roman" w:cs="Times New Roman" w:eastAsia="Times New Roman" w:hAnsi="Times New Roman"/>
          <w:sz w:val="14"/>
          <w:szCs w:val="14"/>
          <w:color w:val="auto"/>
        </w:rPr>
        <w:t xml:space="preserve"> in respect of a failure to observe or perform the covenant under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(1) the Required 2020 Additional Revolving Credit Lenders may, upon the written request of the Required 2020 Additional Revolving Credit Lenders to the Administrative Agent, elect to declare the Total 2020</w:t>
      </w:r>
    </w:p>
    <w:p>
      <w:pPr>
        <w:spacing w:after="0" w:line="200" w:lineRule="exact"/>
        <w:rPr>
          <w:sz w:val="20"/>
          <w:szCs w:val="20"/>
          <w:color w:val="auto"/>
        </w:rPr>
      </w:pPr>
    </w:p>
    <w:p>
      <w:pPr>
        <w:spacing w:after="0" w:line="2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5" w:name="page246"/>
    <w:bookmarkEnd w:id="245"/>
    <w:p>
      <w:pPr>
        <w:jc w:val="both"/>
        <w:ind w:left="1140" w:right="1159"/>
        <w:spacing w:after="0" w:line="261" w:lineRule="auto"/>
        <w:rPr>
          <w:sz w:val="20"/>
          <w:szCs w:val="20"/>
          <w:color w:val="auto"/>
        </w:rPr>
      </w:pPr>
      <w:r>
        <w:rPr>
          <w:rFonts w:ascii="Times New Roman" w:cs="Times New Roman" w:eastAsia="Times New Roman" w:hAnsi="Times New Roman"/>
          <w:sz w:val="14"/>
          <w:szCs w:val="14"/>
          <w:color w:val="auto"/>
        </w:rPr>
        <w:t>Letter of Credit Commitment terminated and the 2020 L/C Obligations then outstanding to be due and payable in whole (or in part, in which case any principal not so declared to be due and payable may thereafter, during the continuance of such event, be declared to be due and payable), and thereupon the 2020 Letter of Credit Commitment of each Lender shall forthwith terminate immediately and any Fees theretofore accrued shall forthwith become due and payable without any other notice of any kind and the 2020 L/C Obligations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(to the extent permitted by applicable law).</w:t>
      </w:r>
    </w:p>
    <w:p>
      <w:pPr>
        <w:spacing w:after="0" w:line="160"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11.13 Application of Proceeds</w:t>
      </w:r>
      <w:r>
        <w:rPr>
          <w:rFonts w:ascii="Times New Roman" w:cs="Times New Roman" w:eastAsia="Times New Roman" w:hAnsi="Times New Roman"/>
          <w:sz w:val="14"/>
          <w:szCs w:val="14"/>
          <w:color w:val="auto"/>
        </w:rPr>
        <w:t xml:space="preserve">. Subject to the terms of, in each case if executed, any First Lien Intercreditor Agreement and the Second Lien Intercreditor Agreement, any amount received by the Administrative Agent or the Collateral Agent from any Credit Party (or from proceeds of any Collateral) following any acceleration of the Obligations under this Agreement, any exercise of remedies under the Credit Documents or any Event of Default with respect to the Borrower under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shall be applied:</w:t>
      </w:r>
    </w:p>
    <w:p>
      <w:pPr>
        <w:spacing w:after="0" w:line="153" w:lineRule="exact"/>
        <w:rPr>
          <w:sz w:val="20"/>
          <w:szCs w:val="20"/>
          <w:color w:val="auto"/>
        </w:rPr>
      </w:pPr>
    </w:p>
    <w:p>
      <w:pPr>
        <w:jc w:val="both"/>
        <w:ind w:left="1140" w:right="1159" w:firstLine="524"/>
        <w:spacing w:after="0" w:line="263" w:lineRule="auto"/>
        <w:tabs>
          <w:tab w:leader="none" w:pos="2015" w:val="left"/>
        </w:tabs>
        <w:numPr>
          <w:ilvl w:val="0"/>
          <w:numId w:val="26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i w:val="1"/>
          <w:iCs w:val="1"/>
          <w:color w:val="auto"/>
        </w:rPr>
        <w:t>first</w:t>
      </w:r>
      <w:r>
        <w:rPr>
          <w:rFonts w:ascii="Times New Roman" w:cs="Times New Roman" w:eastAsia="Times New Roman" w:hAnsi="Times New Roman"/>
          <w:sz w:val="14"/>
          <w:szCs w:val="14"/>
          <w:color w:val="auto"/>
        </w:rPr>
        <w:t>, to the payment of all reasonable and documented costs and expenses incurred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Administrative Agent or the Collateral 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Holdings (if applicable) or any Credit Party and any other reasonable and documented costs or expenses incurred in connection with the exercise of any right or remedy hereunder or under any other Credit Document to the extent reimbursable hereunder or thereunder;</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6" w:lineRule="auto"/>
        <w:tabs>
          <w:tab w:leader="none" w:pos="1982" w:val="left"/>
        </w:tabs>
        <w:numPr>
          <w:ilvl w:val="0"/>
          <w:numId w:val="26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i w:val="1"/>
          <w:iCs w:val="1"/>
          <w:color w:val="auto"/>
        </w:rPr>
        <w:t>second</w:t>
      </w:r>
      <w:r>
        <w:rPr>
          <w:rFonts w:ascii="Times New Roman" w:cs="Times New Roman" w:eastAsia="Times New Roman" w:hAnsi="Times New Roman"/>
          <w:sz w:val="14"/>
          <w:szCs w:val="14"/>
          <w:color w:val="auto"/>
        </w:rPr>
        <w:t>, to the Secured Parties, an amount (x) equal to all Obligations owing to them on the date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distribution and (y) sufficient to Cash Collateralize all Letters of Credit Outstanding on the date of any distribution, and, if such moneys shall be insufficient to pay such amounts in full and Cash Collateralize all Letters of Credit Outstanding, then ratably (without priority of any one over any other) to such Secured Parties in proportion to the unpaid amounts thereof and to Cash Collateralize the Letters of Credit Outstanding; and</w:t>
      </w:r>
    </w:p>
    <w:p>
      <w:pPr>
        <w:spacing w:after="0" w:line="151" w:lineRule="exact"/>
        <w:rPr>
          <w:rFonts w:ascii="Times New Roman" w:cs="Times New Roman" w:eastAsia="Times New Roman" w:hAnsi="Times New Roman"/>
          <w:sz w:val="14"/>
          <w:szCs w:val="14"/>
          <w:color w:val="010000"/>
        </w:rPr>
      </w:pPr>
    </w:p>
    <w:p>
      <w:pPr>
        <w:jc w:val="both"/>
        <w:ind w:left="1140" w:right="1159" w:firstLine="524"/>
        <w:spacing w:after="0" w:line="276" w:lineRule="auto"/>
        <w:tabs>
          <w:tab w:leader="none" w:pos="1972" w:val="left"/>
        </w:tabs>
        <w:numPr>
          <w:ilvl w:val="0"/>
          <w:numId w:val="26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i w:val="1"/>
          <w:iCs w:val="1"/>
          <w:color w:val="auto"/>
        </w:rPr>
        <w:t>third</w:t>
      </w:r>
      <w:r>
        <w:rPr>
          <w:rFonts w:ascii="Times New Roman" w:cs="Times New Roman" w:eastAsia="Times New Roman" w:hAnsi="Times New Roman"/>
          <w:sz w:val="14"/>
          <w:szCs w:val="14"/>
          <w:color w:val="auto"/>
        </w:rPr>
        <w:t>, any surplus then remaining shall be paid to the applicable Credit Parties or their successors 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assigns or to whomsoever may be lawfully entitled to receive the same or as a court of competent jurisdiction may direct;</w:t>
      </w:r>
    </w:p>
    <w:p>
      <w:pPr>
        <w:spacing w:after="0" w:line="135" w:lineRule="exact"/>
        <w:rPr>
          <w:sz w:val="20"/>
          <w:szCs w:val="20"/>
          <w:color w:val="auto"/>
        </w:rPr>
      </w:pPr>
    </w:p>
    <w:p>
      <w:pPr>
        <w:ind w:left="1140" w:right="1179"/>
        <w:spacing w:after="0" w:line="265" w:lineRule="auto"/>
        <w:rPr>
          <w:sz w:val="20"/>
          <w:szCs w:val="20"/>
          <w:color w:val="auto"/>
        </w:rPr>
      </w:pPr>
      <w:r>
        <w:rPr>
          <w:rFonts w:ascii="Times New Roman" w:cs="Times New Roman" w:eastAsia="Times New Roman" w:hAnsi="Times New Roman"/>
          <w:sz w:val="14"/>
          <w:szCs w:val="14"/>
          <w:color w:val="auto"/>
        </w:rPr>
        <w:t xml:space="preserve">provided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Times New Roman" w:cs="Times New Roman" w:eastAsia="Times New Roman" w:hAnsi="Times New Roman"/>
          <w:sz w:val="14"/>
          <w:szCs w:val="14"/>
          <w:u w:val="single" w:color="auto"/>
          <w:color w:val="auto"/>
        </w:rPr>
        <w:t>clauses (i)</w:t>
      </w:r>
      <w:r>
        <w:rPr>
          <w:rFonts w:ascii="Times New Roman" w:cs="Times New Roman" w:eastAsia="Times New Roman" w:hAnsi="Times New Roman"/>
          <w:sz w:val="14"/>
          <w:szCs w:val="14"/>
          <w:color w:val="auto"/>
        </w:rPr>
        <w:t xml:space="preserve"> through </w:t>
      </w:r>
      <w:r>
        <w:rPr>
          <w:rFonts w:ascii="Times New Roman" w:cs="Times New Roman" w:eastAsia="Times New Roman" w:hAnsi="Times New Roman"/>
          <w:sz w:val="14"/>
          <w:szCs w:val="14"/>
          <w:u w:val="single" w:color="auto"/>
          <w:color w:val="auto"/>
        </w:rPr>
        <w:t>(iii)</w:t>
      </w:r>
      <w:r>
        <w:rPr>
          <w:rFonts w:ascii="Times New Roman" w:cs="Times New Roman" w:eastAsia="Times New Roman" w:hAnsi="Times New Roman"/>
          <w:sz w:val="14"/>
          <w:szCs w:val="14"/>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327" w:lineRule="exact"/>
        <w:rPr>
          <w:sz w:val="20"/>
          <w:szCs w:val="20"/>
          <w:color w:val="auto"/>
        </w:rPr>
      </w:pPr>
    </w:p>
    <w:p>
      <w:pPr>
        <w:jc w:val="both"/>
        <w:ind w:left="1140" w:right="1159" w:firstLine="517"/>
        <w:spacing w:after="0" w:line="252" w:lineRule="auto"/>
        <w:rPr>
          <w:sz w:val="20"/>
          <w:szCs w:val="20"/>
          <w:color w:val="auto"/>
        </w:rPr>
      </w:pPr>
      <w:r>
        <w:rPr>
          <w:rFonts w:ascii="Times New Roman" w:cs="Times New Roman" w:eastAsia="Times New Roman" w:hAnsi="Times New Roman"/>
          <w:sz w:val="14"/>
          <w:szCs w:val="14"/>
          <w:u w:val="single" w:color="auto"/>
          <w:color w:val="auto"/>
        </w:rPr>
        <w:t>11.14 Equity Cure</w:t>
      </w:r>
      <w:r>
        <w:rPr>
          <w:rFonts w:ascii="Times New Roman" w:cs="Times New Roman" w:eastAsia="Times New Roman" w:hAnsi="Times New Roman"/>
          <w:sz w:val="14"/>
          <w:szCs w:val="14"/>
          <w:color w:val="auto"/>
        </w:rPr>
        <w:t xml:space="preserve">. Notwithstanding anything to the contrary contained in this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in the event that the Borrower fails to comply with the requirement of the financial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from the beginning of any fiscal period until the expiration of the 10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4"/>
          <w:szCs w:val="14"/>
          <w:color w:val="auto"/>
        </w:rPr>
        <w:t xml:space="preserve"> Business Day following the date financial statements referred to in </w:t>
      </w:r>
      <w:r>
        <w:rPr>
          <w:rFonts w:ascii="Times New Roman" w:cs="Times New Roman" w:eastAsia="Times New Roman" w:hAnsi="Times New Roman"/>
          <w:sz w:val="14"/>
          <w:szCs w:val="14"/>
          <w:u w:val="single" w:color="auto"/>
          <w:color w:val="auto"/>
        </w:rPr>
        <w:t>Sections 9.1(a)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are required to be delivered in respect of such fiscal period for which such financial covenant is being measured, any holder of Capital Stock or Stock Equivalents of the Borrower or any direct or indirect parent of the Borrower shall have the right to cure such failure (the “</w:t>
      </w:r>
      <w:r>
        <w:rPr>
          <w:rFonts w:ascii="Times New Roman" w:cs="Times New Roman" w:eastAsia="Times New Roman" w:hAnsi="Times New Roman"/>
          <w:sz w:val="14"/>
          <w:szCs w:val="14"/>
          <w:b w:val="1"/>
          <w:bCs w:val="1"/>
          <w:color w:val="auto"/>
        </w:rPr>
        <w:t>Cure Right</w:t>
      </w:r>
      <w:r>
        <w:rPr>
          <w:rFonts w:ascii="Times New Roman" w:cs="Times New Roman" w:eastAsia="Times New Roman" w:hAnsi="Times New Roman"/>
          <w:sz w:val="14"/>
          <w:szCs w:val="14"/>
          <w:color w:val="auto"/>
        </w:rPr>
        <w:t>”) by causing cash net equity proceeds derived from an issuance of Capital Stock or Stock Equivalents (other than Disqualified Stock, unless reasonably satisfactory to the Administrative Agent) by the Borrower (or from a contribution to the common equity capital of Holdings) to be contributed, directly or indirectly, as cash common equity to the Borrower, and upon receipt by the Borrower of such cash contribution (such cash amount being referred to as the “</w:t>
      </w:r>
      <w:r>
        <w:rPr>
          <w:rFonts w:ascii="Times New Roman" w:cs="Times New Roman" w:eastAsia="Times New Roman" w:hAnsi="Times New Roman"/>
          <w:sz w:val="14"/>
          <w:szCs w:val="14"/>
          <w:b w:val="1"/>
          <w:bCs w:val="1"/>
          <w:color w:val="auto"/>
        </w:rPr>
        <w:t>Cure Amount</w:t>
      </w:r>
      <w:r>
        <w:rPr>
          <w:rFonts w:ascii="Times New Roman" w:cs="Times New Roman" w:eastAsia="Times New Roman" w:hAnsi="Times New Roman"/>
          <w:sz w:val="14"/>
          <w:szCs w:val="14"/>
          <w:color w:val="auto"/>
        </w:rPr>
        <w:t>”) pursuant to the exercise of such Cure Right, such financial covenant shall be recalculated giving effect to the following pro forma adjustments:</w:t>
      </w:r>
    </w:p>
    <w:p>
      <w:pPr>
        <w:spacing w:after="0" w:line="340" w:lineRule="exact"/>
        <w:rPr>
          <w:sz w:val="20"/>
          <w:szCs w:val="20"/>
          <w:color w:val="auto"/>
        </w:rPr>
      </w:pPr>
    </w:p>
    <w:p>
      <w:pPr>
        <w:jc w:val="both"/>
        <w:ind w:left="1140" w:right="1159" w:firstLine="524"/>
        <w:spacing w:after="0" w:line="272" w:lineRule="auto"/>
        <w:tabs>
          <w:tab w:leader="none" w:pos="1982" w:val="left"/>
        </w:tabs>
        <w:numPr>
          <w:ilvl w:val="0"/>
          <w:numId w:val="26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Consolidated EBITDA shall be increased, solely for the purpose of determining the existence of an Event of Default resulting from a breach of the financial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with respect to any period of four consecutive fiscal quarters that includes the fiscal quarter for which the Cure Right was exercised and not for</w:t>
      </w:r>
    </w:p>
    <w:p>
      <w:pPr>
        <w:spacing w:after="0" w:line="39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6" w:name="page247"/>
    <w:bookmarkEnd w:id="246"/>
    <w:p>
      <w:pPr>
        <w:ind w:left="1140"/>
        <w:spacing w:after="0"/>
        <w:rPr>
          <w:sz w:val="20"/>
          <w:szCs w:val="20"/>
          <w:color w:val="auto"/>
        </w:rPr>
      </w:pPr>
      <w:r>
        <w:rPr>
          <w:rFonts w:ascii="Times New Roman" w:cs="Times New Roman" w:eastAsia="Times New Roman" w:hAnsi="Times New Roman"/>
          <w:sz w:val="14"/>
          <w:szCs w:val="14"/>
          <w:color w:val="auto"/>
        </w:rPr>
        <w:t>any other purpose under this Agreement, by an amount equal to the Cure Amount;</w:t>
      </w:r>
    </w:p>
    <w:p>
      <w:pPr>
        <w:spacing w:after="0" w:line="194" w:lineRule="exact"/>
        <w:rPr>
          <w:sz w:val="20"/>
          <w:szCs w:val="20"/>
          <w:color w:val="auto"/>
        </w:rPr>
      </w:pPr>
    </w:p>
    <w:p>
      <w:pPr>
        <w:jc w:val="both"/>
        <w:ind w:left="1140" w:right="1159" w:firstLine="524"/>
        <w:spacing w:after="0" w:line="268" w:lineRule="auto"/>
        <w:tabs>
          <w:tab w:leader="none" w:pos="1982" w:val="left"/>
        </w:tabs>
        <w:numPr>
          <w:ilvl w:val="1"/>
          <w:numId w:val="26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Consolidated First Lien Secured Debt shall be decreased solely to the extent proceeds of the Cure Amount are actually applied to prepay any of the Credit Facilities and there shall be no pro forma reduction in Indebtedness with the proceeds of the Cure Amount for determining compliance with the financial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unless such proceeds are actually applied to prepay Indebtedness under the Credit Facilities; and</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59" w:lineRule="auto"/>
        <w:tabs>
          <w:tab w:leader="none" w:pos="1982" w:val="left"/>
        </w:tabs>
        <w:numPr>
          <w:ilvl w:val="1"/>
          <w:numId w:val="26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after giving effect to the foregoing recalculations, Holdings shall then be in compliance with the requirements of the financial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Holdings shall be deemed to have satisfied the requirements of the financial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in each period of four consecutive fiscal quarters there shall be at least two fiscal quarters in which no Cure Right is made, (ii) there shall be a maximum of five Cure Rights made during the term of this Agreement,</w:t>
      </w:r>
    </w:p>
    <w:p>
      <w:pPr>
        <w:spacing w:after="0" w:line="2" w:lineRule="exact"/>
        <w:rPr>
          <w:rFonts w:ascii="Times New Roman" w:cs="Times New Roman" w:eastAsia="Times New Roman" w:hAnsi="Times New Roman"/>
          <w:sz w:val="14"/>
          <w:szCs w:val="14"/>
          <w:color w:val="010000"/>
        </w:rPr>
      </w:pPr>
    </w:p>
    <w:p>
      <w:pPr>
        <w:jc w:val="both"/>
        <w:ind w:left="1140" w:right="1159" w:firstLine="7"/>
        <w:spacing w:after="0" w:line="262" w:lineRule="auto"/>
        <w:tabs>
          <w:tab w:leader="none" w:pos="140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Cure Amount shall be no greater than the amount expected to be required to cause the Borrower to be in compliance with the financial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and (iv) all Cure Amounts shall be disregarded for the purposes of any financial ratio determination under the Credit Documents other than for determining compliance with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u w:val="single" w:color="auto"/>
          <w:color w:val="auto"/>
        </w:rPr>
        <w:t>Section 12.</w:t>
      </w:r>
      <w:r>
        <w:rPr>
          <w:sz w:val="20"/>
          <w:szCs w:val="20"/>
          <w:color w:val="auto"/>
        </w:rPr>
        <w:tab/>
      </w:r>
      <w:r>
        <w:rPr>
          <w:rFonts w:ascii="Times New Roman" w:cs="Times New Roman" w:eastAsia="Times New Roman" w:hAnsi="Times New Roman"/>
          <w:sz w:val="14"/>
          <w:szCs w:val="14"/>
          <w:u w:val="single" w:color="auto"/>
          <w:color w:val="auto"/>
        </w:rPr>
        <w:t>The Agents</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12.1 </w:t>
      </w:r>
      <w:r>
        <w:rPr>
          <w:rFonts w:ascii="Times New Roman" w:cs="Times New Roman" w:eastAsia="Times New Roman" w:hAnsi="Times New Roman"/>
          <w:sz w:val="14"/>
          <w:szCs w:val="14"/>
          <w:u w:val="single" w:color="auto"/>
          <w:color w:val="auto"/>
        </w:rPr>
        <w:t>Appointment</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59" w:lineRule="auto"/>
        <w:tabs>
          <w:tab w:leader="none" w:pos="1982" w:val="left"/>
        </w:tabs>
        <w:numPr>
          <w:ilvl w:val="0"/>
          <w:numId w:val="27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Each Lender hereby irrevocably designates and appoints the Administrative Agent as the agent of such Lender under this Agreement and the other Credit Documents and irrevocably authorizes the Administrative 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(other than </w:t>
      </w:r>
      <w:r>
        <w:rPr>
          <w:rFonts w:ascii="Times New Roman" w:cs="Times New Roman" w:eastAsia="Times New Roman" w:hAnsi="Times New Roman"/>
          <w:sz w:val="14"/>
          <w:szCs w:val="14"/>
          <w:u w:val="single" w:color="auto"/>
          <w:color w:val="auto"/>
        </w:rPr>
        <w:t>Section 12.1(c)</w:t>
      </w:r>
      <w:r>
        <w:rPr>
          <w:rFonts w:ascii="Times New Roman" w:cs="Times New Roman" w:eastAsia="Times New Roman" w:hAnsi="Times New Roman"/>
          <w:sz w:val="14"/>
          <w:szCs w:val="14"/>
          <w:color w:val="auto"/>
        </w:rPr>
        <w:t xml:space="preserve"> with respect to the Joint Lead Arrangers and Bookrunners, the Amendment No. 4 Arrangers, the Amendment No. 5 Arrangers </w:t>
      </w:r>
      <w:r>
        <w:rPr>
          <w:rFonts w:ascii="Times New Roman" w:cs="Times New Roman" w:eastAsia="Times New Roman" w:hAnsi="Times New Roman"/>
          <w:sz w:val="14"/>
          <w:szCs w:val="14"/>
          <w:color w:val="FF0000"/>
        </w:rPr>
        <w:t>and the</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Amendment No. 6 Arranger </w:t>
      </w:r>
      <w:r>
        <w:rPr>
          <w:rFonts w:ascii="Times New Roman" w:cs="Times New Roman" w:eastAsia="Times New Roman" w:hAnsi="Times New Roman"/>
          <w:sz w:val="14"/>
          <w:szCs w:val="14"/>
          <w:color w:val="0000FF"/>
        </w:rPr>
        <w:t>and the Amendment No. 7 Arrangers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Sections 12.1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12.11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12.12</w:t>
      </w:r>
      <w:r>
        <w:rPr>
          <w:rFonts w:ascii="Times New Roman" w:cs="Times New Roman" w:eastAsia="Times New Roman" w:hAnsi="Times New Roman"/>
          <w:sz w:val="14"/>
          <w:szCs w:val="14"/>
          <w:color w:val="auto"/>
        </w:rPr>
        <w:t xml:space="preserve"> with respect to the Borrower)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329" w:lineRule="exact"/>
        <w:rPr>
          <w:rFonts w:ascii="Times New Roman" w:cs="Times New Roman" w:eastAsia="Times New Roman" w:hAnsi="Times New Roman"/>
          <w:sz w:val="14"/>
          <w:szCs w:val="14"/>
          <w:color w:val="010000"/>
        </w:rPr>
      </w:pPr>
    </w:p>
    <w:p>
      <w:pPr>
        <w:jc w:val="both"/>
        <w:ind w:left="1140" w:right="1159" w:firstLine="524"/>
        <w:spacing w:after="0" w:line="260" w:lineRule="auto"/>
        <w:tabs>
          <w:tab w:leader="none" w:pos="1972" w:val="left"/>
        </w:tabs>
        <w:numPr>
          <w:ilvl w:val="0"/>
          <w:numId w:val="27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Administrative Agent, each Lender, each Letter of Credit Issuer and the Swingline Lender hereby irrevocably designate and appoint the Collateral Agent as the agent with respect to the Collateral, and each of the Administrative Agent, each Lender, each Letter of Credit Issuer and the Swingline Lender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each Letter of Credit Issuer or the Swingline Lender, and no implied covenants, functions, responsibilities, duties, obligations or liabilities shall be read into this Agreement or any other Credit Document or otherwise exist against the Collateral Agent.</w:t>
      </w:r>
    </w:p>
    <w:p>
      <w:pPr>
        <w:spacing w:after="0" w:line="158"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7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Each of the Joint Lead Arrangers and Bookrunners, the Amendment No. 4 Arrangers, the Amendment No. 5 Arrangers </w:t>
      </w:r>
      <w:r>
        <w:rPr>
          <w:rFonts w:ascii="Times New Roman" w:cs="Times New Roman" w:eastAsia="Times New Roman" w:hAnsi="Times New Roman"/>
          <w:sz w:val="14"/>
          <w:szCs w:val="14"/>
          <w:color w:val="FF0000"/>
        </w:rPr>
        <w:t>and the</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Amendment No. 6 Arranger </w:t>
      </w:r>
      <w:r>
        <w:rPr>
          <w:rFonts w:ascii="Times New Roman" w:cs="Times New Roman" w:eastAsia="Times New Roman" w:hAnsi="Times New Roman"/>
          <w:sz w:val="14"/>
          <w:szCs w:val="14"/>
          <w:color w:val="0000FF"/>
        </w:rPr>
        <w:t>and the Amendment No. 7 Arrangers</w:t>
      </w:r>
      <w:r>
        <w:rPr>
          <w:rFonts w:ascii="Times New Roman" w:cs="Times New Roman" w:eastAsia="Times New Roman" w:hAnsi="Times New Roman"/>
          <w:sz w:val="14"/>
          <w:szCs w:val="14"/>
          <w:color w:val="auto"/>
        </w:rPr>
        <w:t>, each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4646295</wp:posOffset>
            </wp:positionH>
            <wp:positionV relativeFrom="paragraph">
              <wp:posOffset>-2828925</wp:posOffset>
            </wp:positionV>
            <wp:extent cx="322580"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6">
                      <a:extLst>
                        <a:ext uri="{28A0092B-C50C-407E-A947-70E740481C1C}"/>
                      </a:extLst>
                    </a:blip>
                    <a:srcRect/>
                    <a:stretch>
                      <a:fillRect/>
                    </a:stretch>
                  </pic:blipFill>
                  <pic:spPr bwMode="auto">
                    <a:xfrm>
                      <a:off x="0" y="0"/>
                      <a:ext cx="322580" cy="6985"/>
                    </a:xfrm>
                    <a:prstGeom prst="rect">
                      <a:avLst/>
                    </a:prstGeom>
                    <a:noFill/>
                  </pic:spPr>
                </pic:pic>
              </a:graphicData>
            </a:graphic>
          </wp:anchor>
        </w:drawing>
        <w:drawing>
          <wp:anchor simplePos="0" relativeHeight="251657728" behindDoc="1" locked="0" layoutInCell="0" allowOverlap="1">
            <wp:simplePos x="0" y="0"/>
            <wp:positionH relativeFrom="column">
              <wp:posOffset>1782445</wp:posOffset>
            </wp:positionH>
            <wp:positionV relativeFrom="paragraph">
              <wp:posOffset>-2679065</wp:posOffset>
            </wp:positionV>
            <wp:extent cx="1427480"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7">
                      <a:extLst>
                        <a:ext uri="{28A0092B-C50C-407E-A947-70E740481C1C}"/>
                      </a:extLst>
                    </a:blip>
                    <a:srcRect/>
                    <a:stretch>
                      <a:fillRect/>
                    </a:stretch>
                  </pic:blipFill>
                  <pic:spPr bwMode="auto">
                    <a:xfrm>
                      <a:off x="0" y="0"/>
                      <a:ext cx="1427480" cy="6985"/>
                    </a:xfrm>
                    <a:prstGeom prst="rect">
                      <a:avLst/>
                    </a:prstGeom>
                    <a:noFill/>
                  </pic:spPr>
                </pic:pic>
              </a:graphicData>
            </a:graphic>
          </wp:anchor>
        </w:drawing>
        <w:drawing>
          <wp:anchor simplePos="0" relativeHeight="251657728" behindDoc="1" locked="0" layoutInCell="0" allowOverlap="1">
            <wp:simplePos x="0" y="0"/>
            <wp:positionH relativeFrom="column">
              <wp:posOffset>1317625</wp:posOffset>
            </wp:positionH>
            <wp:positionV relativeFrom="paragraph">
              <wp:posOffset>-82550</wp:posOffset>
            </wp:positionV>
            <wp:extent cx="288290"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8">
                      <a:extLst>
                        <a:ext uri="{28A0092B-C50C-407E-A947-70E740481C1C}"/>
                      </a:extLst>
                    </a:blip>
                    <a:srcRect/>
                    <a:stretch>
                      <a:fillRect/>
                    </a:stretch>
                  </pic:blipFill>
                  <pic:spPr bwMode="auto">
                    <a:xfrm>
                      <a:off x="0" y="0"/>
                      <a:ext cx="288290" cy="6985"/>
                    </a:xfrm>
                    <a:prstGeom prst="rect">
                      <a:avLst/>
                    </a:prstGeom>
                    <a:noFill/>
                  </pic:spPr>
                </pic:pic>
              </a:graphicData>
            </a:graphic>
          </wp:anchor>
        </w:drawing>
        <w:drawing>
          <wp:anchor simplePos="0" relativeHeight="251657728" behindDoc="1" locked="0" layoutInCell="0" allowOverlap="1">
            <wp:simplePos x="0" y="0"/>
            <wp:positionH relativeFrom="column">
              <wp:posOffset>2677795</wp:posOffset>
            </wp:positionH>
            <wp:positionV relativeFrom="paragraph">
              <wp:posOffset>-41275</wp:posOffset>
            </wp:positionV>
            <wp:extent cx="1372870"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9">
                      <a:extLst>
                        <a:ext uri="{28A0092B-C50C-407E-A947-70E740481C1C}"/>
                      </a:extLst>
                    </a:blip>
                    <a:srcRect/>
                    <a:stretch>
                      <a:fillRect/>
                    </a:stretch>
                  </pic:blipFill>
                  <pic:spPr bwMode="auto">
                    <a:xfrm>
                      <a:off x="0" y="0"/>
                      <a:ext cx="1372870" cy="6985"/>
                    </a:xfrm>
                    <a:prstGeom prst="rect">
                      <a:avLst/>
                    </a:prstGeom>
                    <a:noFill/>
                  </pic:spPr>
                </pic:pic>
              </a:graphicData>
            </a:graphic>
          </wp:anchor>
        </w:drawing>
      </w:r>
    </w:p>
    <w:p>
      <w:pPr>
        <w:spacing w:after="0" w:line="18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7" w:name="page248"/>
    <w:bookmarkEnd w:id="247"/>
    <w:p>
      <w:pPr>
        <w:jc w:val="both"/>
        <w:ind w:left="1140" w:right="1159"/>
        <w:spacing w:after="0" w:line="293" w:lineRule="auto"/>
        <w:rPr>
          <w:sz w:val="20"/>
          <w:szCs w:val="20"/>
          <w:color w:val="auto"/>
        </w:rPr>
      </w:pPr>
      <w:r>
        <w:rPr>
          <w:rFonts w:ascii="Times New Roman" w:cs="Times New Roman" w:eastAsia="Times New Roman" w:hAnsi="Times New Roman"/>
          <w:sz w:val="14"/>
          <w:szCs w:val="14"/>
          <w:color w:val="auto"/>
        </w:rPr>
        <w:t xml:space="preserve">capacity as such, shall not have any obligations, duties or responsibilities under this Agreement but shall be entitled to all benefits of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w:t>
      </w:r>
    </w:p>
    <w:p>
      <w:pPr>
        <w:spacing w:after="0" w:line="134" w:lineRule="exact"/>
        <w:rPr>
          <w:sz w:val="20"/>
          <w:szCs w:val="20"/>
          <w:color w:val="auto"/>
        </w:rPr>
      </w:pPr>
    </w:p>
    <w:p>
      <w:pPr>
        <w:jc w:val="both"/>
        <w:ind w:left="1140" w:right="1159" w:firstLine="517"/>
        <w:spacing w:after="0" w:line="178" w:lineRule="exact"/>
        <w:rPr>
          <w:sz w:val="20"/>
          <w:szCs w:val="20"/>
          <w:color w:val="auto"/>
        </w:rPr>
      </w:pPr>
      <w:r>
        <w:rPr>
          <w:rFonts w:ascii="Times New Roman" w:cs="Times New Roman" w:eastAsia="Times New Roman" w:hAnsi="Times New Roman"/>
          <w:sz w:val="14"/>
          <w:szCs w:val="14"/>
          <w:u w:val="single" w:color="auto"/>
          <w:color w:val="auto"/>
        </w:rPr>
        <w:t>12.2 Delegation of Duties</w:t>
      </w:r>
      <w:r>
        <w:rPr>
          <w:rFonts w:ascii="Times New Roman" w:cs="Times New Roman" w:eastAsia="Times New Roman" w:hAnsi="Times New Roman"/>
          <w:sz w:val="14"/>
          <w:szCs w:val="14"/>
          <w:color w:val="auto"/>
        </w:rPr>
        <w:t>. The Administrative Agent and the Collateral Agent may each execute any of its duties under this Agreement and the other Credit Documents by or through agents,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agents, employees or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and shall be entitled to advice of counsel concerning all matters pertaining to such duties. Neither the Administrative Agent nor the Collateral Agent shall be responsible for the negligence or misconduct of any agents, subagents or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selected by it in the absence of its gross negligence or willful misconduct (as determined in the final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appealable judgment of a court of competent jurisdiction).</w:t>
      </w:r>
    </w:p>
    <w:p>
      <w:pPr>
        <w:spacing w:after="0" w:line="149" w:lineRule="exact"/>
        <w:rPr>
          <w:sz w:val="20"/>
          <w:szCs w:val="20"/>
          <w:color w:val="auto"/>
        </w:rPr>
      </w:pPr>
    </w:p>
    <w:p>
      <w:pPr>
        <w:jc w:val="both"/>
        <w:ind w:left="1140" w:right="1159" w:firstLine="517"/>
        <w:spacing w:after="0" w:line="173" w:lineRule="exact"/>
        <w:rPr>
          <w:sz w:val="20"/>
          <w:szCs w:val="20"/>
          <w:color w:val="auto"/>
        </w:rPr>
      </w:pPr>
      <w:r>
        <w:rPr>
          <w:rFonts w:ascii="Times New Roman" w:cs="Times New Roman" w:eastAsia="Times New Roman" w:hAnsi="Times New Roman"/>
          <w:sz w:val="14"/>
          <w:szCs w:val="14"/>
          <w:u w:val="single" w:color="auto"/>
          <w:color w:val="auto"/>
        </w:rPr>
        <w:t>12.3 Exculpatory Provisions</w:t>
      </w:r>
      <w:r>
        <w:rPr>
          <w:rFonts w:ascii="Times New Roman" w:cs="Times New Roman" w:eastAsia="Times New Roman" w:hAnsi="Times New Roman"/>
          <w:sz w:val="14"/>
          <w:szCs w:val="14"/>
          <w:color w:val="auto"/>
        </w:rPr>
        <w:t>. No Agent nor any of its officers, directors, employees, agents,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 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 any of the Subsidiaries that is communicated to or obtained by the bank serving as Administrative Agent and/or Collateral Agent or any of its Affiliates in any capacity.</w:t>
      </w:r>
    </w:p>
    <w:p>
      <w:pPr>
        <w:spacing w:after="0" w:line="348"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12.4 Reliance by Agents</w:t>
      </w:r>
      <w:r>
        <w:rPr>
          <w:rFonts w:ascii="Times New Roman" w:cs="Times New Roman" w:eastAsia="Times New Roman" w:hAnsi="Times New Roman"/>
          <w:sz w:val="14"/>
          <w:szCs w:val="14"/>
          <w:color w:val="auto"/>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(in good faith)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and the Collateral Agent shall not be required to</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8" w:name="page249"/>
    <w:bookmarkEnd w:id="248"/>
    <w:p>
      <w:pPr>
        <w:jc w:val="both"/>
        <w:ind w:left="1140" w:right="1159"/>
        <w:spacing w:after="0" w:line="293" w:lineRule="auto"/>
        <w:rPr>
          <w:sz w:val="20"/>
          <w:szCs w:val="20"/>
          <w:color w:val="auto"/>
        </w:rPr>
      </w:pPr>
      <w:r>
        <w:rPr>
          <w:rFonts w:ascii="Times New Roman" w:cs="Times New Roman" w:eastAsia="Times New Roman" w:hAnsi="Times New Roman"/>
          <w:sz w:val="14"/>
          <w:szCs w:val="14"/>
          <w:color w:val="auto"/>
        </w:rPr>
        <w:t>take any action that, in its opinion or in the opinion of its counsel, may expose it to liability or that is contrary to any Credit Document or applicable law.</w:t>
      </w:r>
    </w:p>
    <w:p>
      <w:pPr>
        <w:spacing w:after="0" w:line="134" w:lineRule="exact"/>
        <w:rPr>
          <w:sz w:val="20"/>
          <w:szCs w:val="20"/>
          <w:color w:val="auto"/>
        </w:rPr>
      </w:pPr>
    </w:p>
    <w:p>
      <w:pPr>
        <w:jc w:val="both"/>
        <w:ind w:left="1140" w:right="1159" w:firstLine="517"/>
        <w:spacing w:after="0" w:line="260" w:lineRule="auto"/>
        <w:rPr>
          <w:sz w:val="20"/>
          <w:szCs w:val="20"/>
          <w:color w:val="auto"/>
        </w:rPr>
      </w:pPr>
      <w:r>
        <w:rPr>
          <w:rFonts w:ascii="Times New Roman" w:cs="Times New Roman" w:eastAsia="Times New Roman" w:hAnsi="Times New Roman"/>
          <w:sz w:val="14"/>
          <w:szCs w:val="14"/>
          <w:u w:val="single" w:color="auto"/>
          <w:color w:val="auto"/>
        </w:rPr>
        <w:t>12.5 Notice of Default</w:t>
      </w:r>
      <w:r>
        <w:rPr>
          <w:rFonts w:ascii="Times New Roman" w:cs="Times New Roman" w:eastAsia="Times New Roman" w:hAnsi="Times New Roman"/>
          <w:sz w:val="14"/>
          <w:szCs w:val="14"/>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127" w:lineRule="exact"/>
        <w:rPr>
          <w:sz w:val="20"/>
          <w:szCs w:val="20"/>
          <w:color w:val="auto"/>
        </w:rPr>
      </w:pPr>
    </w:p>
    <w:p>
      <w:pPr>
        <w:jc w:val="both"/>
        <w:ind w:left="1140" w:right="1159" w:firstLine="517"/>
        <w:spacing w:after="0" w:line="176" w:lineRule="exact"/>
        <w:rPr>
          <w:sz w:val="20"/>
          <w:szCs w:val="20"/>
          <w:color w:val="auto"/>
        </w:rPr>
      </w:pPr>
      <w:r>
        <w:rPr>
          <w:rFonts w:ascii="Times New Roman" w:cs="Times New Roman" w:eastAsia="Times New Roman" w:hAnsi="Times New Roman"/>
          <w:sz w:val="14"/>
          <w:szCs w:val="14"/>
          <w:u w:val="single" w:color="auto"/>
          <w:color w:val="auto"/>
        </w:rPr>
        <w:t>12.6 Non</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Reliance on Administrative Agent, Collateral Agent, and Other Lenders</w:t>
      </w:r>
      <w:r>
        <w:rPr>
          <w:rFonts w:ascii="Times New Roman" w:cs="Times New Roman" w:eastAsia="Times New Roman" w:hAnsi="Times New Roman"/>
          <w:sz w:val="14"/>
          <w:szCs w:val="14"/>
          <w:color w:val="auto"/>
        </w:rPr>
        <w:t>. Each Lender expressly acknowledges that neither the Administrative Agent nor the Collateral Agent nor any of their respective officers, directors, employees, agents,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each Letter of Credit Issuer or the Swingline Lender. Each Lender, Letter of Credit Issuer and Swingline Lender represent to the Administrative Agent and the Collateral Agent that it has, independently and without reliance upon the Administrative Agent, the Collateral Agent or any other Lender, and based on such documents and information as it has deemed appropriate, made its own appraisal of an investigation into the business, operations, property, financial and other condition and creditworthiness of Holdings, the Borrower and each other Credit Party and made its own decision to make its Loans hereunder and enter into this Agreement. Each Lender, Letter of Credit Issuer and Swingline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each Lender, Letter of Credit Issuer and Swingline Lender by the Administrative Agent hereunder, neither the Administrative Agent nor the Collateral Agent shall have any duty or responsibility to provide any Lender, Letter of Credit Issuer or Swingline Lender with any credit or other information concerning the business, assets, operations, properties, financial condition, prospects or creditworthiness of Holdings, the Borrower or any other Credit Party that may come into the possession of the Administrative Agent or the Collateral Agent any of their respective officers, directors, employees, agents, attorneys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fact or Affiliates.</w:t>
      </w:r>
    </w:p>
    <w:p>
      <w:pPr>
        <w:spacing w:after="0" w:line="147"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12.7 Indemnification</w:t>
      </w:r>
      <w:r>
        <w:rPr>
          <w:rFonts w:ascii="Times New Roman" w:cs="Times New Roman" w:eastAsia="Times New Roman" w:hAnsi="Times New Roman"/>
          <w:sz w:val="14"/>
          <w:szCs w:val="14"/>
          <w:color w:val="auto"/>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Termination Date,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appealable judgment of a court of competent jurisdiction;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Times New Roman" w:cs="Times New Roman" w:eastAsia="Times New Roman" w:hAnsi="Times New Roman"/>
          <w:sz w:val="14"/>
          <w:szCs w:val="14"/>
          <w:u w:val="single" w:color="auto"/>
          <w:color w:val="auto"/>
        </w:rPr>
        <w:t>Section 12.7</w:t>
      </w:r>
      <w:r>
        <w:rPr>
          <w:rFonts w:ascii="Times New Roman" w:cs="Times New Roman" w:eastAsia="Times New Roman" w:hAnsi="Times New Roman"/>
          <w:sz w:val="14"/>
          <w:szCs w:val="14"/>
          <w:color w:val="auto"/>
        </w:rPr>
        <w:t>. In the case of any investigation, litigation or proceeding giving rise to</w:t>
      </w: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49" w:name="page250"/>
    <w:bookmarkEnd w:id="249"/>
    <w:p>
      <w:pPr>
        <w:jc w:val="both"/>
        <w:ind w:left="1140" w:right="1159"/>
        <w:spacing w:after="0" w:line="174" w:lineRule="exact"/>
        <w:rPr>
          <w:sz w:val="20"/>
          <w:szCs w:val="20"/>
          <w:color w:val="auto"/>
        </w:rPr>
      </w:pPr>
      <w:r>
        <w:rPr>
          <w:rFonts w:ascii="Times New Roman" w:cs="Times New Roman" w:eastAsia="Times New Roman" w:hAnsi="Times New Roman"/>
          <w:sz w:val="14"/>
          <w:szCs w:val="14"/>
          <w:color w:val="auto"/>
        </w:rPr>
        <w:t xml:space="preserve">any liabilities, obligations, losses, damages, penalties, actions, judgments, suits, costs, expenses or disbursements of any kind whatsoever that may at any time occur (including at any time following the payment of the Loans), this </w:t>
      </w:r>
      <w:r>
        <w:rPr>
          <w:rFonts w:ascii="Times New Roman" w:cs="Times New Roman" w:eastAsia="Times New Roman" w:hAnsi="Times New Roman"/>
          <w:sz w:val="14"/>
          <w:szCs w:val="14"/>
          <w:u w:val="single" w:color="auto"/>
          <w:color w:val="auto"/>
        </w:rPr>
        <w:t>Section 12.7</w:t>
      </w:r>
      <w:r>
        <w:rPr>
          <w:rFonts w:ascii="Times New Roman" w:cs="Times New Roman" w:eastAsia="Times New Roman" w:hAnsi="Times New Roman"/>
          <w:sz w:val="14"/>
          <w:szCs w:val="14"/>
          <w:color w:val="auto"/>
        </w:rPr>
        <w:t xml:space="preserve"> applies whether any such investigation, litigation or proceeding is brought by any Lender or any other Person. Without limitation of the foregoing, each Lender shall reimburse each Agent upon demand for its ratable share of any costs or out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reimbursement by the Lenders shall not affect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 obligation, loss, damage, penalty, action, judgment, suit, cost, expense or disbursement in excess of such Lender’s pro rata portion thereof;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this sentence shall not be deemed to require any Lender to indemnify any Agent against any liability, obligation, loss, damage, penalty, action, judgment, suit, cost, expense or disbursement resulting from such Agent’s gross negligence or willful misconduct as determined by a final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appealable judgment of a court of competent jurisdiction. The agreements in this </w:t>
      </w:r>
      <w:r>
        <w:rPr>
          <w:rFonts w:ascii="Times New Roman" w:cs="Times New Roman" w:eastAsia="Times New Roman" w:hAnsi="Times New Roman"/>
          <w:sz w:val="14"/>
          <w:szCs w:val="14"/>
          <w:u w:val="single" w:color="auto"/>
          <w:color w:val="auto"/>
        </w:rPr>
        <w:t>Section 12.7</w:t>
      </w:r>
      <w:r>
        <w:rPr>
          <w:rFonts w:ascii="Times New Roman" w:cs="Times New Roman" w:eastAsia="Times New Roman" w:hAnsi="Times New Roman"/>
          <w:sz w:val="14"/>
          <w:szCs w:val="14"/>
          <w:color w:val="auto"/>
        </w:rPr>
        <w:t xml:space="preserve"> shall survive the payment of the Loans and all other amounts payable hereunder. The indemnity provided to each Agent under this </w:t>
      </w:r>
      <w:r>
        <w:rPr>
          <w:rFonts w:ascii="Times New Roman" w:cs="Times New Roman" w:eastAsia="Times New Roman" w:hAnsi="Times New Roman"/>
          <w:sz w:val="14"/>
          <w:szCs w:val="14"/>
          <w:u w:val="single" w:color="auto"/>
          <w:color w:val="auto"/>
        </w:rPr>
        <w:t>Section 12.7</w:t>
      </w:r>
      <w:r>
        <w:rPr>
          <w:rFonts w:ascii="Times New Roman" w:cs="Times New Roman" w:eastAsia="Times New Roman" w:hAnsi="Times New Roman"/>
          <w:sz w:val="14"/>
          <w:szCs w:val="14"/>
          <w:color w:val="auto"/>
        </w:rPr>
        <w:t xml:space="preserve"> shall also apply to such Agent’s respective Affiliates, directors, officers, members, controlling persons, employees, trustees, investment advisors and agents and successors.</w:t>
      </w:r>
    </w:p>
    <w:p>
      <w:pPr>
        <w:spacing w:after="0" w:line="336" w:lineRule="exact"/>
        <w:rPr>
          <w:sz w:val="20"/>
          <w:szCs w:val="20"/>
          <w:color w:val="auto"/>
        </w:rPr>
      </w:pPr>
    </w:p>
    <w:p>
      <w:pPr>
        <w:jc w:val="both"/>
        <w:ind w:left="1140" w:right="1159" w:firstLine="517"/>
        <w:spacing w:after="0" w:line="262" w:lineRule="auto"/>
        <w:rPr>
          <w:sz w:val="20"/>
          <w:szCs w:val="20"/>
          <w:color w:val="auto"/>
        </w:rPr>
      </w:pPr>
      <w:r>
        <w:rPr>
          <w:rFonts w:ascii="Times New Roman" w:cs="Times New Roman" w:eastAsia="Times New Roman" w:hAnsi="Times New Roman"/>
          <w:sz w:val="14"/>
          <w:szCs w:val="14"/>
          <w:u w:val="single" w:color="auto"/>
          <w:color w:val="auto"/>
        </w:rPr>
        <w:t>12.8 Agents in Their Individual Capacities</w:t>
      </w:r>
      <w:r>
        <w:rPr>
          <w:rFonts w:ascii="Times New Roman" w:cs="Times New Roman" w:eastAsia="Times New Roman" w:hAnsi="Times New Roman"/>
          <w:sz w:val="14"/>
          <w:szCs w:val="14"/>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5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12.9 </w:t>
      </w:r>
      <w:r>
        <w:rPr>
          <w:rFonts w:ascii="Times New Roman" w:cs="Times New Roman" w:eastAsia="Times New Roman" w:hAnsi="Times New Roman"/>
          <w:sz w:val="14"/>
          <w:szCs w:val="14"/>
          <w:u w:val="single" w:color="auto"/>
          <w:color w:val="auto"/>
        </w:rPr>
        <w:t>Successor Agents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2004" w:val="left"/>
        </w:tabs>
        <w:numPr>
          <w:ilvl w:val="0"/>
          <w:numId w:val="27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Each of the Administrative Agent and the Collateral Agent may at any time give notice of its resignation to the Lenders, each Letter of Credit Issuer, the Swingline Lender and the Borrower. Upon receipt of any such notice of resignation, the Required Lenders shall have the right, subject to the consent of the Borrower (not to be unreasonably withheld or delayed) so long as no Event of Default under </w:t>
      </w:r>
      <w:r>
        <w:rPr>
          <w:rFonts w:ascii="Times New Roman" w:cs="Times New Roman" w:eastAsia="Times New Roman" w:hAnsi="Times New Roman"/>
          <w:sz w:val="14"/>
          <w:szCs w:val="14"/>
          <w:u w:val="single" w:color="auto"/>
          <w:color w:val="auto"/>
        </w:rPr>
        <w:t>Sections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is continuing, to appoint a successor, which shall be a bank with an office in the United States, or an Affiliate of any such bank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Times New Roman" w:cs="Times New Roman" w:eastAsia="Times New Roman" w:hAnsi="Times New Roman"/>
          <w:sz w:val="14"/>
          <w:szCs w:val="14"/>
          <w:b w:val="1"/>
          <w:bCs w:val="1"/>
          <w:color w:val="auto"/>
        </w:rPr>
        <w:t>Resignation Effective Date</w:t>
      </w:r>
      <w:r>
        <w:rPr>
          <w:rFonts w:ascii="Times New Roman" w:cs="Times New Roman" w:eastAsia="Times New Roman" w:hAnsi="Times New Roman"/>
          <w:sz w:val="14"/>
          <w:szCs w:val="14"/>
          <w:color w:val="auto"/>
        </w:rPr>
        <w:t xml:space="preserve">”), then the retiring Agent may on behalf of the Lenders, appoint a successor Agent meeting the qualifications set forth above (including receipt of the Borrower’s consent);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55"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27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the Person serving as the Administrative Agent is a Defaulting Lender pursuant to </w:t>
      </w:r>
      <w:r>
        <w:rPr>
          <w:rFonts w:ascii="Times New Roman" w:cs="Times New Roman" w:eastAsia="Times New Roman" w:hAnsi="Times New Roman"/>
          <w:sz w:val="14"/>
          <w:szCs w:val="14"/>
          <w:u w:val="single" w:color="auto"/>
          <w:color w:val="auto"/>
        </w:rPr>
        <w:t>clause (v)</w:t>
      </w:r>
      <w:r>
        <w:rPr>
          <w:rFonts w:ascii="Times New Roman" w:cs="Times New Roman" w:eastAsia="Times New Roman" w:hAnsi="Times New Roman"/>
          <w:sz w:val="14"/>
          <w:szCs w:val="14"/>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consent of the Borrower, appoint a successor. If no such successor shall have been so appointed by the Required Lenders (with the consent of the Borrower as required above) and shall have accepted such appointment within 30 days (or such earlier day as shall be agreed by the Required Lenders and the Borrower) (the “</w:t>
      </w:r>
      <w:r>
        <w:rPr>
          <w:rFonts w:ascii="Times New Roman" w:cs="Times New Roman" w:eastAsia="Times New Roman" w:hAnsi="Times New Roman"/>
          <w:sz w:val="14"/>
          <w:szCs w:val="14"/>
          <w:b w:val="1"/>
          <w:bCs w:val="1"/>
          <w:color w:val="auto"/>
        </w:rPr>
        <w:t>Removal Effective Date</w:t>
      </w:r>
      <w:r>
        <w:rPr>
          <w:rFonts w:ascii="Times New Roman" w:cs="Times New Roman" w:eastAsia="Times New Roman" w:hAnsi="Times New Roman"/>
          <w:sz w:val="14"/>
          <w:szCs w:val="14"/>
          <w:color w:val="auto"/>
        </w:rPr>
        <w:t>”), then such removal shall nonetheless become effective in accordance with such notice on the Removal Effective Date.</w:t>
      </w:r>
    </w:p>
    <w:p>
      <w:pPr>
        <w:spacing w:after="0" w:line="159"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27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With effect from the Resignation Effective Date or the Removal Effective Date(as applicable), (1) the retiring or removed agent shall be discharged from its duties and obligations hereunder and under the other Credit</w:t>
      </w:r>
    </w:p>
    <w:p>
      <w:pPr>
        <w:spacing w:after="0" w:line="20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0" w:name="page251"/>
    <w:bookmarkEnd w:id="250"/>
    <w:p>
      <w:pPr>
        <w:jc w:val="both"/>
        <w:ind w:left="1140" w:right="1159"/>
        <w:spacing w:after="0" w:line="174" w:lineRule="exact"/>
        <w:rPr>
          <w:sz w:val="20"/>
          <w:szCs w:val="20"/>
          <w:color w:val="auto"/>
        </w:rPr>
      </w:pPr>
      <w:r>
        <w:rPr>
          <w:rFonts w:ascii="Times New Roman" w:cs="Times New Roman" w:eastAsia="Times New Roman" w:hAnsi="Times New Roman"/>
          <w:sz w:val="14"/>
          <w:szCs w:val="14"/>
          <w:color w:val="auto"/>
        </w:rPr>
        <w:t xml:space="preserve">Documents (except that in the case of any collateral security held by the Collateral Agent on behalf of the Lenders, each Letter of Credit Issuer of the Swingline Lender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each Letter of Credit Issuer and the Swingline Lender directly, until such time as the Required Lenders appoint a successor Agent as provided for 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 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Times New Roman" w:cs="Times New Roman" w:eastAsia="Times New Roman" w:hAnsi="Times New Roman"/>
          <w:sz w:val="14"/>
          <w:szCs w:val="14"/>
          <w:u w:val="single" w:color="auto"/>
          <w:color w:val="auto"/>
        </w:rPr>
        <w:t>Section 12.9</w:t>
      </w:r>
      <w:r>
        <w:rPr>
          <w:rFonts w:ascii="Times New Roman" w:cs="Times New Roman" w:eastAsia="Times New Roman" w:hAnsi="Times New Roman"/>
          <w:sz w:val="14"/>
          <w:szCs w:val="14"/>
          <w:color w:val="auto"/>
        </w:rPr>
        <w:t xml:space="preserve">). Except as provided above, any resignation or removal of MSSF as the Administrative Agent pursuant to this </w:t>
      </w:r>
      <w:r>
        <w:rPr>
          <w:rFonts w:ascii="Times New Roman" w:cs="Times New Roman" w:eastAsia="Times New Roman" w:hAnsi="Times New Roman"/>
          <w:sz w:val="14"/>
          <w:szCs w:val="14"/>
          <w:u w:val="single" w:color="auto"/>
          <w:color w:val="auto"/>
        </w:rPr>
        <w:t>Section 12.9</w:t>
      </w:r>
      <w:r>
        <w:rPr>
          <w:rFonts w:ascii="Times New Roman" w:cs="Times New Roman" w:eastAsia="Times New Roman" w:hAnsi="Times New Roman"/>
          <w:sz w:val="14"/>
          <w:szCs w:val="14"/>
          <w:color w:val="auto"/>
        </w:rPr>
        <w:t xml:space="preserve"> shall also constitute the resignation or removal of MSSF as the Collateral Agent. The fees payable by the Borrower (following the effectiveness of such appointment) to such Agent shall be the same as those payable to its predecessor unless otherwise agreed between the Borrower and such successor. After the retiring or removed Agent’s resignation or removal hereunder and under the other Credit Documents, the provisions of this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(including </w:t>
      </w:r>
      <w:r>
        <w:rPr>
          <w:rFonts w:ascii="Times New Roman" w:cs="Times New Roman" w:eastAsia="Times New Roman" w:hAnsi="Times New Roman"/>
          <w:sz w:val="14"/>
          <w:szCs w:val="14"/>
          <w:u w:val="single" w:color="auto"/>
          <w:color w:val="auto"/>
        </w:rPr>
        <w:t>Section 12.7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Section 13.5</w:t>
      </w:r>
      <w:r>
        <w:rPr>
          <w:rFonts w:ascii="Times New Roman" w:cs="Times New Roman" w:eastAsia="Times New Roman" w:hAnsi="Times New Roman"/>
          <w:sz w:val="14"/>
          <w:szCs w:val="14"/>
          <w:color w:val="auto"/>
        </w:rPr>
        <w:t xml:space="preserve"> shall continue in effect for the benefit of such retiring or removed Agent, its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agents and their respective Related Parties in respect of any actions taken or omitted to be taken by any of them while the retiring or removed Agent was acting as an Agent.</w:t>
      </w:r>
    </w:p>
    <w:p>
      <w:pPr>
        <w:spacing w:after="0" w:line="335"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auto"/>
        </w:rPr>
        <w:t>12.10 Withholding Tax</w:t>
      </w:r>
      <w:r>
        <w:rPr>
          <w:rFonts w:ascii="Times New Roman" w:cs="Times New Roman" w:eastAsia="Times New Roman" w:hAnsi="Times New Roman"/>
          <w:sz w:val="14"/>
          <w:szCs w:val="14"/>
          <w:color w:val="auto"/>
        </w:rPr>
        <w:t xml:space="preserve">. To the extent required by any applicable law, the Administrative Agent may withhold from any payment to any Lender under any Credit Document an amount equivalent to any applicable withholding Tax. If the Internal Revenue Service or any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Times New Roman" w:cs="Times New Roman" w:eastAsia="Times New Roman" w:hAnsi="Times New Roman"/>
          <w:sz w:val="14"/>
          <w:szCs w:val="14"/>
          <w:u w:val="single" w:color="auto"/>
          <w:color w:val="auto"/>
        </w:rPr>
        <w:t>Section 12.10</w:t>
      </w:r>
      <w:r>
        <w:rPr>
          <w:rFonts w:ascii="Times New Roman" w:cs="Times New Roman" w:eastAsia="Times New Roman" w:hAnsi="Times New Roman"/>
          <w:sz w:val="14"/>
          <w:szCs w:val="14"/>
          <w:color w:val="auto"/>
        </w:rPr>
        <w:t xml:space="preserve">. The agreements in this </w:t>
      </w:r>
      <w:r>
        <w:rPr>
          <w:rFonts w:ascii="Times New Roman" w:cs="Times New Roman" w:eastAsia="Times New Roman" w:hAnsi="Times New Roman"/>
          <w:sz w:val="14"/>
          <w:szCs w:val="14"/>
          <w:u w:val="single" w:color="auto"/>
          <w:color w:val="auto"/>
        </w:rPr>
        <w:t>Section 12.10</w:t>
      </w:r>
      <w:r>
        <w:rPr>
          <w:rFonts w:ascii="Times New Roman" w:cs="Times New Roman" w:eastAsia="Times New Roman" w:hAnsi="Times New Roman"/>
          <w:sz w:val="14"/>
          <w:szCs w:val="14"/>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Times New Roman" w:cs="Times New Roman" w:eastAsia="Times New Roman" w:hAnsi="Times New Roman"/>
          <w:sz w:val="14"/>
          <w:szCs w:val="14"/>
          <w:u w:val="single" w:color="auto"/>
          <w:color w:val="auto"/>
        </w:rPr>
        <w:t>Section 12.10</w:t>
      </w:r>
      <w:r>
        <w:rPr>
          <w:rFonts w:ascii="Times New Roman" w:cs="Times New Roman" w:eastAsia="Times New Roman" w:hAnsi="Times New Roman"/>
          <w:sz w:val="14"/>
          <w:szCs w:val="14"/>
          <w:color w:val="auto"/>
        </w:rPr>
        <w:t>, the term Lender includes each Letter of Credit Issuer and Swingline Lender.</w:t>
      </w:r>
    </w:p>
    <w:p>
      <w:pPr>
        <w:spacing w:after="0" w:line="337"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12.11 Agents Under Security Documents and Guarantee</w:t>
      </w:r>
      <w:r>
        <w:rPr>
          <w:rFonts w:ascii="Times New Roman" w:cs="Times New Roman" w:eastAsia="Times New Roman" w:hAnsi="Times New Roman"/>
          <w:sz w:val="14"/>
          <w:szCs w:val="14"/>
          <w:color w:val="auto"/>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without further written consent or authorization from any Secured Party, the Administrative Agent or the Collateral Agent, as applicable, may execute any documents or instruments necessary to (a) release any Lien, in whole or in part, on any property granted to or held by the Administrative Agent or the Collateral Agent (or any sub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agent thereof) under any Credit Document (i) upon the Termination Date, (ii) that is sold or to be sold or transferred as part of or in connection with any sale, disposition or other transfer permitted hereunder or under any other Credit Document to a Person that is not a Credit Party or in connection with the designation of any Restricted Subsidiary as an Unrestricted Subsidiary, (iii) if the property subject to such Lien is owned by a Guarantor, upon the release of such Guarantor from its Guarantee otherwise in accordance with the Credit Documents, (iv) as to the extent provided in the Security Documents, (v) that constitutes Excluded Property or Excluded Stock and Stock Equivalents</w:t>
      </w:r>
    </w:p>
    <w:p>
      <w:pPr>
        <w:spacing w:after="0" w:line="200" w:lineRule="exact"/>
        <w:rPr>
          <w:sz w:val="20"/>
          <w:szCs w:val="20"/>
          <w:color w:val="auto"/>
        </w:rPr>
      </w:pPr>
    </w:p>
    <w:p>
      <w:pPr>
        <w:spacing w:after="0" w:line="20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1" w:name="page252"/>
    <w:bookmarkEnd w:id="251"/>
    <w:p>
      <w:pPr>
        <w:jc w:val="both"/>
        <w:ind w:left="1140" w:right="1159"/>
        <w:spacing w:after="0" w:line="260" w:lineRule="auto"/>
        <w:rPr>
          <w:sz w:val="20"/>
          <w:szCs w:val="20"/>
          <w:color w:val="auto"/>
        </w:rPr>
      </w:pPr>
      <w:r>
        <w:rPr>
          <w:rFonts w:ascii="Times New Roman" w:cs="Times New Roman" w:eastAsia="Times New Roman" w:hAnsi="Times New Roman"/>
          <w:sz w:val="14"/>
          <w:szCs w:val="14"/>
          <w:color w:val="auto"/>
        </w:rPr>
        <w:t xml:space="preserve">or (vi) if approved, authorized or ratified in writing in accordance with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(b) release any Guarantor (other than Holdings (except as otherwise permitted by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Times New Roman" w:cs="Times New Roman" w:eastAsia="Times New Roman" w:hAnsi="Times New Roman"/>
          <w:sz w:val="14"/>
          <w:szCs w:val="14"/>
          <w:u w:val="single" w:color="auto"/>
          <w:color w:val="auto"/>
        </w:rPr>
        <w:t>clause (iv)</w:t>
      </w:r>
      <w:r>
        <w:rPr>
          <w:rFonts w:ascii="Times New Roman" w:cs="Times New Roman" w:eastAsia="Times New Roman" w:hAnsi="Times New Roman"/>
          <w:sz w:val="14"/>
          <w:szCs w:val="14"/>
          <w:color w:val="auto"/>
        </w:rPr>
        <w:t xml:space="preserve"> (solely with respect to </w:t>
      </w:r>
      <w:r>
        <w:rPr>
          <w:rFonts w:ascii="Times New Roman" w:cs="Times New Roman" w:eastAsia="Times New Roman" w:hAnsi="Times New Roman"/>
          <w:sz w:val="14"/>
          <w:szCs w:val="14"/>
          <w:u w:val="single" w:color="auto"/>
          <w:color w:val="auto"/>
        </w:rPr>
        <w:t>Section 10.1(d))</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color w:val="auto"/>
        </w:rPr>
        <w:t xml:space="preserve"> of the definition of “Permitted Liens” or if required under the terms of any lease, easement, right of way or similar agreement effecting the Mortgaged Property provided such lease, easement, right of way or similar agreement constitutes a Permitted Lien; and (d) enter into subordination or intercreditor agreements with respect to Indebtedness to the extent the Administrative Agent or the Collateral Agent is otherwise contemplated herein as being a party to such intercreditor or subordination agreement, including the First Lien Intercreditor Agreement and the Second Lien Intercreditor Agreement.</w:t>
      </w:r>
    </w:p>
    <w:p>
      <w:pPr>
        <w:spacing w:after="0" w:line="147" w:lineRule="exact"/>
        <w:rPr>
          <w:sz w:val="20"/>
          <w:szCs w:val="20"/>
          <w:color w:val="auto"/>
        </w:rPr>
      </w:pPr>
    </w:p>
    <w:p>
      <w:pPr>
        <w:ind w:left="1140" w:right="1179" w:firstLine="1033"/>
        <w:spacing w:after="0" w:line="268" w:lineRule="auto"/>
        <w:rPr>
          <w:sz w:val="20"/>
          <w:szCs w:val="20"/>
          <w:color w:val="auto"/>
        </w:rPr>
      </w:pPr>
      <w:r>
        <w:rPr>
          <w:rFonts w:ascii="Times New Roman" w:cs="Times New Roman" w:eastAsia="Times New Roman" w:hAnsi="Times New Roman"/>
          <w:sz w:val="14"/>
          <w:szCs w:val="14"/>
          <w:color w:val="auto"/>
        </w:rPr>
        <w:t xml:space="preserve">The Collateral Agent shall have its own independent right to demand payment of the amounts payable by the Borrower under this </w:t>
      </w:r>
      <w:r>
        <w:rPr>
          <w:rFonts w:ascii="Times New Roman" w:cs="Times New Roman" w:eastAsia="Times New Roman" w:hAnsi="Times New Roman"/>
          <w:sz w:val="14"/>
          <w:szCs w:val="14"/>
          <w:u w:val="single" w:color="auto"/>
          <w:color w:val="auto"/>
        </w:rPr>
        <w:t>Section 12.11</w:t>
      </w:r>
      <w:r>
        <w:rPr>
          <w:rFonts w:ascii="Times New Roman" w:cs="Times New Roman" w:eastAsia="Times New Roman" w:hAnsi="Times New Roman"/>
          <w:sz w:val="14"/>
          <w:szCs w:val="14"/>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142" w:lineRule="exact"/>
        <w:rPr>
          <w:sz w:val="20"/>
          <w:szCs w:val="20"/>
          <w:color w:val="auto"/>
        </w:rPr>
      </w:pPr>
    </w:p>
    <w:p>
      <w:pPr>
        <w:ind w:left="1140" w:right="1279" w:firstLine="1033"/>
        <w:spacing w:after="0" w:line="265" w:lineRule="auto"/>
        <w:rPr>
          <w:sz w:val="20"/>
          <w:szCs w:val="20"/>
          <w:color w:val="auto"/>
        </w:rPr>
      </w:pPr>
      <w:r>
        <w:rPr>
          <w:rFonts w:ascii="Times New Roman" w:cs="Times New Roman" w:eastAsia="Times New Roman" w:hAnsi="Times New Roman"/>
          <w:sz w:val="14"/>
          <w:szCs w:val="14"/>
          <w:color w:val="auto"/>
        </w:rPr>
        <w:t xml:space="preserve">Any amount due and payable by the Borrower to the Collateral Agent under this </w:t>
      </w:r>
      <w:r>
        <w:rPr>
          <w:rFonts w:ascii="Times New Roman" w:cs="Times New Roman" w:eastAsia="Times New Roman" w:hAnsi="Times New Roman"/>
          <w:sz w:val="14"/>
          <w:szCs w:val="14"/>
          <w:u w:val="single" w:color="auto"/>
          <w:color w:val="auto"/>
        </w:rPr>
        <w:t>Section 12.11</w:t>
      </w:r>
      <w:r>
        <w:rPr>
          <w:rFonts w:ascii="Times New Roman" w:cs="Times New Roman" w:eastAsia="Times New Roman" w:hAnsi="Times New Roman"/>
          <w:sz w:val="14"/>
          <w:szCs w:val="14"/>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Times New Roman" w:cs="Times New Roman" w:eastAsia="Times New Roman" w:hAnsi="Times New Roman"/>
          <w:sz w:val="14"/>
          <w:szCs w:val="14"/>
          <w:u w:val="single" w:color="auto"/>
          <w:color w:val="auto"/>
        </w:rPr>
        <w:t>Section 12.11</w:t>
      </w:r>
      <w:r>
        <w:rPr>
          <w:rFonts w:ascii="Times New Roman" w:cs="Times New Roman" w:eastAsia="Times New Roman" w:hAnsi="Times New Roman"/>
          <w:sz w:val="14"/>
          <w:szCs w:val="14"/>
          <w:color w:val="auto"/>
        </w:rPr>
        <w:t>.</w:t>
      </w:r>
    </w:p>
    <w:p>
      <w:pPr>
        <w:spacing w:after="0" w:line="155"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auto"/>
        </w:rPr>
        <w:t>12.12 Right to Realize on Collateral and Enforce Guarantee</w:t>
      </w:r>
      <w:r>
        <w:rPr>
          <w:rFonts w:ascii="Times New Roman" w:cs="Times New Roman" w:eastAsia="Times New Roman" w:hAnsi="Times New Roman"/>
          <w:sz w:val="14"/>
          <w:szCs w:val="14"/>
          <w:color w:val="auto"/>
        </w:rPr>
        <w:t>. Anything contained in any of the Credit Documents to the contrary notwithstanding, the Borrower,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Holdings (if applicable) or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332"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12.13 Intercreditor Agreements Govern</w:t>
      </w:r>
      <w:r>
        <w:rPr>
          <w:rFonts w:ascii="Times New Roman" w:cs="Times New Roman" w:eastAsia="Times New Roman" w:hAnsi="Times New Roman"/>
          <w:sz w:val="14"/>
          <w:szCs w:val="14"/>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entered into pursuant to the terms hereof and to subject the Liens securing the Obligations to the provisions thereof, and (c) hereby authorizes and instructs the Administrative</w:t>
      </w:r>
    </w:p>
    <w:p>
      <w:pPr>
        <w:spacing w:after="0" w:line="39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2" w:name="page253"/>
    <w:bookmarkEnd w:id="252"/>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Agent and the Collateral Agent to enter into any intercreditor agreement that includes, or to amend any then-existing intercreditor agreement to provide for, the terms described in the definition of Permitted Other Indebtedness.</w:t>
      </w:r>
    </w:p>
    <w:p>
      <w:pPr>
        <w:spacing w:after="0" w:line="134" w:lineRule="exact"/>
        <w:rPr>
          <w:sz w:val="20"/>
          <w:szCs w:val="20"/>
          <w:color w:val="auto"/>
        </w:rPr>
      </w:pPr>
    </w:p>
    <w:p>
      <w:pPr>
        <w:ind w:left="1660"/>
        <w:spacing w:after="0"/>
        <w:tabs>
          <w:tab w:leader="none" w:pos="2280" w:val="left"/>
        </w:tabs>
        <w:rPr>
          <w:sz w:val="20"/>
          <w:szCs w:val="20"/>
          <w:color w:val="auto"/>
        </w:rPr>
      </w:pPr>
      <w:r>
        <w:rPr>
          <w:rFonts w:ascii="Times New Roman" w:cs="Times New Roman" w:eastAsia="Times New Roman" w:hAnsi="Times New Roman"/>
          <w:sz w:val="14"/>
          <w:szCs w:val="14"/>
          <w:u w:val="single" w:color="auto"/>
          <w:color w:val="auto"/>
        </w:rPr>
        <w:t>12.14</w:t>
      </w:r>
      <w:r>
        <w:rPr>
          <w:sz w:val="20"/>
          <w:szCs w:val="20"/>
          <w:color w:val="auto"/>
        </w:rPr>
        <w:tab/>
      </w:r>
      <w:r>
        <w:rPr>
          <w:rFonts w:ascii="Times New Roman" w:cs="Times New Roman" w:eastAsia="Times New Roman" w:hAnsi="Times New Roman"/>
          <w:sz w:val="14"/>
          <w:szCs w:val="14"/>
          <w:u w:val="single" w:color="auto"/>
          <w:color w:val="auto"/>
        </w:rPr>
        <w:t>Certain ERISA Matters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8" w:lineRule="auto"/>
        <w:tabs>
          <w:tab w:leader="none" w:pos="1972" w:val="left"/>
        </w:tabs>
        <w:numPr>
          <w:ilvl w:val="0"/>
          <w:numId w:val="27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52" w:lineRule="exact"/>
        <w:rPr>
          <w:sz w:val="20"/>
          <w:szCs w:val="20"/>
          <w:color w:val="auto"/>
        </w:rPr>
      </w:pPr>
    </w:p>
    <w:p>
      <w:pPr>
        <w:jc w:val="both"/>
        <w:ind w:left="1140" w:right="1159" w:firstLine="524"/>
        <w:spacing w:after="0" w:line="275" w:lineRule="auto"/>
        <w:tabs>
          <w:tab w:leader="none" w:pos="2013" w:val="left"/>
        </w:tabs>
        <w:numPr>
          <w:ilvl w:val="0"/>
          <w:numId w:val="27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such Lender is not using “plan assets” (within the meaning of Section 3(42) of ERISA or otherwise) of one or more Benefit Plans with respect to such Lender’s entrance into, participation in, administration of and performance of the Loans, the Swingline Loans, the Letters of Credit or the Commitments,</w:t>
      </w:r>
    </w:p>
    <w:p>
      <w:pPr>
        <w:spacing w:after="0" w:line="145"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2017" w:val="left"/>
        </w:tabs>
        <w:numPr>
          <w:ilvl w:val="0"/>
          <w:numId w:val="27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Swingline Loans, the Letters of Credit, the Commitments and this Agreement,</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2008" w:val="left"/>
        </w:tabs>
        <w:numPr>
          <w:ilvl w:val="0"/>
          <w:numId w:val="27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Swingline Loans the Letters of Credit, the Commitments and this Agreement, (C) the entrance into, participation in, administration of and performance of the Loans, the Swingline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Swingline Loans, the Letters of Credit, the Commitments and this Agreement, or</w:t>
      </w:r>
    </w:p>
    <w:p>
      <w:pPr>
        <w:spacing w:after="0" w:line="156"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2096" w:val="left"/>
        </w:tabs>
        <w:numPr>
          <w:ilvl w:val="0"/>
          <w:numId w:val="27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such other representation, warranty and covenant as may be agreed in writing between the Administrative Agent, in its sole discretion, and such Lender.</w:t>
      </w:r>
    </w:p>
    <w:p>
      <w:pPr>
        <w:spacing w:after="0" w:line="134" w:lineRule="exact"/>
        <w:rPr>
          <w:sz w:val="20"/>
          <w:szCs w:val="20"/>
          <w:color w:val="auto"/>
        </w:rPr>
      </w:pPr>
    </w:p>
    <w:p>
      <w:pPr>
        <w:jc w:val="both"/>
        <w:ind w:left="1140" w:right="1159" w:firstLine="524"/>
        <w:spacing w:after="0" w:line="260" w:lineRule="auto"/>
        <w:tabs>
          <w:tab w:leader="none" w:pos="1972" w:val="left"/>
        </w:tabs>
        <w:numPr>
          <w:ilvl w:val="0"/>
          <w:numId w:val="27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In addition, unless either (1) </w:t>
      </w:r>
      <w:r>
        <w:rPr>
          <w:rFonts w:ascii="Times New Roman" w:cs="Times New Roman" w:eastAsia="Times New Roman" w:hAnsi="Times New Roman"/>
          <w:sz w:val="14"/>
          <w:szCs w:val="14"/>
          <w:u w:val="single" w:color="auto"/>
          <w:color w:val="auto"/>
        </w:rPr>
        <w:t>sub-clause (i)</w:t>
      </w:r>
      <w:r>
        <w:rPr>
          <w:rFonts w:ascii="Times New Roman" w:cs="Times New Roman" w:eastAsia="Times New Roman" w:hAnsi="Times New Roman"/>
          <w:sz w:val="14"/>
          <w:szCs w:val="14"/>
          <w:color w:val="auto"/>
        </w:rPr>
        <w:t xml:space="preserve"> in the immediately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4"/>
          <w:szCs w:val="14"/>
          <w:u w:val="single" w:color="auto"/>
          <w:color w:val="auto"/>
        </w:rPr>
        <w:t>sub-clause (iv)</w:t>
      </w:r>
      <w:r>
        <w:rPr>
          <w:rFonts w:ascii="Times New Roman" w:cs="Times New Roman" w:eastAsia="Times New Roman" w:hAnsi="Times New Roman"/>
          <w:sz w:val="14"/>
          <w:szCs w:val="14"/>
          <w:color w:val="auto"/>
        </w:rPr>
        <w:t xml:space="preserve"> in the immediately preceding </w:t>
      </w:r>
      <w:r>
        <w:rPr>
          <w:rFonts w:ascii="Times New Roman" w:cs="Times New Roman" w:eastAsia="Times New Roman" w:hAnsi="Times New Roman"/>
          <w:sz w:val="14"/>
          <w:szCs w:val="14"/>
          <w:u w:val="single" w:color="auto"/>
          <w:color w:val="auto"/>
        </w:rPr>
        <w:t>clause (a)</w:t>
      </w:r>
      <w:r>
        <w:rPr>
          <w:rFonts w:ascii="Times New Roman" w:cs="Times New Roman" w:eastAsia="Times New Roman" w:hAnsi="Times New Roman"/>
          <w:sz w:val="14"/>
          <w:szCs w:val="14"/>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of the other Credit Documents or any documents related hereto or thereto).</w:t>
      </w:r>
    </w:p>
    <w:p>
      <w:pPr>
        <w:spacing w:after="0" w:line="15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color w:val="auto"/>
        </w:rPr>
        <w:t>For purposes of this section, the following definitions apply to each of the capitalized terms below:</w:t>
      </w:r>
    </w:p>
    <w:p>
      <w:pPr>
        <w:spacing w:after="0" w:line="181" w:lineRule="exact"/>
        <w:rPr>
          <w:sz w:val="20"/>
          <w:szCs w:val="20"/>
          <w:color w:val="auto"/>
        </w:rPr>
      </w:pPr>
    </w:p>
    <w:p>
      <w:pPr>
        <w:ind w:left="1660" w:right="1219" w:firstLine="516"/>
        <w:spacing w:after="0" w:line="26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Benefit Plan</w:t>
      </w:r>
      <w:r>
        <w:rPr>
          <w:rFonts w:ascii="Times New Roman" w:cs="Times New Roman" w:eastAsia="Times New Roman" w:hAnsi="Times New Roman"/>
          <w:sz w:val="14"/>
          <w:szCs w:val="14"/>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3" w:name="page254"/>
    <w:bookmarkEnd w:id="253"/>
    <w:p>
      <w:pPr>
        <w:ind w:left="1660" w:right="1179" w:firstLine="516"/>
        <w:spacing w:after="0" w:line="29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PTE</w:t>
      </w:r>
      <w:r>
        <w:rPr>
          <w:rFonts w:ascii="Times New Roman" w:cs="Times New Roman" w:eastAsia="Times New Roman" w:hAnsi="Times New Roman"/>
          <w:sz w:val="14"/>
          <w:szCs w:val="14"/>
          <w:color w:val="auto"/>
        </w:rPr>
        <w:t>” means a prohibited transaction class exemption issued by the U.S. Department of Labor, as any such exemption may be amended from time to time.</w:t>
      </w:r>
    </w:p>
    <w:p>
      <w:pPr>
        <w:spacing w:after="0" w:line="132" w:lineRule="exact"/>
        <w:rPr>
          <w:sz w:val="20"/>
          <w:szCs w:val="20"/>
          <w:color w:val="auto"/>
        </w:rPr>
      </w:pPr>
    </w:p>
    <w:p>
      <w:pPr>
        <w:ind w:left="1660"/>
        <w:spacing w:after="0"/>
        <w:tabs>
          <w:tab w:leader="none" w:pos="2280" w:val="left"/>
        </w:tabs>
        <w:rPr>
          <w:sz w:val="20"/>
          <w:szCs w:val="20"/>
          <w:color w:val="auto"/>
        </w:rPr>
      </w:pPr>
      <w:r>
        <w:rPr>
          <w:rFonts w:ascii="Times New Roman" w:cs="Times New Roman" w:eastAsia="Times New Roman" w:hAnsi="Times New Roman"/>
          <w:sz w:val="14"/>
          <w:szCs w:val="14"/>
          <w:u w:val="single" w:color="auto"/>
          <w:color w:val="0000FF"/>
        </w:rPr>
        <w:t>12.15</w:t>
      </w:r>
      <w:r>
        <w:rPr>
          <w:sz w:val="20"/>
          <w:szCs w:val="20"/>
          <w:color w:val="auto"/>
        </w:rPr>
        <w:tab/>
      </w:r>
      <w:r>
        <w:rPr>
          <w:rFonts w:ascii="Times New Roman" w:cs="Times New Roman" w:eastAsia="Times New Roman" w:hAnsi="Times New Roman"/>
          <w:sz w:val="14"/>
          <w:szCs w:val="14"/>
          <w:u w:val="single" w:color="auto"/>
          <w:color w:val="0000FF"/>
        </w:rPr>
        <w:t>Return of Certain Payments.</w:t>
      </w:r>
    </w:p>
    <w:p>
      <w:pPr>
        <w:spacing w:after="0" w:line="194" w:lineRule="exact"/>
        <w:rPr>
          <w:sz w:val="20"/>
          <w:szCs w:val="20"/>
          <w:color w:val="auto"/>
        </w:rPr>
      </w:pPr>
    </w:p>
    <w:p>
      <w:pPr>
        <w:jc w:val="both"/>
        <w:ind w:left="1140" w:right="1159" w:firstLine="524"/>
        <w:spacing w:after="0" w:line="259" w:lineRule="auto"/>
        <w:tabs>
          <w:tab w:leader="none" w:pos="1993" w:val="left"/>
        </w:tabs>
        <w:numPr>
          <w:ilvl w:val="0"/>
          <w:numId w:val="275"/>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Each Lender and each other Secured Party (other than the Administrative Agent or the Collateral Agent) (any such Lender, other Secured Party or other recipient (and each of their respective successors and assigns), a “</w:t>
      </w:r>
      <w:r>
        <w:rPr>
          <w:rFonts w:ascii="Times New Roman" w:cs="Times New Roman" w:eastAsia="Times New Roman" w:hAnsi="Times New Roman"/>
          <w:sz w:val="14"/>
          <w:szCs w:val="14"/>
          <w:b w:val="1"/>
          <w:bCs w:val="1"/>
          <w:u w:val="single" w:color="auto"/>
          <w:color w:val="0000FF"/>
        </w:rPr>
        <w:t>Payment Recipient</w:t>
      </w:r>
      <w:r>
        <w:rPr>
          <w:rFonts w:ascii="Times New Roman" w:cs="Times New Roman" w:eastAsia="Times New Roman" w:hAnsi="Times New Roman"/>
          <w:sz w:val="14"/>
          <w:szCs w:val="14"/>
          <w:u w:val="single" w:color="auto"/>
          <w:color w:val="0000FF"/>
        </w:rPr>
        <w:t>”) hereby agrees that (i) if the Administrative Agent notifies such Payment Recipient that any Agent has determined in its sole discretion that any funds received by such Payment Recipient from any Agent or any of its Affiliates were erroneously or mistakenly transmitted to, or otherwise erroneously or mistakenly received by, such Payment Recipient (whether or not known to such Payment Recipient) (whether as a payment, prepayment or repayment of principal, interest, fees or otherwise; individually and collectively, an “</w:t>
      </w:r>
      <w:r>
        <w:rPr>
          <w:rFonts w:ascii="Times New Roman" w:cs="Times New Roman" w:eastAsia="Times New Roman" w:hAnsi="Times New Roman"/>
          <w:sz w:val="14"/>
          <w:szCs w:val="14"/>
          <w:b w:val="1"/>
          <w:bCs w:val="1"/>
          <w:u w:val="single" w:color="auto"/>
          <w:color w:val="0000FF"/>
        </w:rPr>
        <w:t>Erroneous Payment</w:t>
      </w:r>
      <w:r>
        <w:rPr>
          <w:rFonts w:ascii="Times New Roman" w:cs="Times New Roman" w:eastAsia="Times New Roman" w:hAnsi="Times New Roman"/>
          <w:sz w:val="14"/>
          <w:szCs w:val="14"/>
          <w:u w:val="single" w:color="auto"/>
          <w:color w:val="0000FF"/>
        </w:rPr>
        <w:t>”) and demands the return of such Erroneous Payment (or a portion thereof), such Erroneous Payment shall at all times remain the property of the Administrative Agent pending its return or repayment as contemplated below in this Section 12.15(a) and held in trust for the benefit of the Administrative Agent, and such Payment Recipient shall promptly, but in no event later than three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and (ii) to the extent permitted by applicable law, such Payment Recipient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A notice of the Administrative Agent to any Payment Recipient under this clause (a) shall be conclusive, absent manifest error.</w:t>
      </w:r>
    </w:p>
    <w:p>
      <w:pPr>
        <w:spacing w:after="0" w:line="343" w:lineRule="exact"/>
        <w:rPr>
          <w:rFonts w:ascii="Times New Roman" w:cs="Times New Roman" w:eastAsia="Times New Roman" w:hAnsi="Times New Roman"/>
          <w:sz w:val="14"/>
          <w:szCs w:val="14"/>
          <w:u w:val="single" w:color="auto"/>
          <w:color w:val="0000FF"/>
        </w:rPr>
      </w:pPr>
    </w:p>
    <w:p>
      <w:pPr>
        <w:jc w:val="both"/>
        <w:ind w:left="1140" w:right="1159" w:firstLine="524"/>
        <w:spacing w:after="0" w:line="258" w:lineRule="auto"/>
        <w:tabs>
          <w:tab w:leader="none" w:pos="1972" w:val="left"/>
        </w:tabs>
        <w:numPr>
          <w:ilvl w:val="0"/>
          <w:numId w:val="275"/>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 xml:space="preserve">Without limiting immediately preceding clause (a), each Payment Recipient hereby further agrees that if it receives a payment from any Agent (or any of its Affiliates) (x) that is in a different amount than, or on a different date from, that specified in a notice of payment sent by such Agent, (y) that was not preceded or accompanied by notice of payment sent by such Agent (or any of its Affiliates), or (z) that such Payment Recipient otherwise becomes aware was transmitted, or received, in error or by mistake (in whole or in part), then in each case, if an error has been made (and an error shall be presumed to have been made absent written confirmation from the Administrative Agent to the contrary) each such Payment Recipient is deemed to have knowledge of such error at the time of receipt of such Erroneous Payment, and to the extent permitted by applicable law, such Payment Recipient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theory or doctrine. Each Payment Recipient agrees that, in each such case, it shall promptly (and, in all events, within one Business Day of its knowledge (or deemed knowledge) of such error) notify the Administrative Agent of such occurrence and, upon demand from the Administrative Agent, it shall promptly, but in all events no later than one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w:t>
      </w:r>
      <w:r>
        <w:rPr>
          <w:rFonts w:ascii="Times New Roman" w:cs="Times New Roman" w:eastAsia="Times New Roman" w:hAnsi="Times New Roman"/>
          <w:sz w:val="14"/>
          <w:szCs w:val="14"/>
          <w:u w:val="single" w:color="auto"/>
          <w:color w:val="008000"/>
        </w:rPr>
        <w:t>For the avoidance of doubt, the</w:t>
      </w:r>
      <w:r>
        <w:rPr>
          <w:rFonts w:ascii="Times New Roman" w:cs="Times New Roman" w:eastAsia="Times New Roman" w:hAnsi="Times New Roman"/>
          <w:sz w:val="14"/>
          <w:szCs w:val="14"/>
          <w:u w:val="single" w:color="auto"/>
          <w:color w:val="0000FF"/>
        </w:rPr>
        <w:t xml:space="preserve"> failure to deliver a </w:t>
      </w:r>
      <w:r>
        <w:rPr>
          <w:rFonts w:ascii="Times New Roman" w:cs="Times New Roman" w:eastAsia="Times New Roman" w:hAnsi="Times New Roman"/>
          <w:sz w:val="14"/>
          <w:szCs w:val="14"/>
          <w:u w:val="single" w:color="auto"/>
          <w:color w:val="008000"/>
        </w:rPr>
        <w:t>notice to the Administrative Agent</w:t>
      </w:r>
      <w:r>
        <w:rPr>
          <w:rFonts w:ascii="Times New Roman" w:cs="Times New Roman" w:eastAsia="Times New Roman" w:hAnsi="Times New Roman"/>
          <w:sz w:val="14"/>
          <w:szCs w:val="14"/>
          <w:u w:val="single" w:color="auto"/>
          <w:color w:val="0000FF"/>
        </w:rPr>
        <w:t xml:space="preserve"> pursuant to this Section 12.15(b) shall not have any effect on a Payment Recipient’s obligations pursuant to Section 12.15(a) or on whether or not an Erroneous Payment has been made.</w:t>
      </w:r>
    </w:p>
    <w:p>
      <w:pPr>
        <w:spacing w:after="0" w:line="335" w:lineRule="exact"/>
        <w:rPr>
          <w:rFonts w:ascii="Times New Roman" w:cs="Times New Roman" w:eastAsia="Times New Roman" w:hAnsi="Times New Roman"/>
          <w:sz w:val="14"/>
          <w:szCs w:val="14"/>
          <w:u w:val="single" w:color="auto"/>
          <w:color w:val="0000FF"/>
        </w:rPr>
      </w:pPr>
    </w:p>
    <w:p>
      <w:pPr>
        <w:jc w:val="both"/>
        <w:ind w:left="1140" w:right="1159" w:firstLine="524"/>
        <w:spacing w:after="0" w:line="261" w:lineRule="auto"/>
        <w:tabs>
          <w:tab w:leader="none" w:pos="1972" w:val="left"/>
        </w:tabs>
        <w:numPr>
          <w:ilvl w:val="0"/>
          <w:numId w:val="275"/>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(i) In the event that an Erroneous Payment (or portion thereof) is not recovered by the Administrative Agent for any reason, after demand therefor in accordance with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4"/>
          <w:szCs w:val="14"/>
          <w:b w:val="1"/>
          <w:bCs w:val="1"/>
          <w:u w:val="single" w:color="auto"/>
          <w:color w:val="0000FF"/>
        </w:rPr>
        <w:t>Erroneous</w:t>
      </w:r>
    </w:p>
    <w:p>
      <w:pPr>
        <w:spacing w:after="0" w:line="1" w:lineRule="exact"/>
        <w:rPr>
          <w:rFonts w:ascii="Times New Roman" w:cs="Times New Roman" w:eastAsia="Times New Roman" w:hAnsi="Times New Roman"/>
          <w:sz w:val="14"/>
          <w:szCs w:val="14"/>
          <w:u w:val="single" w:color="auto"/>
          <w:color w:val="0000FF"/>
        </w:rPr>
      </w:pPr>
    </w:p>
    <w:p>
      <w:pPr>
        <w:ind w:left="1140"/>
        <w:spacing w:after="0"/>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b w:val="1"/>
          <w:bCs w:val="1"/>
          <w:u w:val="single" w:color="auto"/>
          <w:color w:val="0000FF"/>
        </w:rPr>
        <w:t>Payment Return</w:t>
      </w:r>
    </w:p>
    <w:p>
      <w:pPr>
        <w:spacing w:after="0" w:line="25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254" w:name="page255"/>
    <w:bookmarkEnd w:id="254"/>
    <w:p>
      <w:pPr>
        <w:jc w:val="both"/>
        <w:ind w:left="1140" w:right="1159"/>
        <w:spacing w:after="0" w:line="258" w:lineRule="auto"/>
        <w:rPr>
          <w:sz w:val="20"/>
          <w:szCs w:val="20"/>
          <w:color w:val="auto"/>
        </w:rPr>
      </w:pPr>
      <w:r>
        <w:rPr>
          <w:rFonts w:ascii="Times New Roman" w:cs="Times New Roman" w:eastAsia="Times New Roman" w:hAnsi="Times New Roman"/>
          <w:sz w:val="14"/>
          <w:szCs w:val="14"/>
          <w:b w:val="1"/>
          <w:bCs w:val="1"/>
          <w:u w:val="single" w:color="auto"/>
          <w:color w:val="0000FF"/>
        </w:rPr>
        <w:t>Deficiency</w:t>
      </w:r>
      <w:r>
        <w:rPr>
          <w:rFonts w:ascii="Times New Roman" w:cs="Times New Roman" w:eastAsia="Times New Roman" w:hAnsi="Times New Roman"/>
          <w:sz w:val="14"/>
          <w:szCs w:val="14"/>
          <w:u w:val="single" w:color="auto"/>
          <w:color w:val="0000FF"/>
        </w:rPr>
        <w:t>”), upon the Administrative Agent’s notice to such Lender at any time, then effective immediately (with</w:t>
      </w:r>
      <w:r>
        <w:rPr>
          <w:rFonts w:ascii="Times New Roman" w:cs="Times New Roman" w:eastAsia="Times New Roman" w:hAnsi="Times New Roman"/>
          <w:sz w:val="14"/>
          <w:szCs w:val="14"/>
          <w:b w:val="1"/>
          <w:bCs w:val="1"/>
          <w:u w:val="single" w:color="auto"/>
          <w:color w:val="0000FF"/>
        </w:rPr>
        <w:t xml:space="preserve"> </w:t>
      </w:r>
      <w:r>
        <w:rPr>
          <w:rFonts w:ascii="Times New Roman" w:cs="Times New Roman" w:eastAsia="Times New Roman" w:hAnsi="Times New Roman"/>
          <w:sz w:val="14"/>
          <w:szCs w:val="14"/>
          <w:u w:val="single" w:color="auto"/>
          <w:color w:val="0000FF"/>
        </w:rPr>
        <w:t>the consideration therefor being acknowledged by the parties hereto), (A) such Lender (the “</w:t>
      </w:r>
      <w:r>
        <w:rPr>
          <w:rFonts w:ascii="Times New Roman" w:cs="Times New Roman" w:eastAsia="Times New Roman" w:hAnsi="Times New Roman"/>
          <w:sz w:val="14"/>
          <w:szCs w:val="14"/>
          <w:b w:val="1"/>
          <w:bCs w:val="1"/>
          <w:u w:val="single" w:color="auto"/>
          <w:color w:val="0000FF"/>
        </w:rPr>
        <w:t>Erroneous Payment</w:t>
      </w:r>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b w:val="1"/>
          <w:bCs w:val="1"/>
          <w:u w:val="single" w:color="auto"/>
          <w:color w:val="0000FF"/>
        </w:rPr>
        <w:t>Assigning Lender</w:t>
      </w:r>
      <w:r>
        <w:rPr>
          <w:rFonts w:ascii="Times New Roman" w:cs="Times New Roman" w:eastAsia="Times New Roman" w:hAnsi="Times New Roman"/>
          <w:sz w:val="14"/>
          <w:szCs w:val="14"/>
          <w:u w:val="single" w:color="auto"/>
          <w:color w:val="0000FF"/>
        </w:rPr>
        <w:t>”) shall be deemed to have assigned its Loans (but not its Commitments ) of the relevant Class</w:t>
      </w:r>
      <w:r>
        <w:rPr>
          <w:rFonts w:ascii="Times New Roman" w:cs="Times New Roman" w:eastAsia="Times New Roman" w:hAnsi="Times New Roman"/>
          <w:sz w:val="14"/>
          <w:szCs w:val="14"/>
          <w:b w:val="1"/>
          <w:bCs w:val="1"/>
          <w:u w:val="single" w:color="auto"/>
          <w:color w:val="0000FF"/>
        </w:rPr>
        <w:t xml:space="preserve"> </w:t>
      </w:r>
      <w:r>
        <w:rPr>
          <w:rFonts w:ascii="Times New Roman" w:cs="Times New Roman" w:eastAsia="Times New Roman" w:hAnsi="Times New Roman"/>
          <w:sz w:val="14"/>
          <w:szCs w:val="14"/>
          <w:u w:val="single" w:color="auto"/>
          <w:color w:val="0000FF"/>
        </w:rPr>
        <w:t>with respect to which such Erroneous Payment was made (the “</w:t>
      </w:r>
      <w:r>
        <w:rPr>
          <w:rFonts w:ascii="Times New Roman" w:cs="Times New Roman" w:eastAsia="Times New Roman" w:hAnsi="Times New Roman"/>
          <w:sz w:val="14"/>
          <w:szCs w:val="14"/>
          <w:b w:val="1"/>
          <w:bCs w:val="1"/>
          <w:u w:val="single" w:color="auto"/>
          <w:color w:val="0000FF"/>
        </w:rPr>
        <w:t>Erroneous Payment Impacted Class</w:t>
      </w:r>
      <w:r>
        <w:rPr>
          <w:rFonts w:ascii="Times New Roman" w:cs="Times New Roman" w:eastAsia="Times New Roman" w:hAnsi="Times New Roman"/>
          <w:sz w:val="14"/>
          <w:szCs w:val="14"/>
          <w:u w:val="single" w:color="auto"/>
          <w:color w:val="0000FF"/>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4"/>
          <w:szCs w:val="14"/>
          <w:b w:val="1"/>
          <w:bCs w:val="1"/>
          <w:u w:val="single" w:color="auto"/>
          <w:color w:val="0000FF"/>
        </w:rPr>
        <w:t>Erroneous Payment Deficiency Assignment</w:t>
      </w:r>
      <w:r>
        <w:rPr>
          <w:rFonts w:ascii="Times New Roman" w:cs="Times New Roman" w:eastAsia="Times New Roman" w:hAnsi="Times New Roman"/>
          <w:sz w:val="14"/>
          <w:szCs w:val="14"/>
          <w:u w:val="single" w:color="auto"/>
          <w:color w:val="0000FF"/>
        </w:rPr>
        <w:t>”) (on a cashless basis and such amount calculated at par plus any accrued and unpaid interest (with the assignment fee to be waived by the Administrative Agent in such instance)), and is hereby (together with the Borrower) deemed to execute and deliver an Assignment and Acceptance (or, to the extent applicable, an agreement incorporating an Assignment and Acceptance by reference pursuant to an approved electronic platform as to which the Administrative Agent and such parties are participants) with respect to such Erroneous Payment Deficiency Assignment, and such Lender shall deliver any promissory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324" w:lineRule="exact"/>
        <w:rPr>
          <w:sz w:val="20"/>
          <w:szCs w:val="20"/>
          <w:color w:val="auto"/>
        </w:rPr>
      </w:pPr>
    </w:p>
    <w:p>
      <w:pPr>
        <w:ind w:left="1140" w:right="1159" w:firstLine="524"/>
        <w:spacing w:after="0" w:line="260" w:lineRule="auto"/>
        <w:tabs>
          <w:tab w:leader="none" w:pos="1903" w:val="left"/>
        </w:tabs>
        <w:numPr>
          <w:ilvl w:val="0"/>
          <w:numId w:val="276"/>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Subject to Section 13.6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156" w:lineRule="exact"/>
        <w:rPr>
          <w:sz w:val="20"/>
          <w:szCs w:val="20"/>
          <w:color w:val="auto"/>
        </w:rPr>
      </w:pPr>
    </w:p>
    <w:p>
      <w:pPr>
        <w:jc w:val="both"/>
        <w:ind w:left="1140" w:right="1159" w:firstLine="524"/>
        <w:spacing w:after="0" w:line="258" w:lineRule="auto"/>
        <w:tabs>
          <w:tab w:leader="none" w:pos="1972" w:val="left"/>
        </w:tabs>
        <w:numPr>
          <w:ilvl w:val="0"/>
          <w:numId w:val="277"/>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In the event that a Revolving Loan is assigned pursuant to clause (c) above, then (i) for purposes of determining “Required Lenders”, “Required Revolving Credit Lenders”, or any other provision hereof specifying the number or percentage of Revolving Credit Lenders required to waive, amend or modify any rights hereunder or make any determination or grant any consent hereunder, (x) the unused Commitment of the applicable class of an Erroneous Payment Assigning Lender shall be deemed to be reduced by the Erroneous Payment Assigned Amount (as defined below) of such Erroneous Payment Assigning Lender and (y) the Erroneous Payment Assigned Amount held by the Administrative Agent shall be included as Revolving Loans of the applicable Class in any determination under such defined terms or provisions, (ii) the amount of the Commitment Fee payable to any Revolving Credit Lender shall not be increased as a result of such assignment, (iii) the amount available to be borrowed by the Borrower from the Erroneous Payment Assigning Lender in respect of the affected Class of Revolving Credit Commitments shall not be increased as a result of such assignment, (iv) to the extent appropriate and relating to the determination of the proper recipient of any payment attributable to the applicable Erroneous Payment Assigned Amount, such Erroneous Payment Assigned Amount shall be treated as a part of the Revolving Credit Exposure in respect of the Revolving Credit Facility held by the Administrative Agent with respect to the affected Class and (v) otherwise, such Erroneous Payment Assigned Amount shall be treated as a part of the Revolving Credit Exposure in respect of the Revolving Credit Facility held by the Erroneous Payment Assigning Lender, including for purposes of determining participations in Letters of Credit. For purposes hereof, “</w:t>
      </w:r>
      <w:r>
        <w:rPr>
          <w:rFonts w:ascii="Times New Roman" w:cs="Times New Roman" w:eastAsia="Times New Roman" w:hAnsi="Times New Roman"/>
          <w:sz w:val="14"/>
          <w:szCs w:val="14"/>
          <w:b w:val="1"/>
          <w:bCs w:val="1"/>
          <w:u w:val="single" w:color="auto"/>
          <w:color w:val="0000FF"/>
        </w:rPr>
        <w:t>Erroneous Payment Assigned Amount</w:t>
      </w:r>
      <w:r>
        <w:rPr>
          <w:rFonts w:ascii="Times New Roman" w:cs="Times New Roman" w:eastAsia="Times New Roman" w:hAnsi="Times New Roman"/>
          <w:sz w:val="14"/>
          <w:szCs w:val="14"/>
          <w:u w:val="single" w:color="auto"/>
          <w:color w:val="0000FF"/>
        </w:rPr>
        <w:t>” shall mean, as to any Erroneous Payment Assigning Lender, the principal amount assigned in accordance with clause (c) above (taking into account</w:t>
      </w:r>
    </w:p>
    <w:p>
      <w:pPr>
        <w:spacing w:after="0" w:line="200" w:lineRule="exact"/>
        <w:rPr>
          <w:sz w:val="20"/>
          <w:szCs w:val="20"/>
          <w:color w:val="auto"/>
        </w:rPr>
      </w:pPr>
    </w:p>
    <w:p>
      <w:pPr>
        <w:spacing w:after="0" w:line="2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255" w:name="page256"/>
    <w:bookmarkEnd w:id="255"/>
    <w:p>
      <w:pPr>
        <w:ind w:left="1140" w:right="1159"/>
        <w:spacing w:after="0" w:line="293" w:lineRule="auto"/>
        <w:rPr>
          <w:sz w:val="20"/>
          <w:szCs w:val="20"/>
          <w:color w:val="auto"/>
        </w:rPr>
      </w:pPr>
      <w:r>
        <w:rPr>
          <w:rFonts w:ascii="Times New Roman" w:cs="Times New Roman" w:eastAsia="Times New Roman" w:hAnsi="Times New Roman"/>
          <w:sz w:val="14"/>
          <w:szCs w:val="14"/>
          <w:u w:val="single" w:color="auto"/>
          <w:color w:val="0000FF"/>
        </w:rPr>
        <w:t>any prepayment or repayment from time to time of such principal amount in accordance with the terms of this Agreement).</w:t>
      </w:r>
    </w:p>
    <w:p>
      <w:pPr>
        <w:spacing w:after="0" w:line="134" w:lineRule="exact"/>
        <w:rPr>
          <w:sz w:val="20"/>
          <w:szCs w:val="20"/>
          <w:color w:val="auto"/>
        </w:rPr>
      </w:pPr>
    </w:p>
    <w:p>
      <w:pPr>
        <w:jc w:val="both"/>
        <w:ind w:left="1140" w:right="1159" w:firstLine="524"/>
        <w:spacing w:after="0" w:line="259" w:lineRule="auto"/>
        <w:tabs>
          <w:tab w:leader="none" w:pos="1972" w:val="left"/>
        </w:tabs>
        <w:numPr>
          <w:ilvl w:val="0"/>
          <w:numId w:val="278"/>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The Borrower and each other Credit Party hereby agrees that (x) in the event an Erroneous Payment (or portion thereof) is not recovered from any Payment Recipient that has received such Erroneous Payment (or portion thereof) for any reason (and without limiting the Administrative Agent’s rights and remedies under this Section 12.15), the Administrative Agent shall be subrogated to all the rights of such Payment Recipient with respect to such amount and (y) an Erroneous Payment shall not pay, prepay, repay, discharge or otherwise satisfy any Obligations owed by the Borrower or any other Credit Party; provided that this Section 12.15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or any other Credit Party for the purpose of paying, prepaying, repaying, discharging or otherwise satisfying any Obligations owed by the Borrower or any other Credit Party.</w:t>
      </w:r>
    </w:p>
    <w:p>
      <w:pPr>
        <w:spacing w:after="0" w:line="162" w:lineRule="exact"/>
        <w:rPr>
          <w:rFonts w:ascii="Times New Roman" w:cs="Times New Roman" w:eastAsia="Times New Roman" w:hAnsi="Times New Roman"/>
          <w:sz w:val="14"/>
          <w:szCs w:val="14"/>
          <w:u w:val="single" w:color="auto"/>
          <w:color w:val="0000FF"/>
        </w:rPr>
      </w:pPr>
    </w:p>
    <w:p>
      <w:pPr>
        <w:jc w:val="both"/>
        <w:ind w:left="1140" w:right="1159" w:firstLine="524"/>
        <w:spacing w:after="0" w:line="259" w:lineRule="auto"/>
        <w:tabs>
          <w:tab w:leader="none" w:pos="1972" w:val="left"/>
        </w:tabs>
        <w:numPr>
          <w:ilvl w:val="0"/>
          <w:numId w:val="278"/>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In addition to any rights and remedies of the Administrative Agent provided in this Section 12.15 or by law, Administrative Agent shall have the right, without prior notice to any Payment Recipient, any such notice being expressly waived by such Payment Recipient to the extent permitted by applicable law, with respect to any Erroneous Payment for which a demand has been made in accordance with this Section 12.15 and which has not been returned to the Administrative Agent, to set off and appropriate and apply against such amount any and all (i) deposits (general or special, time or demand, provisional or final but excluding trust accounts), in any currency, and any other credits, indebtedness or claims, in any currency, in each case whether direct or indirect, absolute or contingent, matured or unmatured, at any time held or owing by Administrative Agent or any Affiliate, branch or agency thereof to or for the credit or the account of such Payment Recipient and (ii) amounts at any time owing to such Payment Recipient under any Credit Document, or otherwise payable or distributable by the Administrative Agent to such Payment Recipient under any Credit Document with respect to any payment of principal, interest, fees or other amounts. Administrative Agent agrees promptly to notify the Payment Recipient after any such setoff and application made by Administrative Agent; provided, that the failure to give such notice shall not affect the validity of such setoff and application.</w:t>
      </w:r>
    </w:p>
    <w:p>
      <w:pPr>
        <w:spacing w:after="0" w:line="334" w:lineRule="exact"/>
        <w:rPr>
          <w:rFonts w:ascii="Times New Roman" w:cs="Times New Roman" w:eastAsia="Times New Roman" w:hAnsi="Times New Roman"/>
          <w:sz w:val="14"/>
          <w:szCs w:val="14"/>
          <w:u w:val="single" w:color="auto"/>
          <w:color w:val="0000FF"/>
        </w:rPr>
      </w:pPr>
    </w:p>
    <w:p>
      <w:pPr>
        <w:jc w:val="both"/>
        <w:ind w:left="1140" w:right="1159" w:firstLine="524"/>
        <w:spacing w:after="0" w:line="265" w:lineRule="auto"/>
        <w:tabs>
          <w:tab w:leader="none" w:pos="1972" w:val="left"/>
        </w:tabs>
        <w:numPr>
          <w:ilvl w:val="0"/>
          <w:numId w:val="278"/>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Each party’s obligations under this Section 12.15 shall survive the resignation or replacement of any Agent, the termination of the Commitments or the repayment, satisfaction or discharge of all Obligations (or any portion thereof) under any Credit Document. Notwithstanding anything to the contrary herein or in any other Credit Document, this Section 12.15 will not create any additional Obligations of the Credit Parties’ under the Credit Documents or otherwise increase or alter such Obligations.</w:t>
      </w:r>
    </w:p>
    <w:p>
      <w:pPr>
        <w:spacing w:after="0" w:line="140" w:lineRule="exact"/>
        <w:rPr>
          <w:sz w:val="20"/>
          <w:szCs w:val="20"/>
          <w:color w:val="auto"/>
        </w:rPr>
      </w:pPr>
    </w:p>
    <w:p>
      <w:pPr>
        <w:ind w:left="1660"/>
        <w:spacing w:after="0"/>
        <w:tabs>
          <w:tab w:leader="none" w:pos="2580" w:val="left"/>
        </w:tabs>
        <w:rPr>
          <w:sz w:val="20"/>
          <w:szCs w:val="20"/>
          <w:color w:val="auto"/>
        </w:rPr>
      </w:pPr>
      <w:r>
        <w:rPr>
          <w:rFonts w:ascii="Times New Roman" w:cs="Times New Roman" w:eastAsia="Times New Roman" w:hAnsi="Times New Roman"/>
          <w:sz w:val="16"/>
          <w:szCs w:val="16"/>
          <w:u w:val="single" w:color="auto"/>
          <w:color w:val="auto"/>
        </w:rPr>
        <w:t>Section 13.</w:t>
      </w:r>
      <w:r>
        <w:rPr>
          <w:sz w:val="20"/>
          <w:szCs w:val="20"/>
          <w:color w:val="auto"/>
        </w:rPr>
        <w:tab/>
      </w: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86" w:lineRule="exact"/>
        <w:rPr>
          <w:sz w:val="20"/>
          <w:szCs w:val="20"/>
          <w:color w:val="auto"/>
        </w:rPr>
      </w:pPr>
    </w:p>
    <w:p>
      <w:pPr>
        <w:jc w:val="both"/>
        <w:ind w:left="1140" w:right="1159" w:firstLine="517"/>
        <w:spacing w:after="0" w:line="259" w:lineRule="auto"/>
        <w:rPr>
          <w:sz w:val="20"/>
          <w:szCs w:val="20"/>
          <w:color w:val="auto"/>
        </w:rPr>
      </w:pPr>
      <w:r>
        <w:rPr>
          <w:rFonts w:ascii="Times New Roman" w:cs="Times New Roman" w:eastAsia="Times New Roman" w:hAnsi="Times New Roman"/>
          <w:sz w:val="14"/>
          <w:szCs w:val="14"/>
          <w:u w:val="single" w:color="auto"/>
          <w:color w:val="auto"/>
        </w:rPr>
        <w:t>13.1 Amendments, Waivers, and Releases</w:t>
      </w:r>
      <w:r>
        <w:rPr>
          <w:rFonts w:ascii="Times New Roman" w:cs="Times New Roman" w:eastAsia="Times New Roman" w:hAnsi="Times New Roman"/>
          <w:sz w:val="14"/>
          <w:szCs w:val="14"/>
          <w:color w:val="auto"/>
        </w:rPr>
        <w:t xml:space="preserve">. Except as otherwise expressly set forth in the Credit Documents, neither this Agreement nor any other Credit Document, nor any terms hereof or thereof, may be amended, supplemented or modified except in accordance with the provisions of this Section 13.1. Except as provided to the contrary in the Credit Documents (including under (I)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2.15</w:t>
      </w:r>
      <w:r>
        <w:rPr>
          <w:rFonts w:ascii="Times New Roman" w:cs="Times New Roman" w:eastAsia="Times New Roman" w:hAnsi="Times New Roman"/>
          <w:sz w:val="14"/>
          <w:szCs w:val="14"/>
          <w:color w:val="auto"/>
        </w:rPr>
        <w:t xml:space="preserve"> or (II) the </w:t>
      </w:r>
      <w:r>
        <w:rPr>
          <w:rFonts w:ascii="Times New Roman" w:cs="Times New Roman" w:eastAsia="Times New Roman" w:hAnsi="Times New Roman"/>
          <w:sz w:val="14"/>
          <w:szCs w:val="14"/>
          <w:color w:val="FF0000"/>
          <w:strike w:val="1"/>
        </w:rPr>
        <w:t>sixth</w:t>
      </w:r>
      <w:r>
        <w:rPr>
          <w:rFonts w:ascii="Times New Roman" w:cs="Times New Roman" w:eastAsia="Times New Roman" w:hAnsi="Times New Roman"/>
          <w:sz w:val="14"/>
          <w:szCs w:val="14"/>
          <w:u w:val="single" w:color="auto"/>
          <w:color w:val="0000FF"/>
        </w:rPr>
        <w:t>ninth</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color w:val="FF0000"/>
          <w:strike w:val="1"/>
        </w:rPr>
        <w:t>seventh</w:t>
      </w:r>
      <w:r>
        <w:rPr>
          <w:rFonts w:ascii="Times New Roman" w:cs="Times New Roman" w:eastAsia="Times New Roman" w:hAnsi="Times New Roman"/>
          <w:sz w:val="14"/>
          <w:szCs w:val="14"/>
          <w:u w:val="single" w:color="auto"/>
          <w:color w:val="0000FF"/>
        </w:rPr>
        <w:t>tenth</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paragraphs hereof in respect of Replacement Term Loans or (III) the second proviso below (other than</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 xml:space="preserve">with respect to any amendment, modification or waiver contemplated in </w:t>
      </w:r>
      <w:r>
        <w:rPr>
          <w:rFonts w:ascii="Times New Roman" w:cs="Times New Roman" w:eastAsia="Times New Roman" w:hAnsi="Times New Roman"/>
          <w:sz w:val="14"/>
          <w:szCs w:val="14"/>
          <w:u w:val="single" w:color="auto"/>
          <w:color w:val="000000"/>
        </w:rPr>
        <w:t>clauses (x)(iii)</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00"/>
        </w:rPr>
        <w:t>(x)(iv)</w:t>
      </w:r>
      <w:r>
        <w:rPr>
          <w:rFonts w:ascii="Times New Roman" w:cs="Times New Roman" w:eastAsia="Times New Roman" w:hAnsi="Times New Roman"/>
          <w:sz w:val="14"/>
          <w:szCs w:val="14"/>
          <w:color w:val="000000"/>
        </w:rPr>
        <w:t xml:space="preserve"> and </w:t>
      </w:r>
      <w:r>
        <w:rPr>
          <w:rFonts w:ascii="Times New Roman" w:cs="Times New Roman" w:eastAsia="Times New Roman" w:hAnsi="Times New Roman"/>
          <w:sz w:val="14"/>
          <w:szCs w:val="14"/>
          <w:u w:val="single" w:color="auto"/>
          <w:color w:val="000000"/>
        </w:rPr>
        <w:t>(x)(v)</w:t>
      </w:r>
      <w:r>
        <w:rPr>
          <w:rFonts w:ascii="Times New Roman" w:cs="Times New Roman" w:eastAsia="Times New Roman" w:hAnsi="Times New Roman"/>
          <w:sz w:val="14"/>
          <w:szCs w:val="14"/>
          <w:color w:val="000000"/>
        </w:rPr>
        <w:t xml:space="preserve"> thereof and, for the avoidance of doubt, the proviso to clause (x)(i) thereof), which shall only require the consent of the Lenders expressly set forth therein and not the Required Lenders), the Required Lenders may, or, with the written consent of the Required Lenders, the Administrative Agent and/or the Collateral Agent may, from time to time, (a) enter into with Holdings or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Holdings or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Times New Roman" w:cs="Times New Roman" w:eastAsia="Times New Roman" w:hAnsi="Times New Roman"/>
          <w:sz w:val="14"/>
          <w:szCs w:val="14"/>
          <w:u w:val="single" w:color="auto"/>
          <w:color w:val="000000"/>
        </w:rPr>
        <w:t>provided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00"/>
        </w:rPr>
        <w:t>however</w:t>
      </w:r>
      <w:r>
        <w:rPr>
          <w:rFonts w:ascii="Times New Roman" w:cs="Times New Roman" w:eastAsia="Times New Roman" w:hAnsi="Times New Roman"/>
          <w:sz w:val="14"/>
          <w:szCs w:val="14"/>
          <w:color w:val="000000"/>
        </w:rPr>
        <w:t>, that each such waiver and each such amendment, supplement or modification shall be effective only in the specific instance and</w:t>
      </w:r>
    </w:p>
    <w:p>
      <w:pPr>
        <w:spacing w:after="0" w:line="3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6" w:name="page257"/>
    <w:bookmarkEnd w:id="256"/>
    <w:p>
      <w:pPr>
        <w:jc w:val="both"/>
        <w:ind w:left="1140" w:right="1159"/>
        <w:spacing w:after="0" w:line="173" w:lineRule="exact"/>
        <w:rPr>
          <w:sz w:val="20"/>
          <w:szCs w:val="20"/>
          <w:color w:val="auto"/>
        </w:rPr>
      </w:pPr>
      <w:r>
        <w:rPr>
          <w:rFonts w:ascii="Times New Roman" w:cs="Times New Roman" w:eastAsia="Times New Roman" w:hAnsi="Times New Roman"/>
          <w:sz w:val="14"/>
          <w:szCs w:val="14"/>
          <w:color w:val="auto"/>
        </w:rPr>
        <w:t xml:space="preserve">for the specific purpose for which given; and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Times New Roman" w:cs="Times New Roman" w:eastAsia="Times New Roman" w:hAnsi="Times New Roman"/>
          <w:sz w:val="14"/>
          <w:szCs w:val="14"/>
          <w:u w:val="single" w:color="auto"/>
          <w:color w:val="auto"/>
        </w:rPr>
        <w:t>Section 2.8(c)</w:t>
      </w:r>
      <w:r>
        <w:rPr>
          <w:rFonts w:ascii="Times New Roman" w:cs="Times New Roman" w:eastAsia="Times New Roman" w:hAnsi="Times New Roman"/>
          <w:sz w:val="14"/>
          <w:szCs w:val="14"/>
          <w:color w:val="auto"/>
        </w:rPr>
        <w:t>), or forgive any portion thereof, or extend the date for the payment, of any principal, interest or fee hereunder (other than as a result of waiving the applicability of any post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default increase in interest rates), or extend the final expiration date of any Letter of Credit beyond the L/C Facility Maturity Date, or amend or modify any provisions of </w:t>
      </w:r>
      <w:r>
        <w:rPr>
          <w:rFonts w:ascii="Times New Roman" w:cs="Times New Roman" w:eastAsia="Times New Roman" w:hAnsi="Times New Roman"/>
          <w:sz w:val="14"/>
          <w:szCs w:val="14"/>
          <w:u w:val="single" w:color="auto"/>
          <w:color w:val="auto"/>
        </w:rPr>
        <w:t>Section 13.20</w:t>
      </w:r>
      <w:r>
        <w:rPr>
          <w:rFonts w:ascii="Times New Roman" w:cs="Times New Roman" w:eastAsia="Times New Roman" w:hAnsi="Times New Roman"/>
          <w:sz w:val="14"/>
          <w:szCs w:val="14"/>
          <w:color w:val="auto"/>
        </w:rPr>
        <w:t xml:space="preserve">, or make any Loan, interest, Fee or other amount payable in any currency other than expressly provided herein, in each case without the written consent of each Lender directly and adversely affected thereby;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waiver of any condition precedent in </w:t>
      </w:r>
      <w:r>
        <w:rPr>
          <w:rFonts w:ascii="Times New Roman" w:cs="Times New Roman" w:eastAsia="Times New Roman" w:hAnsi="Times New Roman"/>
          <w:sz w:val="14"/>
          <w:szCs w:val="14"/>
          <w:u w:val="single" w:color="auto"/>
          <w:color w:val="auto"/>
        </w:rPr>
        <w:t>Section 6</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7</w:t>
      </w:r>
      <w:r>
        <w:rPr>
          <w:rFonts w:ascii="Times New Roman" w:cs="Times New Roman" w:eastAsia="Times New Roman" w:hAnsi="Times New Roman"/>
          <w:sz w:val="14"/>
          <w:szCs w:val="14"/>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w:t>
      </w:r>
      <w:r>
        <w:rPr>
          <w:rFonts w:ascii="Times New Roman" w:cs="Times New Roman" w:eastAsia="Times New Roman" w:hAnsi="Times New Roman"/>
          <w:sz w:val="14"/>
          <w:szCs w:val="14"/>
          <w:u w:val="single" w:color="auto"/>
          <w:color w:val="auto"/>
        </w:rPr>
        <w:t>clause (i)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(ii)</w:t>
      </w:r>
      <w:r>
        <w:rPr>
          <w:rFonts w:ascii="Times New Roman" w:cs="Times New Roman" w:eastAsia="Times New Roman" w:hAnsi="Times New Roman"/>
          <w:sz w:val="14"/>
          <w:szCs w:val="14"/>
          <w:color w:val="auto"/>
        </w:rPr>
        <w:t xml:space="preserve"> consent to the assignment or transfer by the Borrower of its rights and obligations under any Credit Document to which it is a party (except as permitted pursuant to </w:t>
      </w:r>
      <w:r>
        <w:rPr>
          <w:rFonts w:ascii="Times New Roman" w:cs="Times New Roman" w:eastAsia="Times New Roman" w:hAnsi="Times New Roman"/>
          <w:sz w:val="14"/>
          <w:szCs w:val="14"/>
          <w:u w:val="single" w:color="auto"/>
          <w:color w:val="auto"/>
        </w:rPr>
        <w:t>Section 10.3</w:t>
      </w:r>
      <w:r>
        <w:rPr>
          <w:rFonts w:ascii="Times New Roman" w:cs="Times New Roman" w:eastAsia="Times New Roman" w:hAnsi="Times New Roman"/>
          <w:sz w:val="14"/>
          <w:szCs w:val="14"/>
          <w:color w:val="auto"/>
        </w:rPr>
        <w:t xml:space="preserve">), in each case without the written consent of each Lender directly and adversely affected thereby, or (iii) amend, modify or waive any provision of </w:t>
      </w:r>
      <w:r>
        <w:rPr>
          <w:rFonts w:ascii="Times New Roman" w:cs="Times New Roman" w:eastAsia="Times New Roman" w:hAnsi="Times New Roman"/>
          <w:sz w:val="14"/>
          <w:szCs w:val="14"/>
          <w:u w:val="single" w:color="auto"/>
          <w:color w:val="auto"/>
        </w:rPr>
        <w:t>Section 12</w:t>
      </w:r>
      <w:r>
        <w:rPr>
          <w:rFonts w:ascii="Times New Roman" w:cs="Times New Roman" w:eastAsia="Times New Roman" w:hAnsi="Times New Roman"/>
          <w:sz w:val="14"/>
          <w:szCs w:val="14"/>
          <w:color w:val="auto"/>
        </w:rPr>
        <w:t xml:space="preserve"> without the written consent of the then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current Administrative Agent and Collateral Agent in a manner that directly and adversely affects such Person, or (iv) amend, modify or waive any provision of </w:t>
      </w:r>
      <w:r>
        <w:rPr>
          <w:rFonts w:ascii="Times New Roman" w:cs="Times New Roman" w:eastAsia="Times New Roman" w:hAnsi="Times New Roman"/>
          <w:sz w:val="14"/>
          <w:szCs w:val="14"/>
          <w:u w:val="single" w:color="auto"/>
          <w:color w:val="auto"/>
        </w:rPr>
        <w:t>Section 2.17</w:t>
      </w:r>
      <w:r>
        <w:rPr>
          <w:rFonts w:ascii="Times New Roman" w:cs="Times New Roman" w:eastAsia="Times New Roman" w:hAnsi="Times New Roman"/>
          <w:sz w:val="14"/>
          <w:szCs w:val="14"/>
          <w:color w:val="auto"/>
        </w:rPr>
        <w:t xml:space="preserve"> with respect to any Swingline Loan without the written consent of the Swingline Lender to the extent such amendment, modification or waiver directly and adversely affects the Swingline Lender, or (v) amend, modify or waive any provision of </w:t>
      </w:r>
      <w:r>
        <w:rPr>
          <w:rFonts w:ascii="Times New Roman" w:cs="Times New Roman" w:eastAsia="Times New Roman" w:hAnsi="Times New Roman"/>
          <w:sz w:val="14"/>
          <w:szCs w:val="14"/>
          <w:u w:val="single" w:color="auto"/>
          <w:color w:val="auto"/>
        </w:rPr>
        <w:t>Section 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3A</w:t>
      </w:r>
      <w:r>
        <w:rPr>
          <w:rFonts w:ascii="Times New Roman" w:cs="Times New Roman" w:eastAsia="Times New Roman" w:hAnsi="Times New Roman"/>
          <w:sz w:val="14"/>
          <w:szCs w:val="14"/>
          <w:color w:val="auto"/>
        </w:rPr>
        <w:t xml:space="preserve">, as applicable, with respect to any Revolving Letter of Credit or 2020 Letter of Credit, respectively, without the written consent of the applicable Letter of Credit Issuer to the extent such amendment, modification or waiver directly and adversely affects the Letter of Credit Issuer or amend, modify or waive any provision of Section 7.3 without the written consent of the 2020 Letter of Credit Issuers, or (vi) release all or substantially all of the Guarantors under the Guarantees (except as expressly permitted by the Guarantees, the First Lien Intercreditor Agreement, the Second Lien Intercreditor Agreement or this Agreement) or release all or substantially all of the Collateral under the Security Documents (except as expressly permitted by the Security Documents, the First Lien Intercreditor Agreement, the Second Lien Intercreditor Agreement or this Agreement) without the prior written consent of each Lender, or (vii) alter the ratable payments required by </w:t>
      </w:r>
      <w:r>
        <w:rPr>
          <w:rFonts w:ascii="Times New Roman" w:cs="Times New Roman" w:eastAsia="Times New Roman" w:hAnsi="Times New Roman"/>
          <w:sz w:val="14"/>
          <w:szCs w:val="14"/>
          <w:u w:val="single" w:color="auto"/>
          <w:color w:val="auto"/>
        </w:rPr>
        <w:t>Section 5.3(a)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11.13(ii)</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Section 13.8(a)</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13.20</w:t>
      </w:r>
      <w:r>
        <w:rPr>
          <w:rFonts w:ascii="Times New Roman" w:cs="Times New Roman" w:eastAsia="Times New Roman" w:hAnsi="Times New Roman"/>
          <w:sz w:val="14"/>
          <w:szCs w:val="14"/>
          <w:color w:val="auto"/>
        </w:rPr>
        <w:t xml:space="preserve"> without the written consent of each Lender or (viii) decrease the Tranche B</w:t>
      </w:r>
      <w:r>
        <w:rPr>
          <w:rFonts w:ascii="Times New Roman" w:cs="Times New Roman" w:eastAsia="Times New Roman" w:hAnsi="Times New Roman"/>
          <w:sz w:val="14"/>
          <w:szCs w:val="14"/>
          <w:color w:val="FF0000"/>
          <w:strike w:val="1"/>
        </w:rPr>
        <w:t>-1 Term Loan Repayment Amount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 Loan Repayment Amount applicable to Tranche B</w:t>
      </w:r>
      <w:r>
        <w:rPr>
          <w:rFonts w:ascii="Times New Roman" w:cs="Times New Roman" w:eastAsia="Times New Roman" w:hAnsi="Times New Roman"/>
          <w:sz w:val="14"/>
          <w:szCs w:val="14"/>
          <w:color w:val="FF0000"/>
          <w:strike w:val="1"/>
        </w:rPr>
        <w:t>-1 Term Loans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Term</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Loans, or extend any scheduled Tranche B</w:t>
      </w:r>
      <w:r>
        <w:rPr>
          <w:rFonts w:ascii="Times New Roman" w:cs="Times New Roman" w:eastAsia="Times New Roman" w:hAnsi="Times New Roman"/>
          <w:sz w:val="14"/>
          <w:szCs w:val="14"/>
          <w:color w:val="FF0000"/>
          <w:strike w:val="1"/>
        </w:rPr>
        <w:t>-1 Term Loan Repayment Date or Tranche B-3</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 Repayment Date applicable to Tranche B</w:t>
      </w:r>
      <w:r>
        <w:rPr>
          <w:rFonts w:ascii="Times New Roman" w:cs="Times New Roman" w:eastAsia="Times New Roman" w:hAnsi="Times New Roman"/>
          <w:sz w:val="14"/>
          <w:szCs w:val="14"/>
          <w:color w:val="FF0000"/>
          <w:strike w:val="1"/>
        </w:rPr>
        <w:t>-1</w:t>
      </w:r>
      <w:r>
        <w:rPr>
          <w:rFonts w:ascii="Times New Roman" w:cs="Times New Roman" w:eastAsia="Times New Roman" w:hAnsi="Times New Roman"/>
          <w:sz w:val="14"/>
          <w:szCs w:val="14"/>
          <w:u w:val="single" w:color="auto"/>
          <w:color w:val="0000FF"/>
        </w:rPr>
        <w:t>-4</w:t>
      </w:r>
      <w:r>
        <w:rPr>
          <w:rFonts w:ascii="Times New Roman" w:cs="Times New Roman" w:eastAsia="Times New Roman" w:hAnsi="Times New Roman"/>
          <w:sz w:val="14"/>
          <w:szCs w:val="14"/>
          <w:color w:val="000000"/>
        </w:rPr>
        <w:t xml:space="preserve"> Term Loans </w:t>
      </w:r>
      <w:r>
        <w:rPr>
          <w:rFonts w:ascii="Times New Roman" w:cs="Times New Roman" w:eastAsia="Times New Roman" w:hAnsi="Times New Roman"/>
          <w:sz w:val="14"/>
          <w:szCs w:val="14"/>
          <w:color w:val="FF0000"/>
          <w:strike w:val="1"/>
        </w:rPr>
        <w:t>or Tranche B-3 Term Loans, as applicable,</w:t>
      </w:r>
      <w:r>
        <w:rPr>
          <w:rFonts w:ascii="Times New Roman" w:cs="Times New Roman" w:eastAsia="Times New Roman" w:hAnsi="Times New Roman"/>
          <w:sz w:val="14"/>
          <w:szCs w:val="14"/>
          <w:color w:val="000000"/>
        </w:rPr>
        <w:t xml:space="preserve"> in each case without the written consent of each Lender directly and adversely affected thereby, or (ix) reduce the percentages specified in the definitions of the term “Required 2020 Additional Revolving Credit Lenders,” “Required Lenders,” “Required Revolving Credit Lenders” or “Required Term Loan Lenders” or amend, modify or waive any provision of this </w:t>
      </w:r>
      <w:r>
        <w:rPr>
          <w:rFonts w:ascii="Times New Roman" w:cs="Times New Roman" w:eastAsia="Times New Roman" w:hAnsi="Times New Roman"/>
          <w:sz w:val="14"/>
          <w:szCs w:val="14"/>
          <w:u w:val="single" w:color="auto"/>
          <w:color w:val="000000"/>
        </w:rPr>
        <w:t>Section 13.1</w:t>
      </w:r>
      <w:r>
        <w:rPr>
          <w:rFonts w:ascii="Times New Roman" w:cs="Times New Roman" w:eastAsia="Times New Roman" w:hAnsi="Times New Roman"/>
          <w:sz w:val="14"/>
          <w:szCs w:val="14"/>
          <w:color w:val="000000"/>
        </w:rPr>
        <w:t xml:space="preserve"> that has the effect of decreasing the number of Lenders that must approve any amendment, modification or waiver, without the written consent of each Lender directly and adversely affected thereby, (y) notwithstanding anything to the contrary in the preceding </w:t>
      </w:r>
      <w:r>
        <w:rPr>
          <w:rFonts w:ascii="Times New Roman" w:cs="Times New Roman" w:eastAsia="Times New Roman" w:hAnsi="Times New Roman"/>
          <w:sz w:val="14"/>
          <w:szCs w:val="14"/>
          <w:u w:val="single" w:color="auto"/>
          <w:color w:val="000000"/>
        </w:rPr>
        <w:t>clause (x)</w:t>
      </w:r>
      <w:r>
        <w:rPr>
          <w:rFonts w:ascii="Times New Roman" w:cs="Times New Roman" w:eastAsia="Times New Roman" w:hAnsi="Times New Roman"/>
          <w:sz w:val="14"/>
          <w:szCs w:val="14"/>
          <w:color w:val="000000"/>
        </w:rPr>
        <w:t>,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(a “</w:t>
      </w:r>
      <w:r>
        <w:rPr>
          <w:rFonts w:ascii="Times New Roman" w:cs="Times New Roman" w:eastAsia="Times New Roman" w:hAnsi="Times New Roman"/>
          <w:sz w:val="14"/>
          <w:szCs w:val="14"/>
          <w:b w:val="1"/>
          <w:bCs w:val="1"/>
          <w:color w:val="000000"/>
        </w:rPr>
        <w:t>Permitted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b w:val="1"/>
          <w:bCs w:val="1"/>
          <w:color w:val="000000"/>
        </w:rPr>
        <w:t>Repricing Amendment</w:t>
      </w:r>
      <w:r>
        <w:rPr>
          <w:rFonts w:ascii="Times New Roman" w:cs="Times New Roman" w:eastAsia="Times New Roman" w:hAnsi="Times New Roman"/>
          <w:sz w:val="14"/>
          <w:szCs w:val="14"/>
          <w:color w:val="000000"/>
        </w:rPr>
        <w:t>”), require the consent of any Lender other than the consent of the Lenders holding Term</w:t>
      </w:r>
      <w:r>
        <w:rPr>
          <w:rFonts w:ascii="Times New Roman" w:cs="Times New Roman" w:eastAsia="Times New Roman" w:hAnsi="Times New Roman"/>
          <w:sz w:val="14"/>
          <w:szCs w:val="14"/>
          <w:b w:val="1"/>
          <w:bCs w:val="1"/>
          <w:color w:val="000000"/>
        </w:rPr>
        <w:t xml:space="preserve"> </w:t>
      </w:r>
      <w:r>
        <w:rPr>
          <w:rFonts w:ascii="Times New Roman" w:cs="Times New Roman" w:eastAsia="Times New Roman" w:hAnsi="Times New Roman"/>
          <w:sz w:val="14"/>
          <w:szCs w:val="14"/>
          <w:color w:val="000000"/>
        </w:rPr>
        <w:t>Loans subject to such permitted repricing transaction that will continue as a Lender in respect of the repriced tranche of Term Loans or modified Term Loans.</w:t>
      </w:r>
    </w:p>
    <w:p>
      <w:pPr>
        <w:spacing w:after="0" w:line="200" w:lineRule="exact"/>
        <w:rPr>
          <w:sz w:val="20"/>
          <w:szCs w:val="20"/>
          <w:color w:val="auto"/>
        </w:rPr>
      </w:pPr>
    </w:p>
    <w:p>
      <w:pPr>
        <w:spacing w:after="0" w:line="305" w:lineRule="exact"/>
        <w:rPr>
          <w:sz w:val="20"/>
          <w:szCs w:val="20"/>
          <w:color w:val="auto"/>
        </w:rPr>
      </w:pPr>
    </w:p>
    <w:p>
      <w:pPr>
        <w:ind w:left="1140" w:right="1239" w:firstLine="1033"/>
        <w:spacing w:after="0" w:line="265" w:lineRule="auto"/>
        <w:rPr>
          <w:sz w:val="20"/>
          <w:szCs w:val="20"/>
          <w:color w:val="auto"/>
        </w:rPr>
      </w:pPr>
      <w:r>
        <w:rPr>
          <w:rFonts w:ascii="Times New Roman" w:cs="Times New Roman" w:eastAsia="Times New Roman" w:hAnsi="Times New Roman"/>
          <w:sz w:val="14"/>
          <w:szCs w:val="14"/>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and adversely from the other Lenders of the same Class (other than because of its status as a Defaulting Lender).</w:t>
      </w:r>
    </w:p>
    <w:p>
      <w:pPr>
        <w:spacing w:after="0" w:line="2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7" w:name="page258"/>
    <w:bookmarkEnd w:id="257"/>
    <w:p>
      <w:pPr>
        <w:ind w:left="1140" w:right="1219" w:firstLine="1033"/>
        <w:spacing w:after="0" w:line="263" w:lineRule="auto"/>
        <w:rPr>
          <w:sz w:val="20"/>
          <w:szCs w:val="20"/>
          <w:color w:val="auto"/>
        </w:rPr>
      </w:pPr>
      <w:r>
        <w:rPr>
          <w:rFonts w:ascii="Times New Roman" w:cs="Times New Roman" w:eastAsia="Times New Roman" w:hAnsi="Times New Roman"/>
          <w:sz w:val="14"/>
          <w:szCs w:val="14"/>
          <w:color w:val="auto"/>
        </w:rPr>
        <w:t xml:space="preserve">Notwithstanding the foregoing, only the Required Revolving Credit Lenders shall have the ability to waive, amend, supplement or modify the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xml:space="preserve"> (or the defined terms to the extent used therein but not as used in any other Section of this Agreement) or </w:t>
      </w:r>
      <w:r>
        <w:rPr>
          <w:rFonts w:ascii="Times New Roman" w:cs="Times New Roman" w:eastAsia="Times New Roman" w:hAnsi="Times New Roman"/>
          <w:sz w:val="14"/>
          <w:szCs w:val="14"/>
          <w:u w:val="single" w:color="auto"/>
          <w:color w:val="auto"/>
        </w:rPr>
        <w:t>Section 11</w:t>
      </w:r>
      <w:r>
        <w:rPr>
          <w:rFonts w:ascii="Times New Roman" w:cs="Times New Roman" w:eastAsia="Times New Roman" w:hAnsi="Times New Roman"/>
          <w:sz w:val="14"/>
          <w:szCs w:val="14"/>
          <w:color w:val="auto"/>
        </w:rPr>
        <w:t xml:space="preserve"> (solely as it relates to </w:t>
      </w:r>
      <w:r>
        <w:rPr>
          <w:rFonts w:ascii="Times New Roman" w:cs="Times New Roman" w:eastAsia="Times New Roman" w:hAnsi="Times New Roman"/>
          <w:sz w:val="14"/>
          <w:szCs w:val="14"/>
          <w:u w:val="single" w:color="auto"/>
          <w:color w:val="auto"/>
        </w:rPr>
        <w:t>Section</w:t>
      </w:r>
    </w:p>
    <w:p>
      <w:pPr>
        <w:spacing w:after="0" w:line="1" w:lineRule="exact"/>
        <w:rPr>
          <w:sz w:val="20"/>
          <w:szCs w:val="20"/>
          <w:color w:val="auto"/>
        </w:rPr>
      </w:pPr>
    </w:p>
    <w:p>
      <w:pPr>
        <w:ind w:left="1140" w:right="1199"/>
        <w:spacing w:after="0" w:line="264" w:lineRule="auto"/>
        <w:rPr>
          <w:sz w:val="20"/>
          <w:szCs w:val="20"/>
          <w:color w:val="auto"/>
        </w:rPr>
      </w:pPr>
      <w:r>
        <w:rPr>
          <w:rFonts w:ascii="Times New Roman" w:cs="Times New Roman" w:eastAsia="Times New Roman" w:hAnsi="Times New Roman"/>
          <w:sz w:val="14"/>
          <w:szCs w:val="14"/>
          <w:u w:val="single" w:color="auto"/>
          <w:color w:val="auto"/>
        </w:rPr>
        <w:t>10.7</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if the lenders under any Incremental Revolving Credit Commitment have agreed not to have the benefit of the covenant set forth in </w:t>
      </w:r>
      <w:r>
        <w:rPr>
          <w:rFonts w:ascii="Times New Roman" w:cs="Times New Roman" w:eastAsia="Times New Roman" w:hAnsi="Times New Roman"/>
          <w:sz w:val="14"/>
          <w:szCs w:val="14"/>
          <w:u w:val="single" w:color="auto"/>
          <w:color w:val="auto"/>
        </w:rPr>
        <w:t>Section 10.7</w:t>
      </w:r>
      <w:r>
        <w:rPr>
          <w:rFonts w:ascii="Times New Roman" w:cs="Times New Roman" w:eastAsia="Times New Roman" w:hAnsi="Times New Roman"/>
          <w:sz w:val="14"/>
          <w:szCs w:val="14"/>
          <w:color w:val="auto"/>
        </w:rPr>
        <w:t>, such Incremental Revolving Credit Commitments shall be disregarded for purposes of determining the Required Revolving Credit Lenders under this paragraph.</w:t>
      </w:r>
    </w:p>
    <w:p>
      <w:pPr>
        <w:spacing w:after="0" w:line="144" w:lineRule="exact"/>
        <w:rPr>
          <w:sz w:val="20"/>
          <w:szCs w:val="20"/>
          <w:color w:val="auto"/>
        </w:rPr>
      </w:pPr>
    </w:p>
    <w:p>
      <w:pPr>
        <w:ind w:left="1140" w:right="1419" w:firstLine="1033"/>
        <w:spacing w:after="0" w:line="293" w:lineRule="auto"/>
        <w:rPr>
          <w:sz w:val="20"/>
          <w:szCs w:val="20"/>
          <w:color w:val="auto"/>
        </w:rPr>
      </w:pPr>
      <w:r>
        <w:rPr>
          <w:rFonts w:ascii="Times New Roman" w:cs="Times New Roman" w:eastAsia="Times New Roman" w:hAnsi="Times New Roman"/>
          <w:sz w:val="14"/>
          <w:szCs w:val="14"/>
          <w:color w:val="auto"/>
        </w:rPr>
        <w:t xml:space="preserve">Notwithstanding the foregoing, only the Required 2020 Additional Required Revolving Credit Lenders shall have the ability to waive, amend, supplement or modify </w:t>
      </w:r>
      <w:r>
        <w:rPr>
          <w:rFonts w:ascii="Times New Roman" w:cs="Times New Roman" w:eastAsia="Times New Roman" w:hAnsi="Times New Roman"/>
          <w:sz w:val="14"/>
          <w:szCs w:val="14"/>
          <w:u w:val="single" w:color="auto"/>
          <w:color w:val="auto"/>
        </w:rPr>
        <w:t>Section 7.3</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140" w:right="1159" w:firstLine="1033"/>
        <w:spacing w:after="0" w:line="261" w:lineRule="auto"/>
        <w:rPr>
          <w:sz w:val="20"/>
          <w:szCs w:val="20"/>
          <w:color w:val="auto"/>
        </w:rPr>
      </w:pPr>
      <w:r>
        <w:rPr>
          <w:rFonts w:ascii="Times New Roman" w:cs="Times New Roman" w:eastAsia="Times New Roman" w:hAnsi="Times New Roman"/>
          <w:sz w:val="14"/>
          <w:szCs w:val="14"/>
          <w:color w:val="auto"/>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46" w:lineRule="exact"/>
        <w:rPr>
          <w:sz w:val="20"/>
          <w:szCs w:val="20"/>
          <w:color w:val="auto"/>
        </w:rPr>
      </w:pPr>
    </w:p>
    <w:p>
      <w:pPr>
        <w:jc w:val="both"/>
        <w:ind w:left="1140" w:right="1159" w:firstLine="517"/>
        <w:spacing w:after="0" w:line="260" w:lineRule="auto"/>
        <w:rPr>
          <w:sz w:val="20"/>
          <w:szCs w:val="20"/>
          <w:color w:val="auto"/>
        </w:rPr>
      </w:pPr>
      <w:r>
        <w:rPr>
          <w:rFonts w:ascii="Times New Roman" w:cs="Times New Roman" w:eastAsia="Times New Roman" w:hAnsi="Times New Roman"/>
          <w:sz w:val="14"/>
          <w:szCs w:val="14"/>
          <w:u w:val="single" w:color="auto"/>
          <w:color w:val="0000FF"/>
        </w:rPr>
        <w:t>Notwithstanding anything to the contrary herein, in connection with any determination as to whether the requisite Lenders have (A) consented (or not consented) to any amendment or waiver of any provision of this Agreement or any other Credit Document or any departure by any Credit Party therefrom, (B) otherwise acted on any matter related to any Credit Document, or (C) directed or required the Administrative Agent or any Lender to undertake any action (or refrain from taking any action) with respect to or under any Credit Document, any Lender (alone or together with its Affiliates (but subject to clause (vi) of the immediately succeeding paragraph)) (other than</w:t>
      </w:r>
    </w:p>
    <w:p>
      <w:pPr>
        <w:jc w:val="both"/>
        <w:ind w:left="1140" w:right="1159" w:firstLine="7"/>
        <w:spacing w:after="0" w:line="258" w:lineRule="auto"/>
        <w:tabs>
          <w:tab w:leader="none" w:pos="1349" w:val="left"/>
        </w:tabs>
        <w:numPr>
          <w:ilvl w:val="0"/>
          <w:numId w:val="279"/>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a regulated commercial bank, (y) any Revolving Credit Lender on the Amendment No. 7 Effective Date (or any Affiliate thereof) or (z) any 2020 Additional Revolving Credit Lender on the Amendment No. 7 Effective Date (or any Affiliate thereof)) that, as a result of its (or its Affiliates’ (but subject to clause (vi) of the immediately succeeding paragraph))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cs="Times New Roman" w:eastAsia="Times New Roman" w:hAnsi="Times New Roman"/>
          <w:sz w:val="14"/>
          <w:szCs w:val="14"/>
          <w:b w:val="1"/>
          <w:bCs w:val="1"/>
          <w:u w:val="single" w:color="auto"/>
          <w:color w:val="0000FF"/>
        </w:rPr>
        <w:t>Net Short Lender</w:t>
      </w:r>
      <w:r>
        <w:rPr>
          <w:rFonts w:ascii="Times New Roman" w:cs="Times New Roman" w:eastAsia="Times New Roman" w:hAnsi="Times New Roman"/>
          <w:sz w:val="14"/>
          <w:szCs w:val="14"/>
          <w:u w:val="single" w:color="auto"/>
          <w:color w:val="0000FF"/>
        </w:rPr>
        <w:t>”) shall have no right to vote any of its Loans and Commitments and shall be deemed to have voted its interest as a Lender without discretion in the same proportion as the allocation of voting with respect to such matter by Lenders who are not Net Short Lenders.</w:t>
      </w:r>
    </w:p>
    <w:p>
      <w:pPr>
        <w:spacing w:after="0" w:line="15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u w:val="single" w:color="auto"/>
          <w:color w:val="0000FF"/>
        </w:rPr>
        <w:t>For purposes of determining whether a Lender (alone or together with its Affiliates (but subject to clause</w:t>
      </w:r>
    </w:p>
    <w:p>
      <w:pPr>
        <w:spacing w:after="0" w:line="25" w:lineRule="exact"/>
        <w:rPr>
          <w:sz w:val="20"/>
          <w:szCs w:val="20"/>
          <w:color w:val="auto"/>
        </w:rPr>
      </w:pPr>
    </w:p>
    <w:p>
      <w:pPr>
        <w:jc w:val="both"/>
        <w:ind w:left="1140" w:right="1159" w:firstLine="7"/>
        <w:spacing w:after="0" w:line="257" w:lineRule="auto"/>
        <w:tabs>
          <w:tab w:leader="none" w:pos="1383" w:val="left"/>
        </w:tabs>
        <w:numPr>
          <w:ilvl w:val="0"/>
          <w:numId w:val="280"/>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below)) has a “net short position” on any date of determination: (i) derivative contracts with respect to the Loans and Commitments and such contracts that are the functional equivalent thereof shall be counted at the notional amount thereof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any of the Borrower or other Credit Parties or any instrument issued or guaranteed by any of the Borrower or other Credit Parties shall not be deemed to create a short position with respect to the Loans and/or Commitments, so long as (x) such index is not created, designed, administered or requested by such Lender or its Affiliates and (y) the Borrower and other Credit Parties and any instrument issued or guaranteed by any of the Borrower or other Credit Parties,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4"/>
          <w:szCs w:val="14"/>
          <w:b w:val="1"/>
          <w:bCs w:val="1"/>
          <w:u w:val="single" w:color="auto"/>
          <w:color w:val="0000FF"/>
        </w:rPr>
        <w:t>ISDA CDS</w:t>
      </w:r>
      <w:r>
        <w:rPr>
          <w:rFonts w:ascii="Times New Roman" w:cs="Times New Roman" w:eastAsia="Times New Roman" w:hAnsi="Times New Roman"/>
          <w:sz w:val="14"/>
          <w:szCs w:val="14"/>
          <w:u w:val="single" w:color="auto"/>
          <w:color w:val="0000FF"/>
        </w:rPr>
        <w:t xml:space="preserve"> </w:t>
      </w:r>
      <w:r>
        <w:rPr>
          <w:rFonts w:ascii="Times New Roman" w:cs="Times New Roman" w:eastAsia="Times New Roman" w:hAnsi="Times New Roman"/>
          <w:sz w:val="14"/>
          <w:szCs w:val="14"/>
          <w:b w:val="1"/>
          <w:bCs w:val="1"/>
          <w:u w:val="single" w:color="auto"/>
          <w:color w:val="0000FF"/>
        </w:rPr>
        <w:t>Definitions</w:t>
      </w:r>
      <w:r>
        <w:rPr>
          <w:rFonts w:ascii="Times New Roman" w:cs="Times New Roman" w:eastAsia="Times New Roman" w:hAnsi="Times New Roman"/>
          <w:sz w:val="14"/>
          <w:szCs w:val="14"/>
          <w:u w:val="single" w:color="auto"/>
          <w:color w:val="0000FF"/>
        </w:rPr>
        <w:t>”) shall be deemed to create a short position with respect to the Loans and/or Commitments if such</w:t>
      </w:r>
      <w:r>
        <w:rPr>
          <w:rFonts w:ascii="Times New Roman" w:cs="Times New Roman" w:eastAsia="Times New Roman" w:hAnsi="Times New Roman"/>
          <w:sz w:val="14"/>
          <w:szCs w:val="14"/>
          <w:b w:val="1"/>
          <w:bCs w:val="1"/>
          <w:u w:val="single" w:color="auto"/>
          <w:color w:val="0000FF"/>
        </w:rPr>
        <w:t xml:space="preserve"> </w:t>
      </w:r>
      <w:r>
        <w:rPr>
          <w:rFonts w:ascii="Times New Roman" w:cs="Times New Roman" w:eastAsia="Times New Roman" w:hAnsi="Times New Roman"/>
          <w:sz w:val="14"/>
          <w:szCs w:val="14"/>
          <w:u w:val="single" w:color="auto"/>
          <w:color w:val="0000FF"/>
        </w:rPr>
        <w:t>Lender or its Affiliates (but subject to clause (vi) below)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 or other Credit Parties (or its successor) is designated as a “Reference Entity”</w:t>
      </w: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58" w:name="page259"/>
    <w:bookmarkEnd w:id="258"/>
    <w:p>
      <w:pPr>
        <w:jc w:val="both"/>
        <w:ind w:left="1140" w:right="1159"/>
        <w:spacing w:after="0" w:line="259" w:lineRule="auto"/>
        <w:rPr>
          <w:sz w:val="20"/>
          <w:szCs w:val="20"/>
          <w:color w:val="auto"/>
        </w:rPr>
      </w:pPr>
      <w:r>
        <w:rPr>
          <w:rFonts w:ascii="Times New Roman" w:cs="Times New Roman" w:eastAsia="Times New Roman" w:hAnsi="Times New Roman"/>
          <w:sz w:val="14"/>
          <w:szCs w:val="14"/>
          <w:u w:val="single" w:color="auto"/>
          <w:color w:val="0000FF"/>
        </w:rPr>
        <w:t>under the terms of such derivative transactions, (v)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or its Affiliates (but subject to clause (vi) below) protection in respect of the Loans or the Commitments, or as to the credit quality of any of the Borrower or other Credit Parties other than, in each case, as part of an index so long as (x) such index is not created, designed, administered or requested by such Lender or its Affiliates and (y) the Borrower and other Credit Parties and any instrument issued or guaranteed by any of the Borrower or other Credit Parties, collectively, shall represent less than 5% of the components of such index and (vi) in connection with any such amendment, waiver, action or direction, each Lender shall reasonably inquire as to whether its Ethically Screened Affiliates have any interest in any Loans and Commitments and/or any applicable total return swap, total rate of return swap, credit default swap or other derivative contract, and any such interests therein shall only be included in determining whether such Lender (alone or together with its Affiliates) is a Net Short Lender to the extent determined from such reasonable inquiry (and any interests therein not so determinable shall be disregarded).</w:t>
      </w:r>
    </w:p>
    <w:p>
      <w:pPr>
        <w:spacing w:after="0" w:line="152" w:lineRule="exact"/>
        <w:rPr>
          <w:sz w:val="20"/>
          <w:szCs w:val="20"/>
          <w:color w:val="auto"/>
        </w:rPr>
      </w:pPr>
    </w:p>
    <w:p>
      <w:pPr>
        <w:jc w:val="both"/>
        <w:ind w:left="1140" w:right="1159" w:firstLine="517"/>
        <w:spacing w:after="0" w:line="258" w:lineRule="auto"/>
        <w:rPr>
          <w:sz w:val="20"/>
          <w:szCs w:val="20"/>
          <w:color w:val="auto"/>
        </w:rPr>
      </w:pPr>
      <w:r>
        <w:rPr>
          <w:rFonts w:ascii="Times New Roman" w:cs="Times New Roman" w:eastAsia="Times New Roman" w:hAnsi="Times New Roman"/>
          <w:sz w:val="14"/>
          <w:szCs w:val="14"/>
          <w:u w:val="single" w:color="auto"/>
          <w:color w:val="0000FF"/>
        </w:rPr>
        <w:t>In connection with any such determination, each Lender (other than (x) a regulated commercial bank, (y) any Revolving Credit Lender on the Amendment No. 7 Effective Date (or any Affiliate thereof) or (z) any 2020 Additional Revolving Credit Lender on the Amendment No. 7 Effective Date (or any Affiliate thereof)) shall promptly notify the Administrative Agent in writing that it is a Net Short Lender, or shall otherwise be deemed to have represented and warranted to the Borrower and the Administrative Agent that it is not a Net Short Lender (it being understood and agreed that the Administrative Agent shall be entitled to conclusively rely on each such representation and deemed representation and shall have no duty to (x) inquire as to or investigate the accuracy of any such representation or deemed representation, (y) verify any statements in any officer’s certificates delivered to it or (z) otherwise ascertain or monitor whether any Lender, assignee or Participant or prospective Lender, assignee or Participant is a Net Short Lender or make any calculations, investigations or determinations with respect to any derivative contracts and/or net short positions). Without limiting the foregoing, the Administrative Agent shall not</w:t>
      </w:r>
    </w:p>
    <w:p>
      <w:pPr>
        <w:spacing w:after="0" w:line="4" w:lineRule="exact"/>
        <w:rPr>
          <w:sz w:val="20"/>
          <w:szCs w:val="20"/>
          <w:color w:val="auto"/>
        </w:rPr>
      </w:pPr>
    </w:p>
    <w:p>
      <w:pPr>
        <w:jc w:val="both"/>
        <w:ind w:left="1140" w:right="1159" w:firstLine="7"/>
        <w:spacing w:after="0" w:line="264" w:lineRule="auto"/>
        <w:tabs>
          <w:tab w:leader="none" w:pos="1410" w:val="left"/>
        </w:tabs>
        <w:numPr>
          <w:ilvl w:val="0"/>
          <w:numId w:val="281"/>
        </w:numPr>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t>be responsible or have any liability for, or have any duty to ascertain, inquire into, monitor or enforce, compliance with the provisions hereof relating to the Net Short Lenders or (B) have any liability with respect to or arising out of any assignment or participation of Loans or Commitments to any Net Short Lender.</w:t>
      </w:r>
    </w:p>
    <w:p>
      <w:pPr>
        <w:spacing w:after="0" w:line="144" w:lineRule="exact"/>
        <w:rPr>
          <w:sz w:val="20"/>
          <w:szCs w:val="20"/>
          <w:color w:val="auto"/>
        </w:rPr>
      </w:pPr>
    </w:p>
    <w:p>
      <w:pPr>
        <w:ind w:left="1140" w:right="1279" w:firstLine="1033"/>
        <w:spacing w:after="0" w:line="261" w:lineRule="auto"/>
        <w:rPr>
          <w:sz w:val="20"/>
          <w:szCs w:val="20"/>
          <w:color w:val="auto"/>
        </w:rPr>
      </w:pPr>
      <w:r>
        <w:rPr>
          <w:rFonts w:ascii="Times New Roman" w:cs="Times New Roman" w:eastAsia="Times New Roman" w:hAnsi="Times New Roman"/>
          <w:sz w:val="14"/>
          <w:szCs w:val="14"/>
          <w:color w:val="auto"/>
        </w:rPr>
        <w:t xml:space="preserve">Notwithstanding the foregoing, in addition to any credit extensions and related Joinder Agreement(s) effectuated without the consent of Lenders in accordance with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the Revolving Credit Loans.</w:t>
      </w:r>
    </w:p>
    <w:p>
      <w:pPr>
        <w:spacing w:after="0" w:line="146" w:lineRule="exact"/>
        <w:rPr>
          <w:sz w:val="20"/>
          <w:szCs w:val="20"/>
          <w:color w:val="auto"/>
        </w:rPr>
      </w:pPr>
    </w:p>
    <w:p>
      <w:pPr>
        <w:ind w:left="1140" w:right="1159" w:firstLine="1033"/>
        <w:spacing w:after="0" w:line="258" w:lineRule="auto"/>
        <w:rPr>
          <w:sz w:val="20"/>
          <w:szCs w:val="20"/>
          <w:color w:val="auto"/>
        </w:rPr>
      </w:pPr>
      <w:r>
        <w:rPr>
          <w:rFonts w:ascii="Times New Roman" w:cs="Times New Roman" w:eastAsia="Times New Roman" w:hAnsi="Times New Roman"/>
          <w:sz w:val="14"/>
          <w:szCs w:val="14"/>
          <w:color w:val="auto"/>
        </w:rPr>
        <w:t xml:space="preserve">In addition, notwithstanding the foregoing, this Agreement may be amended with the written consent of the Administrative Agent, Holdings, the Borrower and the Lenders providing the relevant Replacement Term Loans to permit the refinancing of all </w:t>
      </w:r>
      <w:r>
        <w:rPr>
          <w:rFonts w:ascii="Times New Roman" w:cs="Times New Roman" w:eastAsia="Times New Roman" w:hAnsi="Times New Roman"/>
          <w:sz w:val="14"/>
          <w:szCs w:val="14"/>
          <w:u w:val="single" w:color="auto"/>
          <w:color w:val="0000FF"/>
        </w:rPr>
        <w:t>or a portion of the</w:t>
      </w:r>
      <w:r>
        <w:rPr>
          <w:rFonts w:ascii="Times New Roman" w:cs="Times New Roman" w:eastAsia="Times New Roman" w:hAnsi="Times New Roman"/>
          <w:sz w:val="14"/>
          <w:szCs w:val="14"/>
          <w:color w:val="auto"/>
        </w:rPr>
        <w:t xml:space="preserve"> outstanding Term Loans of any Class (“</w:t>
      </w:r>
      <w:r>
        <w:rPr>
          <w:rFonts w:ascii="Times New Roman" w:cs="Times New Roman" w:eastAsia="Times New Roman" w:hAnsi="Times New Roman"/>
          <w:sz w:val="14"/>
          <w:szCs w:val="14"/>
          <w:b w:val="1"/>
          <w:bCs w:val="1"/>
          <w:color w:val="auto"/>
        </w:rPr>
        <w:t>Refinanced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Term Loans</w:t>
      </w:r>
      <w:r>
        <w:rPr>
          <w:rFonts w:ascii="Times New Roman" w:cs="Times New Roman" w:eastAsia="Times New Roman" w:hAnsi="Times New Roman"/>
          <w:sz w:val="14"/>
          <w:szCs w:val="14"/>
          <w:color w:val="auto"/>
        </w:rPr>
        <w:t>”) with a replacement term loan tranche (“</w:t>
      </w:r>
      <w:r>
        <w:rPr>
          <w:rFonts w:ascii="Times New Roman" w:cs="Times New Roman" w:eastAsia="Times New Roman" w:hAnsi="Times New Roman"/>
          <w:sz w:val="14"/>
          <w:szCs w:val="14"/>
          <w:b w:val="1"/>
          <w:bCs w:val="1"/>
          <w:color w:val="auto"/>
        </w:rPr>
        <w:t>Replacement Term Loans</w:t>
      </w:r>
      <w:r>
        <w:rPr>
          <w:rFonts w:ascii="Times New Roman" w:cs="Times New Roman" w:eastAsia="Times New Roman" w:hAnsi="Times New Roman"/>
          <w:sz w:val="14"/>
          <w:szCs w:val="14"/>
          <w:color w:val="auto"/>
        </w:rPr>
        <w:t>”) hereunder;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that (a)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aggregate principal amount of such Replacement Term Loans shall not exceed the aggregate principal amount of such Refinanced Term Loans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an amount equal to all accrued but unpaid interest, fees, premiums, and expenses incurred in connection therewith), (b) the </w:t>
      </w:r>
      <w:r>
        <w:rPr>
          <w:rFonts w:ascii="Times New Roman" w:cs="Times New Roman" w:eastAsia="Times New Roman" w:hAnsi="Times New Roman"/>
          <w:sz w:val="14"/>
          <w:szCs w:val="14"/>
          <w:color w:val="FF0000"/>
          <w:strike w:val="1"/>
        </w:rPr>
        <w:t>Applicable Margin for such Replacement Term Loans shall not be higher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 xml:space="preserve">than the Applicable Margin for such Refinanced Term Loans, unless any such Applicable Margin applies after </w:t>
      </w:r>
      <w:r>
        <w:rPr>
          <w:rFonts w:ascii="Times New Roman" w:cs="Times New Roman" w:eastAsia="Times New Roman" w:hAnsi="Times New Roman"/>
          <w:sz w:val="14"/>
          <w:szCs w:val="14"/>
          <w:color w:val="008000"/>
          <w:strike w:val="1"/>
        </w:rPr>
        <w:t>the</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8000"/>
          <w:strike w:val="1"/>
        </w:rPr>
        <w:t>Tranche B Term Loan Maturity Date</w:t>
      </w:r>
      <w:r>
        <w:rPr>
          <w:rFonts w:ascii="Times New Roman" w:cs="Times New Roman" w:eastAsia="Times New Roman" w:hAnsi="Times New Roman"/>
          <w:sz w:val="14"/>
          <w:szCs w:val="14"/>
          <w:color w:val="FF0000"/>
          <w:strike w:val="1"/>
        </w:rPr>
        <w:t>, (c) the</w:t>
      </w:r>
      <w:r>
        <w:rPr>
          <w:rFonts w:ascii="Times New Roman" w:cs="Times New Roman" w:eastAsia="Times New Roman" w:hAnsi="Times New Roman"/>
          <w:sz w:val="14"/>
          <w:szCs w:val="14"/>
          <w:color w:val="008000"/>
          <w:strike w:val="1"/>
        </w:rPr>
        <w:t xml:space="preserve"> </w:t>
      </w:r>
      <w:r>
        <w:rPr>
          <w:rFonts w:ascii="Times New Roman" w:cs="Times New Roman" w:eastAsia="Times New Roman" w:hAnsi="Times New Roman"/>
          <w:sz w:val="14"/>
          <w:szCs w:val="14"/>
          <w:color w:val="000000"/>
          <w:strike w:val="1"/>
        </w:rPr>
        <w:t>weighted average life to maturity of such Replacement Term Loans</w:t>
      </w:r>
      <w:r>
        <w:rPr>
          <w:rFonts w:ascii="Times New Roman" w:cs="Times New Roman" w:eastAsia="Times New Roman" w:hAnsi="Times New Roman"/>
          <w:sz w:val="14"/>
          <w:szCs w:val="14"/>
          <w:color w:val="008000"/>
          <w:strike w:val="1"/>
        </w:rPr>
        <w:t xml:space="preserve"> </w:t>
      </w:r>
      <w:r>
        <w:rPr>
          <w:rFonts w:ascii="Times New Roman" w:cs="Times New Roman" w:eastAsia="Times New Roman" w:hAnsi="Times New Roman"/>
          <w:sz w:val="14"/>
          <w:szCs w:val="14"/>
          <w:color w:val="000000"/>
          <w:strike w:val="1"/>
        </w:rPr>
        <w:t>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w:t>
      </w:r>
      <w:r>
        <w:rPr>
          <w:rFonts w:ascii="Times New Roman" w:cs="Times New Roman" w:eastAsia="Times New Roman" w:hAnsi="Times New Roman"/>
          <w:sz w:val="14"/>
          <w:szCs w:val="14"/>
          <w:color w:val="FF0000"/>
          <w:strike w:val="1"/>
        </w:rPr>
        <w:t>d</w:t>
      </w:r>
      <w:r>
        <w:rPr>
          <w:rFonts w:ascii="Times New Roman" w:cs="Times New Roman" w:eastAsia="Times New Roman" w:hAnsi="Times New Roman"/>
          <w:sz w:val="14"/>
          <w:szCs w:val="14"/>
          <w:u w:val="single" w:color="auto"/>
          <w:color w:val="0000FF"/>
          <w:strike w:val="1"/>
        </w:rPr>
        <w:t>c</w:t>
      </w:r>
      <w:r>
        <w:rPr>
          <w:rFonts w:ascii="Times New Roman" w:cs="Times New Roman" w:eastAsia="Times New Roman" w:hAnsi="Times New Roman"/>
          <w:sz w:val="14"/>
          <w:szCs w:val="14"/>
          <w:color w:val="000000"/>
          <w:strike w:val="1"/>
        </w:rPr>
        <w:t xml:space="preserve">) the covenants, events of default and guarantees shall </w:t>
      </w:r>
      <w:r>
        <w:rPr>
          <w:rFonts w:ascii="Times New Roman" w:cs="Times New Roman" w:eastAsia="Times New Roman" w:hAnsi="Times New Roman"/>
          <w:sz w:val="14"/>
          <w:szCs w:val="14"/>
          <w:color w:val="FF0000"/>
          <w:strike w:val="1"/>
        </w:rPr>
        <w:t>be</w:t>
      </w:r>
      <w:r>
        <w:rPr>
          <w:rFonts w:ascii="Times New Roman" w:cs="Times New Roman" w:eastAsia="Times New Roman" w:hAnsi="Times New Roman"/>
          <w:sz w:val="14"/>
          <w:szCs w:val="14"/>
          <w:color w:val="000000"/>
          <w:strike w:val="1"/>
        </w:rPr>
        <w:t xml:space="preserve"> not </w:t>
      </w:r>
      <w:r>
        <w:rPr>
          <w:rFonts w:ascii="Times New Roman" w:cs="Times New Roman" w:eastAsia="Times New Roman" w:hAnsi="Times New Roman"/>
          <w:sz w:val="14"/>
          <w:szCs w:val="14"/>
          <w:u w:val="single" w:color="auto"/>
          <w:color w:val="0000FF"/>
          <w:strike w:val="1"/>
        </w:rPr>
        <w:t>be</w:t>
      </w:r>
      <w:r>
        <w:rPr>
          <w:rFonts w:ascii="Times New Roman" w:cs="Times New Roman" w:eastAsia="Times New Roman" w:hAnsi="Times New Roman"/>
          <w:sz w:val="14"/>
          <w:szCs w:val="14"/>
          <w:color w:val="000000"/>
          <w:strike w:val="1"/>
        </w:rPr>
        <w:t xml:space="preserve"> materially more restrictive (taken as a whole) (as determined in good faith by the Borrower) to the </w:t>
      </w:r>
      <w:r>
        <w:rPr>
          <w:rFonts w:ascii="Times New Roman" w:cs="Times New Roman" w:eastAsia="Times New Roman" w:hAnsi="Times New Roman"/>
          <w:sz w:val="14"/>
          <w:szCs w:val="14"/>
          <w:color w:val="FF0000"/>
          <w:strike w:val="1"/>
        </w:rPr>
        <w:t>Lenders</w:t>
      </w:r>
      <w:r>
        <w:rPr>
          <w:rFonts w:ascii="Times New Roman" w:cs="Times New Roman" w:eastAsia="Times New Roman" w:hAnsi="Times New Roman"/>
          <w:sz w:val="14"/>
          <w:szCs w:val="14"/>
          <w:color w:val="000000"/>
          <w:strike w:val="1"/>
        </w:rPr>
        <w:t xml:space="preserve"> </w:t>
      </w:r>
      <w:r>
        <w:rPr>
          <w:rFonts w:ascii="Times New Roman" w:cs="Times New Roman" w:eastAsia="Times New Roman" w:hAnsi="Times New Roman"/>
          <w:sz w:val="14"/>
          <w:szCs w:val="14"/>
          <w:color w:val="FF0000"/>
          <w:strike w:val="1"/>
        </w:rPr>
        <w:t>providing such Replacement Term Loans</w:t>
      </w:r>
      <w:r>
        <w:rPr>
          <w:rFonts w:ascii="Times New Roman" w:cs="Times New Roman" w:eastAsia="Times New Roman" w:hAnsi="Times New Roman"/>
          <w:sz w:val="14"/>
          <w:szCs w:val="14"/>
          <w:u w:val="single" w:color="auto"/>
          <w:color w:val="0000FF"/>
          <w:strike w:val="1"/>
        </w:rPr>
        <w:t>Credit Parties</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than the covenants, events of default and guarantees</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applicable to such Refinanced Term Loans, except to the extent necessary to provide for covenants, events of default and guarantees applicable to any period after the maturity date in respect of the Refinanced Term Loans in effect immediately prior to such refinancing.</w:t>
      </w:r>
    </w:p>
    <w:p>
      <w:pPr>
        <w:spacing w:after="0" w:line="237"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330" w:right="1440" w:bottom="1440" w:gutter="0" w:footer="0" w:header="0"/>
        </w:sectPr>
      </w:pPr>
    </w:p>
    <w:bookmarkStart w:id="259" w:name="page260"/>
    <w:bookmarkEnd w:id="259"/>
    <w:p>
      <w:pPr>
        <w:ind w:left="1140" w:right="1159" w:firstLine="1033"/>
        <w:spacing w:after="0" w:line="258" w:lineRule="auto"/>
        <w:rPr>
          <w:sz w:val="20"/>
          <w:szCs w:val="20"/>
          <w:color w:val="auto"/>
        </w:rPr>
      </w:pPr>
      <w:r>
        <w:rPr>
          <w:rFonts w:ascii="Times New Roman" w:cs="Times New Roman" w:eastAsia="Times New Roman" w:hAnsi="Times New Roman"/>
          <w:sz w:val="14"/>
          <w:szCs w:val="14"/>
          <w:color w:val="auto"/>
        </w:rPr>
        <w:t xml:space="preserve">The Lenders hereby irrevocably agree that the Liens granted to the Collateral Agent by the Credit Parties on any Collateral shall be automatically released (i) in full, upon the Termination Date,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and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or otherwise no longer being required to be a Guarantor hereunder.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150" w:lineRule="exact"/>
        <w:rPr>
          <w:sz w:val="20"/>
          <w:szCs w:val="20"/>
          <w:color w:val="auto"/>
        </w:rPr>
      </w:pPr>
    </w:p>
    <w:p>
      <w:pPr>
        <w:ind w:left="1140" w:right="1179" w:firstLine="1033"/>
        <w:spacing w:after="0" w:line="275" w:lineRule="auto"/>
        <w:rPr>
          <w:sz w:val="20"/>
          <w:szCs w:val="20"/>
          <w:color w:val="auto"/>
        </w:rPr>
      </w:pPr>
      <w:r>
        <w:rPr>
          <w:rFonts w:ascii="Times New Roman" w:cs="Times New Roman" w:eastAsia="Times New Roman" w:hAnsi="Times New Roman"/>
          <w:sz w:val="14"/>
          <w:szCs w:val="14"/>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135" w:lineRule="exact"/>
        <w:rPr>
          <w:sz w:val="20"/>
          <w:szCs w:val="20"/>
          <w:color w:val="auto"/>
        </w:rPr>
      </w:pPr>
    </w:p>
    <w:p>
      <w:pPr>
        <w:ind w:left="1140" w:right="1159" w:firstLine="1033"/>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anything in this Agreement (including, without limitation, this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or any other Credit Document to the contrary, (i) this Agreement and the other Credit Documents may be amended to effect an incremental facility or extension facility pursuant to </w:t>
      </w:r>
      <w:r>
        <w:rPr>
          <w:rFonts w:ascii="Times New Roman" w:cs="Times New Roman" w:eastAsia="Times New Roman" w:hAnsi="Times New Roman"/>
          <w:sz w:val="14"/>
          <w:szCs w:val="14"/>
          <w:u w:val="single" w:color="auto"/>
          <w:color w:val="auto"/>
        </w:rPr>
        <w:t>Section 2.14</w:t>
      </w:r>
      <w:r>
        <w:rPr>
          <w:rFonts w:ascii="Times New Roman" w:cs="Times New Roman" w:eastAsia="Times New Roman" w:hAnsi="Times New Roman"/>
          <w:sz w:val="14"/>
          <w:szCs w:val="14"/>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Second Lien Intercreditor Agreement or other intercreditor agreement or arrangement permitted under this Agreement that is for the purpose of adding the holders of any Indebtedness as expressly contemplated by the terms of the First Lien Intercreditor Agreement, Second Lien Intercreditor Agreement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in consultation with the Borrower, are required to effectuate the foregoing;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other changes are not adverse, in any material respect, to the interests of the Lenders taken as a whole);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or (y) effect administrative changes of a technical or immaterial nature (including to effect changes to the terms and conditions applicable solely to the Swingline Lender or Letter of Credit Issuer in respect of issuances of Swingline Loans or Letters of Credit, respectively)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 the Required Lenders object to such amendment; and (iv) guarantees, collateral documents and related documents executed by Holdings and the Credit Parties in connection with this Agreement may be in a form reasonably determined by the Administrative Agent and may be, together</w:t>
      </w:r>
    </w:p>
    <w:p>
      <w:pPr>
        <w:spacing w:after="0" w:line="22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60" w:name="page261"/>
    <w:bookmarkEnd w:id="260"/>
    <w:p>
      <w:pPr>
        <w:ind w:left="1140" w:right="1219"/>
        <w:spacing w:after="0" w:line="261" w:lineRule="auto"/>
        <w:rPr>
          <w:sz w:val="20"/>
          <w:szCs w:val="20"/>
          <w:color w:val="auto"/>
        </w:rPr>
      </w:pPr>
      <w:r>
        <w:rPr>
          <w:rFonts w:ascii="Times New Roman" w:cs="Times New Roman" w:eastAsia="Times New Roman" w:hAnsi="Times New Roman"/>
          <w:sz w:val="14"/>
          <w:szCs w:val="14"/>
          <w:color w:val="auto"/>
        </w:rPr>
        <w:t>with any other Credit Document, entered into, amended, supplemented or waived, without the consent of any other Person, by Holdings or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146" w:lineRule="exact"/>
        <w:rPr>
          <w:sz w:val="20"/>
          <w:szCs w:val="20"/>
          <w:color w:val="auto"/>
        </w:rPr>
      </w:pPr>
    </w:p>
    <w:p>
      <w:pPr>
        <w:ind w:left="1140" w:right="1179" w:firstLine="1033"/>
        <w:spacing w:after="0" w:line="262" w:lineRule="auto"/>
        <w:rPr>
          <w:sz w:val="20"/>
          <w:szCs w:val="20"/>
          <w:color w:val="auto"/>
        </w:rPr>
      </w:pPr>
      <w:r>
        <w:rPr>
          <w:rFonts w:ascii="Times New Roman" w:cs="Times New Roman" w:eastAsia="Times New Roman" w:hAnsi="Times New Roman"/>
          <w:sz w:val="14"/>
          <w:szCs w:val="14"/>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Times New Roman" w:cs="Times New Roman" w:eastAsia="Times New Roman" w:hAnsi="Times New Roman"/>
          <w:sz w:val="14"/>
          <w:szCs w:val="14"/>
          <w:u w:val="single" w:color="auto"/>
          <w:color w:val="auto"/>
        </w:rPr>
        <w:t>Sections 9.12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9.13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9.14</w:t>
      </w:r>
      <w:r>
        <w:rPr>
          <w:rFonts w:ascii="Times New Roman" w:cs="Times New Roman" w:eastAsia="Times New Roman" w:hAnsi="Times New Roman"/>
          <w:sz w:val="14"/>
          <w:szCs w:val="14"/>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the Borrower and the Restricted Subsidiaries by the time or times at which it would otherwise be required to be satisfied under this Agreement or any Security Document.</w:t>
      </w:r>
    </w:p>
    <w:p>
      <w:pPr>
        <w:spacing w:after="0" w:line="158"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13.2 Notices</w:t>
      </w:r>
      <w:r>
        <w:rPr>
          <w:rFonts w:ascii="Times New Roman" w:cs="Times New Roman" w:eastAsia="Times New Roman" w:hAnsi="Times New Roman"/>
          <w:sz w:val="14"/>
          <w:szCs w:val="14"/>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55" w:lineRule="exact"/>
        <w:rPr>
          <w:sz w:val="20"/>
          <w:szCs w:val="20"/>
          <w:color w:val="auto"/>
        </w:rPr>
      </w:pPr>
    </w:p>
    <w:p>
      <w:pPr>
        <w:jc w:val="both"/>
        <w:ind w:left="1140" w:right="1159" w:firstLine="524"/>
        <w:spacing w:after="0" w:line="268" w:lineRule="auto"/>
        <w:tabs>
          <w:tab w:leader="none" w:pos="1972" w:val="left"/>
        </w:tabs>
        <w:numPr>
          <w:ilvl w:val="0"/>
          <w:numId w:val="28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if to Holdings, the Borrower, the Administrative Agent or the Collateral Agent, any Letter of Credit Issuer or the Swingline Lender, to the address, facsimile number, electronic mail address or telephone number specified for such Person on </w:t>
      </w:r>
      <w:r>
        <w:rPr>
          <w:rFonts w:ascii="Times New Roman" w:cs="Times New Roman" w:eastAsia="Times New Roman" w:hAnsi="Times New Roman"/>
          <w:sz w:val="14"/>
          <w:szCs w:val="14"/>
          <w:u w:val="single" w:color="auto"/>
          <w:color w:val="auto"/>
        </w:rPr>
        <w:t>Schedule 13.2</w:t>
      </w:r>
      <w:r>
        <w:rPr>
          <w:rFonts w:ascii="Times New Roman" w:cs="Times New Roman" w:eastAsia="Times New Roman" w:hAnsi="Times New Roman"/>
          <w:sz w:val="14"/>
          <w:szCs w:val="14"/>
          <w:color w:val="auto"/>
        </w:rPr>
        <w:t xml:space="preserve"> or to such other address, facsimile number, electronic mail address or telephone number as shall be designated by such party in a notice to the other parties; and</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28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the Borrower, the Administrative Agent, the Collateral Agent, any Letter of Credit Issuer and the Swingline Lender.</w:t>
      </w:r>
    </w:p>
    <w:p>
      <w:pPr>
        <w:spacing w:after="0" w:line="142" w:lineRule="exact"/>
        <w:rPr>
          <w:sz w:val="20"/>
          <w:szCs w:val="20"/>
          <w:color w:val="auto"/>
        </w:rPr>
      </w:pPr>
    </w:p>
    <w:p>
      <w:pPr>
        <w:ind w:left="1140" w:right="1259"/>
        <w:spacing w:after="0" w:line="264" w:lineRule="auto"/>
        <w:rPr>
          <w:sz w:val="20"/>
          <w:szCs w:val="20"/>
          <w:color w:val="auto"/>
        </w:rPr>
      </w:pPr>
      <w:r>
        <w:rPr>
          <w:rFonts w:ascii="Times New Roman" w:cs="Times New Roman" w:eastAsia="Times New Roman" w:hAnsi="Times New Roman"/>
          <w:sz w:val="14"/>
          <w:szCs w:val="14"/>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notices and other communications to the Administrative Agent or the Lenders pursuant to </w:t>
      </w:r>
      <w:r>
        <w:rPr>
          <w:rFonts w:ascii="Times New Roman" w:cs="Times New Roman" w:eastAsia="Times New Roman" w:hAnsi="Times New Roman"/>
          <w:sz w:val="14"/>
          <w:szCs w:val="14"/>
          <w:u w:val="single" w:color="auto"/>
          <w:color w:val="auto"/>
        </w:rPr>
        <w:t>Sections 2.3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4.2</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5.1</w:t>
      </w:r>
      <w:r>
        <w:rPr>
          <w:rFonts w:ascii="Times New Roman" w:cs="Times New Roman" w:eastAsia="Times New Roman" w:hAnsi="Times New Roman"/>
          <w:sz w:val="14"/>
          <w:szCs w:val="14"/>
          <w:color w:val="auto"/>
        </w:rPr>
        <w:t xml:space="preserve"> shall not be effective until received.</w:t>
      </w:r>
    </w:p>
    <w:p>
      <w:pPr>
        <w:spacing w:after="0" w:line="153"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u w:val="single" w:color="auto"/>
          <w:color w:val="auto"/>
        </w:rPr>
        <w:t>13.3 No Waiver; Cumulative Remedies</w:t>
      </w:r>
      <w:r>
        <w:rPr>
          <w:rFonts w:ascii="Times New Roman" w:cs="Times New Roman" w:eastAsia="Times New Roman" w:hAnsi="Times New Roman"/>
          <w:sz w:val="14"/>
          <w:szCs w:val="14"/>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53" w:lineRule="exact"/>
        <w:rPr>
          <w:sz w:val="20"/>
          <w:szCs w:val="20"/>
          <w:color w:val="auto"/>
        </w:rPr>
      </w:pPr>
    </w:p>
    <w:p>
      <w:pPr>
        <w:jc w:val="both"/>
        <w:ind w:left="1140" w:right="1159" w:firstLine="517"/>
        <w:spacing w:after="0" w:line="275" w:lineRule="auto"/>
        <w:rPr>
          <w:sz w:val="20"/>
          <w:szCs w:val="20"/>
          <w:color w:val="auto"/>
        </w:rPr>
      </w:pPr>
      <w:r>
        <w:rPr>
          <w:rFonts w:ascii="Times New Roman" w:cs="Times New Roman" w:eastAsia="Times New Roman" w:hAnsi="Times New Roman"/>
          <w:sz w:val="14"/>
          <w:szCs w:val="14"/>
          <w:u w:val="single" w:color="auto"/>
          <w:color w:val="auto"/>
        </w:rPr>
        <w:t>13.4 Survival of Representations and Warranties</w:t>
      </w:r>
      <w:r>
        <w:rPr>
          <w:rFonts w:ascii="Times New Roman" w:cs="Times New Roman" w:eastAsia="Times New Roman" w:hAnsi="Times New Roman"/>
          <w:sz w:val="14"/>
          <w:szCs w:val="14"/>
          <w:color w:val="auto"/>
        </w:rPr>
        <w:t>. All representations and warranties made hereunder, in the other Credit Documents and in any document, certificate or statement delivered pursuant hereto or in connection herewith shall survive the execution and delivery of this Agreement and the making of the Loans hereunder.</w:t>
      </w:r>
    </w:p>
    <w:p>
      <w:pPr>
        <w:spacing w:after="0" w:line="1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u w:val="single" w:color="auto"/>
          <w:color w:val="auto"/>
        </w:rPr>
        <w:t>13.5 Payment of Expenses; Indemnification</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ind w:left="1980" w:hanging="316"/>
        <w:spacing w:after="0"/>
        <w:tabs>
          <w:tab w:leader="none" w:pos="1980" w:val="left"/>
        </w:tabs>
        <w:numPr>
          <w:ilvl w:val="0"/>
          <w:numId w:val="28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of Holdings and the Borrower, jointly and severally, agree (i) to pay or reimburse each of the</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4">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7" w:right="1440" w:bottom="1440" w:gutter="0" w:footer="0" w:header="0"/>
        </w:sectPr>
      </w:pPr>
    </w:p>
    <w:bookmarkStart w:id="261" w:name="page262"/>
    <w:bookmarkEnd w:id="261"/>
    <w:p>
      <w:pPr>
        <w:jc w:val="both"/>
        <w:ind w:left="1140" w:right="1159"/>
        <w:spacing w:after="0" w:line="174" w:lineRule="exact"/>
        <w:rPr>
          <w:sz w:val="20"/>
          <w:szCs w:val="20"/>
          <w:color w:val="auto"/>
        </w:rPr>
      </w:pPr>
      <w:r>
        <w:rPr>
          <w:rFonts w:ascii="Times New Roman" w:cs="Times New Roman" w:eastAsia="Times New Roman" w:hAnsi="Times New Roman"/>
          <w:sz w:val="14"/>
          <w:szCs w:val="14"/>
          <w:color w:val="auto"/>
        </w:rPr>
        <w:t>Agents for all their reasonable and documented out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w:t>
      </w:r>
      <w:r>
        <w:rPr>
          <w:rFonts w:ascii="Times New Roman" w:cs="Times New Roman" w:eastAsia="Times New Roman" w:hAnsi="Times New Roman"/>
          <w:sz w:val="14"/>
          <w:szCs w:val="14"/>
          <w:color w:val="FF0000"/>
          <w:strike w:val="1"/>
        </w:rPr>
        <w:t>Cahill Gordon &amp; Reindel</w:t>
      </w:r>
      <w:r>
        <w:rPr>
          <w:rFonts w:ascii="Times New Roman" w:cs="Times New Roman" w:eastAsia="Times New Roman" w:hAnsi="Times New Roman"/>
          <w:sz w:val="14"/>
          <w:szCs w:val="14"/>
          <w:u w:val="single" w:color="auto"/>
          <w:color w:val="0000FF"/>
        </w:rPr>
        <w:t>Latham &amp; Watkins</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LLP (or such other counsel as may be agreed by the Administrative</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Agent and the Borrower), one counsel in each relevant local jurisdiction with the consent of the Borrower (such consent not to be unreasonably withheld or delayed), (ii) to pay or reimburse each Agent for all their reasonable and documented out</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of</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each Letter of Credit Issuer and the Swingline Lender and their respective Related Parties (without duplication) (the “</w:t>
      </w:r>
      <w:r>
        <w:rPr>
          <w:rFonts w:ascii="Times New Roman" w:cs="Times New Roman" w:eastAsia="Times New Roman" w:hAnsi="Times New Roman"/>
          <w:sz w:val="14"/>
          <w:szCs w:val="14"/>
          <w:b w:val="1"/>
          <w:bCs w:val="1"/>
          <w:color w:val="000000"/>
        </w:rPr>
        <w:t>Indemnified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b w:val="1"/>
          <w:bCs w:val="1"/>
          <w:color w:val="000000"/>
        </w:rPr>
        <w:t>Persons</w:t>
      </w:r>
      <w:r>
        <w:rPr>
          <w:rFonts w:ascii="Times New Roman" w:cs="Times New Roman" w:eastAsia="Times New Roman" w:hAnsi="Times New Roman"/>
          <w:sz w:val="14"/>
          <w:szCs w:val="14"/>
          <w:color w:val="000000"/>
        </w:rPr>
        <w:t>”) from and against any and all losses, claims, damages, liabilities, obligations, demands, actions,</w:t>
      </w:r>
      <w:r>
        <w:rPr>
          <w:rFonts w:ascii="Times New Roman" w:cs="Times New Roman" w:eastAsia="Times New Roman" w:hAnsi="Times New Roman"/>
          <w:sz w:val="14"/>
          <w:szCs w:val="14"/>
          <w:b w:val="1"/>
          <w:bCs w:val="1"/>
          <w:color w:val="000000"/>
        </w:rPr>
        <w:t xml:space="preserve"> </w:t>
      </w:r>
      <w:r>
        <w:rPr>
          <w:rFonts w:ascii="Times New Roman" w:cs="Times New Roman" w:eastAsia="Times New Roman" w:hAnsi="Times New Roman"/>
          <w:sz w:val="14"/>
          <w:szCs w:val="14"/>
          <w:color w:val="000000"/>
        </w:rPr>
        <w:t>judgments, suits, costs, expenses, disbursements or penalties of any kind or nature whatsoever (and the reasonable and documented out</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of</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 xml:space="preserve">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in each relevant jurisdiction for such affected Indemnified Person), and to the extent required, one firm or local counsel in each relevant jurisdiction (which may include a single special counsel acting in multiple jurisdictions)) of any such Indemnified Person arising out of or with respect to the Transactions, the Amendment No. 4 Transactions, the Amendment No. 5 Transactions </w:t>
      </w:r>
      <w:r>
        <w:rPr>
          <w:rFonts w:ascii="Times New Roman" w:cs="Times New Roman" w:eastAsia="Times New Roman" w:hAnsi="Times New Roman"/>
          <w:sz w:val="14"/>
          <w:szCs w:val="14"/>
          <w:color w:val="FF0000"/>
        </w:rPr>
        <w:t>or the</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000000"/>
        </w:rPr>
        <w:t xml:space="preserve"> Amendment No. 6 Transactions </w:t>
      </w:r>
      <w:r>
        <w:rPr>
          <w:rFonts w:ascii="Times New Roman" w:cs="Times New Roman" w:eastAsia="Times New Roman" w:hAnsi="Times New Roman"/>
          <w:sz w:val="14"/>
          <w:szCs w:val="14"/>
          <w:u w:val="single" w:color="auto"/>
          <w:color w:val="0000FF"/>
        </w:rPr>
        <w:t>or the Amendment No. 7 Transactions</w:t>
      </w:r>
      <w:r>
        <w:rPr>
          <w:rFonts w:ascii="Times New Roman" w:cs="Times New Roman" w:eastAsia="Times New Roman" w:hAnsi="Times New Roman"/>
          <w:sz w:val="14"/>
          <w:szCs w:val="14"/>
          <w:color w:val="000000"/>
        </w:rPr>
        <w:t xml:space="preserve"> or to the execution, enforcement, delivery, performance and administration of this Agreement, the other Credit Documents and any such other documents or relating to any action, claim, litigation, investigation or other proceeding (regardless of whether such Indemnified Person is a party thereto or whether or not such action, claim, litigation or proceeding was brought by Holdings, any of its Subsidiaries or any other Person), arising out of the foregoing, including any of the foregoing relating to the violation of, noncompliance with or liability under, any Environmental Law relating in any way to the Borrower or any of its Subsidiaries or any actual or alleged presence, Release or threatened Release of Hazardous Materials relating in any way to Borrower or any of its Subsidiaries (all the foregoing in this </w:t>
      </w:r>
      <w:r>
        <w:rPr>
          <w:rFonts w:ascii="Times New Roman" w:cs="Times New Roman" w:eastAsia="Times New Roman" w:hAnsi="Times New Roman"/>
          <w:sz w:val="14"/>
          <w:szCs w:val="14"/>
          <w:u w:val="single" w:color="auto"/>
          <w:color w:val="000000"/>
        </w:rPr>
        <w:t>clause (iii)</w:t>
      </w:r>
      <w:r>
        <w:rPr>
          <w:rFonts w:ascii="Times New Roman" w:cs="Times New Roman" w:eastAsia="Times New Roman" w:hAnsi="Times New Roman"/>
          <w:sz w:val="14"/>
          <w:szCs w:val="14"/>
          <w:color w:val="000000"/>
        </w:rPr>
        <w:t>, collectively, the “</w:t>
      </w:r>
      <w:r>
        <w:rPr>
          <w:rFonts w:ascii="Times New Roman" w:cs="Times New Roman" w:eastAsia="Times New Roman" w:hAnsi="Times New Roman"/>
          <w:sz w:val="14"/>
          <w:szCs w:val="14"/>
          <w:b w:val="1"/>
          <w:bCs w:val="1"/>
          <w:color w:val="000000"/>
        </w:rPr>
        <w:t>Indemnified Liabilities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000000"/>
        </w:rPr>
        <w:t>provided</w:t>
      </w:r>
      <w:r>
        <w:rPr>
          <w:rFonts w:ascii="Times New Roman" w:cs="Times New Roman" w:eastAsia="Times New Roman" w:hAnsi="Times New Roman"/>
          <w:sz w:val="14"/>
          <w:szCs w:val="14"/>
          <w:color w:val="000000"/>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appealable judgment of a court of competent jurisdiction, (ii) a material breach of the obligations of such Indemnified Person or any of its Related Parties under the terms of this Agreement by such Indemnified Person or any of its Related Parties as determined in a final and non</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 xml:space="preserve">appealable judgment of a court of competent jurisdiction or (iii) any proceeding between and among Indemnified Persons that does not involve an act or omission by Holdings, the Borrower or their respective Restricted Subsidiaries; provided the Agents, to the extent acting in their capacity as such, shall remain indemnified in respect of such proceeding, to the extent that neither of the exceptions set forth in </w:t>
      </w:r>
      <w:r>
        <w:rPr>
          <w:rFonts w:ascii="Times New Roman" w:cs="Times New Roman" w:eastAsia="Times New Roman" w:hAnsi="Times New Roman"/>
          <w:sz w:val="14"/>
          <w:szCs w:val="14"/>
          <w:u w:val="single" w:color="auto"/>
          <w:color w:val="000000"/>
        </w:rPr>
        <w:t>clause (i)</w:t>
      </w:r>
      <w:r>
        <w:rPr>
          <w:rFonts w:ascii="Times New Roman" w:cs="Times New Roman" w:eastAsia="Times New Roman" w:hAnsi="Times New Roman"/>
          <w:sz w:val="14"/>
          <w:szCs w:val="14"/>
          <w:color w:val="000000"/>
        </w:rPr>
        <w:t xml:space="preserve"> or </w:t>
      </w:r>
      <w:r>
        <w:rPr>
          <w:rFonts w:ascii="Times New Roman" w:cs="Times New Roman" w:eastAsia="Times New Roman" w:hAnsi="Times New Roman"/>
          <w:sz w:val="14"/>
          <w:szCs w:val="14"/>
          <w:u w:val="single" w:color="auto"/>
          <w:color w:val="000000"/>
        </w:rPr>
        <w:t>(ii)</w:t>
      </w:r>
      <w:r>
        <w:rPr>
          <w:rFonts w:ascii="Times New Roman" w:cs="Times New Roman" w:eastAsia="Times New Roman" w:hAnsi="Times New Roman"/>
          <w:sz w:val="14"/>
          <w:szCs w:val="14"/>
          <w:color w:val="000000"/>
        </w:rPr>
        <w:t xml:space="preserve"> of the immediately preceding proviso applies to such person at such time. The agreements in this </w:t>
      </w:r>
      <w:r>
        <w:rPr>
          <w:rFonts w:ascii="Times New Roman" w:cs="Times New Roman" w:eastAsia="Times New Roman" w:hAnsi="Times New Roman"/>
          <w:sz w:val="14"/>
          <w:szCs w:val="14"/>
          <w:u w:val="single" w:color="auto"/>
          <w:color w:val="000000"/>
        </w:rPr>
        <w:t>Section 13.5</w:t>
      </w:r>
      <w:r>
        <w:rPr>
          <w:rFonts w:ascii="Times New Roman" w:cs="Times New Roman" w:eastAsia="Times New Roman" w:hAnsi="Times New Roman"/>
          <w:sz w:val="14"/>
          <w:szCs w:val="14"/>
          <w:color w:val="000000"/>
        </w:rPr>
        <w:t xml:space="preserve"> shall survive repayment of the Loans and all other amounts payable hereunder. This </w:t>
      </w:r>
      <w:r>
        <w:rPr>
          <w:rFonts w:ascii="Times New Roman" w:cs="Times New Roman" w:eastAsia="Times New Roman" w:hAnsi="Times New Roman"/>
          <w:sz w:val="14"/>
          <w:szCs w:val="14"/>
          <w:u w:val="single" w:color="auto"/>
          <w:color w:val="000000"/>
        </w:rPr>
        <w:t>Section 13.5</w:t>
      </w:r>
      <w:r>
        <w:rPr>
          <w:rFonts w:ascii="Times New Roman" w:cs="Times New Roman" w:eastAsia="Times New Roman" w:hAnsi="Times New Roman"/>
          <w:sz w:val="14"/>
          <w:szCs w:val="14"/>
          <w:color w:val="000000"/>
        </w:rPr>
        <w:t xml:space="preserve"> shall not apply with respect to Taxes, other than any Taxes that represent losses, claims, damages, liabilities, obligations, penalties, actions, judgments, suits, costs, expenses or disbursements arising from any non</w:t>
      </w:r>
      <w:r>
        <w:rPr>
          <w:rFonts w:ascii="MS PGothic" w:cs="MS PGothic" w:eastAsia="MS PGothic" w:hAnsi="MS PGothic"/>
          <w:sz w:val="14"/>
          <w:szCs w:val="14"/>
          <w:color w:val="000000"/>
        </w:rPr>
        <w:t>‑</w:t>
      </w:r>
      <w:r>
        <w:rPr>
          <w:rFonts w:ascii="Times New Roman" w:cs="Times New Roman" w:eastAsia="Times New Roman" w:hAnsi="Times New Roman"/>
          <w:sz w:val="14"/>
          <w:szCs w:val="14"/>
          <w:color w:val="000000"/>
        </w:rPr>
        <w:t>Tax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3978910</wp:posOffset>
            </wp:positionH>
            <wp:positionV relativeFrom="paragraph">
              <wp:posOffset>-2263140</wp:posOffset>
            </wp:positionV>
            <wp:extent cx="253365" cy="698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5">
                      <a:extLst>
                        <a:ext uri="{28A0092B-C50C-407E-A947-70E740481C1C}"/>
                      </a:extLst>
                    </a:blip>
                    <a:srcRect/>
                    <a:stretch>
                      <a:fillRect/>
                    </a:stretch>
                  </pic:blipFill>
                  <pic:spPr bwMode="auto">
                    <a:xfrm>
                      <a:off x="0" y="0"/>
                      <a:ext cx="253365" cy="698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left="1140" w:right="1159" w:firstLine="524"/>
        <w:spacing w:after="0" w:line="175" w:lineRule="exact"/>
        <w:tabs>
          <w:tab w:leader="none" w:pos="1972" w:val="left"/>
        </w:tabs>
        <w:numPr>
          <w:ilvl w:val="0"/>
          <w:numId w:val="28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Closing Date);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foregoing shall not limit Holdings’ and the Borrower’s indemnification obligations to the Indemnified Persons pursuant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13.5(a)</w:t>
      </w:r>
      <w:r>
        <w:rPr>
          <w:rFonts w:ascii="Times New Roman" w:cs="Times New Roman" w:eastAsia="Times New Roman" w:hAnsi="Times New Roman"/>
          <w:sz w:val="14"/>
          <w:szCs w:val="14"/>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appealable judgment of a court of competent jurisdiction.</w:t>
      </w: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262" w:name="page263"/>
    <w:bookmarkEnd w:id="262"/>
    <w:p>
      <w:pPr>
        <w:ind w:left="1660"/>
        <w:spacing w:after="0"/>
        <w:rPr>
          <w:sz w:val="20"/>
          <w:szCs w:val="20"/>
          <w:color w:val="auto"/>
        </w:rPr>
      </w:pPr>
      <w:r>
        <w:rPr>
          <w:rFonts w:ascii="Times New Roman" w:cs="Times New Roman" w:eastAsia="Times New Roman" w:hAnsi="Times New Roman"/>
          <w:sz w:val="14"/>
          <w:szCs w:val="14"/>
          <w:color w:val="auto"/>
        </w:rPr>
        <w:t xml:space="preserve">13.6 </w:t>
      </w:r>
      <w:r>
        <w:rPr>
          <w:rFonts w:ascii="Times New Roman" w:cs="Times New Roman" w:eastAsia="Times New Roman" w:hAnsi="Times New Roman"/>
          <w:sz w:val="14"/>
          <w:szCs w:val="14"/>
          <w:u w:val="single" w:color="auto"/>
          <w:color w:val="auto"/>
        </w:rPr>
        <w:t>Successors and Assigns; Participations and Assignments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0" w:lineRule="auto"/>
        <w:tabs>
          <w:tab w:leader="none" w:pos="1972" w:val="left"/>
        </w:tabs>
        <w:numPr>
          <w:ilvl w:val="0"/>
          <w:numId w:val="28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provisions of this Agreement shall be binding upon and inure to the benefit of the parties hereto and their respective successors and assigns permitted hereby, except that (i) except as expressly permitted by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10.3</w:t>
      </w:r>
      <w:r>
        <w:rPr>
          <w:rFonts w:ascii="Times New Roman" w:cs="Times New Roman" w:eastAsia="Times New Roman" w:hAnsi="Times New Roman"/>
          <w:sz w:val="14"/>
          <w:szCs w:val="14"/>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and, to the extent expressly contemplated hereby, the Related Parties of each of the Administrative Agent, the Collateral Agent, each Letter of Credit Issuer, the Swingline Lender and the Lenders and each other Person entitled to indemnification under </w:t>
      </w:r>
      <w:r>
        <w:rPr>
          <w:rFonts w:ascii="Times New Roman" w:cs="Times New Roman" w:eastAsia="Times New Roman" w:hAnsi="Times New Roman"/>
          <w:sz w:val="14"/>
          <w:szCs w:val="14"/>
          <w:u w:val="single" w:color="auto"/>
          <w:color w:val="auto"/>
        </w:rPr>
        <w:t>Section 13.5</w:t>
      </w:r>
      <w:r>
        <w:rPr>
          <w:rFonts w:ascii="Times New Roman" w:cs="Times New Roman" w:eastAsia="Times New Roman" w:hAnsi="Times New Roman"/>
          <w:sz w:val="14"/>
          <w:szCs w:val="14"/>
          <w:color w:val="auto"/>
        </w:rPr>
        <w:t>) any legal or equitable right, remedy or claim under or by reason of this Agreement.</w:t>
      </w:r>
    </w:p>
    <w:p>
      <w:pPr>
        <w:spacing w:after="0" w:line="158" w:lineRule="exact"/>
        <w:rPr>
          <w:rFonts w:ascii="Times New Roman" w:cs="Times New Roman" w:eastAsia="Times New Roman" w:hAnsi="Times New Roman"/>
          <w:sz w:val="14"/>
          <w:szCs w:val="14"/>
          <w:color w:val="010000"/>
        </w:rPr>
      </w:pPr>
    </w:p>
    <w:p>
      <w:pPr>
        <w:jc w:val="both"/>
        <w:ind w:left="1140" w:right="1159" w:firstLine="524"/>
        <w:spacing w:after="0" w:line="262" w:lineRule="auto"/>
        <w:tabs>
          <w:tab w:leader="none" w:pos="1972" w:val="left"/>
        </w:tabs>
        <w:numPr>
          <w:ilvl w:val="0"/>
          <w:numId w:val="28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 Subject to the conditions set forth in </w:t>
      </w:r>
      <w:r>
        <w:rPr>
          <w:rFonts w:ascii="Times New Roman" w:cs="Times New Roman" w:eastAsia="Times New Roman" w:hAnsi="Times New Roman"/>
          <w:sz w:val="14"/>
          <w:szCs w:val="14"/>
          <w:u w:val="single" w:color="auto"/>
          <w:color w:val="auto"/>
        </w:rPr>
        <w:t>clause (b)(ii)</w:t>
      </w:r>
      <w:r>
        <w:rPr>
          <w:rFonts w:ascii="Times New Roman" w:cs="Times New Roman" w:eastAsia="Times New Roman" w:hAnsi="Times New Roman"/>
          <w:sz w:val="14"/>
          <w:szCs w:val="14"/>
          <w:color w:val="auto"/>
        </w:rPr>
        <w:t xml:space="preserve"> below and </w:t>
      </w:r>
      <w:r>
        <w:rPr>
          <w:rFonts w:ascii="Times New Roman" w:cs="Times New Roman" w:eastAsia="Times New Roman" w:hAnsi="Times New Roman"/>
          <w:sz w:val="14"/>
          <w:szCs w:val="14"/>
          <w:u w:val="single" w:color="auto"/>
          <w:color w:val="auto"/>
        </w:rPr>
        <w:t>Section 13.7</w:t>
      </w:r>
      <w:r>
        <w:rPr>
          <w:rFonts w:ascii="Times New Roman" w:cs="Times New Roman" w:eastAsia="Times New Roman" w:hAnsi="Times New Roman"/>
          <w:sz w:val="14"/>
          <w:szCs w:val="14"/>
          <w:color w:val="auto"/>
        </w:rPr>
        <w:t>, any Lender may at any time assign to one or more assignees all or a portion of its rights and obligations under this Agreement (including all or a portion of its Commitments and the Loans (including participations in L/C Obligations and/or Swingline Loans) at the time owing to it) with the prior written consent (such consent not to be unreasonably withheld or delayed; it being understood that the relevant Person shall have the right to withhold their consent to any assignment if, in order for such assignment to comply with applicable law, the Borrower would be required to obtain the consent of, or make any filing or registration with, any Governmental Authority) of:</w:t>
      </w:r>
    </w:p>
    <w:p>
      <w:pPr>
        <w:spacing w:after="0" w:line="147" w:lineRule="exact"/>
        <w:rPr>
          <w:rFonts w:ascii="Times New Roman" w:cs="Times New Roman" w:eastAsia="Times New Roman" w:hAnsi="Times New Roman"/>
          <w:sz w:val="14"/>
          <w:szCs w:val="14"/>
          <w:color w:val="010000"/>
        </w:rPr>
      </w:pPr>
    </w:p>
    <w:p>
      <w:pPr>
        <w:jc w:val="both"/>
        <w:ind w:left="1660" w:right="1159" w:firstLine="520"/>
        <w:spacing w:after="0" w:line="260" w:lineRule="auto"/>
        <w:tabs>
          <w:tab w:leader="none" w:pos="2463"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Borrower (not to be unreasonably withheld or delayed); provided that no consent of the Borrower shall be required (1) for an assignment of Term Loans to (X) a Lender, (Y) an Affiliate of a Lender, or (Z) an Approved Fund </w:t>
      </w:r>
      <w:r>
        <w:rPr>
          <w:rFonts w:ascii="Times New Roman" w:cs="Times New Roman" w:eastAsia="Times New Roman" w:hAnsi="Times New Roman"/>
          <w:sz w:val="14"/>
          <w:szCs w:val="14"/>
          <w:u w:val="single" w:color="auto"/>
          <w:color w:val="0000FF"/>
        </w:rPr>
        <w:t>(provided that the consent of the Borrower shall be required if, after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giving effect to such assignment, such assignee Lender, together with the Affiliates of such Lender, shall hold 20% or more of such class of Term Loans (such consent not to be unreasonably withheld or delayed))</w:t>
      </w:r>
      <w:r>
        <w:rPr>
          <w:rFonts w:ascii="Times New Roman" w:cs="Times New Roman" w:eastAsia="Times New Roman" w:hAnsi="Times New Roman"/>
          <w:sz w:val="14"/>
          <w:szCs w:val="14"/>
          <w:color w:val="000000"/>
        </w:rPr>
        <w:t>,</w:t>
      </w:r>
    </w:p>
    <w:p>
      <w:pPr>
        <w:spacing w:after="0" w:line="2" w:lineRule="exact"/>
        <w:rPr>
          <w:rFonts w:ascii="Times New Roman" w:cs="Times New Roman" w:eastAsia="Times New Roman" w:hAnsi="Times New Roman"/>
          <w:sz w:val="14"/>
          <w:szCs w:val="14"/>
          <w:color w:val="auto"/>
        </w:rPr>
      </w:pPr>
    </w:p>
    <w:p>
      <w:pPr>
        <w:jc w:val="both"/>
        <w:ind w:left="1660" w:right="1159"/>
        <w:spacing w:after="0" w:line="25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(2) for an assignment of Loans or Commitments to any assignee if an Event of Default under Section 11.1 or Section 11.5 </w:t>
      </w:r>
      <w:r>
        <w:rPr>
          <w:rFonts w:ascii="Times New Roman" w:cs="Times New Roman" w:eastAsia="Times New Roman" w:hAnsi="Times New Roman"/>
          <w:sz w:val="14"/>
          <w:szCs w:val="14"/>
          <w:u w:val="single" w:color="auto"/>
          <w:color w:val="0000FF"/>
        </w:rPr>
        <w:t>(with respect to the Borrower)</w:t>
      </w:r>
      <w:r>
        <w:rPr>
          <w:rFonts w:ascii="Times New Roman" w:cs="Times New Roman" w:eastAsia="Times New Roman" w:hAnsi="Times New Roman"/>
          <w:sz w:val="14"/>
          <w:szCs w:val="14"/>
          <w:color w:val="auto"/>
        </w:rPr>
        <w:t xml:space="preserve"> has occurred and is continuing</w:t>
      </w:r>
      <w:r>
        <w:rPr>
          <w:rFonts w:ascii="Times New Roman" w:cs="Times New Roman" w:eastAsia="Times New Roman" w:hAnsi="Times New Roman"/>
          <w:sz w:val="14"/>
          <w:szCs w:val="14"/>
          <w:color w:val="FF0000"/>
          <w:strike w:val="1"/>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FF"/>
        </w:rPr>
        <w:t>or</w:t>
      </w:r>
      <w:r>
        <w:rPr>
          <w:rFonts w:ascii="Times New Roman" w:cs="Times New Roman" w:eastAsia="Times New Roman" w:hAnsi="Times New Roman"/>
          <w:sz w:val="14"/>
          <w:szCs w:val="14"/>
          <w:color w:val="auto"/>
        </w:rPr>
        <w:t xml:space="preserve"> (3) with respect to </w:t>
      </w:r>
      <w:r>
        <w:rPr>
          <w:rFonts w:ascii="Times New Roman" w:cs="Times New Roman" w:eastAsia="Times New Roman" w:hAnsi="Times New Roman"/>
          <w:sz w:val="14"/>
          <w:szCs w:val="14"/>
          <w:color w:val="FF0000"/>
          <w:strike w:val="1"/>
        </w:rPr>
        <w:t>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FF0000"/>
          <w:strike w:val="1"/>
        </w:rPr>
        <w:t xml:space="preserve">Term Loans only, unless the Borrower has already objected thereto by delivering written </w:t>
      </w:r>
      <w:r>
        <w:rPr>
          <w:rFonts w:ascii="Times New Roman" w:cs="Times New Roman" w:eastAsia="Times New Roman" w:hAnsi="Times New Roman"/>
          <w:sz w:val="14"/>
          <w:szCs w:val="14"/>
          <w:color w:val="008000"/>
          <w:strike w:val="1"/>
        </w:rPr>
        <w:t>notice to the</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8000"/>
          <w:strike w:val="1"/>
        </w:rPr>
        <w:t xml:space="preserve">Administrative Agent </w:t>
      </w:r>
      <w:r>
        <w:rPr>
          <w:rFonts w:ascii="Times New Roman" w:cs="Times New Roman" w:eastAsia="Times New Roman" w:hAnsi="Times New Roman"/>
          <w:sz w:val="14"/>
          <w:szCs w:val="14"/>
          <w:color w:val="FF0000"/>
          <w:strike w:val="1"/>
        </w:rPr>
        <w:t>within ten (10) Business Days after the receipt of a written request for consent</w:t>
      </w:r>
      <w:r>
        <w:rPr>
          <w:rFonts w:ascii="Times New Roman" w:cs="Times New Roman" w:eastAsia="Times New Roman" w:hAnsi="Times New Roman"/>
          <w:sz w:val="14"/>
          <w:szCs w:val="14"/>
          <w:color w:val="008000"/>
          <w:strike w:val="1"/>
        </w:rPr>
        <w:t xml:space="preserve"> </w:t>
      </w:r>
      <w:r>
        <w:rPr>
          <w:rFonts w:ascii="Times New Roman" w:cs="Times New Roman" w:eastAsia="Times New Roman" w:hAnsi="Times New Roman"/>
          <w:sz w:val="14"/>
          <w:szCs w:val="14"/>
          <w:color w:val="FF0000"/>
          <w:strike w:val="1"/>
        </w:rPr>
        <w:t xml:space="preserve">thereto or (4) with respect to </w:t>
      </w:r>
      <w:r>
        <w:rPr>
          <w:rFonts w:ascii="Times New Roman" w:cs="Times New Roman" w:eastAsia="Times New Roman" w:hAnsi="Times New Roman"/>
          <w:sz w:val="14"/>
          <w:szCs w:val="14"/>
          <w:color w:val="000000"/>
          <w:strike w:val="1"/>
        </w:rPr>
        <w:t>the 2020 Letter of Credit Commitments, to (X) a Lender with respect to any</w:t>
      </w:r>
      <w:r>
        <w:rPr>
          <w:rFonts w:ascii="Times New Roman" w:cs="Times New Roman" w:eastAsia="Times New Roman" w:hAnsi="Times New Roman"/>
          <w:sz w:val="14"/>
          <w:szCs w:val="14"/>
          <w:color w:val="FF0000"/>
          <w:strike w:val="1"/>
        </w:rPr>
        <w:t xml:space="preserve"> </w:t>
      </w:r>
      <w:r>
        <w:rPr>
          <w:rFonts w:ascii="Times New Roman" w:cs="Times New Roman" w:eastAsia="Times New Roman" w:hAnsi="Times New Roman"/>
          <w:sz w:val="14"/>
          <w:szCs w:val="14"/>
          <w:color w:val="000000"/>
          <w:strike w:val="1"/>
        </w:rPr>
        <w:t>Revolving Loans or related commitments, (Y) an Affiliate of a Lender with respect to any Revolving Loans or related commitments or (Z) an Approved Fund with respect to any Lender referenced in the immediately preceding (X) or (Y); and</w:t>
      </w:r>
    </w:p>
    <w:p>
      <w:pPr>
        <w:spacing w:after="0" w:line="145" w:lineRule="exact"/>
        <w:rPr>
          <w:rFonts w:ascii="Times New Roman" w:cs="Times New Roman" w:eastAsia="Times New Roman" w:hAnsi="Times New Roman"/>
          <w:sz w:val="14"/>
          <w:szCs w:val="14"/>
          <w:color w:val="auto"/>
        </w:rPr>
      </w:pPr>
    </w:p>
    <w:p>
      <w:pPr>
        <w:jc w:val="both"/>
        <w:ind w:left="1660" w:right="1159" w:firstLine="520"/>
        <w:spacing w:after="0" w:line="258" w:lineRule="auto"/>
        <w:tabs>
          <w:tab w:leader="none" w:pos="2463" w:val="left"/>
        </w:tabs>
        <w:numPr>
          <w:ilvl w:val="1"/>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Administrative Agent (not to be unreasonably withheld or delayed) and, with respect to Revolving Credit Commitments and Revolving Credit Loans only, the Sponsors (not to be unreasonably withheld or delayed), each Swingline Lender (not to be unreasonably withheld or delayed) and each Revolving Letter of Credit Issuer (not to be unreasonably withheld or delayed) and, with respect to 2020 Letter of Credit Commitments only, the Sponsors (not to be unreasonably withheld or delayed) and each 2020 Letter of Credit Issuer (not to be unreasonably withheld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consent of the Administrative Agent shall be required for an assignment of any Term Loan to a Lender, an Affiliate of a Lender or an Approved Fund;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no consent of the Sponsor shall be required (1) for an assignment of Revolving Credit Commitments or Revolving Credit Loans to a Revolving Credit Lender, an Affiliate of a Revolving Credit Lender, an Approved Fund of a Revolving Credit Lender, (2) for an assignment of 2020 Letter of Credit Commitments to a 2020 Additional Revolving Credit Lender, a Revolving Credit Lender, an Affiliate of a 2020 Additional Revolving Credit Lender or a Revolving Credit Lender, an Approved Fund of a 2020 Additional Revolving Credit Lender or a Revolving Credit Lender or</w:t>
      </w:r>
    </w:p>
    <w:p>
      <w:pPr>
        <w:spacing w:after="0" w:line="1" w:lineRule="exact"/>
        <w:rPr>
          <w:rFonts w:ascii="Times New Roman" w:cs="Times New Roman" w:eastAsia="Times New Roman" w:hAnsi="Times New Roman"/>
          <w:sz w:val="14"/>
          <w:szCs w:val="14"/>
          <w:color w:val="auto"/>
        </w:rPr>
      </w:pPr>
    </w:p>
    <w:p>
      <w:pPr>
        <w:ind w:left="16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(3) if an Event of Default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has occurred and is continuing.</w:t>
      </w:r>
    </w:p>
    <w:p>
      <w:pPr>
        <w:spacing w:after="0" w:line="170" w:lineRule="exact"/>
        <w:rPr>
          <w:sz w:val="20"/>
          <w:szCs w:val="20"/>
          <w:color w:val="auto"/>
        </w:rPr>
      </w:pPr>
    </w:p>
    <w:p>
      <w:pPr>
        <w:ind w:left="1140" w:right="1179" w:firstLine="1033"/>
        <w:spacing w:after="0" w:line="265" w:lineRule="auto"/>
        <w:rPr>
          <w:sz w:val="20"/>
          <w:szCs w:val="20"/>
          <w:color w:val="auto"/>
        </w:rPr>
      </w:pPr>
      <w:r>
        <w:rPr>
          <w:rFonts w:ascii="Times New Roman" w:cs="Times New Roman" w:eastAsia="Times New Roman" w:hAnsi="Times New Roman"/>
          <w:sz w:val="14"/>
          <w:szCs w:val="14"/>
          <w:color w:val="auto"/>
        </w:rPr>
        <w:t>Notwithstanding the foregoing, no such assignment shall be made to (i) a natural Person, or Disqualified Lender or Defaulting Lender and (ii) with respect to the Revolving Credit Commitments or 2020 Letter of Credit Commitments, Holdings, the Borrower or any of their Subsidiaries or any Affiliated Lender (other than an Affiliated Institutional Lender). For the avoidance of doubt, the Administrative Agent shall bear no responsibility or liability for monitoring and enforcing the list of Persons who are Disqualified Lenders at any time.</w:t>
      </w:r>
    </w:p>
    <w:p>
      <w:pPr>
        <w:spacing w:after="0" w:line="2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63" w:name="page264"/>
    <w:bookmarkEnd w:id="263"/>
    <w:p>
      <w:pPr>
        <w:ind w:left="1720" w:hanging="286"/>
        <w:spacing w:after="0"/>
        <w:tabs>
          <w:tab w:leader="none" w:pos="172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Assignments shall be subject to the following additional conditions:</w:t>
      </w:r>
    </w:p>
    <w:p>
      <w:pPr>
        <w:spacing w:after="0" w:line="183" w:lineRule="exact"/>
        <w:rPr>
          <w:rFonts w:ascii="Times New Roman" w:cs="Times New Roman" w:eastAsia="Times New Roman" w:hAnsi="Times New Roman"/>
          <w:sz w:val="14"/>
          <w:szCs w:val="14"/>
          <w:color w:val="auto"/>
        </w:rPr>
      </w:pPr>
    </w:p>
    <w:p>
      <w:pPr>
        <w:jc w:val="both"/>
        <w:ind w:left="1660" w:right="1159" w:firstLine="520"/>
        <w:spacing w:after="0" w:line="260" w:lineRule="auto"/>
        <w:tabs>
          <w:tab w:leader="none" w:pos="2463"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2020 Letter of Credit Commitments and $1,000,000 in the case of Term Loans, unless each of the Borrower and the Administrative Agent otherwise consents (which consents shall not be unreasonably withheld or delayed);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consent of the Borrower shall be required if an Event of Default under </w:t>
      </w:r>
      <w:r>
        <w:rPr>
          <w:rFonts w:ascii="Times New Roman" w:cs="Times New Roman" w:eastAsia="Times New Roman" w:hAnsi="Times New Roman"/>
          <w:sz w:val="14"/>
          <w:szCs w:val="14"/>
          <w:u w:val="single" w:color="auto"/>
          <w:color w:val="auto"/>
        </w:rPr>
        <w:t>Section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has occurred and is continuing;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145" w:lineRule="exact"/>
        <w:rPr>
          <w:rFonts w:ascii="Times New Roman" w:cs="Times New Roman" w:eastAsia="Times New Roman" w:hAnsi="Times New Roman"/>
          <w:sz w:val="14"/>
          <w:szCs w:val="14"/>
          <w:color w:val="auto"/>
        </w:rPr>
      </w:pPr>
    </w:p>
    <w:p>
      <w:pPr>
        <w:jc w:val="both"/>
        <w:ind w:left="1660" w:right="1159" w:firstLine="520"/>
        <w:spacing w:after="0" w:line="268" w:lineRule="auto"/>
        <w:tabs>
          <w:tab w:leader="none" w:pos="2463"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each partial assignment shall be made as an assignment of a proportionate part of all the assigning Lender’s rights and obligations under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this clause shall not be construed to prohibit the assignment of a proportionate part of all the assigning Lender’s rights and obligations in respect of one Class of Commitments or Loans;</w:t>
      </w:r>
    </w:p>
    <w:p>
      <w:pPr>
        <w:spacing w:after="0" w:line="141" w:lineRule="exact"/>
        <w:rPr>
          <w:rFonts w:ascii="Times New Roman" w:cs="Times New Roman" w:eastAsia="Times New Roman" w:hAnsi="Times New Roman"/>
          <w:sz w:val="14"/>
          <w:szCs w:val="14"/>
          <w:color w:val="auto"/>
        </w:rPr>
      </w:pPr>
    </w:p>
    <w:p>
      <w:pPr>
        <w:jc w:val="both"/>
        <w:ind w:left="1660" w:right="1159" w:firstLine="520"/>
        <w:spacing w:after="0" w:line="264" w:lineRule="auto"/>
        <w:tabs>
          <w:tab w:leader="none" w:pos="2463"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Administrative Agent may, in its sole discretion, elect to waive such processing and recordation fee in the case of any assignment;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further</w:t>
      </w:r>
      <w:r>
        <w:rPr>
          <w:rFonts w:ascii="Times New Roman" w:cs="Times New Roman" w:eastAsia="Times New Roman" w:hAnsi="Times New Roman"/>
          <w:sz w:val="14"/>
          <w:szCs w:val="14"/>
          <w:color w:val="auto"/>
        </w:rPr>
        <w:t>, that such processing and recordation fee shall not be payable in the case of assignments by any Agent or any of its Affiliates;</w:t>
      </w:r>
    </w:p>
    <w:p>
      <w:pPr>
        <w:spacing w:after="0" w:line="142" w:lineRule="exact"/>
        <w:rPr>
          <w:rFonts w:ascii="Times New Roman" w:cs="Times New Roman" w:eastAsia="Times New Roman" w:hAnsi="Times New Roman"/>
          <w:sz w:val="14"/>
          <w:szCs w:val="14"/>
          <w:color w:val="auto"/>
        </w:rPr>
      </w:pPr>
    </w:p>
    <w:p>
      <w:pPr>
        <w:jc w:val="both"/>
        <w:ind w:left="1660" w:right="1159" w:firstLine="520"/>
        <w:spacing w:after="0" w:line="275" w:lineRule="auto"/>
        <w:tabs>
          <w:tab w:leader="none" w:pos="2463"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assignee, if it shall not be a Lender, shall deliver to the Administrative Agent an administrative questionnaire in a form approved by the Administrative Agent (the “</w:t>
      </w:r>
      <w:r>
        <w:rPr>
          <w:rFonts w:ascii="Times New Roman" w:cs="Times New Roman" w:eastAsia="Times New Roman" w:hAnsi="Times New Roman"/>
          <w:sz w:val="14"/>
          <w:szCs w:val="14"/>
          <w:b w:val="1"/>
          <w:bCs w:val="1"/>
          <w:color w:val="auto"/>
        </w:rPr>
        <w:t>Administrative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Questionnaire</w:t>
      </w:r>
      <w:r>
        <w:rPr>
          <w:rFonts w:ascii="Times New Roman" w:cs="Times New Roman" w:eastAsia="Times New Roman" w:hAnsi="Times New Roman"/>
          <w:sz w:val="14"/>
          <w:szCs w:val="14"/>
          <w:color w:val="auto"/>
        </w:rPr>
        <w:t>”) and applicable tax forms (as required under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and</w:t>
      </w:r>
    </w:p>
    <w:p>
      <w:pPr>
        <w:spacing w:after="0" w:line="135" w:lineRule="exact"/>
        <w:rPr>
          <w:rFonts w:ascii="Times New Roman" w:cs="Times New Roman" w:eastAsia="Times New Roman" w:hAnsi="Times New Roman"/>
          <w:sz w:val="14"/>
          <w:szCs w:val="14"/>
          <w:color w:val="auto"/>
        </w:rPr>
      </w:pPr>
    </w:p>
    <w:p>
      <w:pPr>
        <w:ind w:left="1660" w:right="1199" w:firstLine="520"/>
        <w:spacing w:after="0" w:line="293" w:lineRule="auto"/>
        <w:tabs>
          <w:tab w:leader="none" w:pos="2463" w:val="left"/>
        </w:tabs>
        <w:numPr>
          <w:ilvl w:val="1"/>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assignment to the Borrower, any Subsidiary or an Affiliated Lender (other than an Affiliated Institutional Lender) shall also be subject to the requirements of </w:t>
      </w:r>
      <w:r>
        <w:rPr>
          <w:rFonts w:ascii="Times New Roman" w:cs="Times New Roman" w:eastAsia="Times New Roman" w:hAnsi="Times New Roman"/>
          <w:sz w:val="14"/>
          <w:szCs w:val="14"/>
          <w:u w:val="single" w:color="auto"/>
          <w:color w:val="auto"/>
        </w:rPr>
        <w:t>Section 13.6(h)</w:t>
      </w:r>
      <w:r>
        <w:rPr>
          <w:rFonts w:ascii="Times New Roman" w:cs="Times New Roman" w:eastAsia="Times New Roman" w:hAnsi="Times New Roman"/>
          <w:sz w:val="14"/>
          <w:szCs w:val="14"/>
          <w:color w:val="auto"/>
        </w:rPr>
        <w:t>.</w:t>
      </w:r>
    </w:p>
    <w:p>
      <w:pPr>
        <w:spacing w:after="0" w:line="123" w:lineRule="exact"/>
        <w:rPr>
          <w:sz w:val="20"/>
          <w:szCs w:val="20"/>
          <w:color w:val="auto"/>
        </w:rPr>
      </w:pPr>
    </w:p>
    <w:p>
      <w:pPr>
        <w:ind w:left="1140" w:right="1559" w:firstLine="1033"/>
        <w:spacing w:after="0" w:line="293" w:lineRule="auto"/>
        <w:rPr>
          <w:sz w:val="20"/>
          <w:szCs w:val="20"/>
          <w:color w:val="auto"/>
        </w:rPr>
      </w:pPr>
      <w:r>
        <w:rPr>
          <w:rFonts w:ascii="Times New Roman" w:cs="Times New Roman" w:eastAsia="Times New Roman" w:hAnsi="Times New Roman"/>
          <w:sz w:val="14"/>
          <w:szCs w:val="14"/>
          <w:color w:val="auto"/>
        </w:rPr>
        <w:t>For the avoidance of doubt, the Administrative Agent bears no responsibility for tracking or monitoring assignments to or participations by any Affiliated Lender or any Disqualified Lender.</w:t>
      </w:r>
    </w:p>
    <w:p>
      <w:pPr>
        <w:spacing w:after="0" w:line="123" w:lineRule="exact"/>
        <w:rPr>
          <w:sz w:val="20"/>
          <w:szCs w:val="20"/>
          <w:color w:val="auto"/>
        </w:rPr>
      </w:pPr>
    </w:p>
    <w:p>
      <w:pPr>
        <w:jc w:val="both"/>
        <w:ind w:left="1140" w:right="1159" w:firstLine="294"/>
        <w:spacing w:after="0" w:line="259" w:lineRule="auto"/>
        <w:tabs>
          <w:tab w:leader="none" w:pos="1714"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Subject to acceptance and recording thereof pursuant to </w:t>
      </w:r>
      <w:r>
        <w:rPr>
          <w:rFonts w:ascii="Times New Roman" w:cs="Times New Roman" w:eastAsia="Times New Roman" w:hAnsi="Times New Roman"/>
          <w:sz w:val="14"/>
          <w:szCs w:val="14"/>
          <w:u w:val="single" w:color="auto"/>
          <w:color w:val="auto"/>
        </w:rPr>
        <w:t>clause (b)(v)</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13.5</w:t>
      </w:r>
      <w:r>
        <w:rPr>
          <w:rFonts w:ascii="Times New Roman" w:cs="Times New Roman" w:eastAsia="Times New Roman" w:hAnsi="Times New Roman"/>
          <w:sz w:val="14"/>
          <w:szCs w:val="14"/>
          <w:color w:val="auto"/>
        </w:rPr>
        <w:t xml:space="preserve">). Any assignment or transfer by a Lender of rights or obligations under this Agreement that does not comply with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4"/>
          <w:szCs w:val="14"/>
          <w:u w:val="single" w:color="auto"/>
          <w:color w:val="auto"/>
        </w:rPr>
        <w:t>clause (c)</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For the avoidance of doubt, in case of an assignment to a new Lender pursuant to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115" w:lineRule="exact"/>
        <w:rPr>
          <w:rFonts w:ascii="Times New Roman" w:cs="Times New Roman" w:eastAsia="Times New Roman" w:hAnsi="Times New Roman"/>
          <w:sz w:val="14"/>
          <w:szCs w:val="14"/>
          <w:color w:val="auto"/>
        </w:rPr>
      </w:pPr>
    </w:p>
    <w:p>
      <w:pPr>
        <w:ind w:left="1140" w:right="1159" w:firstLine="294"/>
        <w:spacing w:after="0" w:line="195" w:lineRule="exact"/>
        <w:tabs>
          <w:tab w:leader="none" w:pos="1714"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Administrative Agent, acting for this purpose as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fiduciary agent of the Borrower, shall maintain at the Administrative Agent’s Office a copy of each Assignment and Acceptance delivered to it and a register</w:t>
      </w:r>
    </w:p>
    <w:p>
      <w:pPr>
        <w:spacing w:after="0" w:line="2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64" w:name="page265"/>
    <w:bookmarkEnd w:id="264"/>
    <w:p>
      <w:pPr>
        <w:jc w:val="both"/>
        <w:ind w:left="1140" w:right="1159"/>
        <w:spacing w:after="0" w:line="260" w:lineRule="auto"/>
        <w:rPr>
          <w:sz w:val="20"/>
          <w:szCs w:val="20"/>
          <w:color w:val="auto"/>
        </w:rPr>
      </w:pPr>
      <w:r>
        <w:rPr>
          <w:rFonts w:ascii="Times New Roman" w:cs="Times New Roman" w:eastAsia="Times New Roman" w:hAnsi="Times New Roman"/>
          <w:sz w:val="14"/>
          <w:szCs w:val="14"/>
          <w:color w:val="auto"/>
        </w:rPr>
        <w:t>for the recordation of the names and addresses of the Lenders, and the Commitments of, and principal amount of the Loans (and stated interest amounts) and any payment made by the Letter of Credit Issuer under any Letter of Credit or by the Swingline Lender under any Swingline Loan owing to each Lender pursuant to the terms hereof from time to time (the “</w:t>
      </w:r>
      <w:r>
        <w:rPr>
          <w:rFonts w:ascii="Times New Roman" w:cs="Times New Roman" w:eastAsia="Times New Roman" w:hAnsi="Times New Roman"/>
          <w:sz w:val="14"/>
          <w:szCs w:val="14"/>
          <w:b w:val="1"/>
          <w:bCs w:val="1"/>
          <w:color w:val="auto"/>
        </w:rPr>
        <w:t>Register</w:t>
      </w:r>
      <w:r>
        <w:rPr>
          <w:rFonts w:ascii="Times New Roman" w:cs="Times New Roman" w:eastAsia="Times New Roman" w:hAnsi="Times New Roman"/>
          <w:sz w:val="14"/>
          <w:szCs w:val="14"/>
          <w:color w:val="auto"/>
        </w:rPr>
        <w:t>”). The entries in the Register shall be conclusive, absent manifest error, and the Borrower, the Administrative Agent, the Collateral Agent, the Letter of Credit Issuer, the Swingline Lender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Swingline Lender the Administrative Agent and its Affiliates and, with respect to itself, any Lender, at any reasonable time and from time to time upon reasonable prior notice.</w:t>
      </w:r>
    </w:p>
    <w:p>
      <w:pPr>
        <w:spacing w:after="0" w:line="150" w:lineRule="exact"/>
        <w:rPr>
          <w:sz w:val="20"/>
          <w:szCs w:val="20"/>
          <w:color w:val="auto"/>
        </w:rPr>
      </w:pPr>
    </w:p>
    <w:p>
      <w:pPr>
        <w:jc w:val="both"/>
        <w:ind w:left="1140" w:right="1159" w:firstLine="294"/>
        <w:spacing w:after="0" w:line="262" w:lineRule="auto"/>
        <w:tabs>
          <w:tab w:leader="none" w:pos="1714" w:val="left"/>
        </w:tabs>
        <w:numPr>
          <w:ilvl w:val="1"/>
          <w:numId w:val="2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and any written consent to such assignment required by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w:t>
      </w:r>
      <w:r>
        <w:rPr>
          <w:rFonts w:ascii="Times New Roman" w:cs="Times New Roman" w:eastAsia="Times New Roman" w:hAnsi="Times New Roman"/>
          <w:sz w:val="14"/>
          <w:szCs w:val="14"/>
          <w:u w:val="single" w:color="auto"/>
          <w:color w:val="auto"/>
        </w:rPr>
        <w:t>clause (b)(v)</w:t>
      </w:r>
      <w:r>
        <w:rPr>
          <w:rFonts w:ascii="Times New Roman" w:cs="Times New Roman" w:eastAsia="Times New Roman" w:hAnsi="Times New Roman"/>
          <w:sz w:val="14"/>
          <w:szCs w:val="14"/>
          <w:color w:val="auto"/>
        </w:rPr>
        <w:t>.</w:t>
      </w:r>
    </w:p>
    <w:p>
      <w:pPr>
        <w:spacing w:after="0" w:line="157" w:lineRule="exact"/>
        <w:rPr>
          <w:rFonts w:ascii="Times New Roman" w:cs="Times New Roman" w:eastAsia="Times New Roman" w:hAnsi="Times New Roman"/>
          <w:sz w:val="14"/>
          <w:szCs w:val="14"/>
          <w:color w:val="auto"/>
        </w:rPr>
      </w:pPr>
    </w:p>
    <w:p>
      <w:pPr>
        <w:jc w:val="both"/>
        <w:ind w:left="1140" w:right="1159" w:firstLine="524"/>
        <w:spacing w:after="0" w:line="257" w:lineRule="auto"/>
        <w:tabs>
          <w:tab w:leader="none" w:pos="1972" w:val="left"/>
        </w:tabs>
        <w:numPr>
          <w:ilvl w:val="2"/>
          <w:numId w:val="28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(i) Any Lender may, without the consent of the Borrower, the Administrative Agent, the Swingline Lender or the Letter of Credit Issuer, sell participations to one or more banks or other entities (other than (x) a natural person, (y) Holdings and its Subsidiaries and (z) any Disqualified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notwithstanding </w:t>
      </w:r>
      <w:r>
        <w:rPr>
          <w:rFonts w:ascii="Times New Roman" w:cs="Times New Roman" w:eastAsia="Times New Roman" w:hAnsi="Times New Roman"/>
          <w:sz w:val="14"/>
          <w:szCs w:val="14"/>
          <w:u w:val="single" w:color="auto"/>
          <w:color w:val="auto"/>
        </w:rPr>
        <w:t>clause (z)</w:t>
      </w:r>
      <w:r>
        <w:rPr>
          <w:rFonts w:ascii="Times New Roman" w:cs="Times New Roman" w:eastAsia="Times New Roman" w:hAnsi="Times New Roman"/>
          <w:sz w:val="14"/>
          <w:szCs w:val="14"/>
          <w:color w:val="auto"/>
        </w:rPr>
        <w:t xml:space="preserve"> hereof, participations may be sold to Disqualified Lenders unless a list of Disqualified Lenders has been made available to all Lenders who so request) (each, a “</w:t>
      </w:r>
      <w:r>
        <w:rPr>
          <w:rFonts w:ascii="Times New Roman" w:cs="Times New Roman" w:eastAsia="Times New Roman" w:hAnsi="Times New Roman"/>
          <w:sz w:val="14"/>
          <w:szCs w:val="14"/>
          <w:b w:val="1"/>
          <w:bCs w:val="1"/>
          <w:color w:val="auto"/>
        </w:rPr>
        <w:t>Participant</w:t>
      </w:r>
      <w:r>
        <w:rPr>
          <w:rFonts w:ascii="Times New Roman" w:cs="Times New Roman" w:eastAsia="Times New Roman" w:hAnsi="Times New Roman"/>
          <w:sz w:val="14"/>
          <w:szCs w:val="14"/>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14"/>
          <w:szCs w:val="14"/>
          <w:u w:val="single" w:color="auto"/>
          <w:color w:val="auto"/>
        </w:rPr>
        <w:t>clauses</w:t>
      </w:r>
    </w:p>
    <w:p>
      <w:pPr>
        <w:spacing w:after="0" w:line="9" w:lineRule="exact"/>
        <w:rPr>
          <w:rFonts w:ascii="Times New Roman" w:cs="Times New Roman" w:eastAsia="Times New Roman" w:hAnsi="Times New Roman"/>
          <w:sz w:val="14"/>
          <w:szCs w:val="14"/>
          <w:color w:val="010000"/>
        </w:rPr>
      </w:pPr>
    </w:p>
    <w:p>
      <w:pPr>
        <w:jc w:val="both"/>
        <w:ind w:left="1140" w:right="1159" w:firstLine="7"/>
        <w:spacing w:after="0" w:line="259" w:lineRule="auto"/>
        <w:tabs>
          <w:tab w:leader="none" w:pos="1327" w:val="left"/>
        </w:tabs>
        <w:numPr>
          <w:ilvl w:val="0"/>
          <w:numId w:val="28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color w:val="auto"/>
        </w:rPr>
        <w:t xml:space="preserve">and </w:t>
      </w:r>
      <w:r>
        <w:rPr>
          <w:rFonts w:ascii="Times New Roman" w:cs="Times New Roman" w:eastAsia="Times New Roman" w:hAnsi="Times New Roman"/>
          <w:sz w:val="14"/>
          <w:szCs w:val="14"/>
          <w:u w:val="single" w:color="auto"/>
          <w:color w:val="auto"/>
        </w:rPr>
        <w:t>(vii)</w:t>
      </w:r>
      <w:r>
        <w:rPr>
          <w:rFonts w:ascii="Times New Roman" w:cs="Times New Roman" w:eastAsia="Times New Roman" w:hAnsi="Times New Roman"/>
          <w:sz w:val="14"/>
          <w:szCs w:val="14"/>
          <w:color w:val="auto"/>
        </w:rPr>
        <w:t xml:space="preserve"> of the second proviso to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that affects such Participant. Subject to </w:t>
      </w:r>
      <w:r>
        <w:rPr>
          <w:rFonts w:ascii="Times New Roman" w:cs="Times New Roman" w:eastAsia="Times New Roman" w:hAnsi="Times New Roman"/>
          <w:sz w:val="14"/>
          <w:szCs w:val="14"/>
          <w:u w:val="single" w:color="auto"/>
          <w:color w:val="auto"/>
        </w:rPr>
        <w:t>clause (c)(ii)</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the Borrower agree that each Participant shall be entitled to the benefits of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to the same extent as if it were a Lender (subject to the limitations and requirements of those Sections as though it were a Lender and had acquired its interest by assignment pursuant to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including the requirements of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(it being agreed that any documentation required under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xml:space="preserve"> shall be provided to the participating Lender)). To the extent permitted by law, each Participant also shall be entitled to the benefits of </w:t>
      </w:r>
      <w:r>
        <w:rPr>
          <w:rFonts w:ascii="Times New Roman" w:cs="Times New Roman" w:eastAsia="Times New Roman" w:hAnsi="Times New Roman"/>
          <w:sz w:val="14"/>
          <w:szCs w:val="14"/>
          <w:u w:val="single" w:color="auto"/>
          <w:color w:val="auto"/>
        </w:rPr>
        <w:t>Section 13.8(b)</w:t>
      </w:r>
      <w:r>
        <w:rPr>
          <w:rFonts w:ascii="Times New Roman" w:cs="Times New Roman" w:eastAsia="Times New Roman" w:hAnsi="Times New Roman"/>
          <w:sz w:val="14"/>
          <w:szCs w:val="14"/>
          <w:color w:val="auto"/>
        </w:rPr>
        <w:t xml:space="preserve"> as though it were a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such Participant shall be subject to </w:t>
      </w:r>
      <w:r>
        <w:rPr>
          <w:rFonts w:ascii="Times New Roman" w:cs="Times New Roman" w:eastAsia="Times New Roman" w:hAnsi="Times New Roman"/>
          <w:sz w:val="14"/>
          <w:szCs w:val="14"/>
          <w:u w:val="single" w:color="auto"/>
          <w:color w:val="auto"/>
        </w:rPr>
        <w:t>Section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13.8(a)</w:t>
      </w:r>
      <w:r>
        <w:rPr>
          <w:rFonts w:ascii="Times New Roman" w:cs="Times New Roman" w:eastAsia="Times New Roman" w:hAnsi="Times New Roman"/>
          <w:sz w:val="14"/>
          <w:szCs w:val="14"/>
          <w:color w:val="auto"/>
        </w:rPr>
        <w:t xml:space="preserve"> as though it were a Lender.</w:t>
      </w:r>
    </w:p>
    <w:p>
      <w:pPr>
        <w:spacing w:after="0" w:line="145" w:lineRule="exact"/>
        <w:rPr>
          <w:rFonts w:ascii="Times New Roman" w:cs="Times New Roman" w:eastAsia="Times New Roman" w:hAnsi="Times New Roman"/>
          <w:sz w:val="14"/>
          <w:szCs w:val="14"/>
          <w:u w:val="single" w:color="auto"/>
          <w:color w:val="auto"/>
        </w:rPr>
      </w:pPr>
    </w:p>
    <w:p>
      <w:pPr>
        <w:jc w:val="both"/>
        <w:ind w:left="1140" w:right="1159" w:firstLine="294"/>
        <w:spacing w:after="0" w:line="174" w:lineRule="exact"/>
        <w:tabs>
          <w:tab w:leader="none" w:pos="1714" w:val="left"/>
        </w:tabs>
        <w:numPr>
          <w:ilvl w:val="1"/>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 Participant shall not be entitled to receive any greater payment under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Times New Roman" w:cs="Times New Roman" w:eastAsia="Times New Roman" w:hAnsi="Times New Roman"/>
          <w:sz w:val="14"/>
          <w:szCs w:val="14"/>
          <w:b w:val="1"/>
          <w:bCs w:val="1"/>
          <w:color w:val="auto"/>
        </w:rPr>
        <w:t>Participant Register</w:t>
      </w:r>
      <w:r>
        <w:rPr>
          <w:rFonts w:ascii="Times New Roman" w:cs="Times New Roman" w:eastAsia="Times New Roman" w:hAnsi="Times New Roman"/>
          <w:sz w:val="14"/>
          <w:szCs w:val="14"/>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w:t>
      </w:r>
    </w:p>
    <w:p>
      <w:pPr>
        <w:spacing w:after="0" w:line="24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9">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65" w:name="page266"/>
    <w:bookmarkEnd w:id="265"/>
    <w:p>
      <w:pPr>
        <w:ind w:left="1140" w:right="1159"/>
        <w:spacing w:after="0" w:line="191" w:lineRule="exact"/>
        <w:rPr>
          <w:sz w:val="20"/>
          <w:szCs w:val="20"/>
          <w:color w:val="auto"/>
        </w:rPr>
      </w:pPr>
      <w:r>
        <w:rPr>
          <w:rFonts w:ascii="Times New Roman" w:cs="Times New Roman" w:eastAsia="Times New Roman" w:hAnsi="Times New Roman"/>
          <w:sz w:val="14"/>
          <w:szCs w:val="14"/>
          <w:color w:val="auto"/>
        </w:rPr>
        <w:t>necessary to establish that such commitment, loan, letter of credit or other obligation is in registered form under Section 5f.103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1(c) of the United States Treasury Regulations.</w:t>
      </w:r>
    </w:p>
    <w:p>
      <w:pPr>
        <w:spacing w:after="0" w:line="146" w:lineRule="exact"/>
        <w:rPr>
          <w:sz w:val="20"/>
          <w:szCs w:val="20"/>
          <w:color w:val="auto"/>
        </w:rPr>
      </w:pPr>
    </w:p>
    <w:p>
      <w:pPr>
        <w:jc w:val="both"/>
        <w:ind w:left="1140" w:right="1159" w:firstLine="524"/>
        <w:spacing w:after="0" w:line="264" w:lineRule="auto"/>
        <w:tabs>
          <w:tab w:leader="none" w:pos="1993" w:val="left"/>
        </w:tabs>
        <w:numPr>
          <w:ilvl w:val="0"/>
          <w:numId w:val="2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shall not apply to any such pledge or assignment of a security interest;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 such pledge or assignment of a security interest shall release a Lender from any of its obligations hereunder or substitute any such pledgee or assignee for such Lender as a party hereto.</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264" w:lineRule="auto"/>
        <w:tabs>
          <w:tab w:leader="none" w:pos="1972" w:val="left"/>
        </w:tabs>
        <w:numPr>
          <w:ilvl w:val="0"/>
          <w:numId w:val="2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Subject to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the Borrower authorizes each Lender to disclose to any Participant, secured creditor of such Lender or assignee (each, a “</w:t>
      </w:r>
      <w:r>
        <w:rPr>
          <w:rFonts w:ascii="Times New Roman" w:cs="Times New Roman" w:eastAsia="Times New Roman" w:hAnsi="Times New Roman"/>
          <w:sz w:val="14"/>
          <w:szCs w:val="14"/>
          <w:b w:val="1"/>
          <w:bCs w:val="1"/>
          <w:color w:val="auto"/>
        </w:rPr>
        <w:t>Transferee</w:t>
      </w:r>
      <w:r>
        <w:rPr>
          <w:rFonts w:ascii="Times New Roman" w:cs="Times New Roman" w:eastAsia="Times New Roman" w:hAnsi="Times New Roman"/>
          <w:sz w:val="14"/>
          <w:szCs w:val="14"/>
          <w:color w:val="auto"/>
        </w:rPr>
        <w:t>”) and any prospective Transferee any and all financial information in such Lender’s possession concerning the Borrower and its Affiliates that has been delivered to such Lender by or on behalf of the Borrower and its Affiliates pursuant to this Agreement or that has been delivered to such Lender by or on behalf of the Borrower and its Affiliates in connection with such Lender’s credit evaluation of the Borrower and its Affiliates prior to becoming a party to this Agreement.</w:t>
      </w:r>
    </w:p>
    <w:p>
      <w:pPr>
        <w:spacing w:after="0" w:line="153" w:lineRule="exact"/>
        <w:rPr>
          <w:rFonts w:ascii="Times New Roman" w:cs="Times New Roman" w:eastAsia="Times New Roman" w:hAnsi="Times New Roman"/>
          <w:sz w:val="14"/>
          <w:szCs w:val="14"/>
          <w:color w:val="010000"/>
        </w:rPr>
      </w:pPr>
    </w:p>
    <w:p>
      <w:pPr>
        <w:jc w:val="both"/>
        <w:ind w:left="1140" w:right="1159" w:firstLine="524"/>
        <w:spacing w:after="0" w:line="174" w:lineRule="exact"/>
        <w:tabs>
          <w:tab w:leader="none" w:pos="1972" w:val="left"/>
        </w:tabs>
        <w:numPr>
          <w:ilvl w:val="0"/>
          <w:numId w:val="2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words “execution,” “signed,” “signature,” and words of like import in or related to any document to be signed in connection with this Agreement and the transactions contemplated hereby (including without limitation Assignment and Acceptances, amendments or other modifications, Notices of Borrowing, waivers and consents) shall be deemed to include electronic signatures or the keeping of records in electronic form, each of which shall be of the same legal effect, validity or enforceability as a manually executed signature or the use of a paper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8" w:lineRule="exact"/>
        <w:rPr>
          <w:rFonts w:ascii="Times New Roman" w:cs="Times New Roman" w:eastAsia="Times New Roman" w:hAnsi="Times New Roman"/>
          <w:sz w:val="14"/>
          <w:szCs w:val="14"/>
          <w:color w:val="010000"/>
        </w:rPr>
      </w:pPr>
    </w:p>
    <w:p>
      <w:pPr>
        <w:jc w:val="both"/>
        <w:ind w:left="1140" w:right="1159" w:firstLine="524"/>
        <w:spacing w:after="0" w:line="173" w:lineRule="exact"/>
        <w:tabs>
          <w:tab w:leader="none" w:pos="1982" w:val="left"/>
        </w:tabs>
        <w:numPr>
          <w:ilvl w:val="0"/>
          <w:numId w:val="29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u w:val="single" w:color="auto"/>
          <w:color w:val="auto"/>
        </w:rPr>
        <w:t>SPV Lender</w:t>
      </w:r>
      <w:r>
        <w:rPr>
          <w:rFonts w:ascii="Times New Roman" w:cs="Times New Roman" w:eastAsia="Times New Roman" w:hAnsi="Times New Roman"/>
          <w:sz w:val="14"/>
          <w:szCs w:val="14"/>
          <w:color w:val="auto"/>
        </w:rPr>
        <w:t>. Notwithstanding anything to the contrary contained herein, any Lender (a “</w:t>
      </w:r>
      <w:r>
        <w:rPr>
          <w:rFonts w:ascii="Times New Roman" w:cs="Times New Roman" w:eastAsia="Times New Roman" w:hAnsi="Times New Roman"/>
          <w:sz w:val="14"/>
          <w:szCs w:val="14"/>
          <w:b w:val="1"/>
          <w:bCs w:val="1"/>
          <w:color w:val="auto"/>
        </w:rPr>
        <w:t>Granting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Lender</w:t>
      </w:r>
      <w:r>
        <w:rPr>
          <w:rFonts w:ascii="Times New Roman" w:cs="Times New Roman" w:eastAsia="Times New Roman" w:hAnsi="Times New Roman"/>
          <w:sz w:val="14"/>
          <w:szCs w:val="14"/>
          <w:color w:val="auto"/>
        </w:rPr>
        <w:t>”) may grant to a special purpose funding vehicle (an “</w:t>
      </w:r>
      <w:r>
        <w:rPr>
          <w:rFonts w:ascii="Times New Roman" w:cs="Times New Roman" w:eastAsia="Times New Roman" w:hAnsi="Times New Roman"/>
          <w:sz w:val="14"/>
          <w:szCs w:val="14"/>
          <w:b w:val="1"/>
          <w:bCs w:val="1"/>
          <w:color w:val="auto"/>
        </w:rPr>
        <w:t>SPV</w:t>
      </w:r>
      <w:r>
        <w:rPr>
          <w:rFonts w:ascii="Times New Roman" w:cs="Times New Roman" w:eastAsia="Times New Roman" w:hAnsi="Times New Roman"/>
          <w:sz w:val="14"/>
          <w:szCs w:val="14"/>
          <w:color w:val="auto"/>
        </w:rPr>
        <w:t>”), identified as such in writing from time to time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by the Granting Lender to the Administrative Agent and the Borrower, the option to provide to the Borrower all or any part of any Loan that such Granting Lender would otherwise be obligated to make the Borrower pursuant to this Agreement;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disclose on a confidential basis any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public information relating to its Loans to any rating agency, commercial paper dealer or provider of any surety, guarantee or credit or liquidity enhancement to such SPV. This </w:t>
      </w:r>
      <w:r>
        <w:rPr>
          <w:rFonts w:ascii="Times New Roman" w:cs="Times New Roman" w:eastAsia="Times New Roman" w:hAnsi="Times New Roman"/>
          <w:sz w:val="14"/>
          <w:szCs w:val="14"/>
          <w:u w:val="single" w:color="auto"/>
          <w:color w:val="auto"/>
        </w:rPr>
        <w:t>Section 13.6(g)</w:t>
      </w:r>
      <w:r>
        <w:rPr>
          <w:rFonts w:ascii="Times New Roman" w:cs="Times New Roman" w:eastAsia="Times New Roman" w:hAnsi="Times New Roman"/>
          <w:sz w:val="14"/>
          <w:szCs w:val="14"/>
          <w:color w:val="auto"/>
        </w:rPr>
        <w:t xml:space="preserve"> may not be amended without the written consent of the SPV. Notwithstanding anything to the contrary in this Agreement but subject to the following sentence, each SPV shall be entitled to the benefits of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to the same extent as if it were a Lender (subject to the limitations and requirements of those Sections as though it were a Lender and had acquired its interest by assignment pursuant to </w:t>
      </w:r>
      <w:r>
        <w:rPr>
          <w:rFonts w:ascii="Times New Roman" w:cs="Times New Roman" w:eastAsia="Times New Roman" w:hAnsi="Times New Roman"/>
          <w:sz w:val="14"/>
          <w:szCs w:val="14"/>
          <w:u w:val="single" w:color="auto"/>
          <w:color w:val="auto"/>
        </w:rPr>
        <w:t>clause (b)</w:t>
      </w:r>
      <w:r>
        <w:rPr>
          <w:rFonts w:ascii="Times New Roman" w:cs="Times New Roman" w:eastAsia="Times New Roman" w:hAnsi="Times New Roman"/>
          <w:sz w:val="14"/>
          <w:szCs w:val="14"/>
          <w:color w:val="auto"/>
        </w:rPr>
        <w:t xml:space="preserve"> of this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including the requirements of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u w:val="single" w:color="auto"/>
          <w:color w:val="auto"/>
        </w:rPr>
        <w:t>Section 5.4</w:t>
      </w:r>
      <w:r>
        <w:rPr>
          <w:rFonts w:ascii="Times New Roman" w:cs="Times New Roman" w:eastAsia="Times New Roman" w:hAnsi="Times New Roman"/>
          <w:sz w:val="14"/>
          <w:szCs w:val="14"/>
          <w:color w:val="auto"/>
        </w:rPr>
        <w:t xml:space="preserve"> (it being agreed that any documentation required under </w:t>
      </w:r>
      <w:r>
        <w:rPr>
          <w:rFonts w:ascii="Times New Roman" w:cs="Times New Roman" w:eastAsia="Times New Roman" w:hAnsi="Times New Roman"/>
          <w:sz w:val="14"/>
          <w:szCs w:val="14"/>
          <w:u w:val="single" w:color="auto"/>
          <w:color w:val="auto"/>
        </w:rPr>
        <w:t>Section 5.4(e)</w:t>
      </w:r>
      <w:r>
        <w:rPr>
          <w:rFonts w:ascii="Times New Roman" w:cs="Times New Roman" w:eastAsia="Times New Roman" w:hAnsi="Times New Roman"/>
          <w:sz w:val="14"/>
          <w:szCs w:val="14"/>
          <w:color w:val="auto"/>
        </w:rPr>
        <w:t xml:space="preserve"> shall be provided to the Granting Lender)). Notwithstanding the prior sentence, an SPV shall not be entitled to receive any greater payment under </w:t>
      </w:r>
      <w:r>
        <w:rPr>
          <w:rFonts w:ascii="Times New Roman" w:cs="Times New Roman" w:eastAsia="Times New Roman" w:hAnsi="Times New Roman"/>
          <w:sz w:val="14"/>
          <w:szCs w:val="14"/>
          <w:u w:val="single" w:color="auto"/>
          <w:color w:val="auto"/>
        </w:rPr>
        <w:t>Section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200" w:lineRule="exact"/>
        <w:rPr>
          <w:sz w:val="20"/>
          <w:szCs w:val="20"/>
          <w:color w:val="auto"/>
        </w:rPr>
      </w:pPr>
    </w:p>
    <w:p>
      <w:pPr>
        <w:spacing w:after="0" w:line="21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66" w:name="page267"/>
    <w:bookmarkEnd w:id="266"/>
    <w:p>
      <w:pPr>
        <w:jc w:val="both"/>
        <w:ind w:left="1140" w:right="1159" w:firstLine="524"/>
        <w:spacing w:after="0" w:line="175" w:lineRule="exact"/>
        <w:tabs>
          <w:tab w:leader="none" w:pos="1972" w:val="left"/>
        </w:tabs>
        <w:numPr>
          <w:ilvl w:val="0"/>
          <w:numId w:val="29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Notwithstanding anything to the contrary contained herein, (x) any Lender may, at any time, assign all or a portion of its rights and obligations under this Agreement in respect of its Term Loans to the Borrower, any Subsidiary or an Affiliated Lender and (y) the Borrower and any Subsidiary may, from time to time, purchase or prepay Term Loans, in each case, on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pro rata basis through (1) Dutch auction procedures open to all applicable Lenders on a pro rata basis in accordance with customary procedures to be agreed between the Borrower and the Auction Agent or (2) open market purchases;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169"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93" w:val="left"/>
        </w:tabs>
        <w:numPr>
          <w:ilvl w:val="0"/>
          <w:numId w:val="29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Loans or Commitments acquired the Borrower or any other Subsidiary shall be retired and cancelled promptly upon the acquisition thereof;</w:t>
      </w:r>
    </w:p>
    <w:p>
      <w:pPr>
        <w:spacing w:after="0" w:line="134" w:lineRule="exact"/>
        <w:rPr>
          <w:sz w:val="20"/>
          <w:szCs w:val="20"/>
          <w:color w:val="auto"/>
        </w:rPr>
      </w:pPr>
    </w:p>
    <w:p>
      <w:pPr>
        <w:ind w:left="1140" w:right="1159" w:firstLine="524"/>
        <w:spacing w:after="0" w:line="293" w:lineRule="auto"/>
        <w:tabs>
          <w:tab w:leader="none" w:pos="2015" w:val="left"/>
        </w:tabs>
        <w:numPr>
          <w:ilvl w:val="0"/>
          <w:numId w:val="2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by its acquisition of Loans or Commitments, an Affiliated Lender shall be deemed to have acknowledged and agreed that:</w:t>
      </w:r>
    </w:p>
    <w:p>
      <w:pPr>
        <w:spacing w:after="0" w:line="134" w:lineRule="exact"/>
        <w:rPr>
          <w:rFonts w:ascii="Times New Roman" w:cs="Times New Roman" w:eastAsia="Times New Roman" w:hAnsi="Times New Roman"/>
          <w:sz w:val="14"/>
          <w:szCs w:val="14"/>
          <w:color w:val="010000"/>
        </w:rPr>
      </w:pPr>
    </w:p>
    <w:p>
      <w:pPr>
        <w:jc w:val="both"/>
        <w:ind w:left="2180" w:right="1159" w:firstLine="516"/>
        <w:spacing w:after="0" w:line="176" w:lineRule="exact"/>
        <w:tabs>
          <w:tab w:leader="none" w:pos="3012" w:val="left"/>
        </w:tabs>
        <w:numPr>
          <w:ilvl w:val="2"/>
          <w:numId w:val="292"/>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it shall not have any right to (i) attend or participate in (including, in each case, by telephone) any meeting (including “Lender only” meetings) or discussions (or portion thereof) among the Administrative Agent or any Lender to which representatives of the Borrower are not then present, (ii) receive any information or material prepared by the Administrative Agent or any Lender or any communication by or among the Administrative Agent and one or more Lenders or any other material which is “Lender only”, except to the extent such information or materials have been made available to the Borrower or its representatives (and in any case, other than the right to receive notices of prepayments and other administrative notices in respect of its Loans required to be delivered to Lenders pursuant to Section 2) or receive any advice of counsel to the Administrative Agent or (iii) make any challenge to the Administrative Agent’s or any other Lender’s attorney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client privilege on the basis of its status as a Lender; and</w:t>
      </w:r>
    </w:p>
    <w:p>
      <w:pPr>
        <w:spacing w:after="0" w:line="148" w:lineRule="exact"/>
        <w:rPr>
          <w:rFonts w:ascii="Times New Roman" w:cs="Times New Roman" w:eastAsia="Times New Roman" w:hAnsi="Times New Roman"/>
          <w:sz w:val="16"/>
          <w:szCs w:val="16"/>
          <w:color w:val="010000"/>
        </w:rPr>
      </w:pPr>
    </w:p>
    <w:p>
      <w:pPr>
        <w:ind w:left="3020" w:hanging="324"/>
        <w:spacing w:after="0"/>
        <w:tabs>
          <w:tab w:leader="none" w:pos="3020" w:val="left"/>
        </w:tabs>
        <w:numPr>
          <w:ilvl w:val="2"/>
          <w:numId w:val="292"/>
        </w:numPr>
        <w:rPr>
          <w:rFonts w:ascii="Times New Roman" w:cs="Times New Roman" w:eastAsia="Times New Roman" w:hAnsi="Times New Roman"/>
          <w:sz w:val="16"/>
          <w:szCs w:val="16"/>
          <w:color w:val="010000"/>
        </w:rPr>
      </w:pPr>
      <w:r>
        <w:rPr>
          <w:rFonts w:ascii="Times New Roman" w:cs="Times New Roman" w:eastAsia="Times New Roman" w:hAnsi="Times New Roman"/>
          <w:sz w:val="14"/>
          <w:szCs w:val="14"/>
          <w:color w:val="auto"/>
        </w:rPr>
        <w:t>except with respect to any amendment, modification, waiver, consent or other action</w:t>
      </w:r>
    </w:p>
    <w:p>
      <w:pPr>
        <w:spacing w:after="0" w:line="4" w:lineRule="exact"/>
        <w:rPr>
          <w:rFonts w:ascii="Times New Roman" w:cs="Times New Roman" w:eastAsia="Times New Roman" w:hAnsi="Times New Roman"/>
          <w:sz w:val="16"/>
          <w:szCs w:val="16"/>
          <w:color w:val="010000"/>
        </w:rPr>
      </w:pPr>
    </w:p>
    <w:p>
      <w:pPr>
        <w:jc w:val="both"/>
        <w:ind w:left="2180" w:right="1159"/>
        <w:spacing w:after="0" w:line="258" w:lineRule="auto"/>
        <w:tabs>
          <w:tab w:leader="none" w:pos="2362" w:val="left"/>
        </w:tabs>
        <w:numPr>
          <w:ilvl w:val="1"/>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Section 13.1 requiring the consent of all Lenders, all Lenders directly and adversely affected or specifically such Lender, (II) that alters an Affiliated Lender’s pro rata share of any payments given to all Lenders, or (III) affects the Affiliated Lender (in its capacity as a Lender) in a manner that is disproportionate to the effect on any Lender in the same Class, the Loans held by an Affiliated Lender shall be disregarded in both the numerator and denominator in the calculation of any Lender vote (and, in the case of a plan of reorganization that does not affect the Affiliated Lender in a manner that is materially adverse to such Affiliated Lender relative to other Lenders, shall be deemed to have voted its interest in the Term Loans in the same proportion as the other Lenders) (and shall be deemed to have been voted in the same percentage as all other applicable Lenders voted if necessary to give legal effect to this paragraph); and</w:t>
      </w:r>
    </w:p>
    <w:p>
      <w:pPr>
        <w:spacing w:after="0" w:line="157" w:lineRule="exact"/>
        <w:rPr>
          <w:rFonts w:ascii="Times New Roman" w:cs="Times New Roman" w:eastAsia="Times New Roman" w:hAnsi="Times New Roman"/>
          <w:sz w:val="14"/>
          <w:szCs w:val="14"/>
          <w:color w:val="auto"/>
        </w:rPr>
      </w:pPr>
    </w:p>
    <w:p>
      <w:pPr>
        <w:ind w:left="1140" w:right="1159" w:firstLine="524"/>
        <w:spacing w:after="0" w:line="293" w:lineRule="auto"/>
        <w:tabs>
          <w:tab w:leader="none" w:pos="1982" w:val="left"/>
        </w:tabs>
        <w:numPr>
          <w:ilvl w:val="0"/>
          <w:numId w:val="2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aggregate principal amount of Term Loans held at any one time by Affiliated Lenders may not exceed 30% of the aggregate principal amount of all Term Loans outstanding at the time of such purchase; and</w:t>
      </w:r>
    </w:p>
    <w:p>
      <w:pPr>
        <w:spacing w:after="0" w:line="134" w:lineRule="exact"/>
        <w:rPr>
          <w:rFonts w:ascii="Times New Roman" w:cs="Times New Roman" w:eastAsia="Times New Roman" w:hAnsi="Times New Roman"/>
          <w:sz w:val="14"/>
          <w:szCs w:val="14"/>
          <w:color w:val="010000"/>
        </w:rPr>
      </w:pPr>
    </w:p>
    <w:p>
      <w:pPr>
        <w:jc w:val="both"/>
        <w:ind w:left="1140" w:right="1159" w:firstLine="524"/>
        <w:spacing w:after="0" w:line="275" w:lineRule="auto"/>
        <w:tabs>
          <w:tab w:leader="none" w:pos="2004" w:val="left"/>
        </w:tabs>
        <w:numPr>
          <w:ilvl w:val="0"/>
          <w:numId w:val="29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any such Loans acquired by an Affiliated Lender may, with the consent of the Borrower, be contributed to the Borrower and exchanged for debt or equity securities that are otherwise permitted to be issued at such time (and such Loans or Commitments shall be retired and cancelled promptly).</w:t>
      </w:r>
    </w:p>
    <w:p>
      <w:pPr>
        <w:spacing w:after="0" w:line="135" w:lineRule="exact"/>
        <w:rPr>
          <w:sz w:val="20"/>
          <w:szCs w:val="20"/>
          <w:color w:val="auto"/>
        </w:rPr>
      </w:pPr>
    </w:p>
    <w:p>
      <w:pPr>
        <w:ind w:left="1140" w:right="1179"/>
        <w:spacing w:after="0" w:line="268" w:lineRule="auto"/>
        <w:rPr>
          <w:sz w:val="20"/>
          <w:szCs w:val="20"/>
          <w:color w:val="auto"/>
        </w:rPr>
      </w:pPr>
      <w:r>
        <w:rPr>
          <w:rFonts w:ascii="Times New Roman" w:cs="Times New Roman" w:eastAsia="Times New Roman" w:hAnsi="Times New Roman"/>
          <w:sz w:val="14"/>
          <w:szCs w:val="14"/>
          <w:color w:val="auto"/>
        </w:rPr>
        <w:t>For avoidance of doubt, the foregoing limitations shall not be applicable to Affiliated Institutional Lenders. None of the Borrower, any Subsidiary or any Affiliated Lender shall be required to make any representation that it is not in possession of information which is not publicly available and/or material with respect to the Borrower and its Subsidiaries or their respective securities for purposes of U.S. federal and state securities laws.</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 xml:space="preserve">13.7 </w:t>
      </w:r>
      <w:r>
        <w:rPr>
          <w:rFonts w:ascii="Times New Roman" w:cs="Times New Roman" w:eastAsia="Times New Roman" w:hAnsi="Times New Roman"/>
          <w:sz w:val="14"/>
          <w:szCs w:val="14"/>
          <w:u w:val="single" w:color="auto"/>
          <w:color w:val="auto"/>
        </w:rPr>
        <w:t>Replacements of Lenders Under Certain Circumstances</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24"/>
        <w:spacing w:after="0" w:line="268" w:lineRule="auto"/>
        <w:tabs>
          <w:tab w:leader="none" w:pos="1982" w:val="left"/>
        </w:tabs>
        <w:numPr>
          <w:ilvl w:val="0"/>
          <w:numId w:val="29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Borrower shall be permitted (x) to replace any Lender or (y) to terminate the Commitment of such Lender, Letter of Credit Issuer or Swingline Lender, as the case may be, and (1) in the case of a Lender (other than the Letter of Credit Issuer and Swingline Lender), repay all Obligations of the Borrower due and owing to such Lender relating to the Loans and participations held by such Lender as of such termination date, (2) in the case of the</w:t>
      </w:r>
    </w:p>
    <w:p>
      <w:pPr>
        <w:spacing w:after="0" w:line="22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67" w:name="page268"/>
    <w:bookmarkEnd w:id="267"/>
    <w:p>
      <w:pPr>
        <w:jc w:val="both"/>
        <w:ind w:left="1140" w:right="1159"/>
        <w:spacing w:after="0" w:line="258" w:lineRule="auto"/>
        <w:rPr>
          <w:sz w:val="20"/>
          <w:szCs w:val="20"/>
          <w:color w:val="auto"/>
        </w:rPr>
      </w:pPr>
      <w:r>
        <w:rPr>
          <w:rFonts w:ascii="Times New Roman" w:cs="Times New Roman" w:eastAsia="Times New Roman" w:hAnsi="Times New Roman"/>
          <w:sz w:val="14"/>
          <w:szCs w:val="14"/>
          <w:color w:val="auto"/>
        </w:rPr>
        <w:t xml:space="preserve">Letter of Credit Issuer, repay all Obligations of the Borrower owing to such Letter of Credit Issuer relating to the Loans and participations held by such Letter of Credit Issuer as of such termination date and cancel or backstop on terms satisfactory to such Letter of Credit Issuer any Letters of Credit issued by it, and (3) in the case of a Swingline Lender, repay all Obligations of the Borrower owing to such Swingline Lender relating to the Loans and participations held by the Swingline Lender as of such termination date and cancel or backstop on terms satisfactory to such Swingline Lender any Swingline Loans issued by it that (a) requests reimbursement for amounts owing pursuant to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or (b) is affected in the manner described in </w:t>
      </w:r>
      <w:r>
        <w:rPr>
          <w:rFonts w:ascii="Times New Roman" w:cs="Times New Roman" w:eastAsia="Times New Roman" w:hAnsi="Times New Roman"/>
          <w:sz w:val="14"/>
          <w:szCs w:val="14"/>
          <w:u w:val="single" w:color="auto"/>
          <w:color w:val="auto"/>
        </w:rPr>
        <w:t>Section 2.10(a)(iii)</w:t>
      </w:r>
      <w:r>
        <w:rPr>
          <w:rFonts w:ascii="Times New Roman" w:cs="Times New Roman" w:eastAsia="Times New Roman" w:hAnsi="Times New Roman"/>
          <w:sz w:val="14"/>
          <w:szCs w:val="14"/>
          <w:color w:val="auto"/>
        </w:rPr>
        <w:t xml:space="preserve"> and as a result thereof any of the actions described in such Section is required to be taken, or (c) becomes a Defaulting Lender, with a replacement bank or other financial institution;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such replacement does not conflict with any Requirements of Law, (ii) no Event of Default under </w:t>
      </w:r>
      <w:r>
        <w:rPr>
          <w:rFonts w:ascii="Times New Roman" w:cs="Times New Roman" w:eastAsia="Times New Roman" w:hAnsi="Times New Roman"/>
          <w:sz w:val="14"/>
          <w:szCs w:val="14"/>
          <w:u w:val="single" w:color="auto"/>
          <w:color w:val="auto"/>
        </w:rPr>
        <w:t>Sections 11.1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11.5</w:t>
      </w:r>
      <w:r>
        <w:rPr>
          <w:rFonts w:ascii="Times New Roman" w:cs="Times New Roman" w:eastAsia="Times New Roman" w:hAnsi="Times New Roman"/>
          <w:sz w:val="14"/>
          <w:szCs w:val="14"/>
          <w:color w:val="auto"/>
        </w:rPr>
        <w:t xml:space="preserve"> shall have occurred and be continuing at the time of such replacement, (iii) the Borrower shall repay (or the replacement bank or institution shall purchase, at par) all Loans and other amounts pursuant to </w:t>
      </w:r>
      <w:r>
        <w:rPr>
          <w:rFonts w:ascii="Times New Roman" w:cs="Times New Roman" w:eastAsia="Times New Roman" w:hAnsi="Times New Roman"/>
          <w:sz w:val="14"/>
          <w:szCs w:val="14"/>
          <w:u w:val="single" w:color="auto"/>
          <w:color w:val="auto"/>
        </w:rPr>
        <w:t>Sections 2.10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2.11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3.5</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5.4</w:t>
      </w:r>
      <w:r>
        <w:rPr>
          <w:rFonts w:ascii="Times New Roman" w:cs="Times New Roman" w:eastAsia="Times New Roman" w:hAnsi="Times New Roman"/>
          <w:sz w:val="14"/>
          <w:szCs w:val="14"/>
          <w:color w:val="auto"/>
        </w:rPr>
        <w:t xml:space="preserve">, as the case may be, owing to such replaced Lender prior to the date of replacement, (iv) the replacement bank or institution, if not already a Lender, an Affiliate of a Lender, an Affiliated Lender or Approved Fund, and the terms and conditions of such replacement, shall be reasonably satisfactory to the Administrative Agent, (v) the replacement bank or institution, if not already a Lender shall be subject to the provisions of </w:t>
      </w:r>
      <w:r>
        <w:rPr>
          <w:rFonts w:ascii="Times New Roman" w:cs="Times New Roman" w:eastAsia="Times New Roman" w:hAnsi="Times New Roman"/>
          <w:sz w:val="14"/>
          <w:szCs w:val="14"/>
          <w:u w:val="single" w:color="auto"/>
          <w:color w:val="auto"/>
        </w:rPr>
        <w:t>Section 13.6(b)</w:t>
      </w:r>
      <w:r>
        <w:rPr>
          <w:rFonts w:ascii="Times New Roman" w:cs="Times New Roman" w:eastAsia="Times New Roman" w:hAnsi="Times New Roman"/>
          <w:sz w:val="14"/>
          <w:szCs w:val="14"/>
          <w:color w:val="auto"/>
        </w:rPr>
        <w:t xml:space="preserve">, (vi) the replaced Lender shall be obligated to make such replacement in accordance with the provisions of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306" w:lineRule="exact"/>
        <w:rPr>
          <w:sz w:val="20"/>
          <w:szCs w:val="20"/>
          <w:color w:val="auto"/>
        </w:rPr>
      </w:pPr>
    </w:p>
    <w:p>
      <w:pPr>
        <w:jc w:val="both"/>
        <w:ind w:left="1140" w:right="1159" w:firstLine="524"/>
        <w:spacing w:after="0" w:line="195" w:lineRule="exact"/>
        <w:tabs>
          <w:tab w:leader="none" w:pos="1993" w:val="left"/>
        </w:tabs>
        <w:numPr>
          <w:ilvl w:val="1"/>
          <w:numId w:val="294"/>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If any Lender (such Lender, a “</w:t>
      </w: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Consenting Lender</w:t>
      </w:r>
      <w:r>
        <w:rPr>
          <w:rFonts w:ascii="Times New Roman" w:cs="Times New Roman" w:eastAsia="Times New Roman" w:hAnsi="Times New Roman"/>
          <w:sz w:val="14"/>
          <w:szCs w:val="14"/>
          <w:color w:val="auto"/>
        </w:rPr>
        <w:t xml:space="preserve">”) has failed to consent to a proposed amendment, waiver, discharge or termination that pursuant to the terms of </w:t>
      </w:r>
      <w:r>
        <w:rPr>
          <w:rFonts w:ascii="Times New Roman" w:cs="Times New Roman" w:eastAsia="Times New Roman" w:hAnsi="Times New Roman"/>
          <w:sz w:val="14"/>
          <w:szCs w:val="14"/>
          <w:u w:val="single" w:color="auto"/>
          <w:color w:val="auto"/>
        </w:rPr>
        <w:t>Section 13.1</w:t>
      </w:r>
      <w:r>
        <w:rPr>
          <w:rFonts w:ascii="Times New Roman" w:cs="Times New Roman" w:eastAsia="Times New Roman" w:hAnsi="Times New Roman"/>
          <w:sz w:val="14"/>
          <w:szCs w:val="14"/>
          <w:color w:val="auto"/>
        </w:rPr>
        <w:t xml:space="preserve"> requires the consent of either</w:t>
      </w:r>
    </w:p>
    <w:p>
      <w:pPr>
        <w:jc w:val="both"/>
        <w:ind w:left="1140" w:right="1159" w:firstLine="7"/>
        <w:spacing w:after="0" w:line="173" w:lineRule="exact"/>
        <w:tabs>
          <w:tab w:leader="none" w:pos="1329" w:val="left"/>
        </w:tabs>
        <w:numPr>
          <w:ilvl w:val="0"/>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Consenting Lender grants such consent) to</w:t>
      </w:r>
    </w:p>
    <w:p>
      <w:pPr>
        <w:spacing w:after="0" w:line="1" w:lineRule="exact"/>
        <w:rPr>
          <w:rFonts w:ascii="Times New Roman" w:cs="Times New Roman" w:eastAsia="Times New Roman" w:hAnsi="Times New Roman"/>
          <w:sz w:val="14"/>
          <w:szCs w:val="14"/>
          <w:color w:val="auto"/>
        </w:rPr>
      </w:pPr>
    </w:p>
    <w:p>
      <w:pPr>
        <w:jc w:val="both"/>
        <w:ind w:left="1140" w:right="1159" w:firstLine="7"/>
        <w:spacing w:after="0" w:line="173" w:lineRule="exact"/>
        <w:tabs>
          <w:tab w:leader="none" w:pos="1366"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Consenting Lender by requiring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Consenting Lender to assign its Loans, and its Commitments hereunder to one or more assignees reasonably acceptable to the Administrative Agent (to the extent such consent would be required under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or terminate the Commitment of such Lender or Letter of Credit Issuer, as the case may be, and (1) in the case of a Lender (other than the Letter of Credit Issuer and Swingline Lender), repay all Obligations of the Borrower due and owing to such Lender relating to the Loans and participations held by such Lender as of such termination date,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and (3) in the case of a Swingline Lender, repay all Obligations of the Borrower owing to such Swingline Lender relating to the Loans and participations held by the Swingline Lender as of such termination date and cancel or backstop on terms satisfactory to such Swingline Lender any Swingline Loans issued by it;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(a) all Obligations hereunder of the Borrower owing to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Consenting Lender being replaced shall be paid in full to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Consenting Lender concurrently with such assignment including any amounts that such Lender may be owed pursuant to </w:t>
      </w:r>
      <w:r>
        <w:rPr>
          <w:rFonts w:ascii="Times New Roman" w:cs="Times New Roman" w:eastAsia="Times New Roman" w:hAnsi="Times New Roman"/>
          <w:sz w:val="14"/>
          <w:szCs w:val="14"/>
          <w:u w:val="single" w:color="auto"/>
          <w:color w:val="auto"/>
        </w:rPr>
        <w:t>Section 2.11</w:t>
      </w:r>
      <w:r>
        <w:rPr>
          <w:rFonts w:ascii="Times New Roman" w:cs="Times New Roman" w:eastAsia="Times New Roman" w:hAnsi="Times New Roman"/>
          <w:sz w:val="14"/>
          <w:szCs w:val="14"/>
          <w:color w:val="auto"/>
        </w:rPr>
        <w:t>, and (b) the replacement Lender shall purchase the foregoing by paying to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Consenting Lender a price equal to the principal amount thereof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thereon, and (c) the Borrower shall pay to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Consenting Lender the amount, if any, owing to such Lender pursuant to </w:t>
      </w:r>
      <w:r>
        <w:rPr>
          <w:rFonts w:ascii="Times New Roman" w:cs="Times New Roman" w:eastAsia="Times New Roman" w:hAnsi="Times New Roman"/>
          <w:sz w:val="14"/>
          <w:szCs w:val="14"/>
          <w:u w:val="single" w:color="auto"/>
          <w:color w:val="auto"/>
        </w:rPr>
        <w:t>Section 5.1(b)</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5.1(c)</w:t>
      </w:r>
      <w:r>
        <w:rPr>
          <w:rFonts w:ascii="Times New Roman" w:cs="Times New Roman" w:eastAsia="Times New Roman" w:hAnsi="Times New Roman"/>
          <w:sz w:val="14"/>
          <w:szCs w:val="14"/>
          <w:color w:val="auto"/>
        </w:rPr>
        <w:t>. In connection with any such assignment, the Borrower, the Administrative Agent,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Consenting Lender and the replacement Lender shall otherwise comply with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w:t>
      </w:r>
    </w:p>
    <w:p>
      <w:pPr>
        <w:spacing w:after="0" w:line="303" w:lineRule="exact"/>
        <w:rPr>
          <w:sz w:val="20"/>
          <w:szCs w:val="20"/>
          <w:color w:val="auto"/>
        </w:rPr>
      </w:pPr>
    </w:p>
    <w:p>
      <w:pPr>
        <w:ind w:left="1660"/>
        <w:spacing w:after="0" w:line="161" w:lineRule="exact"/>
        <w:rPr>
          <w:sz w:val="20"/>
          <w:szCs w:val="20"/>
          <w:color w:val="auto"/>
        </w:rPr>
      </w:pPr>
      <w:r>
        <w:rPr>
          <w:rFonts w:ascii="Times New Roman" w:cs="Times New Roman" w:eastAsia="Times New Roman" w:hAnsi="Times New Roman"/>
          <w:sz w:val="14"/>
          <w:szCs w:val="14"/>
          <w:color w:val="auto"/>
        </w:rPr>
        <w:t xml:space="preserve">13.8 </w:t>
      </w:r>
      <w:r>
        <w:rPr>
          <w:rFonts w:ascii="Times New Roman" w:cs="Times New Roman" w:eastAsia="Times New Roman" w:hAnsi="Times New Roman"/>
          <w:sz w:val="14"/>
          <w:szCs w:val="14"/>
          <w:u w:val="single" w:color="auto"/>
          <w:color w:val="auto"/>
        </w:rPr>
        <w:t>Adjustments; Set</w:t>
      </w:r>
      <w:r>
        <w:rPr>
          <w:rFonts w:ascii="MS PGothic" w:cs="MS PGothic" w:eastAsia="MS PGothic" w:hAnsi="MS PGothic"/>
          <w:sz w:val="14"/>
          <w:szCs w:val="14"/>
          <w:u w:val="single" w:color="auto"/>
          <w:color w:val="auto"/>
        </w:rPr>
        <w:t>‑</w:t>
      </w:r>
      <w:r>
        <w:rPr>
          <w:rFonts w:ascii="Times New Roman" w:cs="Times New Roman" w:eastAsia="Times New Roman" w:hAnsi="Times New Roman"/>
          <w:sz w:val="14"/>
          <w:szCs w:val="14"/>
          <w:u w:val="single" w:color="auto"/>
          <w:color w:val="auto"/>
        </w:rPr>
        <w:t>off</w:t>
      </w:r>
      <w:r>
        <w:rPr>
          <w:rFonts w:ascii="Times New Roman" w:cs="Times New Roman" w:eastAsia="Times New Roman" w:hAnsi="Times New Roman"/>
          <w:sz w:val="14"/>
          <w:szCs w:val="14"/>
          <w:color w:val="auto"/>
        </w:rPr>
        <w:t>.</w:t>
      </w:r>
    </w:p>
    <w:p>
      <w:pPr>
        <w:spacing w:after="0" w:line="225" w:lineRule="exact"/>
        <w:rPr>
          <w:sz w:val="20"/>
          <w:szCs w:val="20"/>
          <w:color w:val="auto"/>
        </w:rPr>
      </w:pPr>
    </w:p>
    <w:p>
      <w:pPr>
        <w:jc w:val="both"/>
        <w:ind w:left="1140" w:right="1159" w:firstLine="524"/>
        <w:spacing w:after="0" w:line="175" w:lineRule="exact"/>
        <w:tabs>
          <w:tab w:leader="none" w:pos="1993" w:val="left"/>
        </w:tabs>
        <w:numPr>
          <w:ilvl w:val="0"/>
          <w:numId w:val="29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Except as contemplated in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or elsewhere herein (or in the Second Lien Intercreditor Agreement and/or the First Lien Intercreditor Agreement), if any Lender (a “</w:t>
      </w:r>
      <w:r>
        <w:rPr>
          <w:rFonts w:ascii="Times New Roman" w:cs="Times New Roman" w:eastAsia="Times New Roman" w:hAnsi="Times New Roman"/>
          <w:sz w:val="14"/>
          <w:szCs w:val="14"/>
          <w:b w:val="1"/>
          <w:bCs w:val="1"/>
          <w:color w:val="auto"/>
        </w:rPr>
        <w:t>Benefited Lender</w:t>
      </w:r>
      <w:r>
        <w:rPr>
          <w:rFonts w:ascii="Times New Roman" w:cs="Times New Roman" w:eastAsia="Times New Roman" w:hAnsi="Times New Roman"/>
          <w:sz w:val="14"/>
          <w:szCs w:val="14"/>
          <w:color w:val="auto"/>
        </w:rPr>
        <w:t>”) shall at any time receive any payment of all or part of its Loans, or interest thereon, or receive any collateral in respect thereof (whether voluntarily or involuntarily, by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off, pursuant to events or proceedings of the nature referred to in </w:t>
      </w:r>
      <w:r>
        <w:rPr>
          <w:rFonts w:ascii="Times New Roman" w:cs="Times New Roman" w:eastAsia="Times New Roman" w:hAnsi="Times New Roman"/>
          <w:sz w:val="14"/>
          <w:szCs w:val="14"/>
          <w:u w:val="single" w:color="auto"/>
          <w:color w:val="auto"/>
        </w:rPr>
        <w:t>Section 11.5</w:t>
      </w:r>
      <w:r>
        <w:rPr>
          <w:rFonts w:ascii="Times New Roman" w:cs="Times New Roman" w:eastAsia="Times New Roman" w:hAnsi="Times New Roman"/>
          <w:sz w:val="14"/>
          <w:szCs w:val="14"/>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if all or any portion of such excess payment or benefits is thereafter recovered from such Benefited</w:t>
      </w:r>
    </w:p>
    <w:p>
      <w:pPr>
        <w:spacing w:after="0" w:line="200" w:lineRule="exact"/>
        <w:rPr>
          <w:sz w:val="20"/>
          <w:szCs w:val="20"/>
          <w:color w:val="auto"/>
        </w:rPr>
      </w:pPr>
    </w:p>
    <w:p>
      <w:pPr>
        <w:spacing w:after="0" w:line="20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2">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68" w:name="page269"/>
    <w:bookmarkEnd w:id="268"/>
    <w:p>
      <w:pPr>
        <w:ind w:left="1140" w:right="1159"/>
        <w:spacing w:after="0" w:line="293" w:lineRule="auto"/>
        <w:rPr>
          <w:sz w:val="20"/>
          <w:szCs w:val="20"/>
          <w:color w:val="auto"/>
        </w:rPr>
      </w:pPr>
      <w:r>
        <w:rPr>
          <w:rFonts w:ascii="Times New Roman" w:cs="Times New Roman" w:eastAsia="Times New Roman" w:hAnsi="Times New Roman"/>
          <w:sz w:val="14"/>
          <w:szCs w:val="14"/>
          <w:color w:val="auto"/>
        </w:rPr>
        <w:t>Lender, such purchase shall be rescinded, and the purchase price and benefits returned, to the extent of such recovery, but without interest.</w:t>
      </w:r>
    </w:p>
    <w:p>
      <w:pPr>
        <w:spacing w:after="0" w:line="134" w:lineRule="exact"/>
        <w:rPr>
          <w:sz w:val="20"/>
          <w:szCs w:val="20"/>
          <w:color w:val="auto"/>
        </w:rPr>
      </w:pPr>
    </w:p>
    <w:p>
      <w:pPr>
        <w:jc w:val="both"/>
        <w:ind w:left="1140" w:right="1159" w:firstLine="524"/>
        <w:spacing w:after="0" w:line="177" w:lineRule="exact"/>
        <w:tabs>
          <w:tab w:leader="none" w:pos="1972" w:val="left"/>
        </w:tabs>
        <w:numPr>
          <w:ilvl w:val="0"/>
          <w:numId w:val="29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off and application made by such Lender;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failure to give such notice shall not affect the validity of such set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off and application.</w:t>
      </w:r>
    </w:p>
    <w:p>
      <w:pPr>
        <w:spacing w:after="0" w:line="308"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u w:val="single" w:color="auto"/>
          <w:color w:val="auto"/>
        </w:rPr>
        <w:t>13.9 Counterparts</w:t>
      </w:r>
      <w:r>
        <w:rPr>
          <w:rFonts w:ascii="Times New Roman" w:cs="Times New Roman" w:eastAsia="Times New Roman" w:hAnsi="Times New Roman"/>
          <w:sz w:val="14"/>
          <w:szCs w:val="14"/>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52" w:lineRule="exact"/>
        <w:rPr>
          <w:sz w:val="20"/>
          <w:szCs w:val="20"/>
          <w:color w:val="auto"/>
        </w:rPr>
      </w:pPr>
    </w:p>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u w:val="single" w:color="auto"/>
          <w:color w:val="auto"/>
        </w:rPr>
        <w:t>13.10 Severability</w:t>
      </w:r>
      <w:r>
        <w:rPr>
          <w:rFonts w:ascii="Times New Roman" w:cs="Times New Roman" w:eastAsia="Times New Roman" w:hAnsi="Times New Roman"/>
          <w:sz w:val="14"/>
          <w:szCs w:val="14"/>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52" w:lineRule="exact"/>
        <w:rPr>
          <w:sz w:val="20"/>
          <w:szCs w:val="20"/>
          <w:color w:val="auto"/>
        </w:rPr>
      </w:pPr>
    </w:p>
    <w:p>
      <w:pPr>
        <w:jc w:val="both"/>
        <w:ind w:left="1140" w:right="1159" w:firstLine="517"/>
        <w:spacing w:after="0" w:line="265" w:lineRule="auto"/>
        <w:rPr>
          <w:sz w:val="20"/>
          <w:szCs w:val="20"/>
          <w:color w:val="auto"/>
        </w:rPr>
      </w:pPr>
      <w:r>
        <w:rPr>
          <w:rFonts w:ascii="Times New Roman" w:cs="Times New Roman" w:eastAsia="Times New Roman" w:hAnsi="Times New Roman"/>
          <w:sz w:val="14"/>
          <w:szCs w:val="14"/>
          <w:u w:val="single" w:color="auto"/>
          <w:color w:val="auto"/>
        </w:rPr>
        <w:t>13.11 Integration</w:t>
      </w:r>
      <w:r>
        <w:rPr>
          <w:rFonts w:ascii="Times New Roman" w:cs="Times New Roman" w:eastAsia="Times New Roman" w:hAnsi="Times New Roman"/>
          <w:sz w:val="14"/>
          <w:szCs w:val="14"/>
          <w:color w:val="auto"/>
        </w:rPr>
        <w:t>. This Agreement and the other Credit Documents represent the agreement of Holdings, the Borrower, the Collateral Agent, the 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155" w:lineRule="exact"/>
        <w:rPr>
          <w:sz w:val="20"/>
          <w:szCs w:val="20"/>
          <w:color w:val="auto"/>
        </w:rPr>
      </w:pPr>
    </w:p>
    <w:p>
      <w:pPr>
        <w:jc w:val="both"/>
        <w:ind w:left="1140" w:right="1159" w:firstLine="517"/>
        <w:spacing w:after="0" w:line="267" w:lineRule="auto"/>
        <w:rPr>
          <w:sz w:val="20"/>
          <w:szCs w:val="20"/>
          <w:color w:val="auto"/>
        </w:rPr>
      </w:pPr>
      <w:r>
        <w:rPr>
          <w:rFonts w:ascii="Times New Roman" w:cs="Times New Roman" w:eastAsia="Times New Roman" w:hAnsi="Times New Roman"/>
          <w:sz w:val="14"/>
          <w:szCs w:val="14"/>
          <w:u w:val="single" w:color="auto"/>
          <w:color w:val="auto"/>
        </w:rPr>
        <w:t>13.12 GOVERNING LAW</w:t>
      </w:r>
      <w:r>
        <w:rPr>
          <w:rFonts w:ascii="Times New Roman" w:cs="Times New Roman" w:eastAsia="Times New Roman" w:hAnsi="Times New Roman"/>
          <w:sz w:val="14"/>
          <w:szCs w:val="14"/>
          <w:color w:val="auto"/>
        </w:rPr>
        <w:t>.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w:t>
      </w:r>
    </w:p>
    <w:p>
      <w:pPr>
        <w:spacing w:after="0" w:line="327" w:lineRule="exact"/>
        <w:rPr>
          <w:sz w:val="20"/>
          <w:szCs w:val="20"/>
          <w:color w:val="auto"/>
        </w:rPr>
      </w:pPr>
    </w:p>
    <w:p>
      <w:pPr>
        <w:ind w:left="1660"/>
        <w:spacing w:after="0"/>
        <w:tabs>
          <w:tab w:leader="none" w:pos="2280" w:val="left"/>
        </w:tabs>
        <w:rPr>
          <w:sz w:val="20"/>
          <w:szCs w:val="20"/>
          <w:color w:val="auto"/>
        </w:rPr>
      </w:pPr>
      <w:r>
        <w:rPr>
          <w:rFonts w:ascii="Times New Roman" w:cs="Times New Roman" w:eastAsia="Times New Roman" w:hAnsi="Times New Roman"/>
          <w:sz w:val="14"/>
          <w:szCs w:val="14"/>
          <w:u w:val="single" w:color="auto"/>
          <w:color w:val="auto"/>
        </w:rPr>
        <w:t>13.13</w:t>
      </w:r>
      <w:r>
        <w:rPr>
          <w:sz w:val="20"/>
          <w:szCs w:val="20"/>
          <w:color w:val="auto"/>
        </w:rPr>
        <w:tab/>
      </w:r>
      <w:r>
        <w:rPr>
          <w:rFonts w:ascii="Times New Roman" w:cs="Times New Roman" w:eastAsia="Times New Roman" w:hAnsi="Times New Roman"/>
          <w:sz w:val="14"/>
          <w:szCs w:val="14"/>
          <w:u w:val="single" w:color="auto"/>
          <w:color w:val="auto"/>
        </w:rPr>
        <w:t>Submission to Jurisdiction; Waivers</w:t>
      </w:r>
      <w:r>
        <w:rPr>
          <w:rFonts w:ascii="Times New Roman" w:cs="Times New Roman" w:eastAsia="Times New Roman" w:hAnsi="Times New Roman"/>
          <w:sz w:val="14"/>
          <w:szCs w:val="14"/>
          <w:color w:val="auto"/>
        </w:rPr>
        <w:t>. Each party hereto irrevocably and unconditionally:</w:t>
      </w:r>
    </w:p>
    <w:p>
      <w:pPr>
        <w:spacing w:after="0" w:line="194" w:lineRule="exact"/>
        <w:rPr>
          <w:sz w:val="20"/>
          <w:szCs w:val="20"/>
          <w:color w:val="auto"/>
        </w:rPr>
      </w:pPr>
    </w:p>
    <w:p>
      <w:pPr>
        <w:jc w:val="both"/>
        <w:ind w:left="1140" w:right="1159" w:firstLine="524"/>
        <w:spacing w:after="0" w:line="268" w:lineRule="auto"/>
        <w:tabs>
          <w:tab w:leader="none" w:pos="1972" w:val="left"/>
        </w:tabs>
        <w:numPr>
          <w:ilvl w:val="0"/>
          <w:numId w:val="2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5" w:lineRule="auto"/>
        <w:tabs>
          <w:tab w:leader="none" w:pos="1982" w:val="left"/>
        </w:tabs>
        <w:numPr>
          <w:ilvl w:val="0"/>
          <w:numId w:val="2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consents that any such action or proceeding shall be brought in such courts and waives any right to any other jurisdiction to which it may be entitled on account of its present or future place of residence or domicile or any other reason,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82" w:val="left"/>
        </w:tabs>
        <w:numPr>
          <w:ilvl w:val="0"/>
          <w:numId w:val="2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Times New Roman" w:cs="Times New Roman" w:eastAsia="Times New Roman" w:hAnsi="Times New Roman"/>
          <w:sz w:val="14"/>
          <w:szCs w:val="14"/>
          <w:u w:val="single" w:color="auto"/>
          <w:color w:val="auto"/>
        </w:rPr>
        <w:t>Schedule 13.2</w:t>
      </w:r>
      <w:r>
        <w:rPr>
          <w:rFonts w:ascii="Times New Roman" w:cs="Times New Roman" w:eastAsia="Times New Roman" w:hAnsi="Times New Roman"/>
          <w:sz w:val="14"/>
          <w:szCs w:val="14"/>
          <w:color w:val="auto"/>
        </w:rPr>
        <w:t xml:space="preserve"> or such other address of which the Administrative Agent shall have been notified pursuant to </w:t>
      </w:r>
      <w:r>
        <w:rPr>
          <w:rFonts w:ascii="Times New Roman" w:cs="Times New Roman" w:eastAsia="Times New Roman" w:hAnsi="Times New Roman"/>
          <w:sz w:val="14"/>
          <w:szCs w:val="14"/>
          <w:u w:val="single" w:color="auto"/>
          <w:color w:val="auto"/>
        </w:rPr>
        <w:t>Section 13.2</w:t>
      </w:r>
      <w:r>
        <w:rPr>
          <w:rFonts w:ascii="Times New Roman" w:cs="Times New Roman" w:eastAsia="Times New Roman" w:hAnsi="Times New Roman"/>
          <w:sz w:val="14"/>
          <w:szCs w:val="14"/>
          <w:color w:val="auto"/>
        </w:rPr>
        <w:t>;</w:t>
      </w:r>
    </w:p>
    <w:p>
      <w:pPr>
        <w:spacing w:after="0" w:line="152"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29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agrees that nothing herein shall affect the right of the Administrative Agent, the Collateral Agent or</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3">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69" w:name="page270"/>
    <w:bookmarkEnd w:id="269"/>
    <w:p>
      <w:pPr>
        <w:jc w:val="both"/>
        <w:ind w:left="1140" w:right="1159"/>
        <w:spacing w:after="0" w:line="275" w:lineRule="auto"/>
        <w:rPr>
          <w:sz w:val="20"/>
          <w:szCs w:val="20"/>
          <w:color w:val="auto"/>
        </w:rPr>
      </w:pPr>
      <w:r>
        <w:rPr>
          <w:rFonts w:ascii="Times New Roman" w:cs="Times New Roman" w:eastAsia="Times New Roman" w:hAnsi="Times New Roman"/>
          <w:sz w:val="14"/>
          <w:szCs w:val="14"/>
          <w:color w:val="auto"/>
        </w:rPr>
        <w:t>any other Secured Party to effect service of process in any other manner permitted by law or to commence legal proceedings or otherwise proceed against Holdings, the Borrower or any other Credit Party in any other jurisdiction; and</w:t>
      </w:r>
    </w:p>
    <w:p>
      <w:pPr>
        <w:spacing w:after="0" w:line="146" w:lineRule="exact"/>
        <w:rPr>
          <w:sz w:val="20"/>
          <w:szCs w:val="20"/>
          <w:color w:val="auto"/>
        </w:rPr>
      </w:pPr>
    </w:p>
    <w:p>
      <w:pPr>
        <w:jc w:val="both"/>
        <w:ind w:left="1140" w:right="1159" w:firstLine="524"/>
        <w:spacing w:after="0" w:line="268" w:lineRule="auto"/>
        <w:tabs>
          <w:tab w:leader="none" w:pos="1972" w:val="left"/>
        </w:tabs>
        <w:numPr>
          <w:ilvl w:val="0"/>
          <w:numId w:val="30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waives, to the maximum extent not prohibited by law, any right it may have to claim or recover in any legal action or proceeding referred to in this </w:t>
      </w:r>
      <w:r>
        <w:rPr>
          <w:rFonts w:ascii="Times New Roman" w:cs="Times New Roman" w:eastAsia="Times New Roman" w:hAnsi="Times New Roman"/>
          <w:sz w:val="14"/>
          <w:szCs w:val="14"/>
          <w:u w:val="single" w:color="auto"/>
          <w:color w:val="auto"/>
        </w:rPr>
        <w:t>Section 13.13</w:t>
      </w:r>
      <w:r>
        <w:rPr>
          <w:rFonts w:ascii="Times New Roman" w:cs="Times New Roman" w:eastAsia="Times New Roman" w:hAnsi="Times New Roman"/>
          <w:sz w:val="14"/>
          <w:szCs w:val="14"/>
          <w:color w:val="auto"/>
        </w:rPr>
        <w:t xml:space="preserve"> any special, exemplary, punitive or consequential damages;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in this </w:t>
      </w:r>
      <w:r>
        <w:rPr>
          <w:rFonts w:ascii="Times New Roman" w:cs="Times New Roman" w:eastAsia="Times New Roman" w:hAnsi="Times New Roman"/>
          <w:sz w:val="14"/>
          <w:szCs w:val="14"/>
          <w:u w:val="single" w:color="auto"/>
          <w:color w:val="auto"/>
        </w:rPr>
        <w:t>clause (e)</w:t>
      </w:r>
      <w:r>
        <w:rPr>
          <w:rFonts w:ascii="Times New Roman" w:cs="Times New Roman" w:eastAsia="Times New Roman" w:hAnsi="Times New Roman"/>
          <w:sz w:val="14"/>
          <w:szCs w:val="14"/>
          <w:color w:val="auto"/>
        </w:rPr>
        <w:t xml:space="preserve"> shall limit the Credit Parties’ indemnification obligations set forth in </w:t>
      </w:r>
      <w:r>
        <w:rPr>
          <w:rFonts w:ascii="Times New Roman" w:cs="Times New Roman" w:eastAsia="Times New Roman" w:hAnsi="Times New Roman"/>
          <w:sz w:val="14"/>
          <w:szCs w:val="14"/>
          <w:u w:val="single" w:color="auto"/>
          <w:color w:val="auto"/>
        </w:rPr>
        <w:t>Section 13.5</w:t>
      </w:r>
      <w:r>
        <w:rPr>
          <w:rFonts w:ascii="Times New Roman" w:cs="Times New Roman" w:eastAsia="Times New Roman" w:hAnsi="Times New Roman"/>
          <w:sz w:val="14"/>
          <w:szCs w:val="14"/>
          <w:color w:val="auto"/>
        </w:rPr>
        <w:t>.</w:t>
      </w:r>
    </w:p>
    <w:p>
      <w:pPr>
        <w:spacing w:after="0" w:line="152" w:lineRule="exact"/>
        <w:rPr>
          <w:sz w:val="20"/>
          <w:szCs w:val="20"/>
          <w:color w:val="auto"/>
        </w:rPr>
      </w:pPr>
    </w:p>
    <w:p>
      <w:pPr>
        <w:ind w:left="1660"/>
        <w:spacing w:after="0"/>
        <w:tabs>
          <w:tab w:leader="none" w:pos="2280" w:val="left"/>
        </w:tabs>
        <w:rPr>
          <w:sz w:val="20"/>
          <w:szCs w:val="20"/>
          <w:color w:val="auto"/>
        </w:rPr>
      </w:pPr>
      <w:r>
        <w:rPr>
          <w:rFonts w:ascii="Times New Roman" w:cs="Times New Roman" w:eastAsia="Times New Roman" w:hAnsi="Times New Roman"/>
          <w:sz w:val="14"/>
          <w:szCs w:val="14"/>
          <w:u w:val="single" w:color="auto"/>
          <w:color w:val="auto"/>
        </w:rPr>
        <w:t>13.14</w:t>
      </w:r>
      <w:r>
        <w:rPr>
          <w:sz w:val="20"/>
          <w:szCs w:val="20"/>
          <w:color w:val="auto"/>
        </w:rPr>
        <w:tab/>
      </w:r>
      <w:r>
        <w:rPr>
          <w:rFonts w:ascii="Times New Roman" w:cs="Times New Roman" w:eastAsia="Times New Roman" w:hAnsi="Times New Roman"/>
          <w:sz w:val="14"/>
          <w:szCs w:val="14"/>
          <w:u w:val="single" w:color="auto"/>
          <w:color w:val="auto"/>
        </w:rPr>
        <w:t>Acknowledgments</w:t>
      </w:r>
      <w:r>
        <w:rPr>
          <w:rFonts w:ascii="Times New Roman" w:cs="Times New Roman" w:eastAsia="Times New Roman" w:hAnsi="Times New Roman"/>
          <w:sz w:val="14"/>
          <w:szCs w:val="14"/>
          <w:color w:val="auto"/>
        </w:rPr>
        <w:t>. Each of Holdings and the Borrower hereby acknowledges that:</w:t>
      </w:r>
    </w:p>
    <w:p>
      <w:pPr>
        <w:spacing w:after="0" w:line="194" w:lineRule="exact"/>
        <w:rPr>
          <w:sz w:val="20"/>
          <w:szCs w:val="20"/>
          <w:color w:val="auto"/>
        </w:rPr>
      </w:pPr>
    </w:p>
    <w:p>
      <w:pPr>
        <w:ind w:left="1140" w:right="1159" w:firstLine="524"/>
        <w:spacing w:after="0" w:line="293" w:lineRule="auto"/>
        <w:tabs>
          <w:tab w:leader="none" w:pos="1972" w:val="left"/>
        </w:tabs>
        <w:numPr>
          <w:ilvl w:val="0"/>
          <w:numId w:val="30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it has been advised by counsel in the negotiation, execution, and delivery of this Agreement and the other Credit Documents;</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174" w:lineRule="exact"/>
        <w:tabs>
          <w:tab w:leader="none" w:pos="2004" w:val="left"/>
        </w:tabs>
        <w:numPr>
          <w:ilvl w:val="0"/>
          <w:numId w:val="30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 the credit facilities provided for hereunder and any related arranging or other services in connection therewith (including in connection with any amendment, waiver or other modification hereof or of any other Credit Document) are an arm’s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172" w:lineRule="exact"/>
        <w:rPr>
          <w:sz w:val="20"/>
          <w:szCs w:val="20"/>
          <w:color w:val="auto"/>
        </w:rPr>
      </w:pPr>
    </w:p>
    <w:p>
      <w:pPr>
        <w:jc w:val="both"/>
        <w:ind w:left="1140" w:right="1159" w:firstLine="524"/>
        <w:spacing w:after="0" w:line="268" w:lineRule="auto"/>
        <w:tabs>
          <w:tab w:leader="none" w:pos="1972" w:val="left"/>
        </w:tabs>
        <w:numPr>
          <w:ilvl w:val="0"/>
          <w:numId w:val="30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equity holders, creditors or employees, or any other Person;</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30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159" w:lineRule="exact"/>
        <w:rPr>
          <w:rFonts w:ascii="Times New Roman" w:cs="Times New Roman" w:eastAsia="Times New Roman" w:hAnsi="Times New Roman"/>
          <w:sz w:val="14"/>
          <w:szCs w:val="14"/>
          <w:color w:val="010000"/>
        </w:rPr>
      </w:pPr>
    </w:p>
    <w:p>
      <w:pPr>
        <w:jc w:val="both"/>
        <w:ind w:left="1140" w:right="1159" w:firstLine="524"/>
        <w:spacing w:after="0" w:line="268" w:lineRule="auto"/>
        <w:tabs>
          <w:tab w:leader="none" w:pos="1972" w:val="left"/>
        </w:tabs>
        <w:numPr>
          <w:ilvl w:val="0"/>
          <w:numId w:val="30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Administrative Agent, each other Agent and each Affiliate of the foregoing may be engaged in a broad range of transactions that involve interests that differ from those of the Borrower and its Affiliates, and neither the Administrative Agent nor any other Agent has any obligation to disclose any of such interests by virtue of any advisory, agency or fiduciary relationship; and</w:t>
      </w:r>
    </w:p>
    <w:p>
      <w:pPr>
        <w:spacing w:after="0" w:line="152" w:lineRule="exact"/>
        <w:rPr>
          <w:rFonts w:ascii="Times New Roman" w:cs="Times New Roman" w:eastAsia="Times New Roman" w:hAnsi="Times New Roman"/>
          <w:sz w:val="14"/>
          <w:szCs w:val="14"/>
          <w:color w:val="010000"/>
        </w:rPr>
      </w:pPr>
    </w:p>
    <w:p>
      <w:pPr>
        <w:jc w:val="both"/>
        <w:ind w:left="1140" w:right="1159" w:firstLine="524"/>
        <w:spacing w:after="0" w:line="261" w:lineRule="auto"/>
        <w:tabs>
          <w:tab w:leader="none" w:pos="1972" w:val="left"/>
        </w:tabs>
        <w:numPr>
          <w:ilvl w:val="0"/>
          <w:numId w:val="302"/>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has consulted their own legal, accounting, regulatory and tax advisors to the extent it has deemed appropriate. The Borrower hereby agrees that it will not claim that any Agent owes a fiduciary or similar duty to the Credit Parties in connection with the Transactions, the Amendment No. 4 Transactions, the Amendment No. 5 Transactions </w:t>
      </w:r>
      <w:r>
        <w:rPr>
          <w:rFonts w:ascii="Times New Roman" w:cs="Times New Roman" w:eastAsia="Times New Roman" w:hAnsi="Times New Roman"/>
          <w:sz w:val="14"/>
          <w:szCs w:val="14"/>
          <w:color w:val="FF0000"/>
        </w:rPr>
        <w:t>or</w:t>
      </w:r>
      <w:r>
        <w:rPr>
          <w:rFonts w:ascii="Times New Roman" w:cs="Times New Roman" w:eastAsia="Times New Roman" w:hAnsi="Times New Roman"/>
          <w:sz w:val="14"/>
          <w:szCs w:val="14"/>
          <w:u w:val="single" w:color="auto"/>
          <w:color w:val="0000FF"/>
        </w:rPr>
        <w:t>,</w:t>
      </w:r>
      <w:r>
        <w:rPr>
          <w:rFonts w:ascii="Times New Roman" w:cs="Times New Roman" w:eastAsia="Times New Roman" w:hAnsi="Times New Roman"/>
          <w:sz w:val="14"/>
          <w:szCs w:val="14"/>
          <w:color w:val="auto"/>
        </w:rPr>
        <w:t xml:space="preserve"> the Amendment No. 6 Transactions </w:t>
      </w:r>
      <w:r>
        <w:rPr>
          <w:rFonts w:ascii="Times New Roman" w:cs="Times New Roman" w:eastAsia="Times New Roman" w:hAnsi="Times New Roman"/>
          <w:sz w:val="14"/>
          <w:szCs w:val="14"/>
          <w:u w:val="single" w:color="auto"/>
          <w:color w:val="0000FF"/>
        </w:rPr>
        <w:t>or the Amendment No. 7 Transactions</w:t>
      </w:r>
      <w:r>
        <w:rPr>
          <w:rFonts w:ascii="Times New Roman" w:cs="Times New Roman" w:eastAsia="Times New Roman" w:hAnsi="Times New Roman"/>
          <w:sz w:val="14"/>
          <w:szCs w:val="14"/>
          <w:color w:val="auto"/>
        </w:rPr>
        <w:t xml:space="preserve"> contemplated hereby and waives and releases, to the fullest extent permitted by law, any claims that it may have against the Administrative Agent or any other Agent with respect to any breach or alleged breach of agency or fiduciary duty;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-396240</wp:posOffset>
            </wp:positionV>
            <wp:extent cx="105410"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4">
                      <a:extLst>
                        <a:ext uri="{28A0092B-C50C-407E-A947-70E740481C1C}"/>
                      </a:extLst>
                    </a:blip>
                    <a:srcRect/>
                    <a:stretch>
                      <a:fillRect/>
                    </a:stretch>
                  </pic:blipFill>
                  <pic:spPr bwMode="auto">
                    <a:xfrm>
                      <a:off x="0" y="0"/>
                      <a:ext cx="105410" cy="6985"/>
                    </a:xfrm>
                    <a:prstGeom prst="rect">
                      <a:avLst/>
                    </a:prstGeom>
                    <a:noFill/>
                  </pic:spPr>
                </pic:pic>
              </a:graphicData>
            </a:graphic>
          </wp:anchor>
        </w:drawing>
      </w:r>
    </w:p>
    <w:p>
      <w:pPr>
        <w:spacing w:after="0" w:line="137" w:lineRule="exact"/>
        <w:rPr>
          <w:sz w:val="20"/>
          <w:szCs w:val="20"/>
          <w:color w:val="auto"/>
        </w:rPr>
      </w:pPr>
    </w:p>
    <w:p>
      <w:pPr>
        <w:jc w:val="both"/>
        <w:ind w:left="1140" w:right="1159" w:firstLine="524"/>
        <w:spacing w:after="0" w:line="275" w:lineRule="auto"/>
        <w:tabs>
          <w:tab w:leader="none" w:pos="1972" w:val="left"/>
        </w:tabs>
        <w:numPr>
          <w:ilvl w:val="0"/>
          <w:numId w:val="303"/>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21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5">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70" w:name="page271"/>
    <w:bookmarkEnd w:id="270"/>
    <w:p>
      <w:pPr>
        <w:jc w:val="both"/>
        <w:ind w:left="1140" w:right="1159" w:firstLine="517"/>
        <w:spacing w:after="0" w:line="268" w:lineRule="auto"/>
        <w:rPr>
          <w:sz w:val="20"/>
          <w:szCs w:val="20"/>
          <w:color w:val="auto"/>
        </w:rPr>
      </w:pPr>
      <w:r>
        <w:rPr>
          <w:rFonts w:ascii="Times New Roman" w:cs="Times New Roman" w:eastAsia="Times New Roman" w:hAnsi="Times New Roman"/>
          <w:sz w:val="14"/>
          <w:szCs w:val="14"/>
          <w:u w:val="single" w:color="auto"/>
          <w:color w:val="auto"/>
        </w:rPr>
        <w:t>13.15 WAIVERS OF JURY TRIAL</w:t>
      </w:r>
      <w:r>
        <w:rPr>
          <w:rFonts w:ascii="Times New Roman" w:cs="Times New Roman" w:eastAsia="Times New Roman" w:hAnsi="Times New Roman"/>
          <w:sz w:val="14"/>
          <w:szCs w:val="14"/>
          <w:color w:val="auto"/>
        </w:rPr>
        <w:t>. EACH PARTY HERETO IRREVOCABLY AND UNCONDITIONALLY WAIVES (TO THE EXTENT PERMITTED BY APPLICABLE LAW) TRIAL BY JURY IN ANY LEGAL ACTION OR PROCEEDING RELATING TO THIS AGREEMENT OR ANY OTHER CREDIT DOCUMENT AND FOR ANY COUNTERCLAIM THEREIN.</w:t>
      </w:r>
    </w:p>
    <w:p>
      <w:pPr>
        <w:spacing w:after="0" w:line="152" w:lineRule="exact"/>
        <w:rPr>
          <w:sz w:val="20"/>
          <w:szCs w:val="20"/>
          <w:color w:val="auto"/>
        </w:rPr>
      </w:pPr>
    </w:p>
    <w:p>
      <w:pPr>
        <w:jc w:val="both"/>
        <w:ind w:left="1140" w:right="1159" w:firstLine="517"/>
        <w:spacing w:after="0" w:line="173" w:lineRule="exact"/>
        <w:rPr>
          <w:sz w:val="20"/>
          <w:szCs w:val="20"/>
          <w:color w:val="auto"/>
        </w:rPr>
      </w:pPr>
      <w:r>
        <w:rPr>
          <w:rFonts w:ascii="Times New Roman" w:cs="Times New Roman" w:eastAsia="Times New Roman" w:hAnsi="Times New Roman"/>
          <w:sz w:val="14"/>
          <w:szCs w:val="14"/>
          <w:u w:val="single" w:color="auto"/>
          <w:color w:val="auto"/>
        </w:rPr>
        <w:t>13.16 Confidentiality</w:t>
      </w:r>
      <w:r>
        <w:rPr>
          <w:rFonts w:ascii="Times New Roman" w:cs="Times New Roman" w:eastAsia="Times New Roman" w:hAnsi="Times New Roman"/>
          <w:sz w:val="14"/>
          <w:szCs w:val="14"/>
          <w:color w:val="auto"/>
        </w:rPr>
        <w:t>. The Administrative Agent, each other Agent and each Lender (collectively, the “</w:t>
      </w:r>
      <w:r>
        <w:rPr>
          <w:rFonts w:ascii="Times New Roman" w:cs="Times New Roman" w:eastAsia="Times New Roman" w:hAnsi="Times New Roman"/>
          <w:sz w:val="14"/>
          <w:szCs w:val="14"/>
          <w:b w:val="1"/>
          <w:bCs w:val="1"/>
          <w:color w:val="auto"/>
        </w:rPr>
        <w:t>Restricted Persons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Restricted Person</w:t>
      </w:r>
      <w:r>
        <w:rPr>
          <w:rFonts w:ascii="Times New Roman" w:cs="Times New Roman" w:eastAsia="Times New Roman" w:hAnsi="Times New Roman"/>
          <w:sz w:val="14"/>
          <w:szCs w:val="14"/>
          <w:color w:val="auto"/>
        </w:rPr>
        <w:t>”) shall treat confidentially all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public information provided to any Restricted Person by or on behalf of any Credit Party hereunder in connection with such Restricted Person’s evaluation of whether to become a Lender hereunder or obtained by such Restricted Person pursuant to the requirements of this Agreement (“</w:t>
      </w:r>
      <w:r>
        <w:rPr>
          <w:rFonts w:ascii="Times New Roman" w:cs="Times New Roman" w:eastAsia="Times New Roman" w:hAnsi="Times New Roman"/>
          <w:sz w:val="14"/>
          <w:szCs w:val="14"/>
          <w:b w:val="1"/>
          <w:bCs w:val="1"/>
          <w:color w:val="auto"/>
        </w:rPr>
        <w:t>Confidential Information</w:t>
      </w:r>
      <w:r>
        <w:rPr>
          <w:rFonts w:ascii="Times New Roman" w:cs="Times New Roman" w:eastAsia="Times New Roman" w:hAnsi="Times New Roman"/>
          <w:sz w:val="14"/>
          <w:szCs w:val="14"/>
          <w:color w:val="auto"/>
        </w:rPr>
        <w:t xml:space="preserve">”) and shall not publish, disclose or otherwise divulge such Confidential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nothing herein shall prevent any Restricted Person from disclosing any such Confidential Information (a) pursuant to the order of any court or administrative agency or in any pending legal, judicial or administrative proceeding, or otherwise as required by applicable law, rule or regulation or compulsory legal process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(b) upon the request or demand of any regulatory authority having jurisdiction over such Restricted Person or any of its Affiliates (in which case such Restricted Person agrees (except with respect to any routine or ordinary course audit or examination conducted by bank accountants or any governmental or bank regulatory authority exercising examination or regulatory authority) to the extent practicable and not prohibited by applicable law, rule or regulation, to inform the Borrower promptly thereof prior to disclosure), (c) to the extent that such Confidential Information becomes publicly available other than by reason of improper disclosure by such Restricted Person or any of its affiliates or any related parties thereto in violation of any confidentiality obligations owing under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(d) to the extent that such Confidential Information is received by such Restricted Person from a third party that is not, to such Restricted Person’s knowledge, subject to confidentiality obligations owing to any Credit Party or any of their respective subsidiaries or affiliates, (e) to the extent that such Confidential Information was already in the possession of the Restricted Persons prior to any duty or other undertaking of confidentiality or is independently developed by the Restricted Persons without the use of such Confidential Information, (f) to such Restricted Person’s affiliates and to its and their respective officers, directors, partners, employees, legal counsel, independent auditors, and other experts or agents who need to know such Confidential Information in connection with providing the Loans or action as an Agent hereunder and who are informed of the confidential nature of such Confidential Information and who are subject to customary confidentiality obligations of professional practice or who agree to be bound by the terms of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(or confidentiality provisions at least as restrictive as those set forth in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(with each such Restricted Person, to the extent within its control, responsible for such person’s compliance with this paragraph), (g) to potential or prospective Lenders, hedge providers (or other derivative transaction counterparties) (any such person, a “</w:t>
      </w:r>
      <w:r>
        <w:rPr>
          <w:rFonts w:ascii="Times New Roman" w:cs="Times New Roman" w:eastAsia="Times New Roman" w:hAnsi="Times New Roman"/>
          <w:sz w:val="14"/>
          <w:szCs w:val="14"/>
          <w:b w:val="1"/>
          <w:bCs w:val="1"/>
          <w:color w:val="auto"/>
        </w:rPr>
        <w:t>Derivative Counterparty</w:t>
      </w:r>
      <w:r>
        <w:rPr>
          <w:rFonts w:ascii="Times New Roman" w:cs="Times New Roman" w:eastAsia="Times New Roman" w:hAnsi="Times New Roman"/>
          <w:sz w:val="14"/>
          <w:szCs w:val="14"/>
          <w:color w:val="auto"/>
        </w:rPr>
        <w:t xml:space="preserve">”), participants or assignees, in each case who agree (pursuant to customary syndication practice) to be bound by the terms of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(or confidentiality provisions at least as restrictive as those set forth in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(i) the disclosure of any such Confidential Information to any potential or prospective Lenders, Derivative Counterparties, participants or assignees referred to above shall be made subject to the acknowledgment and acceptance by such potential or prospective Lender, Derivative Counterparty, participant or assignee that such Confidential Information is being disseminated on a confidential basis (on substantially the terms set forth in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or confidentiality provisions at least as restrictive as those set forth in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any Restricted Person to whom a list of Disqualified Lenders has been made available to any person that is at such time a Disqualified Lender, (h) for purposes of establishing a “due diligence” defense, (i) to rating agencies in connection with obtaining ratings for the Borrower and the Credit Facilities to the extent such rating agencies are subject to customary confidentiality obligations of professional practice or agree to be bound by the terms of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(or confidentiality provisions at least as restrictive as those set forth in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(j) to any other party to this Agreement or (k) to any pledgee referred to in </w:t>
      </w:r>
      <w:r>
        <w:rPr>
          <w:rFonts w:ascii="Times New Roman" w:cs="Times New Roman" w:eastAsia="Times New Roman" w:hAnsi="Times New Roman"/>
          <w:sz w:val="14"/>
          <w:szCs w:val="14"/>
          <w:u w:val="single" w:color="auto"/>
          <w:color w:val="auto"/>
        </w:rPr>
        <w:t>Section 13.6</w:t>
      </w:r>
      <w:r>
        <w:rPr>
          <w:rFonts w:ascii="Times New Roman" w:cs="Times New Roman" w:eastAsia="Times New Roman" w:hAnsi="Times New Roman"/>
          <w:sz w:val="14"/>
          <w:szCs w:val="14"/>
          <w:color w:val="auto"/>
        </w:rPr>
        <w:t xml:space="preserve"> hereof. Notwithstanding the foregoing, (i) Confidential Information shall not include, with respect to any Person, information available to it or its Affiliates on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confidential basis from a source other than Holdings, its Subsidiaries or its Affiliates, (ii) the Administrative Agent shall not be responsible for compliance with this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 xml:space="preserve"> by any other Restricted Person (other than its officers, directors or employees), (iii) in no event shall any Lender, the Administrative Agent or any other Agent be</w:t>
      </w:r>
    </w:p>
    <w:p>
      <w:pPr>
        <w:spacing w:after="0" w:line="200" w:lineRule="exact"/>
        <w:rPr>
          <w:sz w:val="20"/>
          <w:szCs w:val="20"/>
          <w:color w:val="auto"/>
        </w:rPr>
      </w:pPr>
    </w:p>
    <w:p>
      <w:pPr>
        <w:spacing w:after="0" w:line="21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6">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68" w:right="1440" w:bottom="1440" w:gutter="0" w:footer="0" w:header="0"/>
        </w:sectPr>
      </w:pPr>
    </w:p>
    <w:bookmarkStart w:id="271" w:name="page272"/>
    <w:bookmarkEnd w:id="271"/>
    <w:p>
      <w:pPr>
        <w:jc w:val="both"/>
        <w:ind w:left="1140" w:right="1159"/>
        <w:spacing w:after="0" w:line="267" w:lineRule="auto"/>
        <w:rPr>
          <w:sz w:val="20"/>
          <w:szCs w:val="20"/>
          <w:color w:val="auto"/>
        </w:rPr>
      </w:pPr>
      <w:r>
        <w:rPr>
          <w:rFonts w:ascii="Times New Roman" w:cs="Times New Roman" w:eastAsia="Times New Roman" w:hAnsi="Times New Roman"/>
          <w:sz w:val="14"/>
          <w:szCs w:val="14"/>
          <w:color w:val="auto"/>
        </w:rPr>
        <w:t>obligated or required to return any materials furnished by Holdings or any of its Subsidiaries, and (iv) 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327"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13.17 Direct Website Communications</w:t>
      </w:r>
      <w:r>
        <w:rPr>
          <w:rFonts w:ascii="Times New Roman" w:cs="Times New Roman" w:eastAsia="Times New Roman" w:hAnsi="Times New Roman"/>
          <w:sz w:val="14"/>
          <w:szCs w:val="14"/>
          <w:color w:val="auto"/>
        </w:rPr>
        <w:t>. Each of Holdings and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excluded communications being referred to herein collectively as “</w:t>
      </w:r>
      <w:r>
        <w:rPr>
          <w:rFonts w:ascii="Times New Roman" w:cs="Times New Roman" w:eastAsia="Times New Roman" w:hAnsi="Times New Roman"/>
          <w:sz w:val="14"/>
          <w:szCs w:val="14"/>
          <w:b w:val="1"/>
          <w:bCs w:val="1"/>
          <w:color w:val="auto"/>
        </w:rPr>
        <w:t>Communications</w:t>
      </w:r>
      <w:r>
        <w:rPr>
          <w:rFonts w:ascii="Times New Roman" w:cs="Times New Roman" w:eastAsia="Times New Roman" w:hAnsi="Times New Roman"/>
          <w:sz w:val="14"/>
          <w:szCs w:val="14"/>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w:t>
      </w:r>
    </w:p>
    <w:p>
      <w:pPr>
        <w:spacing w:after="0" w:line="3" w:lineRule="exact"/>
        <w:rPr>
          <w:sz w:val="20"/>
          <w:szCs w:val="20"/>
          <w:color w:val="auto"/>
        </w:rPr>
      </w:pPr>
    </w:p>
    <w:p>
      <w:pPr>
        <w:jc w:val="both"/>
        <w:ind w:left="1140" w:right="1159" w:firstLine="7"/>
        <w:spacing w:after="0" w:line="258" w:lineRule="auto"/>
        <w:tabs>
          <w:tab w:leader="none" w:pos="1319"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written request by the Administrative Agent or the Borrower shall deliver paper copies of such documents to the Administrative Agent for further distribution to each Lender until a written request to cease delivering paper copies is given by the Administrative Agent and (ii)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Times New Roman" w:cs="Times New Roman" w:eastAsia="Times New Roman" w:hAnsi="Times New Roman"/>
          <w:sz w:val="14"/>
          <w:szCs w:val="14"/>
          <w:u w:val="single" w:color="auto"/>
          <w:color w:val="auto"/>
        </w:rPr>
        <w:t>Section 13.17</w:t>
      </w:r>
      <w:r>
        <w:rPr>
          <w:rFonts w:ascii="Times New Roman" w:cs="Times New Roman" w:eastAsia="Times New Roman" w:hAnsi="Times New Roman"/>
          <w:sz w:val="14"/>
          <w:szCs w:val="14"/>
          <w:color w:val="auto"/>
        </w:rPr>
        <w:t xml:space="preserve"> shall prejudice the right of Holdings, the Borrower, the Administrative Agent, any other Agent or any Lender to give any notice or other communication pursuant to any Credit Document in any other manner specified in such Credit Document.</w:t>
      </w:r>
    </w:p>
    <w:p>
      <w:pPr>
        <w:spacing w:after="0" w:line="322" w:lineRule="exact"/>
        <w:rPr>
          <w:sz w:val="20"/>
          <w:szCs w:val="20"/>
          <w:color w:val="auto"/>
        </w:rPr>
      </w:pPr>
    </w:p>
    <w:p>
      <w:pPr>
        <w:ind w:left="1140" w:right="1179" w:firstLine="1033"/>
        <w:spacing w:after="0" w:line="177" w:lineRule="exact"/>
        <w:rPr>
          <w:sz w:val="20"/>
          <w:szCs w:val="20"/>
          <w:color w:val="auto"/>
        </w:rPr>
      </w:pPr>
      <w:r>
        <w:rPr>
          <w:rFonts w:ascii="Times New Roman" w:cs="Times New Roman" w:eastAsia="Times New Roman" w:hAnsi="Times New Roman"/>
          <w:sz w:val="14"/>
          <w:szCs w:val="14"/>
          <w:color w:val="auto"/>
        </w:rPr>
        <w:t>The Administrative Agent agrees that the receipt of the Communications by the Administrative Agent at its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mail address to which the foregoing notice may be sent by electronic transmission and (B) that the foregoing notice may be sent to such 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mail address.</w:t>
      </w:r>
    </w:p>
    <w:p>
      <w:pPr>
        <w:spacing w:after="0" w:line="149" w:lineRule="exact"/>
        <w:rPr>
          <w:sz w:val="20"/>
          <w:szCs w:val="20"/>
          <w:color w:val="auto"/>
        </w:rPr>
      </w:pPr>
    </w:p>
    <w:p>
      <w:pPr>
        <w:jc w:val="both"/>
        <w:ind w:left="1140" w:right="1159" w:firstLine="524"/>
        <w:spacing w:after="0" w:line="265" w:lineRule="auto"/>
        <w:tabs>
          <w:tab w:leader="none" w:pos="1982" w:val="left"/>
        </w:tabs>
        <w:numPr>
          <w:ilvl w:val="0"/>
          <w:numId w:val="30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of Holdings and the Borrower further agrees that any Agent may make the Communications available to the Lenders by posting the Communications on Intralinks or a substantially similar electronic transmission system (the “</w:t>
      </w:r>
      <w:r>
        <w:rPr>
          <w:rFonts w:ascii="Times New Roman" w:cs="Times New Roman" w:eastAsia="Times New Roman" w:hAnsi="Times New Roman"/>
          <w:sz w:val="14"/>
          <w:szCs w:val="14"/>
          <w:b w:val="1"/>
          <w:bCs w:val="1"/>
          <w:color w:val="auto"/>
        </w:rPr>
        <w:t>Platform</w:t>
      </w:r>
      <w:r>
        <w:rPr>
          <w:rFonts w:ascii="Times New Roman" w:cs="Times New Roman" w:eastAsia="Times New Roman" w:hAnsi="Times New Roman"/>
          <w:sz w:val="14"/>
          <w:szCs w:val="14"/>
          <w:color w:val="auto"/>
        </w:rPr>
        <w:t xml:space="preserve">”), so long as the access to such Platform (i) is limited to the Agents, the Lenders and Transferees or prospective Transferees and (ii) remains subject to the confidentiality requirements set forth in </w:t>
      </w:r>
      <w:r>
        <w:rPr>
          <w:rFonts w:ascii="Times New Roman" w:cs="Times New Roman" w:eastAsia="Times New Roman" w:hAnsi="Times New Roman"/>
          <w:sz w:val="14"/>
          <w:szCs w:val="14"/>
          <w:u w:val="single" w:color="auto"/>
          <w:color w:val="auto"/>
        </w:rPr>
        <w:t>Section 13.16</w:t>
      </w:r>
      <w:r>
        <w:rPr>
          <w:rFonts w:ascii="Times New Roman" w:cs="Times New Roman" w:eastAsia="Times New Roman" w:hAnsi="Times New Roman"/>
          <w:sz w:val="14"/>
          <w:szCs w:val="14"/>
          <w:color w:val="auto"/>
        </w:rPr>
        <w:t>.</w:t>
      </w:r>
    </w:p>
    <w:p>
      <w:pPr>
        <w:spacing w:after="0" w:line="154" w:lineRule="exact"/>
        <w:rPr>
          <w:rFonts w:ascii="Times New Roman" w:cs="Times New Roman" w:eastAsia="Times New Roman" w:hAnsi="Times New Roman"/>
          <w:sz w:val="14"/>
          <w:szCs w:val="14"/>
          <w:color w:val="010000"/>
        </w:rPr>
      </w:pPr>
    </w:p>
    <w:p>
      <w:pPr>
        <w:jc w:val="both"/>
        <w:ind w:left="1140" w:right="1159" w:firstLine="524"/>
        <w:spacing w:after="0" w:line="174" w:lineRule="exact"/>
        <w:tabs>
          <w:tab w:leader="none" w:pos="1972" w:val="left"/>
        </w:tabs>
        <w:numPr>
          <w:ilvl w:val="0"/>
          <w:numId w:val="305"/>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PLATFORM IS PROVIDED “AS IS” AND “AS AVAILABLE.” THE AGENT PARTIES DO NOT WARRANT THE ACCURACY OR COMPLETENESS OF ANY MATERIALS OR INFORMATION PROVIDED BY THE CREDIT PARTIES (THE “</w:t>
      </w:r>
      <w:r>
        <w:rPr>
          <w:rFonts w:ascii="Times New Roman" w:cs="Times New Roman" w:eastAsia="Times New Roman" w:hAnsi="Times New Roman"/>
          <w:sz w:val="14"/>
          <w:szCs w:val="14"/>
          <w:b w:val="1"/>
          <w:bCs w:val="1"/>
          <w:color w:val="auto"/>
        </w:rPr>
        <w:t>BORROWER MATERIALS</w:t>
      </w:r>
      <w:r>
        <w:rPr>
          <w:rFonts w:ascii="Times New Roman" w:cs="Times New Roman" w:eastAsia="Times New Roman" w:hAnsi="Times New Roman"/>
          <w:sz w:val="14"/>
          <w:szCs w:val="14"/>
          <w:color w:val="auto"/>
        </w:rPr>
        <w:t>”) OR THE ADEQUACY OF THE PLATFORM, AND EXPRESSLY DISCLAIM LIABILITY FOR ERRORS IN OR OMISSIONS FROM THE BORROWER MATERIALS. NO WARRANTY OF ANY KIND, EXPRESS, IMPLIED OR STATUTORY, INCLUDING ANY WARRANTY OF MERCHANTABILITY, FITNESS FOR A PARTICULAR PURPOSE,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 w:cs="Times New Roman" w:eastAsia="Times New Roman" w:hAnsi="Times New Roman"/>
          <w:sz w:val="14"/>
          <w:szCs w:val="14"/>
          <w:b w:val="1"/>
          <w:bCs w:val="1"/>
          <w:color w:val="auto"/>
        </w:rPr>
        <w:t>Agent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and each, an “</w:t>
      </w:r>
      <w:r>
        <w:rPr>
          <w:rFonts w:ascii="Times New Roman" w:cs="Times New Roman" w:eastAsia="Times New Roman" w:hAnsi="Times New Roman"/>
          <w:sz w:val="14"/>
          <w:szCs w:val="14"/>
          <w:b w:val="1"/>
          <w:bCs w:val="1"/>
          <w:color w:val="auto"/>
        </w:rPr>
        <w:t>Agent Party</w:t>
      </w:r>
      <w:r>
        <w:rPr>
          <w:rFonts w:ascii="Times New Roman" w:cs="Times New Roman" w:eastAsia="Times New Roman" w:hAnsi="Times New Roman"/>
          <w:sz w:val="14"/>
          <w:szCs w:val="14"/>
          <w:color w:val="auto"/>
        </w:rPr>
        <w:t>”) have any liability to the Borrower, any Lender, or any other Person for losses,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7">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72" w:name="page273"/>
    <w:bookmarkEnd w:id="272"/>
    <w:p>
      <w:pPr>
        <w:ind w:left="1140" w:right="1159"/>
        <w:spacing w:after="0" w:line="191" w:lineRule="exact"/>
        <w:rPr>
          <w:sz w:val="20"/>
          <w:szCs w:val="20"/>
          <w:color w:val="auto"/>
        </w:rPr>
      </w:pPr>
      <w:r>
        <w:rPr>
          <w:rFonts w:ascii="Times New Roman" w:cs="Times New Roman" w:eastAsia="Times New Roman" w:hAnsi="Times New Roman"/>
          <w:sz w:val="14"/>
          <w:szCs w:val="14"/>
          <w:color w:val="auto"/>
        </w:rPr>
        <w:t>or advisor)) gross negligence, bad faith or willful misconduct or material breach of the Credit Documents as determined in the final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appealable judgment of a court of competent jurisdiction.</w:t>
      </w:r>
    </w:p>
    <w:p>
      <w:pPr>
        <w:spacing w:after="0" w:line="146" w:lineRule="exact"/>
        <w:rPr>
          <w:sz w:val="20"/>
          <w:szCs w:val="20"/>
          <w:color w:val="auto"/>
        </w:rPr>
      </w:pPr>
    </w:p>
    <w:p>
      <w:pPr>
        <w:jc w:val="both"/>
        <w:ind w:left="1140" w:right="1159" w:firstLine="524"/>
        <w:spacing w:after="0" w:line="174" w:lineRule="exact"/>
        <w:tabs>
          <w:tab w:leader="none" w:pos="1972" w:val="left"/>
        </w:tabs>
        <w:numPr>
          <w:ilvl w:val="0"/>
          <w:numId w:val="306"/>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Each of Holdings and the Borrower and each Lender acknowledge that certain of the Lenders may be “public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side” Lenders (Lenders that do not wish to receive material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public information with respect to Holdings and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xml:space="preserve">,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Times New Roman" w:cs="Times New Roman" w:eastAsia="Times New Roman" w:hAnsi="Times New Roman"/>
          <w:sz w:val="14"/>
          <w:szCs w:val="14"/>
          <w:u w:val="single" w:color="auto"/>
          <w:color w:val="auto"/>
        </w:rPr>
        <w:t>Sections 9.1(a)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(b)</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(d)</w:t>
      </w:r>
      <w:r>
        <w:rPr>
          <w:rFonts w:ascii="Times New Roman" w:cs="Times New Roman" w:eastAsia="Times New Roman" w:hAnsi="Times New Roman"/>
          <w:sz w:val="14"/>
          <w:szCs w:val="14"/>
          <w:color w:val="auto"/>
        </w:rPr>
        <w:t>.</w:t>
      </w:r>
    </w:p>
    <w:p>
      <w:pPr>
        <w:spacing w:after="0" w:line="169" w:lineRule="exact"/>
        <w:rPr>
          <w:sz w:val="20"/>
          <w:szCs w:val="20"/>
          <w:color w:val="auto"/>
        </w:rPr>
      </w:pPr>
    </w:p>
    <w:p>
      <w:pPr>
        <w:jc w:val="both"/>
        <w:ind w:left="1140" w:right="1159" w:firstLine="517"/>
        <w:spacing w:after="0" w:line="175" w:lineRule="exact"/>
        <w:rPr>
          <w:sz w:val="20"/>
          <w:szCs w:val="20"/>
          <w:color w:val="auto"/>
        </w:rPr>
      </w:pPr>
      <w:r>
        <w:rPr>
          <w:rFonts w:ascii="Times New Roman" w:cs="Times New Roman" w:eastAsia="Times New Roman" w:hAnsi="Times New Roman"/>
          <w:sz w:val="14"/>
          <w:szCs w:val="14"/>
          <w:u w:val="single" w:color="auto"/>
          <w:color w:val="auto"/>
        </w:rPr>
        <w:t>13.18 USA PATRIOT Act</w:t>
      </w:r>
      <w:r>
        <w:rPr>
          <w:rFonts w:ascii="Times New Roman" w:cs="Times New Roman" w:eastAsia="Times New Roman" w:hAnsi="Times New Roman"/>
          <w:sz w:val="14"/>
          <w:szCs w:val="14"/>
          <w:color w:val="auto"/>
        </w:rPr>
        <w:t>. Each Lender hereby notifies each Credit Party that, pursuant to the requirements of the USA PATRIOT Act (Title III of Pub. L. 107</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56 (signed into law October 26, 2001)) (the “</w:t>
      </w:r>
      <w:r>
        <w:rPr>
          <w:rFonts w:ascii="Times New Roman" w:cs="Times New Roman" w:eastAsia="Times New Roman" w:hAnsi="Times New Roman"/>
          <w:sz w:val="14"/>
          <w:szCs w:val="14"/>
          <w:b w:val="1"/>
          <w:bCs w:val="1"/>
          <w:color w:val="auto"/>
        </w:rPr>
        <w:t>Patriot Act</w:t>
      </w:r>
      <w:r>
        <w:rPr>
          <w:rFonts w:ascii="Times New Roman" w:cs="Times New Roman" w:eastAsia="Times New Roman" w:hAnsi="Times New Roman"/>
          <w:sz w:val="14"/>
          <w:szCs w:val="14"/>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 including the Beneficial Ownership Regulation.</w:t>
      </w:r>
    </w:p>
    <w:p>
      <w:pPr>
        <w:spacing w:after="0" w:line="172" w:lineRule="exact"/>
        <w:rPr>
          <w:sz w:val="20"/>
          <w:szCs w:val="20"/>
          <w:color w:val="auto"/>
        </w:rPr>
      </w:pPr>
    </w:p>
    <w:p>
      <w:pPr>
        <w:ind w:left="1660"/>
        <w:spacing w:after="0"/>
        <w:tabs>
          <w:tab w:leader="none" w:pos="2280" w:val="left"/>
        </w:tabs>
        <w:rPr>
          <w:sz w:val="20"/>
          <w:szCs w:val="20"/>
          <w:color w:val="auto"/>
        </w:rPr>
      </w:pPr>
      <w:r>
        <w:rPr>
          <w:rFonts w:ascii="Times New Roman" w:cs="Times New Roman" w:eastAsia="Times New Roman" w:hAnsi="Times New Roman"/>
          <w:sz w:val="14"/>
          <w:szCs w:val="14"/>
          <w:color w:val="auto"/>
        </w:rPr>
        <w:t>13.19</w:t>
      </w:r>
      <w:r>
        <w:rPr>
          <w:sz w:val="20"/>
          <w:szCs w:val="20"/>
          <w:color w:val="auto"/>
        </w:rPr>
        <w:tab/>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both"/>
        <w:ind w:left="1140" w:right="1159" w:firstLine="517"/>
        <w:spacing w:after="0" w:line="260" w:lineRule="auto"/>
        <w:rPr>
          <w:sz w:val="20"/>
          <w:szCs w:val="20"/>
          <w:color w:val="auto"/>
        </w:rPr>
      </w:pPr>
      <w:r>
        <w:rPr>
          <w:rFonts w:ascii="Times New Roman" w:cs="Times New Roman" w:eastAsia="Times New Roman" w:hAnsi="Times New Roman"/>
          <w:sz w:val="14"/>
          <w:szCs w:val="14"/>
          <w:u w:val="single" w:color="auto"/>
          <w:color w:val="auto"/>
        </w:rPr>
        <w:t>13.20 Payments Set Aside</w:t>
      </w:r>
      <w:r>
        <w:rPr>
          <w:rFonts w:ascii="Times New Roman" w:cs="Times New Roman" w:eastAsia="Times New Roman" w:hAnsi="Times New Roman"/>
          <w:sz w:val="14"/>
          <w:szCs w:val="14"/>
          <w:color w:val="auto"/>
        </w:rPr>
        <w:t xml:space="preserve">. To the extent that any payment by or on behalf of Holdings or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interest thereon from the date of such demand to the date such payment is made at a rate per annum equal to the applicable Overnight Rate from time to time in effect.</w:t>
      </w:r>
    </w:p>
    <w:p>
      <w:pPr>
        <w:spacing w:after="0" w:line="160" w:lineRule="exact"/>
        <w:rPr>
          <w:sz w:val="20"/>
          <w:szCs w:val="20"/>
          <w:color w:val="auto"/>
        </w:rPr>
      </w:pPr>
    </w:p>
    <w:p>
      <w:pPr>
        <w:jc w:val="both"/>
        <w:ind w:left="1140" w:right="1159" w:firstLine="517"/>
        <w:spacing w:after="0" w:line="174" w:lineRule="exact"/>
        <w:rPr>
          <w:sz w:val="20"/>
          <w:szCs w:val="20"/>
          <w:color w:val="auto"/>
        </w:rPr>
      </w:pPr>
      <w:r>
        <w:rPr>
          <w:rFonts w:ascii="Times New Roman" w:cs="Times New Roman" w:eastAsia="Times New Roman" w:hAnsi="Times New Roman"/>
          <w:sz w:val="14"/>
          <w:szCs w:val="14"/>
          <w:u w:val="single" w:color="auto"/>
          <w:color w:val="auto"/>
        </w:rPr>
        <w:t>13.21 No Fiduciary Duty</w:t>
      </w:r>
      <w:r>
        <w:rPr>
          <w:rFonts w:ascii="Times New Roman" w:cs="Times New Roman" w:eastAsia="Times New Roman" w:hAnsi="Times New Roman"/>
          <w:sz w:val="14"/>
          <w:szCs w:val="14"/>
          <w:color w:val="auto"/>
        </w:rPr>
        <w:t>. Each Agent, each Lender, each Letter of Credit Issuer, each Swingline Lender and their respective Affiliates (collectively, solely for purposes of this paragraph, the “</w:t>
      </w:r>
      <w:r>
        <w:rPr>
          <w:rFonts w:ascii="Times New Roman" w:cs="Times New Roman" w:eastAsia="Times New Roman" w:hAnsi="Times New Roman"/>
          <w:sz w:val="14"/>
          <w:szCs w:val="14"/>
          <w:b w:val="1"/>
          <w:bCs w:val="1"/>
          <w:color w:val="auto"/>
        </w:rPr>
        <w:t>Lenders</w:t>
      </w:r>
      <w:r>
        <w:rPr>
          <w:rFonts w:ascii="Times New Roman" w:cs="Times New Roman" w:eastAsia="Times New Roman" w:hAnsi="Times New Roman"/>
          <w:sz w:val="14"/>
          <w:szCs w:val="14"/>
          <w:color w:val="auto"/>
        </w:rPr>
        <w:t>”), may have economic interests that conflict with those of the Credit Parties, their equity holders and/or their affiliates. Each Credit Party agrees that nothing in the Credit Documents or otherwise will be deemed to create an advisory, fiduciary or agency relationship or fiduciary or other implied duty between any Lender, on the one hand, and such Credit Party, its equity holders or its affiliates, on the other. The Credit Parties acknowledge and agree that (i) the transactions contemplated by the Credit Documents (including the exercise of rights and remedies hereunder and thereunder) are arm’s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length commercial transactions between the Lenders, on the one hand, and the Credit Parties, on the other, and (ii) in connection therewith and with the process leading thereto, (x) no Lender has assumed an advisory or fiduciary responsibility in favor of any Credit Party, its equity holders or its affiliates with respect to the transactions contemplated hereby (or the exercise of rights or remedies with respect thereto) or the process leading thereto (irrespective of whether any Lender has advised, is currently advising or will advise any Credit Party, its equity holders or its Affiliates on other matters) or any other obligation to any Credit Party except the obligations expressly set forth in the Credit Documents and (y) each Lender is acting solely as principal and not as the agent or fiduciary of any Credit Party, its management, equity 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w:t>
      </w:r>
    </w:p>
    <w:p>
      <w:pPr>
        <w:spacing w:after="0" w:line="200" w:lineRule="exact"/>
        <w:rPr>
          <w:sz w:val="20"/>
          <w:szCs w:val="20"/>
          <w:color w:val="auto"/>
        </w:rPr>
      </w:pPr>
    </w:p>
    <w:p>
      <w:pPr>
        <w:spacing w:after="0" w:line="20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8">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73" w:name="page274"/>
    <w:bookmarkEnd w:id="273"/>
    <w:p>
      <w:pPr>
        <w:jc w:val="both"/>
        <w:ind w:left="1140" w:right="1159"/>
        <w:spacing w:after="0" w:line="293" w:lineRule="auto"/>
        <w:rPr>
          <w:sz w:val="20"/>
          <w:szCs w:val="20"/>
          <w:color w:val="auto"/>
        </w:rPr>
      </w:pPr>
      <w:r>
        <w:rPr>
          <w:rFonts w:ascii="Times New Roman" w:cs="Times New Roman" w:eastAsia="Times New Roman" w:hAnsi="Times New Roman"/>
          <w:sz w:val="14"/>
          <w:szCs w:val="14"/>
          <w:color w:val="auto"/>
        </w:rPr>
        <w:t>agrees that it will not claim that any Lender has rendered advisory services of any nature or respect, or owes a fiduciary or similar duty to such Credit Party, in connection with such transaction or the process leading thereto.</w:t>
      </w:r>
    </w:p>
    <w:p>
      <w:pPr>
        <w:spacing w:after="0" w:line="134" w:lineRule="exact"/>
        <w:rPr>
          <w:sz w:val="20"/>
          <w:szCs w:val="20"/>
          <w:color w:val="auto"/>
        </w:rPr>
      </w:pPr>
    </w:p>
    <w:p>
      <w:pPr>
        <w:jc w:val="both"/>
        <w:ind w:left="1140" w:right="1159" w:firstLine="517"/>
        <w:spacing w:after="0" w:line="264" w:lineRule="auto"/>
        <w:rPr>
          <w:sz w:val="20"/>
          <w:szCs w:val="20"/>
          <w:color w:val="auto"/>
        </w:rPr>
      </w:pPr>
      <w:r>
        <w:rPr>
          <w:rFonts w:ascii="Times New Roman" w:cs="Times New Roman" w:eastAsia="Times New Roman" w:hAnsi="Times New Roman"/>
          <w:sz w:val="14"/>
          <w:szCs w:val="14"/>
          <w:u w:val="single" w:color="auto"/>
          <w:color w:val="auto"/>
        </w:rPr>
        <w:t>13.22 Acknowledg</w:t>
      </w:r>
      <w:r>
        <w:rPr>
          <w:rFonts w:ascii="Times New Roman" w:cs="Times New Roman" w:eastAsia="Times New Roman" w:hAnsi="Times New Roman"/>
          <w:sz w:val="14"/>
          <w:szCs w:val="14"/>
          <w:u w:val="single" w:color="auto"/>
          <w:color w:val="FF0000"/>
          <w:strike w:val="1"/>
        </w:rPr>
        <w:t>e</w:t>
      </w:r>
      <w:r>
        <w:rPr>
          <w:rFonts w:ascii="Times New Roman" w:cs="Times New Roman" w:eastAsia="Times New Roman" w:hAnsi="Times New Roman"/>
          <w:sz w:val="14"/>
          <w:szCs w:val="14"/>
          <w:color w:val="auto"/>
        </w:rPr>
        <w:t xml:space="preserve">ment and Consent to Bail-In of </w:t>
      </w:r>
      <w:r>
        <w:rPr>
          <w:rFonts w:ascii="Times New Roman" w:cs="Times New Roman" w:eastAsia="Times New Roman" w:hAnsi="Times New Roman"/>
          <w:sz w:val="14"/>
          <w:szCs w:val="14"/>
          <w:u w:val="single" w:color="auto"/>
          <w:color w:val="FF0000"/>
          <w:strike w:val="1"/>
        </w:rPr>
        <w:t>EEA</w:t>
      </w:r>
      <w:r>
        <w:rPr>
          <w:rFonts w:ascii="Times New Roman" w:cs="Times New Roman" w:eastAsia="Times New Roman" w:hAnsi="Times New Roman"/>
          <w:sz w:val="14"/>
          <w:szCs w:val="14"/>
          <w:u w:val="single" w:color="auto"/>
          <w:color w:val="0000FF"/>
        </w:rPr>
        <w:t>Affected</w:t>
      </w:r>
      <w:r>
        <w:rPr>
          <w:rFonts w:ascii="Times New Roman" w:cs="Times New Roman" w:eastAsia="Times New Roman" w:hAnsi="Times New Roman"/>
          <w:sz w:val="14"/>
          <w:szCs w:val="14"/>
          <w:color w:val="auto"/>
        </w:rPr>
        <w:t xml:space="preserve"> Financial Institutions. Notwithstanding anything to the contrary in any Credit Document or in any other agreement, arrangement or understanding among any </w:t>
      </w:r>
      <w:r>
        <w:rPr>
          <w:rFonts w:ascii="Times New Roman" w:cs="Times New Roman" w:eastAsia="Times New Roman" w:hAnsi="Times New Roman"/>
          <w:sz w:val="14"/>
          <w:szCs w:val="14"/>
          <w:color w:val="FF0000"/>
          <w:strike w:val="1"/>
        </w:rPr>
        <w:t>such</w:t>
      </w:r>
      <w:r>
        <w:rPr>
          <w:rFonts w:ascii="Times New Roman" w:cs="Times New Roman" w:eastAsia="Times New Roman" w:hAnsi="Times New Roman"/>
          <w:sz w:val="14"/>
          <w:szCs w:val="14"/>
          <w:u w:val="single" w:color="auto"/>
          <w:color w:val="0000FF"/>
        </w:rPr>
        <w:t>of the</w:t>
      </w:r>
      <w:r>
        <w:rPr>
          <w:rFonts w:ascii="Times New Roman" w:cs="Times New Roman" w:eastAsia="Times New Roman" w:hAnsi="Times New Roman"/>
          <w:sz w:val="14"/>
          <w:szCs w:val="14"/>
          <w:color w:val="auto"/>
        </w:rPr>
        <w:t xml:space="preserve"> parties to any Credit Document, each party hereto acknowledges that any liability of any Lender that is an </w:t>
      </w:r>
      <w:r>
        <w:rPr>
          <w:rFonts w:ascii="Times New Roman" w:cs="Times New Roman" w:eastAsia="Times New Roman" w:hAnsi="Times New Roman"/>
          <w:sz w:val="14"/>
          <w:szCs w:val="14"/>
          <w:color w:val="FF0000"/>
          <w:strike w:val="1"/>
        </w:rPr>
        <w:t>EEA</w:t>
      </w:r>
      <w:r>
        <w:rPr>
          <w:rFonts w:ascii="Times New Roman" w:cs="Times New Roman" w:eastAsia="Times New Roman" w:hAnsi="Times New Roman"/>
          <w:sz w:val="14"/>
          <w:szCs w:val="14"/>
          <w:u w:val="single" w:color="auto"/>
          <w:color w:val="0000FF"/>
        </w:rPr>
        <w:t>Affected</w:t>
      </w:r>
      <w:r>
        <w:rPr>
          <w:rFonts w:ascii="Times New Roman" w:cs="Times New Roman" w:eastAsia="Times New Roman" w:hAnsi="Times New Roman"/>
          <w:sz w:val="14"/>
          <w:szCs w:val="14"/>
          <w:color w:val="auto"/>
        </w:rPr>
        <w:t xml:space="preserve"> Financial Institution arising under any Credit Document, to the extent such liability is unsecured, may be subject to the Write-Down and Conversion Powers of </w:t>
      </w:r>
      <w:r>
        <w:rPr>
          <w:rFonts w:ascii="Times New Roman" w:cs="Times New Roman" w:eastAsia="Times New Roman" w:hAnsi="Times New Roman"/>
          <w:sz w:val="14"/>
          <w:szCs w:val="14"/>
          <w:color w:val="FF0000"/>
          <w:strike w:val="1"/>
        </w:rPr>
        <w:t>an EEA</w:t>
      </w:r>
      <w:r>
        <w:rPr>
          <w:rFonts w:ascii="Times New Roman" w:cs="Times New Roman" w:eastAsia="Times New Roman" w:hAnsi="Times New Roman"/>
          <w:sz w:val="14"/>
          <w:szCs w:val="14"/>
          <w:u w:val="single" w:color="auto"/>
          <w:color w:val="0000FF"/>
        </w:rPr>
        <w:t>the applicable</w:t>
      </w:r>
      <w:r>
        <w:rPr>
          <w:rFonts w:ascii="Times New Roman" w:cs="Times New Roman" w:eastAsia="Times New Roman" w:hAnsi="Times New Roman"/>
          <w:sz w:val="14"/>
          <w:szCs w:val="14"/>
          <w:color w:val="auto"/>
        </w:rPr>
        <w:t xml:space="preserve"> Resolution Authority and agrees and consents to, and acknowledges and agrees to be bound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2023745</wp:posOffset>
            </wp:positionH>
            <wp:positionV relativeFrom="paragraph">
              <wp:posOffset>-575945</wp:posOffset>
            </wp:positionV>
            <wp:extent cx="2940050"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9">
                      <a:extLst>
                        <a:ext uri="{28A0092B-C50C-407E-A947-70E740481C1C}"/>
                      </a:extLst>
                    </a:blip>
                    <a:srcRect/>
                    <a:stretch>
                      <a:fillRect/>
                    </a:stretch>
                  </pic:blipFill>
                  <pic:spPr bwMode="auto">
                    <a:xfrm>
                      <a:off x="0" y="0"/>
                      <a:ext cx="2940050" cy="6985"/>
                    </a:xfrm>
                    <a:prstGeom prst="rect">
                      <a:avLst/>
                    </a:prstGeom>
                    <a:noFill/>
                  </pic:spPr>
                </pic:pic>
              </a:graphicData>
            </a:graphic>
          </wp:anchor>
        </w:drawing>
      </w:r>
    </w:p>
    <w:p>
      <w:pPr>
        <w:spacing w:after="0" w:line="133" w:lineRule="exact"/>
        <w:rPr>
          <w:sz w:val="20"/>
          <w:szCs w:val="20"/>
          <w:color w:val="auto"/>
        </w:rPr>
      </w:pPr>
    </w:p>
    <w:p>
      <w:pPr>
        <w:jc w:val="both"/>
        <w:ind w:left="1140" w:right="1159" w:firstLine="524"/>
        <w:spacing w:after="0" w:line="275" w:lineRule="auto"/>
        <w:tabs>
          <w:tab w:leader="none" w:pos="1993" w:val="left"/>
        </w:tabs>
        <w:numPr>
          <w:ilvl w:val="0"/>
          <w:numId w:val="30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 xml:space="preserve">the application of any Write-Down and Conversion Powers by </w:t>
      </w:r>
      <w:r>
        <w:rPr>
          <w:rFonts w:ascii="Times New Roman" w:cs="Times New Roman" w:eastAsia="Times New Roman" w:hAnsi="Times New Roman"/>
          <w:sz w:val="14"/>
          <w:szCs w:val="14"/>
          <w:color w:val="FF0000"/>
          <w:strike w:val="1"/>
        </w:rPr>
        <w:t>an EEA</w:t>
      </w:r>
      <w:r>
        <w:rPr>
          <w:rFonts w:ascii="Times New Roman" w:cs="Times New Roman" w:eastAsia="Times New Roman" w:hAnsi="Times New Roman"/>
          <w:sz w:val="14"/>
          <w:szCs w:val="14"/>
          <w:u w:val="single" w:color="auto"/>
          <w:color w:val="0000FF"/>
        </w:rPr>
        <w:t>the applicable</w:t>
      </w:r>
      <w:r>
        <w:rPr>
          <w:rFonts w:ascii="Times New Roman" w:cs="Times New Roman" w:eastAsia="Times New Roman" w:hAnsi="Times New Roman"/>
          <w:sz w:val="14"/>
          <w:szCs w:val="14"/>
          <w:color w:val="auto"/>
        </w:rPr>
        <w:t xml:space="preserve"> Resolution Authority to any such liabilities arising hereunder which may be payable to it by any Lender </w:t>
      </w:r>
      <w:r>
        <w:rPr>
          <w:rFonts w:ascii="Times New Roman" w:cs="Times New Roman" w:eastAsia="Times New Roman" w:hAnsi="Times New Roman"/>
          <w:sz w:val="14"/>
          <w:szCs w:val="14"/>
          <w:u w:val="single" w:color="auto"/>
          <w:color w:val="0000FF"/>
        </w:rPr>
        <w:t>hereto</w:t>
      </w:r>
      <w:r>
        <w:rPr>
          <w:rFonts w:ascii="Times New Roman" w:cs="Times New Roman" w:eastAsia="Times New Roman" w:hAnsi="Times New Roman"/>
          <w:sz w:val="14"/>
          <w:szCs w:val="14"/>
          <w:color w:val="auto"/>
        </w:rPr>
        <w:t xml:space="preserve"> that is an </w:t>
      </w:r>
      <w:r>
        <w:rPr>
          <w:rFonts w:ascii="Times New Roman" w:cs="Times New Roman" w:eastAsia="Times New Roman" w:hAnsi="Times New Roman"/>
          <w:sz w:val="14"/>
          <w:szCs w:val="14"/>
          <w:color w:val="FF0000"/>
          <w:strike w:val="1"/>
        </w:rPr>
        <w:t>EEA</w:t>
      </w:r>
      <w:r>
        <w:rPr>
          <w:rFonts w:ascii="Times New Roman" w:cs="Times New Roman" w:eastAsia="Times New Roman" w:hAnsi="Times New Roman"/>
          <w:sz w:val="14"/>
          <w:szCs w:val="14"/>
          <w:u w:val="single" w:color="auto"/>
          <w:color w:val="0000FF"/>
        </w:rPr>
        <w:t>Affected</w:t>
      </w:r>
      <w:r>
        <w:rPr>
          <w:rFonts w:ascii="Times New Roman" w:cs="Times New Roman" w:eastAsia="Times New Roman" w:hAnsi="Times New Roman"/>
          <w:sz w:val="14"/>
          <w:szCs w:val="14"/>
          <w:color w:val="FF0000"/>
        </w:rPr>
        <w:t xml:space="preserve"> </w:t>
      </w:r>
      <w:r>
        <w:rPr>
          <w:rFonts w:ascii="Times New Roman" w:cs="Times New Roman" w:eastAsia="Times New Roman" w:hAnsi="Times New Roman"/>
          <w:sz w:val="14"/>
          <w:szCs w:val="14"/>
          <w:color w:val="000000"/>
        </w:rPr>
        <w:t>Financial Institution; and</w:t>
      </w:r>
    </w:p>
    <w:p>
      <w:pPr>
        <w:spacing w:after="0" w:line="145"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307"/>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the effects of any Bail-In Action on any such liability, including, if applicable:</w:t>
      </w:r>
    </w:p>
    <w:p>
      <w:pPr>
        <w:spacing w:after="0" w:line="194" w:lineRule="exact"/>
        <w:rPr>
          <w:sz w:val="20"/>
          <w:szCs w:val="20"/>
          <w:color w:val="auto"/>
        </w:rPr>
      </w:pPr>
    </w:p>
    <w:p>
      <w:pPr>
        <w:ind w:left="2500" w:hanging="320"/>
        <w:spacing w:after="0"/>
        <w:tabs>
          <w:tab w:leader="none" w:pos="2500" w:val="left"/>
        </w:tabs>
        <w:numPr>
          <w:ilvl w:val="0"/>
          <w:numId w:val="308"/>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 reduction in full or in part or cancellation of any such liability</w:t>
      </w:r>
      <w:r>
        <w:rPr>
          <w:rFonts w:ascii="Times New Roman" w:cs="Times New Roman" w:eastAsia="Times New Roman" w:hAnsi="Times New Roman"/>
          <w:sz w:val="14"/>
          <w:szCs w:val="14"/>
          <w:u w:val="single" w:color="auto"/>
          <w:color w:val="0000FF"/>
        </w:rPr>
        <w:t>;</w:t>
      </w:r>
    </w:p>
    <w:p>
      <w:pPr>
        <w:spacing w:after="0" w:line="194" w:lineRule="exact"/>
        <w:rPr>
          <w:sz w:val="20"/>
          <w:szCs w:val="20"/>
          <w:color w:val="auto"/>
        </w:rPr>
      </w:pPr>
    </w:p>
    <w:p>
      <w:pPr>
        <w:jc w:val="both"/>
        <w:ind w:left="1660" w:right="1159" w:firstLine="516"/>
        <w:spacing w:after="0" w:line="267" w:lineRule="auto"/>
        <w:rPr>
          <w:sz w:val="20"/>
          <w:szCs w:val="20"/>
          <w:color w:val="auto"/>
        </w:rPr>
      </w:pPr>
      <w:r>
        <w:rPr>
          <w:rFonts w:ascii="Times New Roman" w:cs="Times New Roman" w:eastAsia="Times New Roman" w:hAnsi="Times New Roman"/>
          <w:sz w:val="14"/>
          <w:szCs w:val="14"/>
          <w:color w:val="010000"/>
        </w:rPr>
        <w:t>(</w:t>
      </w:r>
      <w:r>
        <w:rPr>
          <w:rFonts w:ascii="Times New Roman" w:cs="Times New Roman" w:eastAsia="Times New Roman" w:hAnsi="Times New Roman"/>
          <w:sz w:val="14"/>
          <w:szCs w:val="14"/>
          <w:color w:val="FF0000"/>
          <w:strike w:val="1"/>
        </w:rPr>
        <w:t>i</w:t>
      </w:r>
      <w:r>
        <w:rPr>
          <w:rFonts w:ascii="Times New Roman" w:cs="Times New Roman" w:eastAsia="Times New Roman" w:hAnsi="Times New Roman"/>
          <w:sz w:val="14"/>
          <w:szCs w:val="14"/>
          <w:u w:val="single" w:color="auto"/>
          <w:color w:val="0000FF"/>
        </w:rPr>
        <w:t>ii</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a conversion of all, or a portion of, such liability into shares or other instruments of</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 xml:space="preserve">ownership in such </w:t>
      </w:r>
      <w:r>
        <w:rPr>
          <w:rFonts w:ascii="Times New Roman" w:cs="Times New Roman" w:eastAsia="Times New Roman" w:hAnsi="Times New Roman"/>
          <w:sz w:val="14"/>
          <w:szCs w:val="14"/>
          <w:color w:val="FF0000"/>
          <w:strike w:val="1"/>
        </w:rPr>
        <w:t>EEA</w:t>
      </w:r>
      <w:r>
        <w:rPr>
          <w:rFonts w:ascii="Times New Roman" w:cs="Times New Roman" w:eastAsia="Times New Roman" w:hAnsi="Times New Roman"/>
          <w:sz w:val="14"/>
          <w:szCs w:val="14"/>
          <w:u w:val="single" w:color="auto"/>
          <w:color w:val="0000FF"/>
        </w:rPr>
        <w:t>Affected</w:t>
      </w:r>
      <w:r>
        <w:rPr>
          <w:rFonts w:ascii="Times New Roman" w:cs="Times New Roman" w:eastAsia="Times New Roman" w:hAnsi="Times New Roman"/>
          <w:sz w:val="14"/>
          <w:szCs w:val="14"/>
          <w:color w:val="000000"/>
        </w:rPr>
        <w:t xml:space="preserve"> Financial Institution, its parent </w:t>
      </w:r>
      <w:r>
        <w:rPr>
          <w:rFonts w:ascii="Times New Roman" w:cs="Times New Roman" w:eastAsia="Times New Roman" w:hAnsi="Times New Roman"/>
          <w:sz w:val="14"/>
          <w:szCs w:val="14"/>
          <w:color w:val="FF0000"/>
          <w:strike w:val="1"/>
        </w:rPr>
        <w:t>entity</w:t>
      </w:r>
      <w:r>
        <w:rPr>
          <w:rFonts w:ascii="Times New Roman" w:cs="Times New Roman" w:eastAsia="Times New Roman" w:hAnsi="Times New Roman"/>
          <w:sz w:val="14"/>
          <w:szCs w:val="14"/>
          <w:u w:val="single" w:color="auto"/>
          <w:color w:val="0000FF"/>
        </w:rPr>
        <w:t>undertaking</w:t>
      </w:r>
      <w:r>
        <w:rPr>
          <w:rFonts w:ascii="Times New Roman" w:cs="Times New Roman" w:eastAsia="Times New Roman" w:hAnsi="Times New Roman"/>
          <w:sz w:val="14"/>
          <w:szCs w:val="14"/>
          <w:color w:val="000000"/>
        </w:rPr>
        <w:t>,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327" w:lineRule="exact"/>
        <w:rPr>
          <w:sz w:val="20"/>
          <w:szCs w:val="20"/>
          <w:color w:val="auto"/>
        </w:rPr>
      </w:pPr>
    </w:p>
    <w:p>
      <w:pPr>
        <w:jc w:val="both"/>
        <w:ind w:left="1660" w:right="1159" w:firstLine="516"/>
        <w:spacing w:after="0" w:line="293" w:lineRule="auto"/>
        <w:rPr>
          <w:sz w:val="20"/>
          <w:szCs w:val="20"/>
          <w:color w:val="auto"/>
        </w:rPr>
      </w:pPr>
      <w:r>
        <w:rPr>
          <w:rFonts w:ascii="Times New Roman" w:cs="Times New Roman" w:eastAsia="Times New Roman" w:hAnsi="Times New Roman"/>
          <w:sz w:val="14"/>
          <w:szCs w:val="14"/>
          <w:color w:val="010000"/>
        </w:rPr>
        <w:t>(ii</w:t>
      </w:r>
      <w:r>
        <w:rPr>
          <w:rFonts w:ascii="Times New Roman" w:cs="Times New Roman" w:eastAsia="Times New Roman" w:hAnsi="Times New Roman"/>
          <w:sz w:val="14"/>
          <w:szCs w:val="14"/>
          <w:u w:val="single" w:color="auto"/>
          <w:color w:val="0000FF"/>
        </w:rPr>
        <w:t>i</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the variation of the terms of such liability in connection with the exercise of the Write-Down</w:t>
      </w:r>
      <w:r>
        <w:rPr>
          <w:rFonts w:ascii="Times New Roman" w:cs="Times New Roman" w:eastAsia="Times New Roman" w:hAnsi="Times New Roman"/>
          <w:sz w:val="14"/>
          <w:szCs w:val="14"/>
          <w:color w:val="010000"/>
        </w:rPr>
        <w:t xml:space="preserve"> </w:t>
      </w:r>
      <w:r>
        <w:rPr>
          <w:rFonts w:ascii="Times New Roman" w:cs="Times New Roman" w:eastAsia="Times New Roman" w:hAnsi="Times New Roman"/>
          <w:sz w:val="14"/>
          <w:szCs w:val="14"/>
          <w:color w:val="000000"/>
        </w:rPr>
        <w:t xml:space="preserve">and Conversion Powers of </w:t>
      </w:r>
      <w:r>
        <w:rPr>
          <w:rFonts w:ascii="Times New Roman" w:cs="Times New Roman" w:eastAsia="Times New Roman" w:hAnsi="Times New Roman"/>
          <w:sz w:val="14"/>
          <w:szCs w:val="14"/>
          <w:color w:val="FF0000"/>
          <w:strike w:val="1"/>
        </w:rPr>
        <w:t>any EEA</w:t>
      </w:r>
      <w:r>
        <w:rPr>
          <w:rFonts w:ascii="Times New Roman" w:cs="Times New Roman" w:eastAsia="Times New Roman" w:hAnsi="Times New Roman"/>
          <w:sz w:val="14"/>
          <w:szCs w:val="14"/>
          <w:u w:val="single" w:color="auto"/>
          <w:color w:val="0000FF"/>
        </w:rPr>
        <w:t>the applicable</w:t>
      </w:r>
      <w:r>
        <w:rPr>
          <w:rFonts w:ascii="Times New Roman" w:cs="Times New Roman" w:eastAsia="Times New Roman" w:hAnsi="Times New Roman"/>
          <w:sz w:val="14"/>
          <w:szCs w:val="14"/>
          <w:color w:val="000000"/>
        </w:rPr>
        <w:t xml:space="preserve"> Resolution Authority.</w:t>
      </w:r>
    </w:p>
    <w:p>
      <w:pPr>
        <w:spacing w:after="0" w:line="134" w:lineRule="exact"/>
        <w:rPr>
          <w:sz w:val="20"/>
          <w:szCs w:val="20"/>
          <w:color w:val="auto"/>
        </w:rPr>
      </w:pPr>
    </w:p>
    <w:p>
      <w:pPr>
        <w:jc w:val="both"/>
        <w:ind w:left="1140" w:right="1159" w:firstLine="517"/>
        <w:spacing w:after="0" w:line="261" w:lineRule="auto"/>
        <w:rPr>
          <w:sz w:val="20"/>
          <w:szCs w:val="20"/>
          <w:color w:val="auto"/>
        </w:rPr>
      </w:pPr>
      <w:r>
        <w:rPr>
          <w:rFonts w:ascii="Times New Roman" w:cs="Times New Roman" w:eastAsia="Times New Roman" w:hAnsi="Times New Roman"/>
          <w:sz w:val="14"/>
          <w:szCs w:val="14"/>
          <w:u w:val="single" w:color="auto"/>
          <w:color w:val="auto"/>
        </w:rPr>
        <w:t>13.23 Acknowledgement Regarding Any Supported QFCs</w:t>
      </w:r>
      <w:r>
        <w:rPr>
          <w:rFonts w:ascii="Times New Roman" w:cs="Times New Roman" w:eastAsia="Times New Roman" w:hAnsi="Times New Roman"/>
          <w:sz w:val="14"/>
          <w:szCs w:val="14"/>
          <w:color w:val="auto"/>
        </w:rPr>
        <w:t>. To the extent that the Credit Documents provide support, through a guarantee or otherwise, for any Secured Hedge Agreement or any other agreement or instrument that is a QFC (such support, “</w:t>
      </w:r>
      <w:r>
        <w:rPr>
          <w:rFonts w:ascii="Times New Roman" w:cs="Times New Roman" w:eastAsia="Times New Roman" w:hAnsi="Times New Roman"/>
          <w:sz w:val="14"/>
          <w:szCs w:val="14"/>
          <w:b w:val="1"/>
          <w:bCs w:val="1"/>
          <w:color w:val="auto"/>
        </w:rPr>
        <w:t>QFC Credit Support</w:t>
      </w:r>
      <w:r>
        <w:rPr>
          <w:rFonts w:ascii="Times New Roman" w:cs="Times New Roman" w:eastAsia="Times New Roman" w:hAnsi="Times New Roman"/>
          <w:sz w:val="14"/>
          <w:szCs w:val="14"/>
          <w:color w:val="auto"/>
        </w:rPr>
        <w:t>”, and each such QFC, a “</w:t>
      </w:r>
      <w:r>
        <w:rPr>
          <w:rFonts w:ascii="Times New Roman" w:cs="Times New Roman" w:eastAsia="Times New Roman" w:hAnsi="Times New Roman"/>
          <w:sz w:val="14"/>
          <w:szCs w:val="14"/>
          <w:b w:val="1"/>
          <w:bCs w:val="1"/>
          <w:color w:val="auto"/>
        </w:rPr>
        <w:t>Supported QFC</w:t>
      </w:r>
      <w:r>
        <w:rPr>
          <w:rFonts w:ascii="Times New Roman" w:cs="Times New Roman" w:eastAsia="Times New Roman" w:hAnsi="Times New Roman"/>
          <w:sz w:val="14"/>
          <w:szCs w:val="14"/>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4"/>
          <w:szCs w:val="14"/>
          <w:b w:val="1"/>
          <w:bCs w:val="1"/>
          <w:color w:val="auto"/>
        </w:rPr>
        <w:t>U.S. Special Resolution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Regimes</w:t>
      </w:r>
      <w:r>
        <w:rPr>
          <w:rFonts w:ascii="Times New Roman" w:cs="Times New Roman" w:eastAsia="Times New Roman" w:hAnsi="Times New Roman"/>
          <w:sz w:val="14"/>
          <w:szCs w:val="14"/>
          <w:color w:val="auto"/>
        </w:rPr>
        <w:t>”) in respect of such Supported QFC and QFC Credit Support (with the provisions below applicable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notwithstanding that the Credit Documents and any Supported QFC may in fact be stated to be governed by the laws of the State of New York and/or of the United States or any other state of the United States):</w:t>
      </w:r>
    </w:p>
    <w:p>
      <w:pPr>
        <w:spacing w:after="0" w:line="155" w:lineRule="exact"/>
        <w:rPr>
          <w:sz w:val="20"/>
          <w:szCs w:val="20"/>
          <w:color w:val="auto"/>
        </w:rPr>
      </w:pPr>
    </w:p>
    <w:p>
      <w:pPr>
        <w:jc w:val="both"/>
        <w:ind w:left="1140" w:right="1159" w:firstLine="524"/>
        <w:spacing w:after="0" w:line="259" w:lineRule="auto"/>
        <w:tabs>
          <w:tab w:leader="none" w:pos="1972" w:val="left"/>
        </w:tabs>
        <w:numPr>
          <w:ilvl w:val="0"/>
          <w:numId w:val="30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In the event a Covered Entity that is party to a Supported QFC (each, a “</w:t>
      </w:r>
      <w:r>
        <w:rPr>
          <w:rFonts w:ascii="Times New Roman" w:cs="Times New Roman" w:eastAsia="Times New Roman" w:hAnsi="Times New Roman"/>
          <w:sz w:val="14"/>
          <w:szCs w:val="14"/>
          <w:b w:val="1"/>
          <w:bCs w:val="1"/>
          <w:color w:val="auto"/>
        </w:rPr>
        <w:t>Covered Party</w:t>
      </w:r>
      <w:r>
        <w:rPr>
          <w:rFonts w:ascii="Times New Roman" w:cs="Times New Roman" w:eastAsia="Times New Roman" w:hAnsi="Times New Roman"/>
          <w:sz w:val="14"/>
          <w:szCs w:val="14"/>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34" w:lineRule="exact"/>
        <w:rPr>
          <w:rFonts w:ascii="Times New Roman" w:cs="Times New Roman" w:eastAsia="Times New Roman" w:hAnsi="Times New Roman"/>
          <w:sz w:val="14"/>
          <w:szCs w:val="14"/>
          <w:color w:val="010000"/>
        </w:rPr>
      </w:pPr>
    </w:p>
    <w:p>
      <w:pPr>
        <w:ind w:left="1980" w:hanging="316"/>
        <w:spacing w:after="0"/>
        <w:tabs>
          <w:tab w:leader="none" w:pos="1980" w:val="left"/>
        </w:tabs>
        <w:numPr>
          <w:ilvl w:val="0"/>
          <w:numId w:val="309"/>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(As used in this Section 13.23, the following terms have the following meanings:</w:t>
      </w:r>
    </w:p>
    <w:p>
      <w:pPr>
        <w:spacing w:after="0" w:line="194" w:lineRule="exact"/>
        <w:rPr>
          <w:sz w:val="20"/>
          <w:szCs w:val="20"/>
          <w:color w:val="auto"/>
        </w:rPr>
      </w:pPr>
    </w:p>
    <w:p>
      <w:pPr>
        <w:ind w:left="1980" w:hanging="316"/>
        <w:spacing w:after="0"/>
        <w:tabs>
          <w:tab w:leader="none" w:pos="1980" w:val="left"/>
        </w:tabs>
        <w:numPr>
          <w:ilvl w:val="0"/>
          <w:numId w:val="310"/>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“BHC Act Affiliate” of a party means an “affiliate” (as such term is defined under, and interpreted</w:t>
      </w:r>
    </w:p>
    <w:p>
      <w:pPr>
        <w:spacing w:after="0" w:line="2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0">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74" w:name="page275"/>
    <w:bookmarkEnd w:id="274"/>
    <w:p>
      <w:pPr>
        <w:ind w:left="1140"/>
        <w:spacing w:after="0"/>
        <w:rPr>
          <w:sz w:val="20"/>
          <w:szCs w:val="20"/>
          <w:color w:val="auto"/>
        </w:rPr>
      </w:pPr>
      <w:r>
        <w:rPr>
          <w:rFonts w:ascii="Times New Roman" w:cs="Times New Roman" w:eastAsia="Times New Roman" w:hAnsi="Times New Roman"/>
          <w:sz w:val="14"/>
          <w:szCs w:val="14"/>
          <w:color w:val="auto"/>
        </w:rPr>
        <w:t>in accordance with, 12 U.S.C. 1841(k)) of such party.</w:t>
      </w:r>
    </w:p>
    <w:p>
      <w:pPr>
        <w:spacing w:after="0" w:line="194" w:lineRule="exact"/>
        <w:rPr>
          <w:sz w:val="20"/>
          <w:szCs w:val="20"/>
          <w:color w:val="auto"/>
        </w:rPr>
      </w:pPr>
    </w:p>
    <w:p>
      <w:pPr>
        <w:jc w:val="both"/>
        <w:ind w:left="1140" w:right="1159" w:firstLine="524"/>
        <w:spacing w:after="0" w:line="268" w:lineRule="auto"/>
        <w:tabs>
          <w:tab w:leader="none" w:pos="1982" w:val="left"/>
        </w:tabs>
        <w:numPr>
          <w:ilvl w:val="0"/>
          <w:numId w:val="3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52"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3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“Default Right” has the meaning assigned to that term in, and shall be interpreted in accordance with, 12 C.F.R. §§ 252.81, 47.2 or 382.1, as applicable.</w:t>
      </w:r>
    </w:p>
    <w:p>
      <w:pPr>
        <w:spacing w:after="0" w:line="134" w:lineRule="exact"/>
        <w:rPr>
          <w:rFonts w:ascii="Times New Roman" w:cs="Times New Roman" w:eastAsia="Times New Roman" w:hAnsi="Times New Roman"/>
          <w:sz w:val="14"/>
          <w:szCs w:val="14"/>
          <w:color w:val="010000"/>
        </w:rPr>
      </w:pPr>
    </w:p>
    <w:p>
      <w:pPr>
        <w:ind w:left="1140" w:right="1159" w:firstLine="524"/>
        <w:spacing w:after="0" w:line="293" w:lineRule="auto"/>
        <w:tabs>
          <w:tab w:leader="none" w:pos="1972" w:val="left"/>
        </w:tabs>
        <w:numPr>
          <w:ilvl w:val="0"/>
          <w:numId w:val="311"/>
        </w:numPr>
        <w:rPr>
          <w:rFonts w:ascii="Times New Roman" w:cs="Times New Roman" w:eastAsia="Times New Roman" w:hAnsi="Times New Roman"/>
          <w:sz w:val="14"/>
          <w:szCs w:val="14"/>
          <w:color w:val="010000"/>
        </w:rPr>
      </w:pPr>
      <w:r>
        <w:rPr>
          <w:rFonts w:ascii="Times New Roman" w:cs="Times New Roman" w:eastAsia="Times New Roman" w:hAnsi="Times New Roman"/>
          <w:sz w:val="14"/>
          <w:szCs w:val="14"/>
          <w:color w:val="auto"/>
        </w:rPr>
        <w:t>“QFC” has the meaning assigned to the term “qualified financial contract” in, and shall be interpreted in accordance with, 12 U.S.C. 5390(c)(8)(D).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[REMAINDER OF PAGE INTENTIONALLY LEFT BLANK]</w:t>
      </w:r>
    </w:p>
    <w:p>
      <w:pPr>
        <w:spacing w:after="0" w:line="9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532130</wp:posOffset>
            </wp:positionV>
            <wp:extent cx="4288790" cy="3937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1">
                      <a:extLst>
                        <a:ext uri="{28A0092B-C50C-407E-A947-70E740481C1C}"/>
                      </a:extLst>
                    </a:blip>
                    <a:srcRect/>
                    <a:stretch>
                      <a:fillRect/>
                    </a:stretch>
                  </pic:blipFill>
                  <pic:spPr bwMode="auto">
                    <a:xfrm>
                      <a:off x="0" y="0"/>
                      <a:ext cx="4288790" cy="39370"/>
                    </a:xfrm>
                    <a:prstGeom prst="rect">
                      <a:avLst/>
                    </a:prstGeom>
                    <a:noFill/>
                  </pic:spPr>
                </pic:pic>
              </a:graphicData>
            </a:graphic>
          </wp:anchor>
        </w:drawing>
      </w:r>
    </w:p>
    <w:p>
      <w:pPr>
        <w:sectPr>
          <w:pgSz w:w="11900" w:h="16838" w:orient="portrait"/>
          <w:cols w:equalWidth="0" w:num="1">
            <w:col w:w="9019"/>
          </w:cols>
          <w:pgMar w:left="1440" w:top="1158" w:right="1440" w:bottom="1440" w:gutter="0" w:footer="0" w:header="0"/>
        </w:sectPr>
      </w:pPr>
    </w:p>
    <w:bookmarkStart w:id="275" w:name="page276"/>
    <w:bookmarkEnd w:id="275"/>
    <w:p>
      <w:pPr>
        <w:ind w:left="1040" w:right="779" w:firstLine="1033"/>
        <w:spacing w:after="0" w:line="29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1581150</wp:posOffset>
            </wp:positionH>
            <wp:positionV relativeFrom="page">
              <wp:posOffset>403225</wp:posOffset>
            </wp:positionV>
            <wp:extent cx="465264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2">
                      <a:extLst>
                        <a:ext uri="{28A0092B-C50C-407E-A947-70E740481C1C}"/>
                      </a:extLst>
                    </a:blip>
                    <a:srcRect/>
                    <a:stretch>
                      <a:fillRect/>
                    </a:stretch>
                  </pic:blipFill>
                  <pic:spPr bwMode="auto">
                    <a:xfrm>
                      <a:off x="0" y="0"/>
                      <a:ext cx="4652645" cy="6985"/>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416560</wp:posOffset>
            </wp:positionV>
            <wp:extent cx="465264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3">
                      <a:extLst>
                        <a:ext uri="{28A0092B-C50C-407E-A947-70E740481C1C}"/>
                      </a:extLst>
                    </a:blip>
                    <a:srcRect/>
                    <a:stretch>
                      <a:fillRect/>
                    </a:stretch>
                  </pic:blipFill>
                  <pic:spPr bwMode="auto">
                    <a:xfrm>
                      <a:off x="0" y="0"/>
                      <a:ext cx="4652645" cy="6985"/>
                    </a:xfrm>
                    <a:prstGeom prst="rect">
                      <a:avLst/>
                    </a:prstGeom>
                    <a:noFill/>
                  </pic:spPr>
                </pic:pic>
              </a:graphicData>
            </a:graphic>
          </wp:anchor>
        </w:drawing>
        <w:t>IN WITNESS WHEREOF, each of the parties hereto has caused a counterpart of this Agreement to be duly executed and delivered as of the date first above written.</w:t>
      </w:r>
    </w:p>
    <w:p>
      <w:pPr>
        <w:spacing w:after="0" w:line="200" w:lineRule="exact"/>
        <w:rPr>
          <w:sz w:val="20"/>
          <w:szCs w:val="20"/>
          <w:color w:val="auto"/>
        </w:rPr>
      </w:pPr>
    </w:p>
    <w:p>
      <w:pPr>
        <w:spacing w:after="0" w:line="21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Phoenix Intermediate Holdings Inc.,</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Holdings</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148590</wp:posOffset>
            </wp:positionV>
            <wp:extent cx="1673860"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4">
                      <a:extLst>
                        <a:ext uri="{28A0092B-C50C-407E-A947-70E740481C1C}"/>
                      </a:extLst>
                    </a:blip>
                    <a:srcRect/>
                    <a:stretch>
                      <a:fillRect/>
                    </a:stretch>
                  </pic:blipFill>
                  <pic:spPr bwMode="auto">
                    <a:xfrm>
                      <a:off x="0" y="0"/>
                      <a:ext cx="1673860" cy="6985"/>
                    </a:xfrm>
                    <a:prstGeom prst="rect">
                      <a:avLst/>
                    </a:prstGeom>
                    <a:noFill/>
                  </pic:spPr>
                </pic:pic>
              </a:graphicData>
            </a:graphic>
          </wp:anchor>
        </w:drawing>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Phoenix Guarantor Inc.,</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the Borrower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148590</wp:posOffset>
            </wp:positionV>
            <wp:extent cx="1680845" cy="698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5">
                      <a:extLst>
                        <a:ext uri="{28A0092B-C50C-407E-A947-70E740481C1C}"/>
                      </a:extLst>
                    </a:blip>
                    <a:srcRect/>
                    <a:stretch>
                      <a:fillRect/>
                    </a:stretch>
                  </pic:blipFill>
                  <pic:spPr bwMode="auto">
                    <a:xfrm>
                      <a:off x="0" y="0"/>
                      <a:ext cx="1680845" cy="6985"/>
                    </a:xfrm>
                    <a:prstGeom prst="rect">
                      <a:avLst/>
                    </a:prstGeom>
                    <a:noFill/>
                  </pic:spPr>
                </pic:pic>
              </a:graphicData>
            </a:graphic>
          </wp:anchor>
        </w:drawing>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[Cardinal First Lien Credit Agreement]</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204470</wp:posOffset>
            </wp:positionV>
            <wp:extent cx="4678045" cy="3937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6">
                      <a:extLst>
                        <a:ext uri="{28A0092B-C50C-407E-A947-70E740481C1C}"/>
                      </a:extLst>
                    </a:blip>
                    <a:srcRect/>
                    <a:stretch>
                      <a:fillRect/>
                    </a:stretch>
                  </pic:blipFill>
                  <pic:spPr bwMode="auto">
                    <a:xfrm>
                      <a:off x="0" y="0"/>
                      <a:ext cx="4678045" cy="39370"/>
                    </a:xfrm>
                    <a:prstGeom prst="rect">
                      <a:avLst/>
                    </a:prstGeom>
                    <a:noFill/>
                  </pic:spPr>
                </pic:pic>
              </a:graphicData>
            </a:graphic>
          </wp:anchor>
        </w:drawing>
      </w:r>
    </w:p>
    <w:p>
      <w:pPr>
        <w:sectPr>
          <w:pgSz w:w="11900" w:h="16838" w:orient="portrait"/>
          <w:cols w:equalWidth="0" w:num="1">
            <w:col w:w="9019"/>
          </w:cols>
          <w:pgMar w:left="1440" w:top="856" w:right="1440" w:bottom="1440" w:gutter="0" w:footer="0" w:header="0"/>
        </w:sectPr>
      </w:pPr>
    </w:p>
    <w:bookmarkStart w:id="276" w:name="page277"/>
    <w:bookmarkEnd w:id="276"/>
    <w:p>
      <w:pPr>
        <w:ind w:left="5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1581150</wp:posOffset>
            </wp:positionH>
            <wp:positionV relativeFrom="page">
              <wp:posOffset>403225</wp:posOffset>
            </wp:positionV>
            <wp:extent cx="465264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7">
                      <a:extLst>
                        <a:ext uri="{28A0092B-C50C-407E-A947-70E740481C1C}"/>
                      </a:extLst>
                    </a:blip>
                    <a:srcRect/>
                    <a:stretch>
                      <a:fillRect/>
                    </a:stretch>
                  </pic:blipFill>
                  <pic:spPr bwMode="auto">
                    <a:xfrm>
                      <a:off x="0" y="0"/>
                      <a:ext cx="4652645" cy="6985"/>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417195</wp:posOffset>
            </wp:positionV>
            <wp:extent cx="465264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8">
                      <a:extLst>
                        <a:ext uri="{28A0092B-C50C-407E-A947-70E740481C1C}"/>
                      </a:extLst>
                    </a:blip>
                    <a:srcRect/>
                    <a:stretch>
                      <a:fillRect/>
                    </a:stretch>
                  </pic:blipFill>
                  <pic:spPr bwMode="auto">
                    <a:xfrm>
                      <a:off x="0" y="0"/>
                      <a:ext cx="4652645" cy="6985"/>
                    </a:xfrm>
                    <a:prstGeom prst="rect">
                      <a:avLst/>
                    </a:prstGeom>
                    <a:noFill/>
                  </pic:spPr>
                </pic:pic>
              </a:graphicData>
            </a:graphic>
          </wp:anchor>
        </w:drawing>
        <w:t>MORGAN STANLEY SENIOR FUNDING,</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INC.,</w:t>
      </w:r>
    </w:p>
    <w:p>
      <w:pPr>
        <w:spacing w:after="0" w:line="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the Administrative Agent, the Collateral Agent,</w:t>
      </w:r>
    </w:p>
    <w:p>
      <w:pPr>
        <w:spacing w:after="0" w:line="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 Lender and a Letter of Credit Issuer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148590</wp:posOffset>
            </wp:positionV>
            <wp:extent cx="164655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9">
                      <a:extLst>
                        <a:ext uri="{28A0092B-C50C-407E-A947-70E740481C1C}"/>
                      </a:extLst>
                    </a:blip>
                    <a:srcRect/>
                    <a:stretch>
                      <a:fillRect/>
                    </a:stretch>
                  </pic:blipFill>
                  <pic:spPr bwMode="auto">
                    <a:xfrm>
                      <a:off x="0" y="0"/>
                      <a:ext cx="1646555" cy="6985"/>
                    </a:xfrm>
                    <a:prstGeom prst="rect">
                      <a:avLst/>
                    </a:prstGeom>
                    <a:noFill/>
                  </pic:spPr>
                </pic:pic>
              </a:graphicData>
            </a:graphic>
          </wp:anchor>
        </w:drawing>
      </w:r>
    </w:p>
    <w:p>
      <w:pPr>
        <w:spacing w:after="0" w:line="2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[Cardinal First Lien Credit Agreement]</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204470</wp:posOffset>
            </wp:positionV>
            <wp:extent cx="4678045" cy="3937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0">
                      <a:extLst>
                        <a:ext uri="{28A0092B-C50C-407E-A947-70E740481C1C}"/>
                      </a:extLst>
                    </a:blip>
                    <a:srcRect/>
                    <a:stretch>
                      <a:fillRect/>
                    </a:stretch>
                  </pic:blipFill>
                  <pic:spPr bwMode="auto">
                    <a:xfrm>
                      <a:off x="0" y="0"/>
                      <a:ext cx="4678045" cy="39370"/>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277" w:name="page278"/>
    <w:bookmarkEnd w:id="277"/>
    <w:p>
      <w:pPr>
        <w:ind w:left="5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1581150</wp:posOffset>
            </wp:positionH>
            <wp:positionV relativeFrom="page">
              <wp:posOffset>403225</wp:posOffset>
            </wp:positionV>
            <wp:extent cx="465264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1">
                      <a:extLst>
                        <a:ext uri="{28A0092B-C50C-407E-A947-70E740481C1C}"/>
                      </a:extLst>
                    </a:blip>
                    <a:srcRect/>
                    <a:stretch>
                      <a:fillRect/>
                    </a:stretch>
                  </pic:blipFill>
                  <pic:spPr bwMode="auto">
                    <a:xfrm>
                      <a:off x="0" y="0"/>
                      <a:ext cx="4652645" cy="6985"/>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416560</wp:posOffset>
            </wp:positionV>
            <wp:extent cx="465264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2">
                      <a:extLst>
                        <a:ext uri="{28A0092B-C50C-407E-A947-70E740481C1C}"/>
                      </a:extLst>
                    </a:blip>
                    <a:srcRect/>
                    <a:stretch>
                      <a:fillRect/>
                    </a:stretch>
                  </pic:blipFill>
                  <pic:spPr bwMode="auto">
                    <a:xfrm>
                      <a:off x="0" y="0"/>
                      <a:ext cx="4652645" cy="6985"/>
                    </a:xfrm>
                    <a:prstGeom prst="rect">
                      <a:avLst/>
                    </a:prstGeom>
                    <a:noFill/>
                  </pic:spPr>
                </pic:pic>
              </a:graphicData>
            </a:graphic>
          </wp:anchor>
        </w:drawing>
        <w:t>CREDIT SUISSE AG, CAYMAN ISLANDS</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BRANCH,</w:t>
      </w:r>
    </w:p>
    <w:p>
      <w:pPr>
        <w:spacing w:after="0" w:line="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a Lender and a Letter of Credit Issuer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148590</wp:posOffset>
            </wp:positionV>
            <wp:extent cx="168084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3">
                      <a:extLst>
                        <a:ext uri="{28A0092B-C50C-407E-A947-70E740481C1C}"/>
                      </a:extLst>
                    </a:blip>
                    <a:srcRect/>
                    <a:stretch>
                      <a:fillRect/>
                    </a:stretch>
                  </pic:blipFill>
                  <pic:spPr bwMode="auto">
                    <a:xfrm>
                      <a:off x="0" y="0"/>
                      <a:ext cx="1680845" cy="6985"/>
                    </a:xfrm>
                    <a:prstGeom prst="rect">
                      <a:avLst/>
                    </a:prstGeom>
                    <a:noFill/>
                  </pic:spPr>
                </pic:pic>
              </a:graphicData>
            </a:graphic>
          </wp:anchor>
        </w:drawing>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8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CREDIT SUISSE LOAN FUNDING LLC,</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a Lender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148590</wp:posOffset>
            </wp:positionV>
            <wp:extent cx="168084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4">
                      <a:extLst>
                        <a:ext uri="{28A0092B-C50C-407E-A947-70E740481C1C}"/>
                      </a:extLst>
                    </a:blip>
                    <a:srcRect/>
                    <a:stretch>
                      <a:fillRect/>
                    </a:stretch>
                  </pic:blipFill>
                  <pic:spPr bwMode="auto">
                    <a:xfrm>
                      <a:off x="0" y="0"/>
                      <a:ext cx="1680845" cy="6985"/>
                    </a:xfrm>
                    <a:prstGeom prst="rect">
                      <a:avLst/>
                    </a:prstGeom>
                    <a:noFill/>
                  </pic:spPr>
                </pic:pic>
              </a:graphicData>
            </a:graphic>
          </wp:anchor>
        </w:drawing>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[Cardinal First Lien Credit Agreement]</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204470</wp:posOffset>
            </wp:positionV>
            <wp:extent cx="4678045" cy="3937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5">
                      <a:extLst>
                        <a:ext uri="{28A0092B-C50C-407E-A947-70E740481C1C}"/>
                      </a:extLst>
                    </a:blip>
                    <a:srcRect/>
                    <a:stretch>
                      <a:fillRect/>
                    </a:stretch>
                  </pic:blipFill>
                  <pic:spPr bwMode="auto">
                    <a:xfrm>
                      <a:off x="0" y="0"/>
                      <a:ext cx="4678045" cy="3937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78" w:name="page279"/>
    <w:bookmarkEnd w:id="278"/>
    <w:p>
      <w:pPr>
        <w:ind w:left="5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1581150</wp:posOffset>
            </wp:positionH>
            <wp:positionV relativeFrom="page">
              <wp:posOffset>403225</wp:posOffset>
            </wp:positionV>
            <wp:extent cx="465264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4652645" cy="6985"/>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416560</wp:posOffset>
            </wp:positionV>
            <wp:extent cx="465264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7">
                      <a:extLst>
                        <a:ext uri="{28A0092B-C50C-407E-A947-70E740481C1C}"/>
                      </a:extLst>
                    </a:blip>
                    <a:srcRect/>
                    <a:stretch>
                      <a:fillRect/>
                    </a:stretch>
                  </pic:blipFill>
                  <pic:spPr bwMode="auto">
                    <a:xfrm>
                      <a:off x="0" y="0"/>
                      <a:ext cx="4652645" cy="6985"/>
                    </a:xfrm>
                    <a:prstGeom prst="rect">
                      <a:avLst/>
                    </a:prstGeom>
                    <a:noFill/>
                  </pic:spPr>
                </pic:pic>
              </a:graphicData>
            </a:graphic>
          </wp:anchor>
        </w:drawing>
        <w:t>JEFFERIES FINANCE LLC,</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a Lender and a Letter of Credit Issuer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148590</wp:posOffset>
            </wp:positionV>
            <wp:extent cx="1680845" cy="698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8">
                      <a:extLst>
                        <a:ext uri="{28A0092B-C50C-407E-A947-70E740481C1C}"/>
                      </a:extLst>
                    </a:blip>
                    <a:srcRect/>
                    <a:stretch>
                      <a:fillRect/>
                    </a:stretch>
                  </pic:blipFill>
                  <pic:spPr bwMode="auto">
                    <a:xfrm>
                      <a:off x="0" y="0"/>
                      <a:ext cx="1680845" cy="6985"/>
                    </a:xfrm>
                    <a:prstGeom prst="rect">
                      <a:avLst/>
                    </a:prstGeom>
                    <a:noFill/>
                  </pic:spPr>
                </pic:pic>
              </a:graphicData>
            </a:graphic>
          </wp:anchor>
        </w:drawing>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148590</wp:posOffset>
            </wp:positionV>
            <wp:extent cx="168084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9">
                      <a:extLst>
                        <a:ext uri="{28A0092B-C50C-407E-A947-70E740481C1C}"/>
                      </a:extLst>
                    </a:blip>
                    <a:srcRect/>
                    <a:stretch>
                      <a:fillRect/>
                    </a:stretch>
                  </pic:blipFill>
                  <pic:spPr bwMode="auto">
                    <a:xfrm>
                      <a:off x="0" y="0"/>
                      <a:ext cx="1680845" cy="6985"/>
                    </a:xfrm>
                    <a:prstGeom prst="rect">
                      <a:avLst/>
                    </a:prstGeom>
                    <a:noFill/>
                  </pic:spPr>
                </pic:pic>
              </a:graphicData>
            </a:graphic>
          </wp:anchor>
        </w:drawing>
      </w:r>
    </w:p>
    <w:p>
      <w:pPr>
        <w:spacing w:after="0" w:line="2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[Cardinal First Lien Credit Agreement]</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204470</wp:posOffset>
            </wp:positionV>
            <wp:extent cx="4678045" cy="393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0">
                      <a:extLst>
                        <a:ext uri="{28A0092B-C50C-407E-A947-70E740481C1C}"/>
                      </a:extLst>
                    </a:blip>
                    <a:srcRect/>
                    <a:stretch>
                      <a:fillRect/>
                    </a:stretch>
                  </pic:blipFill>
                  <pic:spPr bwMode="auto">
                    <a:xfrm>
                      <a:off x="0" y="0"/>
                      <a:ext cx="4678045" cy="3937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79" w:name="page280"/>
    <w:bookmarkEnd w:id="279"/>
    <w:p>
      <w:pPr>
        <w:ind w:left="5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1581150</wp:posOffset>
            </wp:positionH>
            <wp:positionV relativeFrom="page">
              <wp:posOffset>403225</wp:posOffset>
            </wp:positionV>
            <wp:extent cx="465264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1">
                      <a:extLst>
                        <a:ext uri="{28A0092B-C50C-407E-A947-70E740481C1C}"/>
                      </a:extLst>
                    </a:blip>
                    <a:srcRect/>
                    <a:stretch>
                      <a:fillRect/>
                    </a:stretch>
                  </pic:blipFill>
                  <pic:spPr bwMode="auto">
                    <a:xfrm>
                      <a:off x="0" y="0"/>
                      <a:ext cx="4652645" cy="6985"/>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416560</wp:posOffset>
            </wp:positionV>
            <wp:extent cx="465264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2">
                      <a:extLst>
                        <a:ext uri="{28A0092B-C50C-407E-A947-70E740481C1C}"/>
                      </a:extLst>
                    </a:blip>
                    <a:srcRect/>
                    <a:stretch>
                      <a:fillRect/>
                    </a:stretch>
                  </pic:blipFill>
                  <pic:spPr bwMode="auto">
                    <a:xfrm>
                      <a:off x="0" y="0"/>
                      <a:ext cx="4652645" cy="6985"/>
                    </a:xfrm>
                    <a:prstGeom prst="rect">
                      <a:avLst/>
                    </a:prstGeom>
                    <a:noFill/>
                  </pic:spPr>
                </pic:pic>
              </a:graphicData>
            </a:graphic>
          </wp:anchor>
        </w:drawing>
        <w:t>KKR CORPORATE LENDING LLC,</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a Lender and a Letter of Credit Issuer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148590</wp:posOffset>
            </wp:positionV>
            <wp:extent cx="1653540"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3">
                      <a:extLst>
                        <a:ext uri="{28A0092B-C50C-407E-A947-70E740481C1C}"/>
                      </a:extLst>
                    </a:blip>
                    <a:srcRect/>
                    <a:stretch>
                      <a:fillRect/>
                    </a:stretch>
                  </pic:blipFill>
                  <pic:spPr bwMode="auto">
                    <a:xfrm>
                      <a:off x="0" y="0"/>
                      <a:ext cx="1653540" cy="6985"/>
                    </a:xfrm>
                    <a:prstGeom prst="rect">
                      <a:avLst/>
                    </a:prstGeom>
                    <a:noFill/>
                  </pic:spPr>
                </pic:pic>
              </a:graphicData>
            </a:graphic>
          </wp:anchor>
        </w:drawing>
      </w:r>
    </w:p>
    <w:p>
      <w:pPr>
        <w:spacing w:after="0" w:line="2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[Cardinal First Lien Credit Agreement]</w:t>
      </w:r>
    </w:p>
    <w:p>
      <w:pPr>
        <w:spacing w:after="0" w:line="17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204470</wp:posOffset>
            </wp:positionV>
            <wp:extent cx="4678045" cy="393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4">
                      <a:extLst>
                        <a:ext uri="{28A0092B-C50C-407E-A947-70E740481C1C}"/>
                      </a:extLst>
                    </a:blip>
                    <a:srcRect/>
                    <a:stretch>
                      <a:fillRect/>
                    </a:stretch>
                  </pic:blipFill>
                  <pic:spPr bwMode="auto">
                    <a:xfrm>
                      <a:off x="0" y="0"/>
                      <a:ext cx="4678045" cy="3937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80" w:name="page281"/>
    <w:bookmarkEnd w:id="280"/>
    <w:p>
      <w:pPr>
        <w:ind w:left="546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1581150</wp:posOffset>
            </wp:positionH>
            <wp:positionV relativeFrom="page">
              <wp:posOffset>403225</wp:posOffset>
            </wp:positionV>
            <wp:extent cx="465264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5">
                      <a:extLst>
                        <a:ext uri="{28A0092B-C50C-407E-A947-70E740481C1C}"/>
                      </a:extLst>
                    </a:blip>
                    <a:srcRect/>
                    <a:stretch>
                      <a:fillRect/>
                    </a:stretch>
                  </pic:blipFill>
                  <pic:spPr bwMode="auto">
                    <a:xfrm>
                      <a:off x="0" y="0"/>
                      <a:ext cx="4652645" cy="6985"/>
                    </a:xfrm>
                    <a:prstGeom prst="rect">
                      <a:avLst/>
                    </a:prstGeom>
                    <a:noFill/>
                  </pic:spPr>
                </pic:pic>
              </a:graphicData>
            </a:graphic>
          </wp:anchor>
        </w:drawing>
        <w:drawing>
          <wp:anchor simplePos="0" relativeHeight="251657728" behindDoc="1" locked="0" layoutInCell="0" allowOverlap="1">
            <wp:simplePos x="0" y="0"/>
            <wp:positionH relativeFrom="page">
              <wp:posOffset>1581150</wp:posOffset>
            </wp:positionH>
            <wp:positionV relativeFrom="page">
              <wp:posOffset>416560</wp:posOffset>
            </wp:positionV>
            <wp:extent cx="465264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6">
                      <a:extLst>
                        <a:ext uri="{28A0092B-C50C-407E-A947-70E740481C1C}"/>
                      </a:extLst>
                    </a:blip>
                    <a:srcRect/>
                    <a:stretch>
                      <a:fillRect/>
                    </a:stretch>
                  </pic:blipFill>
                  <pic:spPr bwMode="auto">
                    <a:xfrm>
                      <a:off x="0" y="0"/>
                      <a:ext cx="4652645" cy="6985"/>
                    </a:xfrm>
                    <a:prstGeom prst="rect">
                      <a:avLst/>
                    </a:prstGeom>
                    <a:noFill/>
                  </pic:spPr>
                </pic:pic>
              </a:graphicData>
            </a:graphic>
          </wp:anchor>
        </w:drawing>
        <w:t>CRÉDIT AGRICOLE CORPORATE AND</w:t>
      </w:r>
    </w:p>
    <w:p>
      <w:pPr>
        <w:spacing w:after="0" w:line="2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INVESTMENT BANK,</w:t>
      </w:r>
    </w:p>
    <w:p>
      <w:pPr>
        <w:spacing w:after="0" w:line="1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as a Lender and a Letter of Credit Issuer</w:t>
      </w: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3672840</wp:posOffset>
            </wp:positionH>
            <wp:positionV relativeFrom="paragraph">
              <wp:posOffset>148590</wp:posOffset>
            </wp:positionV>
            <wp:extent cx="1646555" cy="69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7">
                      <a:extLst>
                        <a:ext uri="{28A0092B-C50C-407E-A947-70E740481C1C}"/>
                      </a:extLst>
                    </a:blip>
                    <a:srcRect/>
                    <a:stretch>
                      <a:fillRect/>
                    </a:stretch>
                  </pic:blipFill>
                  <pic:spPr bwMode="auto">
                    <a:xfrm>
                      <a:off x="0" y="0"/>
                      <a:ext cx="1646555" cy="6985"/>
                    </a:xfrm>
                    <a:prstGeom prst="rect">
                      <a:avLst/>
                    </a:prstGeom>
                    <a:noFill/>
                  </pic:spPr>
                </pic:pic>
              </a:graphicData>
            </a:graphic>
          </wp:anchor>
        </w:drawing>
      </w:r>
    </w:p>
    <w:p>
      <w:pPr>
        <w:spacing w:after="0" w:line="21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Name:</w:t>
      </w:r>
    </w:p>
    <w:p>
      <w:pPr>
        <w:spacing w:after="0" w:line="22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pacing w:after="0" w:line="2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color w:val="auto"/>
        </w:rPr>
        <w:t>[Cardinal First Lien Credit Agreement]</w:t>
      </w:r>
    </w:p>
    <w:p>
      <w:pPr>
        <w:spacing w:after="0" w:line="23"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193040</wp:posOffset>
            </wp:positionV>
            <wp:extent cx="4678045" cy="3937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8">
                      <a:extLst>
                        <a:ext uri="{28A0092B-C50C-407E-A947-70E740481C1C}"/>
                      </a:extLst>
                    </a:blip>
                    <a:srcRect/>
                    <a:stretch>
                      <a:fillRect/>
                    </a:stretch>
                  </pic:blipFill>
                  <pic:spPr bwMode="auto">
                    <a:xfrm>
                      <a:off x="0" y="0"/>
                      <a:ext cx="4678045" cy="3937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81" w:name="page282"/>
    <w:bookmarkEnd w:id="281"/>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jc w:val="center"/>
        <w:ind w:left="640" w:right="659"/>
        <w:spacing w:after="0" w:line="275" w:lineRule="auto"/>
        <w:rPr>
          <w:sz w:val="20"/>
          <w:szCs w:val="20"/>
          <w:color w:val="auto"/>
        </w:rPr>
      </w:pPr>
      <w:r>
        <w:rPr>
          <w:rFonts w:ascii="Times New Roman" w:cs="Times New Roman" w:eastAsia="Times New Roman" w:hAnsi="Times New Roman"/>
          <w:sz w:val="14"/>
          <w:szCs w:val="14"/>
          <w:color w:val="auto"/>
        </w:rPr>
        <w:t>CERTIFICATION OF CHIEF EXECUTIVE OFFICER PURSUANT TO RULE 13a-14(a) AND RULE 15d-14(a) OF THE SECURITIES EXCHANGE ACT OF 1934 AS ADOPTED PURSUANT TO SECTION 302 OF THE SARBANES-OXLEY ACT OF 2022</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Jon Rousseau, certify that:</w:t>
      </w:r>
    </w:p>
    <w:p>
      <w:pPr>
        <w:spacing w:after="0" w:line="130" w:lineRule="exact"/>
        <w:rPr>
          <w:sz w:val="20"/>
          <w:szCs w:val="20"/>
          <w:color w:val="auto"/>
        </w:rPr>
      </w:pPr>
    </w:p>
    <w:p>
      <w:pPr>
        <w:ind w:left="1140" w:right="779" w:hanging="251"/>
        <w:spacing w:after="0" w:line="293" w:lineRule="auto"/>
        <w:tabs>
          <w:tab w:leader="none" w:pos="114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March 31, 2024 of BrightSpring Health Services, Inc.;</w:t>
      </w:r>
    </w:p>
    <w:p>
      <w:pPr>
        <w:spacing w:after="0" w:line="58" w:lineRule="exact"/>
        <w:rPr>
          <w:rFonts w:ascii="Times New Roman" w:cs="Times New Roman" w:eastAsia="Times New Roman" w:hAnsi="Times New Roman"/>
          <w:sz w:val="14"/>
          <w:szCs w:val="14"/>
          <w:color w:val="auto"/>
        </w:rPr>
      </w:pPr>
    </w:p>
    <w:p>
      <w:pPr>
        <w:ind w:left="1140" w:right="659" w:hanging="251"/>
        <w:spacing w:after="0" w:line="275" w:lineRule="auto"/>
        <w:tabs>
          <w:tab w:leader="none" w:pos="114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1140" w:right="719" w:hanging="251"/>
        <w:spacing w:after="0" w:line="275" w:lineRule="auto"/>
        <w:tabs>
          <w:tab w:leader="none" w:pos="114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1140" w:right="979" w:hanging="251"/>
        <w:spacing w:after="0" w:line="275" w:lineRule="auto"/>
        <w:tabs>
          <w:tab w:leader="none" w:pos="114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4"/>
          <w:szCs w:val="14"/>
          <w:color w:val="auto"/>
        </w:rPr>
      </w:pPr>
    </w:p>
    <w:p>
      <w:pPr>
        <w:ind w:left="1660" w:right="699" w:hanging="255"/>
        <w:spacing w:after="0" w:line="268" w:lineRule="auto"/>
        <w:tabs>
          <w:tab w:leader="none" w:pos="16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4"/>
          <w:szCs w:val="14"/>
          <w:color w:val="auto"/>
        </w:rPr>
      </w:pPr>
    </w:p>
    <w:p>
      <w:pPr>
        <w:ind w:left="1660" w:hanging="255"/>
        <w:spacing w:after="0"/>
        <w:tabs>
          <w:tab w:leader="none" w:pos="16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129" w:lineRule="exact"/>
        <w:rPr>
          <w:rFonts w:ascii="Times New Roman" w:cs="Times New Roman" w:eastAsia="Times New Roman" w:hAnsi="Times New Roman"/>
          <w:sz w:val="14"/>
          <w:szCs w:val="14"/>
          <w:color w:val="auto"/>
        </w:rPr>
      </w:pPr>
    </w:p>
    <w:p>
      <w:pPr>
        <w:ind w:left="1660" w:right="699" w:hanging="255"/>
        <w:spacing w:after="0" w:line="275" w:lineRule="auto"/>
        <w:tabs>
          <w:tab w:leader="none" w:pos="16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4"/>
          <w:szCs w:val="14"/>
          <w:color w:val="auto"/>
        </w:rPr>
      </w:pPr>
    </w:p>
    <w:p>
      <w:pPr>
        <w:ind w:left="1660" w:right="799" w:hanging="255"/>
        <w:spacing w:after="0" w:line="268" w:lineRule="auto"/>
        <w:tabs>
          <w:tab w:leader="none" w:pos="16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Times New Roman" w:cs="Times New Roman" w:eastAsia="Times New Roman" w:hAnsi="Times New Roman"/>
          <w:sz w:val="14"/>
          <w:szCs w:val="14"/>
          <w:color w:val="auto"/>
        </w:rPr>
      </w:pPr>
    </w:p>
    <w:p>
      <w:pPr>
        <w:ind w:left="1140" w:right="939" w:hanging="251"/>
        <w:spacing w:after="0" w:line="275" w:lineRule="auto"/>
        <w:tabs>
          <w:tab w:leader="none" w:pos="1140" w:val="left"/>
        </w:tabs>
        <w:numPr>
          <w:ilvl w:val="0"/>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660" w:right="839" w:hanging="255"/>
        <w:spacing w:after="0" w:line="275" w:lineRule="auto"/>
        <w:tabs>
          <w:tab w:leader="none" w:pos="16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4"/>
          <w:szCs w:val="14"/>
          <w:color w:val="auto"/>
        </w:rPr>
      </w:pPr>
    </w:p>
    <w:p>
      <w:pPr>
        <w:ind w:left="1660" w:right="699" w:hanging="255"/>
        <w:spacing w:after="0" w:line="293" w:lineRule="auto"/>
        <w:tabs>
          <w:tab w:leader="none" w:pos="1660" w:val="left"/>
        </w:tabs>
        <w:numPr>
          <w:ilvl w:val="1"/>
          <w:numId w:val="3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May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c>
          <w:tcPr>
            <w:tcW w:w="320" w:type="dxa"/>
            <w:vAlign w:val="bottom"/>
          </w:tcPr>
          <w:p>
            <w:pPr>
              <w:spacing w:after="0"/>
              <w:rPr>
                <w:sz w:val="16"/>
                <w:szCs w:val="16"/>
                <w:color w:val="auto"/>
              </w:rPr>
            </w:pP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c>
          <w:tcPr>
            <w:tcW w:w="320" w:type="dxa"/>
            <w:vAlign w:val="bottom"/>
          </w:tcPr>
          <w:p>
            <w:pPr>
              <w:spacing w:after="0"/>
              <w:rPr>
                <w:sz w:val="15"/>
                <w:szCs w:val="15"/>
                <w:color w:val="auto"/>
              </w:rPr>
            </w:pP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c>
          <w:tcPr>
            <w:tcW w:w="320" w:type="dxa"/>
            <w:vAlign w:val="bottom"/>
          </w:tcPr>
          <w:p>
            <w:pPr>
              <w:spacing w:after="0"/>
              <w:rPr>
                <w:sz w:val="16"/>
                <w:szCs w:val="16"/>
                <w:color w:val="auto"/>
              </w:rPr>
            </w:pP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320" w:type="dxa"/>
            <w:vAlign w:val="bottom"/>
          </w:tcPr>
          <w:p>
            <w:pPr>
              <w:spacing w:after="0"/>
              <w:rPr>
                <w:sz w:val="16"/>
                <w:szCs w:val="16"/>
                <w:color w:val="auto"/>
              </w:rPr>
            </w:pPr>
          </w:p>
        </w:tc>
      </w:tr>
      <w:tr>
        <w:trPr>
          <w:trHeight w:val="896"/>
        </w:trPr>
        <w:tc>
          <w:tcPr>
            <w:tcW w:w="1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9">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0">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82" w:name="page283"/>
    <w:bookmarkEnd w:id="282"/>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jc w:val="center"/>
        <w:ind w:left="640" w:right="659"/>
        <w:spacing w:after="0" w:line="275" w:lineRule="auto"/>
        <w:rPr>
          <w:sz w:val="20"/>
          <w:szCs w:val="20"/>
          <w:color w:val="auto"/>
        </w:rPr>
      </w:pPr>
      <w:r>
        <w:rPr>
          <w:rFonts w:ascii="Times New Roman" w:cs="Times New Roman" w:eastAsia="Times New Roman" w:hAnsi="Times New Roman"/>
          <w:sz w:val="14"/>
          <w:szCs w:val="14"/>
          <w:color w:val="auto"/>
        </w:rPr>
        <w:t>CERTIFICATION OF CHIEF FINANCIAL OFFICER PURSUANT TO RULE 13a-14(a) AND RULE 15d-14(a) OF THE SECURITIES EXCHANGE ACT OF 1934 AS ADOPTED PURSUANT TO SECTION 302 OF THE SARBANES-OXLEY ACT OF 2022</w:t>
      </w:r>
    </w:p>
    <w:p>
      <w:pPr>
        <w:spacing w:after="0" w:line="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 Jim Mattingly, certify that:</w:t>
      </w:r>
    </w:p>
    <w:p>
      <w:pPr>
        <w:spacing w:after="0" w:line="130" w:lineRule="exact"/>
        <w:rPr>
          <w:sz w:val="20"/>
          <w:szCs w:val="20"/>
          <w:color w:val="auto"/>
        </w:rPr>
      </w:pPr>
    </w:p>
    <w:p>
      <w:pPr>
        <w:ind w:left="1140" w:right="779" w:hanging="251"/>
        <w:spacing w:after="0" w:line="293" w:lineRule="auto"/>
        <w:tabs>
          <w:tab w:leader="none" w:pos="114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ended March 31, 2024 of BrightSpring Health Services, Inc.;</w:t>
      </w:r>
    </w:p>
    <w:p>
      <w:pPr>
        <w:spacing w:after="0" w:line="58" w:lineRule="exact"/>
        <w:rPr>
          <w:rFonts w:ascii="Times New Roman" w:cs="Times New Roman" w:eastAsia="Times New Roman" w:hAnsi="Times New Roman"/>
          <w:sz w:val="14"/>
          <w:szCs w:val="14"/>
          <w:color w:val="auto"/>
        </w:rPr>
      </w:pPr>
    </w:p>
    <w:p>
      <w:pPr>
        <w:ind w:left="1140" w:right="659" w:hanging="251"/>
        <w:spacing w:after="0" w:line="275" w:lineRule="auto"/>
        <w:tabs>
          <w:tab w:leader="none" w:pos="114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1140" w:right="719" w:hanging="251"/>
        <w:spacing w:after="0" w:line="275" w:lineRule="auto"/>
        <w:tabs>
          <w:tab w:leader="none" w:pos="114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4"/>
          <w:szCs w:val="14"/>
          <w:color w:val="auto"/>
        </w:rPr>
      </w:pPr>
    </w:p>
    <w:p>
      <w:pPr>
        <w:ind w:left="1140" w:right="979" w:hanging="251"/>
        <w:spacing w:after="0" w:line="275" w:lineRule="auto"/>
        <w:tabs>
          <w:tab w:leader="none" w:pos="114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rFonts w:ascii="Times New Roman" w:cs="Times New Roman" w:eastAsia="Times New Roman" w:hAnsi="Times New Roman"/>
          <w:sz w:val="14"/>
          <w:szCs w:val="14"/>
          <w:color w:val="auto"/>
        </w:rPr>
      </w:pPr>
    </w:p>
    <w:p>
      <w:pPr>
        <w:ind w:left="1660" w:right="699" w:hanging="255"/>
        <w:spacing w:after="0" w:line="268" w:lineRule="auto"/>
        <w:tabs>
          <w:tab w:leader="none" w:pos="16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Times New Roman" w:cs="Times New Roman" w:eastAsia="Times New Roman" w:hAnsi="Times New Roman"/>
          <w:sz w:val="14"/>
          <w:szCs w:val="14"/>
          <w:color w:val="auto"/>
        </w:rPr>
      </w:pPr>
    </w:p>
    <w:p>
      <w:pPr>
        <w:ind w:left="1660" w:hanging="255"/>
        <w:spacing w:after="0"/>
        <w:tabs>
          <w:tab w:leader="none" w:pos="16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[Omitted];</w:t>
      </w:r>
    </w:p>
    <w:p>
      <w:pPr>
        <w:spacing w:after="0" w:line="129" w:lineRule="exact"/>
        <w:rPr>
          <w:rFonts w:ascii="Times New Roman" w:cs="Times New Roman" w:eastAsia="Times New Roman" w:hAnsi="Times New Roman"/>
          <w:sz w:val="14"/>
          <w:szCs w:val="14"/>
          <w:color w:val="auto"/>
        </w:rPr>
      </w:pPr>
    </w:p>
    <w:p>
      <w:pPr>
        <w:ind w:left="1660" w:right="699" w:hanging="255"/>
        <w:spacing w:after="0" w:line="275" w:lineRule="auto"/>
        <w:tabs>
          <w:tab w:leader="none" w:pos="16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4"/>
          <w:szCs w:val="14"/>
          <w:color w:val="auto"/>
        </w:rPr>
      </w:pPr>
    </w:p>
    <w:p>
      <w:pPr>
        <w:ind w:left="1660" w:right="799" w:hanging="255"/>
        <w:spacing w:after="0" w:line="268" w:lineRule="auto"/>
        <w:tabs>
          <w:tab w:leader="none" w:pos="16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Times New Roman" w:cs="Times New Roman" w:eastAsia="Times New Roman" w:hAnsi="Times New Roman"/>
          <w:sz w:val="14"/>
          <w:szCs w:val="14"/>
          <w:color w:val="auto"/>
        </w:rPr>
      </w:pPr>
    </w:p>
    <w:p>
      <w:pPr>
        <w:ind w:left="1140" w:right="939" w:hanging="251"/>
        <w:spacing w:after="0" w:line="275" w:lineRule="auto"/>
        <w:tabs>
          <w:tab w:leader="none" w:pos="1140" w:val="left"/>
        </w:tabs>
        <w:numPr>
          <w:ilvl w:val="0"/>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4"/>
          <w:szCs w:val="14"/>
          <w:color w:val="auto"/>
        </w:rPr>
      </w:pPr>
    </w:p>
    <w:p>
      <w:pPr>
        <w:ind w:left="1660" w:right="839" w:hanging="255"/>
        <w:spacing w:after="0" w:line="275" w:lineRule="auto"/>
        <w:tabs>
          <w:tab w:leader="none" w:pos="16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Times New Roman" w:cs="Times New Roman" w:eastAsia="Times New Roman" w:hAnsi="Times New Roman"/>
          <w:sz w:val="14"/>
          <w:szCs w:val="14"/>
          <w:color w:val="auto"/>
        </w:rPr>
      </w:pPr>
    </w:p>
    <w:p>
      <w:pPr>
        <w:ind w:left="1660" w:right="699" w:hanging="255"/>
        <w:spacing w:after="0" w:line="293" w:lineRule="auto"/>
        <w:tabs>
          <w:tab w:leader="none" w:pos="1660" w:val="left"/>
        </w:tabs>
        <w:numPr>
          <w:ilvl w:val="1"/>
          <w:numId w:val="3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May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Jim Mattingly</w:t>
            </w:r>
          </w:p>
        </w:tc>
        <w:tc>
          <w:tcPr>
            <w:tcW w:w="320" w:type="dxa"/>
            <w:vAlign w:val="bottom"/>
          </w:tcPr>
          <w:p>
            <w:pPr>
              <w:spacing w:after="0"/>
              <w:rPr>
                <w:sz w:val="16"/>
                <w:szCs w:val="16"/>
                <w:color w:val="auto"/>
              </w:rPr>
            </w:pP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Jim Mattingly</w:t>
            </w:r>
          </w:p>
        </w:tc>
        <w:tc>
          <w:tcPr>
            <w:tcW w:w="320" w:type="dxa"/>
            <w:vAlign w:val="bottom"/>
          </w:tcPr>
          <w:p>
            <w:pPr>
              <w:spacing w:after="0"/>
              <w:rPr>
                <w:sz w:val="15"/>
                <w:szCs w:val="15"/>
                <w:color w:val="auto"/>
              </w:rPr>
            </w:pP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c>
          <w:tcPr>
            <w:tcW w:w="320" w:type="dxa"/>
            <w:vAlign w:val="bottom"/>
          </w:tcPr>
          <w:p>
            <w:pPr>
              <w:spacing w:after="0"/>
              <w:rPr>
                <w:sz w:val="16"/>
                <w:szCs w:val="16"/>
                <w:color w:val="auto"/>
              </w:rPr>
            </w:pP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320" w:type="dxa"/>
            <w:vAlign w:val="bottom"/>
          </w:tcPr>
          <w:p>
            <w:pPr>
              <w:spacing w:after="0"/>
              <w:rPr>
                <w:sz w:val="16"/>
                <w:szCs w:val="16"/>
                <w:color w:val="auto"/>
              </w:rPr>
            </w:pPr>
          </w:p>
        </w:tc>
      </w:tr>
      <w:tr>
        <w:trPr>
          <w:trHeight w:val="896"/>
        </w:trPr>
        <w:tc>
          <w:tcPr>
            <w:tcW w:w="1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5300345</wp:posOffset>
            </wp:positionH>
            <wp:positionV relativeFrom="paragraph">
              <wp:posOffset>-26035</wp:posOffset>
            </wp:positionV>
            <wp:extent cx="32385" cy="3937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1">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387985</wp:posOffset>
            </wp:positionH>
            <wp:positionV relativeFrom="paragraph">
              <wp:posOffset>-26035</wp:posOffset>
            </wp:positionV>
            <wp:extent cx="32385" cy="393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2">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83" w:name="page284"/>
    <w:bookmarkEnd w:id="283"/>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EXECUTIVE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2022</w:t>
      </w:r>
    </w:p>
    <w:p>
      <w:pPr>
        <w:spacing w:after="0" w:line="200" w:lineRule="exact"/>
        <w:rPr>
          <w:sz w:val="20"/>
          <w:szCs w:val="20"/>
          <w:color w:val="auto"/>
        </w:rPr>
      </w:pPr>
    </w:p>
    <w:p>
      <w:pPr>
        <w:spacing w:after="0" w:line="206" w:lineRule="exact"/>
        <w:rPr>
          <w:sz w:val="20"/>
          <w:szCs w:val="20"/>
          <w:color w:val="auto"/>
        </w:rPr>
      </w:pPr>
    </w:p>
    <w:p>
      <w:pPr>
        <w:ind w:left="640" w:right="77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March 31, 2024, as filed with the Securities and Exchange Commission on the date of the signatures below (the Report), Jon Rousseau, Chairman, President, and Chief Executive Officer of the Company, do hereby certify, pursuant to 18 U.S.C. Section 1350, as adopted pursuant to Section 906 of the Sarbanes-Oxley Act of 2002, that, to the best of their respective knowledge:</w:t>
      </w:r>
    </w:p>
    <w:p>
      <w:pPr>
        <w:spacing w:after="0" w:line="77" w:lineRule="exact"/>
        <w:rPr>
          <w:sz w:val="20"/>
          <w:szCs w:val="20"/>
          <w:color w:val="auto"/>
        </w:rPr>
      </w:pPr>
    </w:p>
    <w:p>
      <w:pPr>
        <w:ind w:left="1140" w:right="819" w:hanging="251"/>
        <w:spacing w:after="0" w:line="293" w:lineRule="auto"/>
        <w:tabs>
          <w:tab w:leader="none" w:pos="114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69" w:lineRule="exact"/>
        <w:rPr>
          <w:rFonts w:ascii="Times New Roman" w:cs="Times New Roman" w:eastAsia="Times New Roman" w:hAnsi="Times New Roman"/>
          <w:sz w:val="14"/>
          <w:szCs w:val="14"/>
          <w:color w:val="auto"/>
        </w:rPr>
      </w:pPr>
    </w:p>
    <w:p>
      <w:pPr>
        <w:ind w:left="1140" w:right="1179" w:hanging="251"/>
        <w:spacing w:after="0" w:line="293" w:lineRule="auto"/>
        <w:tabs>
          <w:tab w:leader="none" w:pos="1140"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May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Rousseau</w:t>
            </w: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Rousseau</w:t>
            </w: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Chairman, President, and Chief Executive Officer</w:t>
            </w: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88" w:lineRule="exact"/>
        <w:rPr>
          <w:sz w:val="20"/>
          <w:szCs w:val="20"/>
          <w:color w:val="auto"/>
        </w:rPr>
      </w:pPr>
    </w:p>
    <w:p>
      <w:pPr>
        <w:jc w:val="both"/>
        <w:ind w:left="640" w:right="67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612775</wp:posOffset>
            </wp:positionV>
            <wp:extent cx="4944745" cy="393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3">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84" w:name="page285"/>
    <w:bookmarkEnd w:id="284"/>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BRIGHTSPRING HEALTH SERVICES, INC.</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CERTIFICATION OF CHIEF FINANCIAL OFFICER PURSUANT TO 18 U.S.C. SECTION 1350 AS ADOPTED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2022</w:t>
      </w:r>
    </w:p>
    <w:p>
      <w:pPr>
        <w:spacing w:after="0" w:line="200" w:lineRule="exact"/>
        <w:rPr>
          <w:sz w:val="20"/>
          <w:szCs w:val="20"/>
          <w:color w:val="auto"/>
        </w:rPr>
      </w:pPr>
    </w:p>
    <w:p>
      <w:pPr>
        <w:spacing w:after="0" w:line="206" w:lineRule="exact"/>
        <w:rPr>
          <w:sz w:val="20"/>
          <w:szCs w:val="20"/>
          <w:color w:val="auto"/>
        </w:rPr>
      </w:pPr>
    </w:p>
    <w:p>
      <w:pPr>
        <w:ind w:left="640" w:right="939"/>
        <w:spacing w:after="0" w:line="268" w:lineRule="auto"/>
        <w:rPr>
          <w:sz w:val="20"/>
          <w:szCs w:val="20"/>
          <w:color w:val="auto"/>
        </w:rPr>
      </w:pPr>
      <w:r>
        <w:rPr>
          <w:rFonts w:ascii="Times New Roman" w:cs="Times New Roman" w:eastAsia="Times New Roman" w:hAnsi="Times New Roman"/>
          <w:sz w:val="14"/>
          <w:szCs w:val="14"/>
          <w:color w:val="auto"/>
        </w:rPr>
        <w:t>In connection with the Quarterly Report of BrightSpring Health Services, Inc. (the Company) on Form 10-Q for the period ended March 31, 2024, as filed with the Securities and Exchange Commission on the date of the signatures below (the Report), Jim Mattingly, Executive Vice President and Chief Financial Officer of the Company, do hereby certify, pursuant to 18 U.S.C. Section 1350, as adopted pursuant to Section 906 of the Sarbanes-Oxley Act of 2002, that, to the best of their respective knowledge:</w:t>
      </w:r>
    </w:p>
    <w:p>
      <w:pPr>
        <w:spacing w:after="0" w:line="77" w:lineRule="exact"/>
        <w:rPr>
          <w:sz w:val="20"/>
          <w:szCs w:val="20"/>
          <w:color w:val="auto"/>
        </w:rPr>
      </w:pPr>
    </w:p>
    <w:p>
      <w:pPr>
        <w:ind w:left="1140" w:right="819" w:hanging="251"/>
        <w:spacing w:after="0" w:line="293" w:lineRule="auto"/>
        <w:tabs>
          <w:tab w:leader="none" w:pos="114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Section 15(d) of the Securities Exchange Act of 1934; and</w:t>
      </w:r>
    </w:p>
    <w:p>
      <w:pPr>
        <w:spacing w:after="0" w:line="69" w:lineRule="exact"/>
        <w:rPr>
          <w:rFonts w:ascii="Times New Roman" w:cs="Times New Roman" w:eastAsia="Times New Roman" w:hAnsi="Times New Roman"/>
          <w:sz w:val="14"/>
          <w:szCs w:val="14"/>
          <w:color w:val="auto"/>
        </w:rPr>
      </w:pPr>
    </w:p>
    <w:p>
      <w:pPr>
        <w:ind w:left="1140" w:right="1179" w:hanging="251"/>
        <w:spacing w:after="0" w:line="293" w:lineRule="auto"/>
        <w:tabs>
          <w:tab w:leader="none" w:pos="1140" w:val="left"/>
        </w:tabs>
        <w:numPr>
          <w:ilvl w:val="0"/>
          <w:numId w:val="3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tbl>
      <w:tblPr>
        <w:tblLayout w:type="fixed"/>
        <w:tblInd w:w="640" w:type="dxa"/>
        <w:tblCellMar>
          <w:top w:w="0" w:type="dxa"/>
          <w:left w:w="0" w:type="dxa"/>
          <w:bottom w:w="0" w:type="dxa"/>
          <w:right w:w="0" w:type="dxa"/>
        </w:tblCellMar>
      </w:tblPr>
      <w:tr>
        <w:trPr>
          <w:trHeight w:val="192"/>
        </w:trPr>
        <w:tc>
          <w:tcPr>
            <w:tcW w:w="1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May 2, 2024</w:t>
            </w:r>
          </w:p>
        </w:tc>
        <w:tc>
          <w:tcPr>
            <w:tcW w:w="158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Jim Mattingly</w:t>
            </w:r>
          </w:p>
        </w:tc>
      </w:tr>
      <w:tr>
        <w:trPr>
          <w:trHeight w:val="182"/>
        </w:trPr>
        <w:tc>
          <w:tcPr>
            <w:tcW w:w="1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Date</w:t>
            </w:r>
          </w:p>
        </w:tc>
        <w:tc>
          <w:tcPr>
            <w:tcW w:w="1580" w:type="dxa"/>
            <w:vAlign w:val="bottom"/>
          </w:tcPr>
          <w:p>
            <w:pPr>
              <w:spacing w:after="0"/>
              <w:rPr>
                <w:sz w:val="15"/>
                <w:szCs w:val="15"/>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Jim Mattingly</w:t>
            </w:r>
          </w:p>
        </w:tc>
      </w:tr>
      <w:tr>
        <w:trPr>
          <w:trHeight w:val="190"/>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94"/>
        </w:trPr>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288" w:lineRule="exact"/>
        <w:rPr>
          <w:sz w:val="20"/>
          <w:szCs w:val="20"/>
          <w:color w:val="auto"/>
        </w:rPr>
      </w:pPr>
    </w:p>
    <w:p>
      <w:pPr>
        <w:jc w:val="both"/>
        <w:ind w:left="640" w:right="679"/>
        <w:spacing w:after="0" w:line="268" w:lineRule="auto"/>
        <w:rPr>
          <w:sz w:val="20"/>
          <w:szCs w:val="20"/>
          <w:color w:val="auto"/>
        </w:rPr>
      </w:pPr>
      <w:r>
        <w:rPr>
          <w:rFonts w:ascii="Times New Roman" w:cs="Times New Roman" w:eastAsia="Times New Roman" w:hAnsi="Times New Roman"/>
          <w:sz w:val="14"/>
          <w:szCs w:val="14"/>
          <w:color w:val="auto"/>
        </w:rPr>
        <w:t>This certification accompanies the Report to which it relates, is not deemed filed with the Securities and Exchange Commission and is not to be incorporated by reference into any filing of BrightSpring Health Services, Inc.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612775</wp:posOffset>
            </wp:positionV>
            <wp:extent cx="4944745" cy="393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4">
                      <a:extLst>
                        <a:ext uri="{28A0092B-C50C-407E-A947-70E740481C1C}"/>
                      </a:extLst>
                    </a:blip>
                    <a:srcRect/>
                    <a:stretch>
                      <a:fillRect/>
                    </a:stretch>
                  </pic:blipFill>
                  <pic:spPr bwMode="auto">
                    <a:xfrm>
                      <a:off x="0" y="0"/>
                      <a:ext cx="4944745" cy="39370"/>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285" w:name="page286"/>
    <w:bookmarkEnd w:id="2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328B9"/>
    <w:multiLevelType w:val="hybridMultilevel"/>
    <w:lvl w:ilvl="0">
      <w:lvlJc w:val="left"/>
      <w:lvlText w:val="☒"/>
      <w:numFmt w:val="bullet"/>
      <w:start w:val="1"/>
    </w:lvl>
  </w:abstractNum>
  <w:abstractNum w:abstractNumId="1">
    <w:nsid w:val="5D205E20"/>
    <w:multiLevelType w:val="hybridMultilevel"/>
    <w:lvl w:ilvl="0">
      <w:lvlJc w:val="left"/>
      <w:lvlText w:val="☐"/>
      <w:numFmt w:val="bullet"/>
      <w:start w:val="1"/>
    </w:lvl>
  </w:abstractNum>
  <w:abstractNum w:abstractNumId="2">
    <w:nsid w:val="11CCA8BA"/>
    <w:multiLevelType w:val="hybridMultilevel"/>
    <w:lvl w:ilvl="0">
      <w:lvlJc w:val="left"/>
      <w:lvlText w:val="(%1)"/>
      <w:numFmt w:val="decimal"/>
      <w:start w:val="1"/>
    </w:lvl>
  </w:abstractNum>
  <w:abstractNum w:abstractNumId="3">
    <w:nsid w:val="4D32AB86"/>
    <w:multiLevelType w:val="hybridMultilevel"/>
    <w:lvl w:ilvl="0">
      <w:lvlJc w:val="left"/>
      <w:lvlText w:val="(%1)"/>
      <w:numFmt w:val="decimal"/>
      <w:start w:val="1"/>
    </w:lvl>
  </w:abstractNum>
  <w:abstractNum w:abstractNumId="4">
    <w:nsid w:val="3F07ACC3"/>
    <w:multiLevelType w:val="hybridMultilevel"/>
    <w:lvl w:ilvl="0">
      <w:lvlJc w:val="left"/>
      <w:lvlText w:val="•"/>
      <w:numFmt w:val="bullet"/>
      <w:start w:val="1"/>
    </w:lvl>
  </w:abstractNum>
  <w:abstractNum w:abstractNumId="5">
    <w:nsid w:val="6B47F63E"/>
    <w:multiLevelType w:val="hybridMultilevel"/>
    <w:lvl w:ilvl="0">
      <w:lvlJc w:val="left"/>
      <w:lvlText w:val="•"/>
      <w:numFmt w:val="bullet"/>
      <w:start w:val="1"/>
    </w:lvl>
  </w:abstractNum>
  <w:abstractNum w:abstractNumId="6">
    <w:nsid w:val="5CB44A05"/>
    <w:multiLevelType w:val="hybridMultilevel"/>
    <w:lvl w:ilvl="0">
      <w:lvlJc w:val="left"/>
      <w:lvlText w:val="•"/>
      <w:numFmt w:val="bullet"/>
      <w:start w:val="1"/>
    </w:lvl>
  </w:abstractNum>
  <w:abstractNum w:abstractNumId="7">
    <w:nsid w:val="16CF80F1"/>
    <w:multiLevelType w:val="hybridMultilevel"/>
    <w:lvl w:ilvl="0">
      <w:lvlJc w:val="left"/>
      <w:lvlText w:val="*"/>
      <w:numFmt w:val="bullet"/>
      <w:start w:val="1"/>
    </w:lvl>
  </w:abstractNum>
  <w:abstractNum w:abstractNumId="8">
    <w:nsid w:val="1C695DEC"/>
    <w:multiLevelType w:val="hybridMultilevel"/>
    <w:lvl w:ilvl="0">
      <w:lvlJc w:val="left"/>
      <w:lvlText w:val="%1."/>
      <w:numFmt w:val="upperLetter"/>
      <w:start w:val="1"/>
    </w:lvl>
  </w:abstractNum>
  <w:abstractNum w:abstractNumId="9">
    <w:nsid w:val="3FCFAED9"/>
    <w:multiLevelType w:val="hybridMultilevel"/>
    <w:lvl w:ilvl="0">
      <w:lvlJc w:val="left"/>
      <w:lvlText w:val="(%1)"/>
      <w:numFmt w:val="decimal"/>
      <w:start w:val="1"/>
    </w:lvl>
  </w:abstractNum>
  <w:abstractNum w:abstractNumId="10">
    <w:nsid w:val="F856867"/>
    <w:multiLevelType w:val="hybridMultilevel"/>
    <w:lvl w:ilvl="0">
      <w:lvlJc w:val="left"/>
      <w:lvlText w:val="•"/>
      <w:numFmt w:val="bullet"/>
      <w:start w:val="1"/>
    </w:lvl>
  </w:abstractNum>
  <w:abstractNum w:abstractNumId="11">
    <w:nsid w:val="11B1CC33"/>
    <w:multiLevelType w:val="hybridMultilevel"/>
    <w:lvl w:ilvl="0">
      <w:lvlJc w:val="left"/>
      <w:lvlText w:val="(%1)"/>
      <w:numFmt w:val="decimal"/>
    </w:lvl>
    <w:lvl w:ilvl="1">
      <w:lvlJc w:val="left"/>
      <w:lvlText w:val="•"/>
      <w:numFmt w:val="bullet"/>
      <w:start w:val="1"/>
    </w:lvl>
  </w:abstractNum>
  <w:abstractNum w:abstractNumId="12">
    <w:nsid w:val="2E22FBB7"/>
    <w:multiLevelType w:val="hybridMultilevel"/>
    <w:lvl w:ilvl="0">
      <w:lvlJc w:val="left"/>
      <w:lvlText w:val="(%1)"/>
      <w:numFmt w:val="lowerRoman"/>
      <w:start w:val="2"/>
    </w:lvl>
  </w:abstractNum>
  <w:abstractNum w:abstractNumId="13">
    <w:nsid w:val="29934699"/>
    <w:multiLevelType w:val="hybridMultilevel"/>
    <w:lvl w:ilvl="0">
      <w:lvlJc w:val="left"/>
      <w:lvlText w:val="(%1)"/>
      <w:numFmt w:val="decimal"/>
      <w:start w:val="1"/>
    </w:lvl>
  </w:abstractNum>
  <w:abstractNum w:abstractNumId="14">
    <w:nsid w:val="77485850"/>
    <w:multiLevelType w:val="hybridMultilevel"/>
    <w:lvl w:ilvl="0">
      <w:lvlJc w:val="left"/>
      <w:lvlText w:val="•"/>
      <w:numFmt w:val="bullet"/>
      <w:start w:val="1"/>
    </w:lvl>
  </w:abstractNum>
  <w:abstractNum w:abstractNumId="15">
    <w:nsid w:val="744939A3"/>
    <w:multiLevelType w:val="hybridMultilevel"/>
    <w:lvl w:ilvl="0">
      <w:lvlJc w:val="left"/>
      <w:lvlText w:val="(%1)"/>
      <w:numFmt w:val="decimal"/>
    </w:lvl>
    <w:lvl w:ilvl="1">
      <w:lvlJc w:val="left"/>
      <w:lvlText w:val="•"/>
      <w:numFmt w:val="bullet"/>
      <w:start w:val="1"/>
    </w:lvl>
  </w:abstractNum>
  <w:abstractNum w:abstractNumId="16">
    <w:nsid w:val="4FA0D2E3"/>
    <w:multiLevelType w:val="hybridMultilevel"/>
    <w:lvl w:ilvl="0">
      <w:lvlJc w:val="left"/>
      <w:lvlText w:val="(%1)"/>
      <w:numFmt w:val="decimal"/>
      <w:start w:val="1"/>
    </w:lvl>
  </w:abstractNum>
  <w:abstractNum w:abstractNumId="17">
    <w:nsid w:val="6B1D2C14"/>
    <w:multiLevelType w:val="hybridMultilevel"/>
    <w:lvl w:ilvl="0">
      <w:lvlJc w:val="left"/>
      <w:lvlText w:val="(%1)"/>
      <w:numFmt w:val="decimal"/>
      <w:start w:val="4"/>
    </w:lvl>
  </w:abstractNum>
  <w:abstractNum w:abstractNumId="18">
    <w:nsid w:val="68B867D3"/>
    <w:multiLevelType w:val="hybridMultilevel"/>
    <w:lvl w:ilvl="0">
      <w:lvlJc w:val="left"/>
      <w:lvlText w:val="(%1)"/>
      <w:numFmt w:val="decimal"/>
      <w:start w:val="1"/>
    </w:lvl>
  </w:abstractNum>
  <w:abstractNum w:abstractNumId="19">
    <w:nsid w:val="3F7F5DD9"/>
    <w:multiLevelType w:val="hybridMultilevel"/>
    <w:lvl w:ilvl="0">
      <w:lvlJc w:val="left"/>
      <w:lvlText w:val="•"/>
      <w:numFmt w:val="bullet"/>
      <w:start w:val="1"/>
    </w:lvl>
  </w:abstractNum>
  <w:abstractNum w:abstractNumId="20">
    <w:nsid w:val="2AE05A34"/>
    <w:multiLevelType w:val="hybridMultilevel"/>
    <w:lvl w:ilvl="0">
      <w:lvlJc w:val="left"/>
      <w:lvlText w:val="H"/>
      <w:numFmt w:val="bullet"/>
      <w:start w:val="1"/>
    </w:lvl>
  </w:abstractNum>
  <w:abstractNum w:abstractNumId="21">
    <w:nsid w:val="32794FF7"/>
    <w:multiLevelType w:val="hybridMultilevel"/>
    <w:lvl w:ilvl="0">
      <w:lvlJc w:val="left"/>
      <w:lvlText w:val="%1"/>
      <w:numFmt w:val="decimal"/>
      <w:start w:val="104"/>
    </w:lvl>
  </w:abstractNum>
  <w:abstractNum w:abstractNumId="22">
    <w:nsid w:val="5454945E"/>
    <w:multiLevelType w:val="hybridMultilevel"/>
    <w:lvl w:ilvl="0">
      <w:lvlJc w:val="left"/>
      <w:lvlText w:val="(%1)"/>
      <w:numFmt w:val="lowerLetter"/>
      <w:start w:val="1"/>
    </w:lvl>
  </w:abstractNum>
  <w:abstractNum w:abstractNumId="23">
    <w:nsid w:val="4DEFDFA0"/>
    <w:multiLevelType w:val="hybridMultilevel"/>
    <w:lvl w:ilvl="0">
      <w:lvlJc w:val="left"/>
      <w:lvlText w:val="(%1)"/>
      <w:numFmt w:val="lowerLetter"/>
      <w:start w:val="2"/>
    </w:lvl>
    <w:lvl w:ilvl="1">
      <w:lvlJc w:val="left"/>
      <w:lvlText w:val="(%2)"/>
      <w:numFmt w:val="lowerRoman"/>
      <w:start w:val="1"/>
    </w:lvl>
  </w:abstractNum>
  <w:abstractNum w:abstractNumId="24">
    <w:nsid w:val="2123D5F2"/>
    <w:multiLevelType w:val="hybridMultilevel"/>
    <w:lvl w:ilvl="0">
      <w:lvlJc w:val="left"/>
      <w:lvlText w:val="(%1)"/>
      <w:numFmt w:val="lowerLetter"/>
      <w:start w:val="1"/>
    </w:lvl>
  </w:abstractNum>
  <w:abstractNum w:abstractNumId="25">
    <w:nsid w:val="135B8110"/>
    <w:multiLevelType w:val="hybridMultilevel"/>
    <w:lvl w:ilvl="0">
      <w:lvlJc w:val="left"/>
      <w:lvlText w:val="(%1)"/>
      <w:numFmt w:val="lowerLetter"/>
      <w:start w:val="1"/>
    </w:lvl>
  </w:abstractNum>
  <w:abstractNum w:abstractNumId="26">
    <w:nsid w:val="94927A8"/>
    <w:multiLevelType w:val="hybridMultilevel"/>
    <w:lvl w:ilvl="0">
      <w:lvlJc w:val="left"/>
      <w:lvlText w:val="(%1)"/>
      <w:numFmt w:val="lowerLetter"/>
      <w:start w:val="4"/>
    </w:lvl>
  </w:abstractNum>
  <w:abstractNum w:abstractNumId="27">
    <w:nsid w:val="DCDF8F6"/>
    <w:multiLevelType w:val="hybridMultilevel"/>
    <w:lvl w:ilvl="0">
      <w:lvlJc w:val="left"/>
      <w:lvlText w:val="(%1)"/>
      <w:numFmt w:val="lowerLetter"/>
      <w:start w:val="1"/>
    </w:lvl>
  </w:abstractNum>
  <w:abstractNum w:abstractNumId="28">
    <w:nsid w:val="52D7B105"/>
    <w:multiLevelType w:val="hybridMultilevel"/>
    <w:lvl w:ilvl="0">
      <w:lvlJc w:val="left"/>
      <w:lvlText w:val="(%1)"/>
      <w:numFmt w:val="lowerLetter"/>
      <w:start w:val="5"/>
    </w:lvl>
  </w:abstractNum>
  <w:abstractNum w:abstractNumId="29">
    <w:nsid w:val="2E8A6394"/>
    <w:multiLevelType w:val="hybridMultilevel"/>
    <w:lvl w:ilvl="0">
      <w:lvlJc w:val="left"/>
      <w:lvlText w:val="(%1)"/>
      <w:numFmt w:val="lowerLetter"/>
      <w:start w:val="6"/>
    </w:lvl>
  </w:abstractNum>
  <w:abstractNum w:abstractNumId="30">
    <w:nsid w:val="24E60401"/>
    <w:multiLevelType w:val="hybridMultilevel"/>
    <w:lvl w:ilvl="0">
      <w:lvlJc w:val="left"/>
      <w:lvlText w:val="(%1)"/>
      <w:numFmt w:val="lowerRoman"/>
      <w:start w:val="2"/>
    </w:lvl>
  </w:abstractNum>
  <w:abstractNum w:abstractNumId="31">
    <w:nsid w:val="2A6AD9BE"/>
    <w:multiLevelType w:val="hybridMultilevel"/>
    <w:lvl w:ilvl="0">
      <w:lvlJc w:val="left"/>
      <w:lvlText w:val="(%1)"/>
      <w:numFmt w:val="lowerRoman"/>
      <w:start w:val="1"/>
    </w:lvl>
  </w:abstractNum>
  <w:abstractNum w:abstractNumId="32">
    <w:nsid w:val="BAAC1B4"/>
    <w:multiLevelType w:val="hybridMultilevel"/>
    <w:lvl w:ilvl="0">
      <w:lvlJc w:val="left"/>
      <w:lvlText w:val="(%1)"/>
      <w:numFmt w:val="lowerRoman"/>
      <w:start w:val="1"/>
    </w:lvl>
  </w:abstractNum>
  <w:abstractNum w:abstractNumId="33">
    <w:nsid w:val="36B2ACBC"/>
    <w:multiLevelType w:val="hybridMultilevel"/>
    <w:lvl w:ilvl="0">
      <w:lvlJc w:val="left"/>
      <w:lvlText w:val="(%1)"/>
      <w:numFmt w:val="lowerRoman"/>
      <w:start w:val="1"/>
    </w:lvl>
  </w:abstractNum>
  <w:abstractNum w:abstractNumId="34">
    <w:nsid w:val="779D8544"/>
    <w:multiLevelType w:val="hybridMultilevel"/>
    <w:lvl w:ilvl="0">
      <w:lvlJc w:val="left"/>
      <w:lvlText w:val="(%1)"/>
      <w:numFmt w:val="lowerLetter"/>
      <w:start w:val="1"/>
    </w:lvl>
  </w:abstractNum>
  <w:abstractNum w:abstractNumId="35">
    <w:nsid w:val="4AB26E78"/>
    <w:multiLevelType w:val="hybridMultilevel"/>
    <w:lvl w:ilvl="0">
      <w:lvlJc w:val="left"/>
      <w:lvlText w:val="(%1)"/>
      <w:numFmt w:val="lowerLetter"/>
      <w:start w:val="2"/>
    </w:lvl>
  </w:abstractNum>
  <w:abstractNum w:abstractNumId="36">
    <w:nsid w:val="21FAA2FA"/>
    <w:multiLevelType w:val="hybridMultilevel"/>
    <w:lvl w:ilvl="0">
      <w:lvlJc w:val="left"/>
      <w:lvlText w:val="(%1)"/>
      <w:numFmt w:val="lowerLetter"/>
      <w:start w:val="15"/>
    </w:lvl>
    <w:lvl w:ilvl="1">
      <w:lvlJc w:val="left"/>
      <w:lvlText w:val="(%2)"/>
      <w:numFmt w:val="lowerLetter"/>
      <w:start w:val="21"/>
    </w:lvl>
  </w:abstractNum>
  <w:abstractNum w:abstractNumId="37">
    <w:nsid w:val="5451CF49"/>
    <w:multiLevelType w:val="hybridMultilevel"/>
    <w:lvl w:ilvl="0">
      <w:lvlJc w:val="left"/>
      <w:lvlText w:val="(%1)"/>
      <w:numFmt w:val="lowerRoman"/>
      <w:start w:val="5"/>
    </w:lvl>
  </w:abstractNum>
  <w:abstractNum w:abstractNumId="38">
    <w:nsid w:val="6181EF69"/>
    <w:multiLevelType w:val="hybridMultilevel"/>
    <w:lvl w:ilvl="0">
      <w:lvlJc w:val="left"/>
      <w:lvlText w:val="(%1)"/>
      <w:numFmt w:val="lowerLetter"/>
      <w:start w:val="1"/>
    </w:lvl>
  </w:abstractNum>
  <w:abstractNum w:abstractNumId="39">
    <w:nsid w:val="3E6400E6"/>
    <w:multiLevelType w:val="hybridMultilevel"/>
    <w:lvl w:ilvl="0">
      <w:lvlJc w:val="left"/>
      <w:lvlText w:val="(%1)"/>
      <w:numFmt w:val="decimal"/>
      <w:start w:val="1"/>
    </w:lvl>
  </w:abstractNum>
  <w:abstractNum w:abstractNumId="40">
    <w:nsid w:val="14217E23"/>
    <w:multiLevelType w:val="hybridMultilevel"/>
    <w:lvl w:ilvl="0">
      <w:lvlJc w:val="left"/>
      <w:lvlText w:val="(%1)"/>
      <w:numFmt w:val="decimal"/>
      <w:start w:val="1"/>
    </w:lvl>
  </w:abstractNum>
  <w:abstractNum w:abstractNumId="41">
    <w:nsid w:val="710757D0"/>
    <w:multiLevelType w:val="hybridMultilevel"/>
    <w:lvl w:ilvl="0">
      <w:lvlJc w:val="left"/>
      <w:lvlText w:val="(%1)"/>
      <w:numFmt w:val="decimal"/>
      <w:start w:val="1"/>
    </w:lvl>
  </w:abstractNum>
  <w:abstractNum w:abstractNumId="42">
    <w:nsid w:val="5015CD1A"/>
    <w:multiLevelType w:val="hybridMultilevel"/>
    <w:lvl w:ilvl="0">
      <w:lvlJc w:val="left"/>
      <w:lvlText w:val="(%1)"/>
      <w:numFmt w:val="decimal"/>
      <w:start w:val="3"/>
    </w:lvl>
  </w:abstractNum>
  <w:abstractNum w:abstractNumId="43">
    <w:nsid w:val="424479DA"/>
    <w:multiLevelType w:val="hybridMultilevel"/>
    <w:lvl w:ilvl="0">
      <w:lvlJc w:val="left"/>
      <w:lvlText w:val="(%1)"/>
      <w:numFmt w:val="lowerLetter"/>
      <w:start w:val="25"/>
    </w:lvl>
  </w:abstractNum>
  <w:abstractNum w:abstractNumId="44">
    <w:nsid w:val="1A9A9E69"/>
    <w:multiLevelType w:val="hybridMultilevel"/>
    <w:lvl w:ilvl="0">
      <w:lvlJc w:val="left"/>
      <w:lvlText w:val="(%1)"/>
      <w:numFmt w:val="lowerRoman"/>
      <w:start w:val="1"/>
    </w:lvl>
  </w:abstractNum>
  <w:abstractNum w:abstractNumId="45">
    <w:nsid w:val="475E256A"/>
    <w:multiLevelType w:val="hybridMultilevel"/>
    <w:lvl w:ilvl="0">
      <w:lvlJc w:val="left"/>
      <w:lvlText w:val="%1"/>
      <w:numFmt w:val="lowerRoman"/>
      <w:start w:val="1"/>
    </w:lvl>
    <w:lvl w:ilvl="1">
      <w:lvlJc w:val="left"/>
      <w:lvlText w:val="(%2)"/>
      <w:numFmt w:val="lowerRoman"/>
      <w:start w:val="9"/>
    </w:lvl>
  </w:abstractNum>
  <w:abstractNum w:abstractNumId="46">
    <w:nsid w:val="368DB37E"/>
    <w:multiLevelType w:val="hybridMultilevel"/>
    <w:lvl w:ilvl="0">
      <w:lvlJc w:val="left"/>
      <w:lvlText w:val="(%1)"/>
      <w:numFmt w:val="lowerRoman"/>
      <w:start w:val="1"/>
    </w:lvl>
    <w:lvl w:ilvl="1">
      <w:lvlJc w:val="left"/>
      <w:lvlText w:val="(%2)"/>
      <w:numFmt w:val="lowerRoman"/>
      <w:start w:val="13"/>
    </w:lvl>
  </w:abstractNum>
  <w:abstractNum w:abstractNumId="47">
    <w:nsid w:val="6A3B714C"/>
    <w:multiLevelType w:val="hybridMultilevel"/>
    <w:lvl w:ilvl="0">
      <w:lvlJc w:val="left"/>
      <w:lvlText w:val="(%1)"/>
      <w:numFmt w:val="lowerLetter"/>
      <w:start w:val="1"/>
    </w:lvl>
  </w:abstractNum>
  <w:abstractNum w:abstractNumId="48">
    <w:nsid w:val="327B517E"/>
    <w:multiLevelType w:val="hybridMultilevel"/>
    <w:lvl w:ilvl="0">
      <w:lvlJc w:val="left"/>
      <w:lvlText w:val="(%1)"/>
      <w:numFmt w:val="lowerLetter"/>
      <w:start w:val="1"/>
    </w:lvl>
  </w:abstractNum>
  <w:abstractNum w:abstractNumId="49">
    <w:nsid w:val="1F461B51"/>
    <w:multiLevelType w:val="hybridMultilevel"/>
    <w:lvl w:ilvl="0">
      <w:lvlJc w:val="left"/>
      <w:lvlText w:val="(%1)"/>
      <w:numFmt w:val="lowerLetter"/>
      <w:start w:val="9"/>
    </w:lvl>
    <w:lvl w:ilvl="1">
      <w:lvlJc w:val="left"/>
      <w:lvlText w:val="(%2)"/>
      <w:numFmt w:val="lowerLetter"/>
      <w:start w:val="1"/>
    </w:lvl>
  </w:abstractNum>
  <w:abstractNum w:abstractNumId="50">
    <w:nsid w:val="29BACF25"/>
    <w:multiLevelType w:val="hybridMultilevel"/>
    <w:lvl w:ilvl="0">
      <w:lvlJc w:val="left"/>
      <w:lvlText w:val="(%1)"/>
      <w:numFmt w:val="lowerLetter"/>
      <w:start w:val="6"/>
    </w:lvl>
  </w:abstractNum>
  <w:abstractNum w:abstractNumId="51">
    <w:nsid w:val="5D5BABB3"/>
    <w:multiLevelType w:val="hybridMultilevel"/>
    <w:lvl w:ilvl="0">
      <w:lvlJc w:val="left"/>
      <w:lvlText w:val="%1"/>
      <w:numFmt w:val="lowerLetter"/>
      <w:start w:val="1"/>
    </w:lvl>
    <w:lvl w:ilvl="1">
      <w:lvlJc w:val="left"/>
      <w:lvlText w:val="(%2)"/>
      <w:numFmt w:val="lowerLetter"/>
      <w:start w:val="13"/>
    </w:lvl>
  </w:abstractNum>
  <w:abstractNum w:abstractNumId="52">
    <w:nsid w:val="51BF6B48"/>
    <w:multiLevelType w:val="hybridMultilevel"/>
    <w:lvl w:ilvl="0">
      <w:lvlJc w:val="left"/>
      <w:lvlText w:val="(%1)"/>
      <w:numFmt w:val="lowerLetter"/>
      <w:start w:val="35"/>
    </w:lvl>
    <w:lvl w:ilvl="1">
      <w:lvlJc w:val="left"/>
      <w:lvlText w:val="%2"/>
      <w:numFmt w:val="lowerLetter"/>
      <w:start w:val="1"/>
    </w:lvl>
  </w:abstractNum>
  <w:abstractNum w:abstractNumId="53">
    <w:nsid w:val="7E0F6384"/>
    <w:multiLevelType w:val="hybridMultilevel"/>
    <w:lvl w:ilvl="0">
      <w:lvlJc w:val="left"/>
      <w:lvlText w:val="(%1)"/>
      <w:numFmt w:val="lowerLetter"/>
      <w:start w:val="61"/>
    </w:lvl>
    <w:lvl w:ilvl="1">
      <w:lvlJc w:val="left"/>
      <w:lvlText w:val="(%2)"/>
      <w:numFmt w:val="lowerLetter"/>
      <w:start w:val="1"/>
    </w:lvl>
  </w:abstractNum>
  <w:abstractNum w:abstractNumId="54">
    <w:nsid w:val="2B4B8B53"/>
    <w:multiLevelType w:val="hybridMultilevel"/>
    <w:lvl w:ilvl="0">
      <w:lvlJc w:val="left"/>
      <w:lvlText w:val="%1"/>
      <w:numFmt w:val="decimal"/>
      <w:start w:val="1"/>
    </w:lvl>
    <w:lvl w:ilvl="1">
      <w:lvlJc w:val="left"/>
      <w:lvlText w:val="(%2)"/>
      <w:numFmt w:val="lowerRoman"/>
      <w:start w:val="1"/>
    </w:lvl>
  </w:abstractNum>
  <w:abstractNum w:abstractNumId="55">
    <w:nsid w:val="72E3413A"/>
    <w:multiLevelType w:val="hybridMultilevel"/>
    <w:lvl w:ilvl="0">
      <w:lvlJc w:val="left"/>
      <w:lvlText w:val="(%1)"/>
      <w:numFmt w:val="decimal"/>
      <w:start w:val="1"/>
    </w:lvl>
    <w:lvl w:ilvl="1">
      <w:lvlJc w:val="left"/>
      <w:lvlText w:val="(%2)"/>
      <w:numFmt w:val="lowerRoman"/>
      <w:start w:val="3"/>
    </w:lvl>
  </w:abstractNum>
  <w:abstractNum w:abstractNumId="56">
    <w:nsid w:val="116AE494"/>
    <w:multiLevelType w:val="hybridMultilevel"/>
    <w:lvl w:ilvl="0">
      <w:lvlJc w:val="left"/>
      <w:lvlText w:val="(%1)"/>
      <w:numFmt w:val="lowerRoman"/>
      <w:start w:val="1"/>
    </w:lvl>
  </w:abstractNum>
  <w:abstractNum w:abstractNumId="57">
    <w:nsid w:val="3494B2FB"/>
    <w:multiLevelType w:val="hybridMultilevel"/>
    <w:lvl w:ilvl="0">
      <w:lvlJc w:val="left"/>
      <w:lvlText w:val="(%1)"/>
      <w:numFmt w:val="lowerRoman"/>
      <w:start w:val="2"/>
    </w:lvl>
  </w:abstractNum>
  <w:abstractNum w:abstractNumId="58">
    <w:nsid w:val="B13A31"/>
    <w:multiLevelType w:val="hybridMultilevel"/>
    <w:lvl w:ilvl="0">
      <w:lvlJc w:val="left"/>
      <w:lvlText w:val="%1"/>
      <w:numFmt w:val="lowerLetter"/>
      <w:start w:val="1"/>
    </w:lvl>
    <w:lvl w:ilvl="1">
      <w:lvlJc w:val="left"/>
      <w:lvlText w:val="(%2)"/>
      <w:numFmt w:val="lowerRoman"/>
      <w:start w:val="9"/>
    </w:lvl>
  </w:abstractNum>
  <w:abstractNum w:abstractNumId="59">
    <w:nsid w:val="64429599"/>
    <w:multiLevelType w:val="hybridMultilevel"/>
    <w:lvl w:ilvl="0">
      <w:lvlJc w:val="left"/>
      <w:lvlText w:val="(%1)"/>
      <w:numFmt w:val="lowerLetter"/>
      <w:start w:val="2"/>
    </w:lvl>
    <w:lvl w:ilvl="1">
      <w:lvlJc w:val="left"/>
      <w:lvlText w:val="(%2)"/>
      <w:numFmt w:val="lowerRoman"/>
      <w:start w:val="11"/>
    </w:lvl>
  </w:abstractNum>
  <w:abstractNum w:abstractNumId="60">
    <w:nsid w:val="631F1690"/>
    <w:multiLevelType w:val="hybridMultilevel"/>
    <w:lvl w:ilvl="0">
      <w:lvlJc w:val="left"/>
      <w:lvlText w:val="(%1)"/>
      <w:numFmt w:val="lowerLetter"/>
      <w:start w:val="9"/>
    </w:lvl>
    <w:lvl w:ilvl="1">
      <w:lvlJc w:val="left"/>
      <w:lvlText w:val="(%2)"/>
      <w:numFmt w:val="lowerLetter"/>
      <w:start w:val="1"/>
    </w:lvl>
  </w:abstractNum>
  <w:abstractNum w:abstractNumId="61">
    <w:nsid w:val="25973E32"/>
    <w:multiLevelType w:val="hybridMultilevel"/>
    <w:lvl w:ilvl="0">
      <w:lvlJc w:val="left"/>
      <w:lvlText w:val="(%1)"/>
      <w:numFmt w:val="lowerLetter"/>
      <w:start w:val="1"/>
    </w:lvl>
  </w:abstractNum>
  <w:abstractNum w:abstractNumId="62">
    <w:nsid w:val="EAD6F57"/>
    <w:multiLevelType w:val="hybridMultilevel"/>
    <w:lvl w:ilvl="0">
      <w:lvlJc w:val="left"/>
      <w:lvlText w:val="(%1)"/>
      <w:numFmt w:val="lowerLetter"/>
      <w:start w:val="4"/>
    </w:lvl>
  </w:abstractNum>
  <w:abstractNum w:abstractNumId="63">
    <w:nsid w:val="6EC9D844"/>
    <w:multiLevelType w:val="hybridMultilevel"/>
    <w:lvl w:ilvl="0">
      <w:lvlJc w:val="left"/>
      <w:lvlText w:val="(%1)"/>
      <w:numFmt w:val="lowerLetter"/>
      <w:start w:val="12"/>
    </w:lvl>
  </w:abstractNum>
  <w:abstractNum w:abstractNumId="64">
    <w:nsid w:val="5C49EAEE"/>
    <w:multiLevelType w:val="hybridMultilevel"/>
    <w:lvl w:ilvl="0">
      <w:lvlJc w:val="left"/>
      <w:lvlText w:val="(%1)"/>
      <w:numFmt w:val="lowerRoman"/>
      <w:start w:val="8"/>
    </w:lvl>
  </w:abstractNum>
  <w:abstractNum w:abstractNumId="65">
    <w:nsid w:val="64AF49B"/>
    <w:multiLevelType w:val="hybridMultilevel"/>
    <w:lvl w:ilvl="0">
      <w:lvlJc w:val="left"/>
      <w:lvlText w:val="(%1)"/>
      <w:numFmt w:val="lowerRoman"/>
      <w:start w:val="3"/>
    </w:lvl>
  </w:abstractNum>
  <w:abstractNum w:abstractNumId="66">
    <w:nsid w:val="397C46BC"/>
    <w:multiLevelType w:val="hybridMultilevel"/>
    <w:lvl w:ilvl="0">
      <w:lvlJc w:val="left"/>
      <w:lvlText w:val="(%1)"/>
      <w:numFmt w:val="lowerRoman"/>
      <w:start w:val="1"/>
    </w:lvl>
  </w:abstractNum>
  <w:abstractNum w:abstractNumId="67">
    <w:nsid w:val="7E448DE9"/>
    <w:multiLevelType w:val="hybridMultilevel"/>
    <w:lvl w:ilvl="0">
      <w:lvlJc w:val="left"/>
      <w:lvlText w:val="(%1)"/>
      <w:numFmt w:val="lowerRoman"/>
      <w:start w:val="1"/>
    </w:lvl>
  </w:abstractNum>
  <w:abstractNum w:abstractNumId="68">
    <w:nsid w:val="5A9CC3E5"/>
    <w:multiLevelType w:val="hybridMultilevel"/>
    <w:lvl w:ilvl="0">
      <w:lvlJc w:val="left"/>
      <w:lvlText w:val="(%1)"/>
      <w:numFmt w:val="lowerRoman"/>
      <w:start w:val="1"/>
    </w:lvl>
  </w:abstractNum>
  <w:abstractNum w:abstractNumId="69">
    <w:nsid w:val="1AFE3625"/>
    <w:multiLevelType w:val="hybridMultilevel"/>
    <w:lvl w:ilvl="0">
      <w:lvlJc w:val="left"/>
      <w:lvlText w:val="(%1)"/>
      <w:numFmt w:val="lowerLetter"/>
      <w:start w:val="2"/>
    </w:lvl>
  </w:abstractNum>
  <w:abstractNum w:abstractNumId="70">
    <w:nsid w:val="3CA88ECF"/>
    <w:multiLevelType w:val="hybridMultilevel"/>
    <w:lvl w:ilvl="0">
      <w:lvlJc w:val="left"/>
      <w:lvlText w:val="(%1)"/>
      <w:numFmt w:val="lowerLetter"/>
      <w:start w:val="1"/>
    </w:lvl>
  </w:abstractNum>
  <w:abstractNum w:abstractNumId="71">
    <w:nsid w:val="6EBE4208"/>
    <w:multiLevelType w:val="hybridMultilevel"/>
    <w:lvl w:ilvl="0">
      <w:lvlJc w:val="left"/>
      <w:lvlText w:val="(%1)"/>
      <w:numFmt w:val="lowerLetter"/>
      <w:start w:val="7"/>
    </w:lvl>
  </w:abstractNum>
  <w:abstractNum w:abstractNumId="72">
    <w:nsid w:val="C058DF5"/>
    <w:multiLevelType w:val="hybridMultilevel"/>
    <w:lvl w:ilvl="0">
      <w:lvlJc w:val="left"/>
      <w:lvlText w:val="(%1)"/>
      <w:numFmt w:val="lowerLetter"/>
      <w:start w:val="2"/>
    </w:lvl>
  </w:abstractNum>
  <w:abstractNum w:abstractNumId="73">
    <w:nsid w:val="CBE5BE9"/>
    <w:multiLevelType w:val="hybridMultilevel"/>
    <w:lvl w:ilvl="0">
      <w:lvlJc w:val="left"/>
      <w:lvlText w:val="(%1)"/>
      <w:numFmt w:val="decimal"/>
      <w:start w:val="3"/>
    </w:lvl>
  </w:abstractNum>
  <w:abstractNum w:abstractNumId="74">
    <w:nsid w:val="3102BBE2"/>
    <w:multiLevelType w:val="hybridMultilevel"/>
    <w:lvl w:ilvl="0">
      <w:lvlJc w:val="left"/>
      <w:lvlText w:val="%1"/>
      <w:numFmt w:val="lowerRoman"/>
      <w:start w:val="1"/>
    </w:lvl>
    <w:lvl w:ilvl="1">
      <w:lvlJc w:val="left"/>
      <w:lvlText w:val="(%2)"/>
      <w:numFmt w:val="lowerRoman"/>
      <w:start w:val="1"/>
    </w:lvl>
  </w:abstractNum>
  <w:abstractNum w:abstractNumId="75">
    <w:nsid w:val="26A02C5E"/>
    <w:multiLevelType w:val="hybridMultilevel"/>
    <w:lvl w:ilvl="0">
      <w:lvlJc w:val="left"/>
      <w:lvlText w:val="(%1)"/>
      <w:numFmt w:val="lowerRoman"/>
      <w:start w:val="2"/>
    </w:lvl>
    <w:lvl w:ilvl="1">
      <w:lvlJc w:val="left"/>
      <w:lvlText w:val="%2"/>
      <w:numFmt w:val="lowerRoman"/>
      <w:start w:val="1"/>
    </w:lvl>
  </w:abstractNum>
  <w:abstractNum w:abstractNumId="76">
    <w:nsid w:val="541C8153"/>
    <w:multiLevelType w:val="hybridMultilevel"/>
    <w:lvl w:ilvl="0">
      <w:lvlJc w:val="left"/>
      <w:lvlText w:val="(%1)"/>
      <w:numFmt w:val="lowerRoman"/>
      <w:start w:val="9"/>
    </w:lvl>
  </w:abstractNum>
  <w:abstractNum w:abstractNumId="77">
    <w:nsid w:val="67906F60"/>
    <w:multiLevelType w:val="hybridMultilevel"/>
    <w:lvl w:ilvl="0">
      <w:lvlJc w:val="left"/>
      <w:lvlText w:val="(%1)"/>
      <w:numFmt w:val="lowerRoman"/>
      <w:start w:val="11"/>
    </w:lvl>
  </w:abstractNum>
  <w:abstractNum w:abstractNumId="78">
    <w:nsid w:val="10DB9DAA"/>
    <w:multiLevelType w:val="hybridMultilevel"/>
    <w:lvl w:ilvl="0">
      <w:lvlJc w:val="left"/>
      <w:lvlText w:val="(%1)"/>
      <w:numFmt w:val="lowerRoman"/>
      <w:start w:val="21"/>
    </w:lvl>
  </w:abstractNum>
  <w:abstractNum w:abstractNumId="79">
    <w:nsid w:val="697D2D2"/>
    <w:multiLevelType w:val="hybridMultilevel"/>
    <w:lvl w:ilvl="0">
      <w:lvlJc w:val="left"/>
      <w:lvlText w:val="(%1)"/>
      <w:numFmt w:val="lowerRoman"/>
      <w:start w:val="1"/>
    </w:lvl>
  </w:abstractNum>
  <w:abstractNum w:abstractNumId="80">
    <w:nsid w:val="6D68AB2"/>
    <w:multiLevelType w:val="hybridMultilevel"/>
    <w:lvl w:ilvl="0">
      <w:lvlJc w:val="left"/>
      <w:lvlText w:val="(%1)"/>
      <w:numFmt w:val="lowerRoman"/>
      <w:start w:val="6"/>
    </w:lvl>
  </w:abstractNum>
  <w:abstractNum w:abstractNumId="81">
    <w:nsid w:val="3A966CD0"/>
    <w:multiLevelType w:val="hybridMultilevel"/>
    <w:lvl w:ilvl="0">
      <w:lvlJc w:val="left"/>
      <w:lvlText w:val="(%1)"/>
      <w:numFmt w:val="lowerRoman"/>
      <w:start w:val="9"/>
    </w:lvl>
  </w:abstractNum>
  <w:abstractNum w:abstractNumId="82">
    <w:nsid w:val="63F37E85"/>
    <w:multiLevelType w:val="hybridMultilevel"/>
    <w:lvl w:ilvl="0">
      <w:lvlJc w:val="left"/>
      <w:lvlText w:val="%1"/>
      <w:numFmt w:val="lowerLetter"/>
      <w:start w:val="1"/>
    </w:lvl>
    <w:lvl w:ilvl="1">
      <w:lvlJc w:val="left"/>
      <w:lvlText w:val="(%2)"/>
      <w:numFmt w:val="lowerRoman"/>
      <w:start w:val="20"/>
    </w:lvl>
  </w:abstractNum>
  <w:abstractNum w:abstractNumId="83">
    <w:nsid w:val="5895F5FA"/>
    <w:multiLevelType w:val="hybridMultilevel"/>
    <w:lvl w:ilvl="0">
      <w:lvlJc w:val="left"/>
      <w:lvlText w:val="(%1)"/>
      <w:numFmt w:val="lowerLetter"/>
      <w:start w:val="3"/>
    </w:lvl>
    <w:lvl w:ilvl="1">
      <w:lvlJc w:val="left"/>
      <w:lvlText w:val="(%2)"/>
      <w:numFmt w:val="lowerRoman"/>
      <w:start w:val="24"/>
    </w:lvl>
  </w:abstractNum>
  <w:abstractNum w:abstractNumId="84">
    <w:nsid w:val="38A5D054"/>
    <w:multiLevelType w:val="hybridMultilevel"/>
    <w:lvl w:ilvl="0">
      <w:lvlJc w:val="left"/>
      <w:lvlText w:val="%1"/>
      <w:numFmt w:val="lowerLetter"/>
      <w:start w:val="1"/>
    </w:lvl>
    <w:lvl w:ilvl="1">
      <w:lvlJc w:val="left"/>
      <w:lvlText w:val="(%2)"/>
      <w:numFmt w:val="lowerRoman"/>
      <w:start w:val="29"/>
    </w:lvl>
  </w:abstractNum>
  <w:abstractNum w:abstractNumId="85">
    <w:nsid w:val="F3F09D8"/>
    <w:multiLevelType w:val="hybridMultilevel"/>
    <w:lvl w:ilvl="0">
      <w:lvlJc w:val="left"/>
      <w:lvlText w:val="(%1)"/>
      <w:numFmt w:val="lowerLetter"/>
      <w:start w:val="2"/>
    </w:lvl>
    <w:lvl w:ilvl="1">
      <w:lvlJc w:val="left"/>
      <w:lvlText w:val="(%2)"/>
      <w:numFmt w:val="lowerRoman"/>
      <w:start w:val="36"/>
    </w:lvl>
  </w:abstractNum>
  <w:abstractNum w:abstractNumId="86">
    <w:nsid w:val="4B793735"/>
    <w:multiLevelType w:val="hybridMultilevel"/>
    <w:lvl w:ilvl="0">
      <w:lvlJc w:val="left"/>
      <w:lvlText w:val="(%1)"/>
      <w:numFmt w:val="lowerLetter"/>
      <w:start w:val="1"/>
    </w:lvl>
  </w:abstractNum>
  <w:abstractNum w:abstractNumId="87">
    <w:nsid w:val="4A10B4E8"/>
    <w:multiLevelType w:val="hybridMultilevel"/>
    <w:lvl w:ilvl="0">
      <w:lvlJc w:val="left"/>
      <w:lvlText w:val="(%1)"/>
      <w:numFmt w:val="lowerLetter"/>
      <w:start w:val="1"/>
    </w:lvl>
  </w:abstractNum>
  <w:abstractNum w:abstractNumId="88">
    <w:nsid w:val="43D3BCD4"/>
    <w:multiLevelType w:val="hybridMultilevel"/>
    <w:lvl w:ilvl="0">
      <w:lvlJc w:val="left"/>
      <w:lvlText w:val="(%1)"/>
      <w:numFmt w:val="lowerLetter"/>
      <w:start w:val="2"/>
    </w:lvl>
  </w:abstractNum>
  <w:abstractNum w:abstractNumId="89">
    <w:nsid w:val="4C2A7166"/>
    <w:multiLevelType w:val="hybridMultilevel"/>
    <w:lvl w:ilvl="0">
      <w:lvlJc w:val="left"/>
      <w:lvlText w:val="%1"/>
      <w:numFmt w:val="lowerLetter"/>
      <w:start w:val="1"/>
    </w:lvl>
    <w:lvl w:ilvl="1">
      <w:lvlJc w:val="left"/>
      <w:lvlText w:val="(%2)"/>
      <w:numFmt w:val="lowerLetter"/>
      <w:start w:val="7"/>
    </w:lvl>
  </w:abstractNum>
  <w:abstractNum w:abstractNumId="90">
    <w:nsid w:val="2E534A82"/>
    <w:multiLevelType w:val="hybridMultilevel"/>
    <w:lvl w:ilvl="0">
      <w:lvlJc w:val="left"/>
      <w:lvlText w:val="(%1)"/>
      <w:numFmt w:val="lowerLetter"/>
      <w:start w:val="35"/>
    </w:lvl>
    <w:lvl w:ilvl="1">
      <w:lvlJc w:val="left"/>
      <w:lvlText w:val="%2"/>
      <w:numFmt w:val="lowerLetter"/>
      <w:start w:val="1"/>
    </w:lvl>
  </w:abstractNum>
  <w:abstractNum w:abstractNumId="91">
    <w:nsid w:val="26F2D364"/>
    <w:multiLevelType w:val="hybridMultilevel"/>
    <w:lvl w:ilvl="0">
      <w:lvlJc w:val="left"/>
      <w:lvlText w:val="(%1)"/>
      <w:numFmt w:val="lowerLetter"/>
      <w:start w:val="1"/>
    </w:lvl>
  </w:abstractNum>
  <w:abstractNum w:abstractNumId="92">
    <w:nsid w:val="71C1AF98"/>
    <w:multiLevelType w:val="hybridMultilevel"/>
    <w:lvl w:ilvl="0">
      <w:lvlJc w:val="left"/>
      <w:lvlText w:val="(%1)"/>
      <w:numFmt w:val="lowerLetter"/>
      <w:start w:val="1"/>
    </w:lvl>
  </w:abstractNum>
  <w:abstractNum w:abstractNumId="93">
    <w:nsid w:val="3D00B9D9"/>
    <w:multiLevelType w:val="hybridMultilevel"/>
    <w:lvl w:ilvl="0">
      <w:lvlJc w:val="left"/>
      <w:lvlText w:val="%1"/>
      <w:numFmt w:val="lowerLetter"/>
      <w:start w:val="1"/>
    </w:lvl>
    <w:lvl w:ilvl="1">
      <w:lvlJc w:val="left"/>
      <w:lvlText w:val="(%2)"/>
      <w:numFmt w:val="lowerLetter"/>
      <w:start w:val="2"/>
    </w:lvl>
  </w:abstractNum>
  <w:abstractNum w:abstractNumId="94">
    <w:nsid w:val="15BCABA8"/>
    <w:multiLevelType w:val="hybridMultilevel"/>
    <w:lvl w:ilvl="0">
      <w:lvlJc w:val="left"/>
      <w:lvlText w:val="(%1)"/>
      <w:numFmt w:val="lowerLetter"/>
      <w:start w:val="9"/>
    </w:lvl>
    <w:lvl w:ilvl="1">
      <w:lvlJc w:val="left"/>
      <w:lvlText w:val="%2"/>
      <w:numFmt w:val="lowerLetter"/>
      <w:start w:val="1"/>
    </w:lvl>
  </w:abstractNum>
  <w:abstractNum w:abstractNumId="95">
    <w:nsid w:val="4E0B9A87"/>
    <w:multiLevelType w:val="hybridMultilevel"/>
    <w:lvl w:ilvl="0">
      <w:lvlJc w:val="left"/>
      <w:lvlText w:val="(%1)"/>
      <w:numFmt w:val="lowerRoman"/>
      <w:start w:val="1"/>
    </w:lvl>
  </w:abstractNum>
  <w:abstractNum w:abstractNumId="96">
    <w:nsid w:val="434BAE75"/>
    <w:multiLevelType w:val="hybridMultilevel"/>
    <w:lvl w:ilvl="0">
      <w:lvlJc w:val="left"/>
      <w:lvlText w:val="(%1)"/>
      <w:numFmt w:val="lowerLetter"/>
      <w:start w:val="3"/>
    </w:lvl>
  </w:abstractNum>
  <w:abstractNum w:abstractNumId="97">
    <w:nsid w:val="4F38F265"/>
    <w:multiLevelType w:val="hybridMultilevel"/>
    <w:lvl w:ilvl="0">
      <w:lvlJc w:val="left"/>
      <w:lvlText w:val="(%1)"/>
      <w:numFmt w:val="lowerLetter"/>
      <w:start w:val="1"/>
    </w:lvl>
  </w:abstractNum>
  <w:abstractNum w:abstractNumId="98">
    <w:nsid w:val="4C502870"/>
    <w:multiLevelType w:val="hybridMultilevel"/>
    <w:lvl w:ilvl="0">
      <w:lvlJc w:val="left"/>
      <w:lvlText w:val="(%1)"/>
      <w:numFmt w:val="lowerRoman"/>
      <w:start w:val="1"/>
    </w:lvl>
  </w:abstractNum>
  <w:abstractNum w:abstractNumId="99">
    <w:nsid w:val="1DE8725A"/>
    <w:multiLevelType w:val="hybridMultilevel"/>
    <w:lvl w:ilvl="0">
      <w:lvlJc w:val="left"/>
      <w:lvlText w:val="(%1)"/>
      <w:numFmt w:val="lowerLetter"/>
      <w:start w:val="2"/>
    </w:lvl>
    <w:lvl w:ilvl="1">
      <w:lvlJc w:val="left"/>
      <w:lvlText w:val="(%2)"/>
      <w:numFmt w:val="lowerLetter"/>
      <w:start w:val="9"/>
    </w:lvl>
  </w:abstractNum>
  <w:abstractNum w:abstractNumId="100">
    <w:nsid w:val="6A37288A"/>
    <w:multiLevelType w:val="hybridMultilevel"/>
    <w:lvl w:ilvl="0">
      <w:lvlJc w:val="left"/>
      <w:lvlText w:val="(%1)"/>
      <w:numFmt w:val="lowerRoman"/>
      <w:start w:val="2"/>
    </w:lvl>
  </w:abstractNum>
  <w:abstractNum w:abstractNumId="101">
    <w:nsid w:val="8F8B73F"/>
    <w:multiLevelType w:val="hybridMultilevel"/>
    <w:lvl w:ilvl="0">
      <w:lvlJc w:val="left"/>
      <w:lvlText w:val="%1"/>
      <w:numFmt w:val="upperLetter"/>
      <w:start w:val="1"/>
    </w:lvl>
    <w:lvl w:ilvl="1">
      <w:lvlJc w:val="left"/>
      <w:lvlText w:val="(%2)"/>
      <w:numFmt w:val="lowerRoman"/>
      <w:start w:val="3"/>
    </w:lvl>
  </w:abstractNum>
  <w:abstractNum w:abstractNumId="102">
    <w:nsid w:val="CA6B462"/>
    <w:multiLevelType w:val="hybridMultilevel"/>
    <w:lvl w:ilvl="0">
      <w:lvlJc w:val="left"/>
      <w:lvlText w:val="(%1)"/>
      <w:numFmt w:val="upperLetter"/>
      <w:start w:val="2"/>
    </w:lvl>
    <w:lvl w:ilvl="1">
      <w:lvlJc w:val="left"/>
      <w:lvlText w:val="(%2)"/>
      <w:numFmt w:val="lowerRoman"/>
      <w:start w:val="5"/>
    </w:lvl>
  </w:abstractNum>
  <w:abstractNum w:abstractNumId="103">
    <w:nsid w:val="763CB680"/>
    <w:multiLevelType w:val="hybridMultilevel"/>
    <w:lvl w:ilvl="0">
      <w:lvlJc w:val="left"/>
      <w:lvlText w:val="(%1)"/>
      <w:numFmt w:val="lowerLetter"/>
      <w:start w:val="1"/>
    </w:lvl>
  </w:abstractNum>
  <w:abstractNum w:abstractNumId="104">
    <w:nsid w:val="15B71329"/>
    <w:multiLevelType w:val="hybridMultilevel"/>
    <w:lvl w:ilvl="0">
      <w:lvlJc w:val="left"/>
      <w:lvlText w:val="%1"/>
      <w:numFmt w:val="lowerRoman"/>
      <w:start w:val="1"/>
    </w:lvl>
    <w:lvl w:ilvl="1">
      <w:lvlJc w:val="left"/>
      <w:lvlText w:val="(%2)"/>
      <w:numFmt w:val="lowerLetter"/>
      <w:start w:val="3"/>
    </w:lvl>
  </w:abstractNum>
  <w:abstractNum w:abstractNumId="105">
    <w:nsid w:val="3DA97044"/>
    <w:multiLevelType w:val="hybridMultilevel"/>
    <w:lvl w:ilvl="0">
      <w:lvlJc w:val="left"/>
      <w:lvlText w:val="(%1)"/>
      <w:numFmt w:val="lowerRoman"/>
      <w:start w:val="2"/>
    </w:lvl>
    <w:lvl w:ilvl="1">
      <w:lvlJc w:val="left"/>
      <w:lvlText w:val="(%2)"/>
      <w:numFmt w:val="lowerLetter"/>
      <w:start w:val="5"/>
    </w:lvl>
  </w:abstractNum>
  <w:abstractNum w:abstractNumId="106">
    <w:nsid w:val="1CDCE2DE"/>
    <w:multiLevelType w:val="hybridMultilevel"/>
    <w:lvl w:ilvl="0">
      <w:lvlJc w:val="left"/>
      <w:lvlText w:val="(%1)"/>
      <w:numFmt w:val="lowerRoman"/>
      <w:start w:val="2"/>
    </w:lvl>
    <w:lvl w:ilvl="1">
      <w:lvlJc w:val="left"/>
      <w:lvlText w:val="(%2)"/>
      <w:numFmt w:val="lowerLetter"/>
      <w:start w:val="7"/>
    </w:lvl>
  </w:abstractNum>
  <w:abstractNum w:abstractNumId="107">
    <w:nsid w:val="69D3947C"/>
    <w:multiLevelType w:val="hybridMultilevel"/>
    <w:lvl w:ilvl="0">
      <w:lvlJc w:val="left"/>
      <w:lvlText w:val="(%1)"/>
      <w:numFmt w:val="lowerRoman"/>
      <w:start w:val="2"/>
    </w:lvl>
  </w:abstractNum>
  <w:abstractNum w:abstractNumId="108">
    <w:nsid w:val="2539DFA5"/>
    <w:multiLevelType w:val="hybridMultilevel"/>
    <w:lvl w:ilvl="0">
      <w:lvlJc w:val="left"/>
      <w:lvlText w:val="(%1)"/>
      <w:numFmt w:val="lowerRoman"/>
      <w:start w:val="3"/>
    </w:lvl>
  </w:abstractNum>
  <w:abstractNum w:abstractNumId="109">
    <w:nsid w:val="2DB88089"/>
    <w:multiLevelType w:val="hybridMultilevel"/>
    <w:lvl w:ilvl="0">
      <w:lvlJc w:val="left"/>
      <w:lvlText w:val="(%1)"/>
      <w:numFmt w:val="lowerLetter"/>
      <w:start w:val="1"/>
    </w:lvl>
  </w:abstractNum>
  <w:abstractNum w:abstractNumId="110">
    <w:nsid w:val="706B674E"/>
    <w:multiLevelType w:val="hybridMultilevel"/>
    <w:lvl w:ilvl="0">
      <w:lvlJc w:val="left"/>
      <w:lvlText w:val="(%1)"/>
      <w:numFmt w:val="lowerLetter"/>
      <w:start w:val="1"/>
    </w:lvl>
  </w:abstractNum>
  <w:abstractNum w:abstractNumId="111">
    <w:nsid w:val="2C106A57"/>
    <w:multiLevelType w:val="hybridMultilevel"/>
    <w:lvl w:ilvl="0">
      <w:lvlJc w:val="left"/>
      <w:lvlText w:val="(%1)"/>
      <w:numFmt w:val="lowerLetter"/>
      <w:start w:val="1"/>
    </w:lvl>
  </w:abstractNum>
  <w:abstractNum w:abstractNumId="112">
    <w:nsid w:val="684EED59"/>
    <w:multiLevelType w:val="hybridMultilevel"/>
    <w:lvl w:ilvl="0">
      <w:lvlJc w:val="left"/>
      <w:lvlText w:val="(%1)"/>
      <w:numFmt w:val="lowerLetter"/>
      <w:start w:val="2"/>
    </w:lvl>
  </w:abstractNum>
  <w:abstractNum w:abstractNumId="113">
    <w:nsid w:val="545EE5D3"/>
    <w:multiLevelType w:val="hybridMultilevel"/>
    <w:lvl w:ilvl="0">
      <w:lvlJc w:val="left"/>
      <w:lvlText w:val="(%1)"/>
      <w:numFmt w:val="lowerLetter"/>
      <w:start w:val="1"/>
    </w:lvl>
  </w:abstractNum>
  <w:abstractNum w:abstractNumId="114">
    <w:nsid w:val="4A66051"/>
    <w:multiLevelType w:val="hybridMultilevel"/>
    <w:lvl w:ilvl="0">
      <w:lvlJc w:val="left"/>
      <w:lvlText w:val="%1"/>
      <w:numFmt w:val="lowerLetter"/>
      <w:start w:val="1"/>
    </w:lvl>
    <w:lvl w:ilvl="1">
      <w:lvlJc w:val="left"/>
      <w:lvlText w:val="(%2)"/>
      <w:numFmt w:val="lowerLetter"/>
      <w:start w:val="4"/>
    </w:lvl>
  </w:abstractNum>
  <w:abstractNum w:abstractNumId="115">
    <w:nsid w:val="20F4BDAD"/>
    <w:multiLevelType w:val="hybridMultilevel"/>
    <w:lvl w:ilvl="0">
      <w:lvlJc w:val="left"/>
      <w:lvlText w:val="(%1)"/>
      <w:numFmt w:val="lowerLetter"/>
      <w:start w:val="5"/>
    </w:lvl>
    <w:lvl w:ilvl="1">
      <w:lvlJc w:val="left"/>
      <w:lvlText w:val="(%2)"/>
      <w:numFmt w:val="lowerLetter"/>
      <w:start w:val="8"/>
    </w:lvl>
  </w:abstractNum>
  <w:abstractNum w:abstractNumId="116">
    <w:nsid w:val="639DEFAC"/>
    <w:multiLevelType w:val="hybridMultilevel"/>
    <w:lvl w:ilvl="0">
      <w:lvlJc w:val="left"/>
      <w:lvlText w:val="(%1)"/>
      <w:numFmt w:val="lowerLetter"/>
      <w:start w:val="1"/>
    </w:lvl>
  </w:abstractNum>
  <w:abstractNum w:abstractNumId="117">
    <w:nsid w:val="501F9786"/>
    <w:multiLevelType w:val="hybridMultilevel"/>
    <w:lvl w:ilvl="0">
      <w:lvlJc w:val="left"/>
      <w:lvlText w:val="(%1)"/>
      <w:numFmt w:val="lowerLetter"/>
      <w:start w:val="2"/>
    </w:lvl>
  </w:abstractNum>
  <w:abstractNum w:abstractNumId="118">
    <w:nsid w:val="6B057295"/>
    <w:multiLevelType w:val="hybridMultilevel"/>
    <w:lvl w:ilvl="0">
      <w:lvlJc w:val="left"/>
      <w:lvlText w:val="(%1)"/>
      <w:numFmt w:val="lowerLetter"/>
      <w:start w:val="1"/>
    </w:lvl>
  </w:abstractNum>
  <w:abstractNum w:abstractNumId="119">
    <w:nsid w:val="2771AC80"/>
    <w:multiLevelType w:val="hybridMultilevel"/>
    <w:lvl w:ilvl="0">
      <w:lvlJc w:val="left"/>
      <w:lvlText w:val="(%1)"/>
      <w:numFmt w:val="lowerLetter"/>
      <w:start w:val="4"/>
    </w:lvl>
  </w:abstractNum>
  <w:abstractNum w:abstractNumId="120">
    <w:nsid w:val="1C4A08EC"/>
    <w:multiLevelType w:val="hybridMultilevel"/>
    <w:lvl w:ilvl="0">
      <w:lvlJc w:val="left"/>
      <w:lvlText w:val="(%1)"/>
      <w:numFmt w:val="lowerLetter"/>
      <w:start w:val="1"/>
    </w:lvl>
  </w:abstractNum>
  <w:abstractNum w:abstractNumId="121">
    <w:nsid w:val="1958BD17"/>
    <w:multiLevelType w:val="hybridMultilevel"/>
    <w:lvl w:ilvl="0">
      <w:lvlJc w:val="left"/>
      <w:lvlText w:val="(%1)"/>
      <w:numFmt w:val="lowerLetter"/>
      <w:start w:val="1"/>
    </w:lvl>
  </w:abstractNum>
  <w:abstractNum w:abstractNumId="122">
    <w:nsid w:val="4E647FE4"/>
    <w:multiLevelType w:val="hybridMultilevel"/>
    <w:lvl w:ilvl="0">
      <w:lvlJc w:val="left"/>
      <w:lvlText w:val="(%1)"/>
      <w:numFmt w:val="lowerRoman"/>
      <w:start w:val="1"/>
    </w:lvl>
  </w:abstractNum>
  <w:abstractNum w:abstractNumId="123">
    <w:nsid w:val="E0BB885"/>
    <w:multiLevelType w:val="hybridMultilevel"/>
    <w:lvl w:ilvl="0">
      <w:lvlJc w:val="left"/>
      <w:lvlText w:val="(%1)"/>
      <w:numFmt w:val="lowerLetter"/>
      <w:start w:val="2"/>
    </w:lvl>
  </w:abstractNum>
  <w:abstractNum w:abstractNumId="124">
    <w:nsid w:val="565976F1"/>
    <w:multiLevelType w:val="hybridMultilevel"/>
    <w:lvl w:ilvl="0">
      <w:lvlJc w:val="left"/>
      <w:lvlText w:val="(%1)"/>
      <w:numFmt w:val="lowerLetter"/>
      <w:start w:val="1"/>
    </w:lvl>
  </w:abstractNum>
  <w:abstractNum w:abstractNumId="125">
    <w:nsid w:val="64212B8C"/>
    <w:multiLevelType w:val="hybridMultilevel"/>
    <w:lvl w:ilvl="0">
      <w:lvlJc w:val="left"/>
      <w:lvlText w:val="(%1)"/>
      <w:numFmt w:val="lowerLetter"/>
      <w:start w:val="2"/>
    </w:lvl>
  </w:abstractNum>
  <w:abstractNum w:abstractNumId="126">
    <w:nsid w:val="5C17530C"/>
    <w:multiLevelType w:val="hybridMultilevel"/>
    <w:lvl w:ilvl="0">
      <w:lvlJc w:val="left"/>
      <w:lvlText w:val="(%1)"/>
      <w:numFmt w:val="lowerLetter"/>
      <w:start w:val="5"/>
    </w:lvl>
  </w:abstractNum>
  <w:abstractNum w:abstractNumId="127">
    <w:nsid w:val="19A52566"/>
    <w:multiLevelType w:val="hybridMultilevel"/>
    <w:lvl w:ilvl="0">
      <w:lvlJc w:val="left"/>
      <w:lvlText w:val="(%1)"/>
      <w:numFmt w:val="lowerRoman"/>
      <w:start w:val="1"/>
    </w:lvl>
  </w:abstractNum>
  <w:abstractNum w:abstractNumId="128">
    <w:nsid w:val="335A1DF1"/>
    <w:multiLevelType w:val="hybridMultilevel"/>
    <w:lvl w:ilvl="0">
      <w:lvlJc w:val="left"/>
      <w:lvlText w:val="(%1)"/>
      <w:numFmt w:val="lowerRoman"/>
      <w:start w:val="9"/>
    </w:lvl>
  </w:abstractNum>
  <w:abstractNum w:abstractNumId="129">
    <w:nsid w:val="28677B7C"/>
    <w:multiLevelType w:val="hybridMultilevel"/>
    <w:lvl w:ilvl="0">
      <w:lvlJc w:val="left"/>
      <w:lvlText w:val="%1"/>
      <w:numFmt w:val="lowerLetter"/>
      <w:start w:val="1"/>
    </w:lvl>
    <w:lvl w:ilvl="1">
      <w:lvlJc w:val="left"/>
      <w:lvlText w:val="(%2)"/>
      <w:numFmt w:val="lowerLetter"/>
      <w:start w:val="6"/>
    </w:lvl>
  </w:abstractNum>
  <w:abstractNum w:abstractNumId="130">
    <w:nsid w:val="378D97C0"/>
    <w:multiLevelType w:val="hybridMultilevel"/>
    <w:lvl w:ilvl="0">
      <w:lvlJc w:val="left"/>
      <w:lvlText w:val="(%1)"/>
      <w:numFmt w:val="lowerLetter"/>
      <w:start w:val="35"/>
    </w:lvl>
    <w:lvl w:ilvl="1">
      <w:lvlJc w:val="left"/>
      <w:lvlText w:val="%2"/>
      <w:numFmt w:val="lowerLetter"/>
      <w:start w:val="1"/>
    </w:lvl>
  </w:abstractNum>
  <w:abstractNum w:abstractNumId="131">
    <w:nsid w:val="1D91467C"/>
    <w:multiLevelType w:val="hybridMultilevel"/>
    <w:lvl w:ilvl="0">
      <w:lvlJc w:val="left"/>
      <w:lvlText w:val="(%1)"/>
      <w:numFmt w:val="lowerRoman"/>
      <w:start w:val="3"/>
    </w:lvl>
  </w:abstractNum>
  <w:abstractNum w:abstractNumId="132">
    <w:nsid w:val="316032BB"/>
    <w:multiLevelType w:val="hybridMultilevel"/>
    <w:lvl w:ilvl="0">
      <w:lvlJc w:val="left"/>
      <w:lvlText w:val="(%1)"/>
      <w:numFmt w:val="lowerRoman"/>
      <w:start w:val="5"/>
    </w:lvl>
  </w:abstractNum>
  <w:abstractNum w:abstractNumId="133">
    <w:nsid w:val="44344C22"/>
    <w:multiLevelType w:val="hybridMultilevel"/>
    <w:lvl w:ilvl="0">
      <w:lvlJc w:val="left"/>
      <w:lvlText w:val="(%1)"/>
      <w:numFmt w:val="lowerLetter"/>
      <w:start w:val="1"/>
    </w:lvl>
  </w:abstractNum>
  <w:abstractNum w:abstractNumId="134">
    <w:nsid w:val="13CDFCFC"/>
    <w:multiLevelType w:val="hybridMultilevel"/>
    <w:lvl w:ilvl="0">
      <w:lvlJc w:val="left"/>
      <w:lvlText w:val="%1"/>
      <w:numFmt w:val="lowerLetter"/>
      <w:start w:val="1"/>
    </w:lvl>
    <w:lvl w:ilvl="1">
      <w:lvlJc w:val="left"/>
      <w:lvlText w:val="(%2)"/>
      <w:numFmt w:val="lowerLetter"/>
      <w:start w:val="2"/>
    </w:lvl>
  </w:abstractNum>
  <w:abstractNum w:abstractNumId="135">
    <w:nsid w:val="471745E4"/>
    <w:multiLevelType w:val="hybridMultilevel"/>
    <w:lvl w:ilvl="0">
      <w:lvlJc w:val="left"/>
      <w:lvlText w:val="(%1)"/>
      <w:numFmt w:val="lowerLetter"/>
      <w:start w:val="9"/>
    </w:lvl>
    <w:lvl w:ilvl="1">
      <w:lvlJc w:val="left"/>
      <w:lvlText w:val="(%2)"/>
      <w:numFmt w:val="lowerLetter"/>
      <w:start w:val="3"/>
    </w:lvl>
  </w:abstractNum>
  <w:abstractNum w:abstractNumId="136">
    <w:nsid w:val="1DDBC66"/>
    <w:multiLevelType w:val="hybridMultilevel"/>
    <w:lvl w:ilvl="0">
      <w:lvlJc w:val="left"/>
      <w:lvlText w:val="(%1)"/>
      <w:numFmt w:val="lowerLetter"/>
      <w:start w:val="1"/>
    </w:lvl>
  </w:abstractNum>
  <w:abstractNum w:abstractNumId="137">
    <w:nsid w:val="30AADFDA"/>
    <w:multiLevelType w:val="hybridMultilevel"/>
    <w:lvl w:ilvl="0">
      <w:lvlJc w:val="left"/>
      <w:lvlText w:val="(%1)"/>
      <w:numFmt w:val="lowerRoman"/>
      <w:start w:val="1"/>
    </w:lvl>
    <w:lvl w:ilvl="1">
      <w:lvlJc w:val="left"/>
      <w:lvlText w:val="(%2)"/>
      <w:numFmt w:val="lowerLetter"/>
      <w:start w:val="24"/>
    </w:lvl>
    <w:lvl w:ilvl="2">
      <w:lvlJc w:val="left"/>
      <w:lvlText w:val="(%3)"/>
      <w:numFmt w:val="upperLetter"/>
      <w:start w:val="1"/>
    </w:lvl>
  </w:abstractNum>
  <w:abstractNum w:abstractNumId="138">
    <w:nsid w:val="30EADA61"/>
    <w:multiLevelType w:val="hybridMultilevel"/>
    <w:lvl w:ilvl="0">
      <w:lvlJc w:val="left"/>
      <w:lvlText w:val="(%1)"/>
      <w:numFmt w:val="lowerRoman"/>
      <w:start w:val="4"/>
    </w:lvl>
  </w:abstractNum>
  <w:abstractNum w:abstractNumId="139">
    <w:nsid w:val="27179C0B"/>
    <w:multiLevelType w:val="hybridMultilevel"/>
    <w:lvl w:ilvl="0">
      <w:lvlJc w:val="left"/>
      <w:lvlText w:val="(%1)"/>
      <w:numFmt w:val="lowerLetter"/>
      <w:start w:val="2"/>
    </w:lvl>
  </w:abstractNum>
  <w:abstractNum w:abstractNumId="140">
    <w:nsid w:val="5E636063"/>
    <w:multiLevelType w:val="hybridMultilevel"/>
    <w:lvl w:ilvl="0">
      <w:lvlJc w:val="left"/>
      <w:lvlText w:val="(%1)"/>
      <w:numFmt w:val="lowerLetter"/>
      <w:start w:val="1"/>
    </w:lvl>
  </w:abstractNum>
  <w:abstractNum w:abstractNumId="141">
    <w:nsid w:val="215641AF"/>
    <w:multiLevelType w:val="hybridMultilevel"/>
    <w:lvl w:ilvl="0">
      <w:lvlJc w:val="left"/>
      <w:lvlText w:val="(%1)"/>
      <w:numFmt w:val="lowerLetter"/>
      <w:start w:val="3"/>
    </w:lvl>
  </w:abstractNum>
  <w:abstractNum w:abstractNumId="142">
    <w:nsid w:val="53280662"/>
    <w:multiLevelType w:val="hybridMultilevel"/>
    <w:lvl w:ilvl="0">
      <w:lvlJc w:val="left"/>
      <w:lvlText w:val="(%1)"/>
      <w:numFmt w:val="lowerLetter"/>
      <w:start w:val="7"/>
    </w:lvl>
  </w:abstractNum>
  <w:abstractNum w:abstractNumId="143">
    <w:nsid w:val="46B24DBC"/>
    <w:multiLevelType w:val="hybridMultilevel"/>
    <w:lvl w:ilvl="0">
      <w:lvlJc w:val="left"/>
      <w:lvlText w:val="(%1)"/>
      <w:numFmt w:val="lowerLetter"/>
      <w:start w:val="1"/>
    </w:lvl>
  </w:abstractNum>
  <w:abstractNum w:abstractNumId="144">
    <w:nsid w:val="75B52783"/>
    <w:multiLevelType w:val="hybridMultilevel"/>
    <w:lvl w:ilvl="0">
      <w:lvlJc w:val="left"/>
      <w:lvlText w:val="(%1)"/>
      <w:numFmt w:val="lowerRoman"/>
      <w:start w:val="1"/>
    </w:lvl>
  </w:abstractNum>
  <w:abstractNum w:abstractNumId="145">
    <w:nsid w:val="57CE66B4"/>
    <w:multiLevelType w:val="hybridMultilevel"/>
    <w:lvl w:ilvl="0">
      <w:lvlJc w:val="left"/>
      <w:lvlText w:val="(%1)"/>
      <w:numFmt w:val="lowerLetter"/>
      <w:start w:val="5"/>
    </w:lvl>
  </w:abstractNum>
  <w:abstractNum w:abstractNumId="146">
    <w:nsid w:val="67A70B69"/>
    <w:multiLevelType w:val="hybridMultilevel"/>
    <w:lvl w:ilvl="0">
      <w:lvlJc w:val="left"/>
      <w:lvlText w:val="(%1)"/>
      <w:numFmt w:val="lowerLetter"/>
      <w:start w:val="1"/>
    </w:lvl>
  </w:abstractNum>
  <w:abstractNum w:abstractNumId="147">
    <w:nsid w:val="5953172F"/>
    <w:multiLevelType w:val="hybridMultilevel"/>
    <w:lvl w:ilvl="0">
      <w:lvlJc w:val="left"/>
      <w:lvlText w:val="(%1)"/>
      <w:numFmt w:val="lowerLetter"/>
      <w:start w:val="2"/>
    </w:lvl>
  </w:abstractNum>
  <w:abstractNum w:abstractNumId="148">
    <w:nsid w:val="27EDFE3A"/>
    <w:multiLevelType w:val="hybridMultilevel"/>
    <w:lvl w:ilvl="0">
      <w:lvlJc w:val="left"/>
      <w:lvlText w:val="(%1)"/>
      <w:numFmt w:val="lowerLetter"/>
      <w:start w:val="1"/>
    </w:lvl>
  </w:abstractNum>
  <w:abstractNum w:abstractNumId="149">
    <w:nsid w:val="52AC7DFF"/>
    <w:multiLevelType w:val="hybridMultilevel"/>
    <w:lvl w:ilvl="0">
      <w:lvlJc w:val="left"/>
      <w:lvlText w:val="(%1)"/>
      <w:numFmt w:val="lowerLetter"/>
      <w:start w:val="5"/>
    </w:lvl>
  </w:abstractNum>
  <w:abstractNum w:abstractNumId="150">
    <w:nsid w:val="C4C3AF"/>
    <w:multiLevelType w:val="hybridMultilevel"/>
    <w:lvl w:ilvl="0">
      <w:lvlJc w:val="left"/>
      <w:lvlText w:val="(%1)"/>
      <w:numFmt w:val="lowerLetter"/>
      <w:start w:val="1"/>
    </w:lvl>
  </w:abstractNum>
  <w:abstractNum w:abstractNumId="151">
    <w:nsid w:val="44380727"/>
    <w:multiLevelType w:val="hybridMultilevel"/>
    <w:lvl w:ilvl="0">
      <w:lvlJc w:val="left"/>
      <w:lvlText w:val="(%1)"/>
      <w:numFmt w:val="lowerLetter"/>
      <w:start w:val="2"/>
    </w:lvl>
  </w:abstractNum>
  <w:abstractNum w:abstractNumId="152">
    <w:nsid w:val="6C053B16"/>
    <w:multiLevelType w:val="hybridMultilevel"/>
    <w:lvl w:ilvl="0">
      <w:lvlJc w:val="left"/>
      <w:lvlText w:val="(%1)"/>
      <w:numFmt w:val="lowerRoman"/>
      <w:start w:val="1"/>
    </w:lvl>
  </w:abstractNum>
  <w:abstractNum w:abstractNumId="153">
    <w:nsid w:val="4F294393"/>
    <w:multiLevelType w:val="hybridMultilevel"/>
    <w:lvl w:ilvl="0">
      <w:lvlJc w:val="left"/>
      <w:lvlText w:val="(%1)"/>
      <w:numFmt w:val="lowerLetter"/>
      <w:start w:val="3"/>
    </w:lvl>
  </w:abstractNum>
  <w:abstractNum w:abstractNumId="154">
    <w:nsid w:val="5243BFAC"/>
    <w:multiLevelType w:val="hybridMultilevel"/>
    <w:lvl w:ilvl="0">
      <w:lvlJc w:val="left"/>
      <w:lvlText w:val="(%1)"/>
      <w:numFmt w:val="lowerLetter"/>
      <w:start w:val="1"/>
    </w:lvl>
  </w:abstractNum>
  <w:abstractNum w:abstractNumId="155">
    <w:nsid w:val="425EB207"/>
    <w:multiLevelType w:val="hybridMultilevel"/>
    <w:lvl w:ilvl="0">
      <w:lvlJc w:val="left"/>
      <w:lvlText w:val="(%1)"/>
      <w:numFmt w:val="lowerLetter"/>
      <w:start w:val="2"/>
    </w:lvl>
  </w:abstractNum>
  <w:abstractNum w:abstractNumId="156">
    <w:nsid w:val="334A6F1F"/>
    <w:multiLevelType w:val="hybridMultilevel"/>
    <w:lvl w:ilvl="0">
      <w:lvlJc w:val="left"/>
      <w:lvlText w:val="%1"/>
      <w:numFmt w:val="lowerLetter"/>
      <w:start w:val="1"/>
    </w:lvl>
    <w:lvl w:ilvl="1">
      <w:lvlJc w:val="left"/>
      <w:lvlText w:val="(%2)"/>
      <w:numFmt w:val="lowerLetter"/>
      <w:start w:val="1"/>
    </w:lvl>
  </w:abstractNum>
  <w:abstractNum w:abstractNumId="157">
    <w:nsid w:val="2E5B12B8"/>
    <w:multiLevelType w:val="hybridMultilevel"/>
    <w:lvl w:ilvl="0">
      <w:lvlJc w:val="left"/>
      <w:lvlText w:val="(%1)"/>
      <w:numFmt w:val="lowerLetter"/>
      <w:start w:val="61"/>
    </w:lvl>
    <w:lvl w:ilvl="1">
      <w:lvlJc w:val="left"/>
      <w:lvlText w:val="(%2)"/>
      <w:numFmt w:val="lowerLetter"/>
      <w:start w:val="2"/>
    </w:lvl>
  </w:abstractNum>
  <w:abstractNum w:abstractNumId="158">
    <w:nsid w:val="5C03D76D"/>
    <w:multiLevelType w:val="hybridMultilevel"/>
    <w:lvl w:ilvl="0">
      <w:lvlJc w:val="left"/>
      <w:lvlText w:val="-"/>
      <w:numFmt w:val="bullet"/>
      <w:start w:val="1"/>
    </w:lvl>
  </w:abstractNum>
  <w:abstractNum w:abstractNumId="159">
    <w:nsid w:val="66A48D11"/>
    <w:multiLevelType w:val="hybridMultilevel"/>
    <w:lvl w:ilvl="0">
      <w:lvlJc w:val="left"/>
      <w:lvlText w:val="%1"/>
      <w:numFmt w:val="lowerLetter"/>
      <w:start w:val="1"/>
    </w:lvl>
    <w:lvl w:ilvl="1">
      <w:lvlJc w:val="left"/>
      <w:lvlText w:val="(%2)"/>
      <w:numFmt w:val="lowerLetter"/>
      <w:start w:val="1"/>
    </w:lvl>
  </w:abstractNum>
  <w:abstractNum w:abstractNumId="160">
    <w:nsid w:val="56C28E34"/>
    <w:multiLevelType w:val="hybridMultilevel"/>
    <w:lvl w:ilvl="0">
      <w:lvlJc w:val="left"/>
      <w:lvlText w:val="(%1)"/>
      <w:numFmt w:val="lowerLetter"/>
      <w:start w:val="9"/>
    </w:lvl>
    <w:lvl w:ilvl="1">
      <w:lvlJc w:val="left"/>
      <w:lvlText w:val="(%2)"/>
      <w:numFmt w:val="lowerLetter"/>
      <w:start w:val="2"/>
    </w:lvl>
  </w:abstractNum>
  <w:abstractNum w:abstractNumId="161">
    <w:nsid w:val="13916F2D"/>
    <w:multiLevelType w:val="hybridMultilevel"/>
    <w:lvl w:ilvl="0">
      <w:lvlJc w:val="left"/>
      <w:lvlText w:val="(%1)"/>
      <w:numFmt w:val="lowerRoman"/>
      <w:start w:val="6"/>
    </w:lvl>
    <w:lvl w:ilvl="1">
      <w:lvlJc w:val="left"/>
      <w:lvlText w:val="(%2)"/>
      <w:numFmt w:val="lowerLetter"/>
      <w:start w:val="3"/>
    </w:lvl>
  </w:abstractNum>
  <w:abstractNum w:abstractNumId="162">
    <w:nsid w:val="435D38D"/>
    <w:multiLevelType w:val="hybridMultilevel"/>
    <w:lvl w:ilvl="0">
      <w:lvlJc w:val="left"/>
      <w:lvlText w:val="(%1)"/>
      <w:numFmt w:val="lowerRoman"/>
      <w:start w:val="1"/>
    </w:lvl>
  </w:abstractNum>
  <w:abstractNum w:abstractNumId="163">
    <w:nsid w:val="822C0EF"/>
    <w:multiLevelType w:val="hybridMultilevel"/>
    <w:lvl w:ilvl="0">
      <w:lvlJc w:val="left"/>
      <w:lvlText w:val="(%1)"/>
      <w:numFmt w:val="lowerLetter"/>
      <w:start w:val="5"/>
    </w:lvl>
  </w:abstractNum>
  <w:abstractNum w:abstractNumId="164">
    <w:nsid w:val="57C5BB4F"/>
    <w:multiLevelType w:val="hybridMultilevel"/>
    <w:lvl w:ilvl="0">
      <w:lvlJc w:val="left"/>
      <w:lvlText w:val="%1"/>
      <w:numFmt w:val="upperLetter"/>
      <w:start w:val="1"/>
    </w:lvl>
    <w:lvl w:ilvl="1">
      <w:lvlJc w:val="left"/>
      <w:lvlText w:val="(%2)"/>
      <w:numFmt w:val="lowerLetter"/>
      <w:start w:val="6"/>
    </w:lvl>
  </w:abstractNum>
  <w:abstractNum w:abstractNumId="165">
    <w:nsid w:val="1803D089"/>
    <w:multiLevelType w:val="hybridMultilevel"/>
    <w:lvl w:ilvl="0">
      <w:lvlJc w:val="left"/>
      <w:lvlText w:val="(%1)"/>
      <w:numFmt w:val="upperLetter"/>
      <w:start w:val="1"/>
    </w:lvl>
    <w:lvl w:ilvl="1">
      <w:lvlJc w:val="left"/>
      <w:lvlText w:val="(%2)"/>
      <w:numFmt w:val="lowerLetter"/>
      <w:start w:val="7"/>
    </w:lvl>
  </w:abstractNum>
  <w:abstractNum w:abstractNumId="166">
    <w:nsid w:val="4F3A06D4"/>
    <w:multiLevelType w:val="hybridMultilevel"/>
    <w:lvl w:ilvl="0">
      <w:lvlJc w:val="left"/>
      <w:lvlText w:val="(%1)"/>
      <w:numFmt w:val="lowerLetter"/>
      <w:start w:val="1"/>
    </w:lvl>
  </w:abstractNum>
  <w:abstractNum w:abstractNumId="167">
    <w:nsid w:val="59A377B6"/>
    <w:multiLevelType w:val="hybridMultilevel"/>
    <w:lvl w:ilvl="0">
      <w:lvlJc w:val="left"/>
      <w:lvlText w:val="(%1)"/>
      <w:numFmt w:val="lowerLetter"/>
      <w:start w:val="5"/>
    </w:lvl>
  </w:abstractNum>
  <w:abstractNum w:abstractNumId="168">
    <w:nsid w:val="48AEB063"/>
    <w:multiLevelType w:val="hybridMultilevel"/>
    <w:lvl w:ilvl="0">
      <w:lvlJc w:val="left"/>
      <w:lvlText w:val="(%1)"/>
      <w:numFmt w:val="lowerLetter"/>
      <w:start w:val="1"/>
    </w:lvl>
  </w:abstractNum>
  <w:abstractNum w:abstractNumId="169">
    <w:nsid w:val="24E135"/>
    <w:multiLevelType w:val="hybridMultilevel"/>
    <w:lvl w:ilvl="0">
      <w:lvlJc w:val="left"/>
      <w:lvlText w:val="(%1)"/>
      <w:numFmt w:val="lowerLetter"/>
      <w:start w:val="4"/>
    </w:lvl>
  </w:abstractNum>
  <w:abstractNum w:abstractNumId="170">
    <w:nsid w:val="BB13C1"/>
    <w:multiLevelType w:val="hybridMultilevel"/>
    <w:lvl w:ilvl="0">
      <w:lvlJc w:val="left"/>
      <w:lvlText w:val="(%1)"/>
      <w:numFmt w:val="lowerLetter"/>
      <w:start w:val="1"/>
    </w:lvl>
  </w:abstractNum>
  <w:abstractNum w:abstractNumId="171">
    <w:nsid w:val="271210C7"/>
    <w:multiLevelType w:val="hybridMultilevel"/>
    <w:lvl w:ilvl="0">
      <w:lvlJc w:val="left"/>
      <w:lvlText w:val="(%1)"/>
      <w:numFmt w:val="lowerRoman"/>
      <w:start w:val="1"/>
    </w:lvl>
  </w:abstractNum>
  <w:abstractNum w:abstractNumId="172">
    <w:nsid w:val="217B22E4"/>
    <w:multiLevelType w:val="hybridMultilevel"/>
    <w:lvl w:ilvl="0">
      <w:lvlJc w:val="left"/>
      <w:lvlText w:val="(%1)"/>
      <w:numFmt w:val="lowerLetter"/>
      <w:start w:val="3"/>
    </w:lvl>
  </w:abstractNum>
  <w:abstractNum w:abstractNumId="173">
    <w:nsid w:val="53E31A24"/>
    <w:multiLevelType w:val="hybridMultilevel"/>
    <w:lvl w:ilvl="0">
      <w:lvlJc w:val="left"/>
      <w:lvlText w:val="(%1)"/>
      <w:numFmt w:val="lowerLetter"/>
      <w:start w:val="1"/>
    </w:lvl>
  </w:abstractNum>
  <w:abstractNum w:abstractNumId="174">
    <w:nsid w:val="6DC45E83"/>
    <w:multiLevelType w:val="hybridMultilevel"/>
    <w:lvl w:ilvl="0">
      <w:lvlJc w:val="left"/>
      <w:lvlText w:val="(%1)"/>
      <w:numFmt w:val="lowerLetter"/>
      <w:start w:val="2"/>
    </w:lvl>
  </w:abstractNum>
  <w:abstractNum w:abstractNumId="175">
    <w:nsid w:val="17304A67"/>
    <w:multiLevelType w:val="hybridMultilevel"/>
    <w:lvl w:ilvl="0">
      <w:lvlJc w:val="left"/>
      <w:lvlText w:val="(%1)"/>
      <w:numFmt w:val="lowerLetter"/>
      <w:start w:val="1"/>
    </w:lvl>
  </w:abstractNum>
  <w:abstractNum w:abstractNumId="176">
    <w:nsid w:val="2BB180D8"/>
    <w:multiLevelType w:val="hybridMultilevel"/>
    <w:lvl w:ilvl="0">
      <w:lvlJc w:val="left"/>
      <w:lvlText w:val="(%1)"/>
      <w:numFmt w:val="lowerLetter"/>
      <w:start w:val="2"/>
    </w:lvl>
  </w:abstractNum>
  <w:abstractNum w:abstractNumId="177">
    <w:nsid w:val="556B69ED"/>
    <w:multiLevelType w:val="hybridMultilevel"/>
    <w:lvl w:ilvl="0">
      <w:lvlJc w:val="left"/>
      <w:lvlText w:val="%1"/>
      <w:numFmt w:val="lowerLetter"/>
      <w:start w:val="1"/>
    </w:lvl>
    <w:lvl w:ilvl="1">
      <w:lvlJc w:val="left"/>
      <w:lvlText w:val="(%2)"/>
      <w:numFmt w:val="lowerLetter"/>
      <w:start w:val="1"/>
    </w:lvl>
  </w:abstractNum>
  <w:abstractNum w:abstractNumId="178">
    <w:nsid w:val="70836196"/>
    <w:multiLevelType w:val="hybridMultilevel"/>
    <w:lvl w:ilvl="0">
      <w:lvlJc w:val="left"/>
      <w:lvlText w:val="(%1)"/>
      <w:numFmt w:val="lowerLetter"/>
      <w:start w:val="24"/>
    </w:lvl>
    <w:lvl w:ilvl="1">
      <w:lvlJc w:val="left"/>
      <w:lvlText w:val="(%2)"/>
      <w:numFmt w:val="lowerLetter"/>
      <w:start w:val="3"/>
    </w:lvl>
  </w:abstractNum>
  <w:abstractNum w:abstractNumId="179">
    <w:nsid w:val="539F7F12"/>
    <w:multiLevelType w:val="hybridMultilevel"/>
    <w:lvl w:ilvl="0">
      <w:lvlJc w:val="left"/>
      <w:lvlText w:val="%1"/>
      <w:numFmt w:val="lowerLetter"/>
      <w:start w:val="1"/>
    </w:lvl>
    <w:lvl w:ilvl="1">
      <w:lvlJc w:val="left"/>
      <w:lvlText w:val="(%2)"/>
      <w:numFmt w:val="lowerLetter"/>
      <w:start w:val="5"/>
    </w:lvl>
  </w:abstractNum>
  <w:abstractNum w:abstractNumId="180">
    <w:nsid w:val="2817E7EC"/>
    <w:multiLevelType w:val="hybridMultilevel"/>
    <w:lvl w:ilvl="0">
      <w:lvlJc w:val="left"/>
      <w:lvlText w:val="(%1)"/>
      <w:numFmt w:val="lowerLetter"/>
      <w:start w:val="25"/>
    </w:lvl>
    <w:lvl w:ilvl="1">
      <w:lvlJc w:val="left"/>
      <w:lvlText w:val="(%2)"/>
      <w:numFmt w:val="lowerLetter"/>
      <w:start w:val="8"/>
    </w:lvl>
  </w:abstractNum>
  <w:abstractNum w:abstractNumId="181">
    <w:nsid w:val="71482545"/>
    <w:multiLevelType w:val="hybridMultilevel"/>
    <w:lvl w:ilvl="0">
      <w:lvlJc w:val="left"/>
      <w:lvlText w:val="(%1)"/>
      <w:numFmt w:val="lowerLetter"/>
      <w:start w:val="1"/>
    </w:lvl>
  </w:abstractNum>
  <w:abstractNum w:abstractNumId="182">
    <w:nsid w:val="17D78639"/>
    <w:multiLevelType w:val="hybridMultilevel"/>
    <w:lvl w:ilvl="0">
      <w:lvlJc w:val="left"/>
      <w:lvlText w:val="(%1)"/>
      <w:numFmt w:val="lowerLetter"/>
      <w:start w:val="2"/>
    </w:lvl>
  </w:abstractNum>
  <w:abstractNum w:abstractNumId="183">
    <w:nsid w:val="141D2302"/>
    <w:multiLevelType w:val="hybridMultilevel"/>
    <w:lvl w:ilvl="0">
      <w:lvlJc w:val="left"/>
      <w:lvlText w:val="(%1)"/>
      <w:numFmt w:val="lowerLetter"/>
      <w:start w:val="1"/>
    </w:lvl>
  </w:abstractNum>
  <w:abstractNum w:abstractNumId="184">
    <w:nsid w:val="407168D8"/>
    <w:multiLevelType w:val="hybridMultilevel"/>
    <w:lvl w:ilvl="0">
      <w:lvlJc w:val="left"/>
      <w:lvlText w:val="(%1)"/>
      <w:numFmt w:val="lowerLetter"/>
      <w:start w:val="7"/>
    </w:lvl>
  </w:abstractNum>
  <w:abstractNum w:abstractNumId="185">
    <w:nsid w:val="6A1B45E5"/>
    <w:multiLevelType w:val="hybridMultilevel"/>
    <w:lvl w:ilvl="0">
      <w:lvlJc w:val="left"/>
      <w:lvlText w:val="%1"/>
      <w:numFmt w:val="lowerLetter"/>
      <w:start w:val="1"/>
    </w:lvl>
    <w:lvl w:ilvl="1">
      <w:lvlJc w:val="left"/>
      <w:lvlText w:val="(%2)"/>
      <w:numFmt w:val="lowerLetter"/>
      <w:start w:val="1"/>
    </w:lvl>
  </w:abstractNum>
  <w:abstractNum w:abstractNumId="186">
    <w:nsid w:val="567BD50A"/>
    <w:multiLevelType w:val="hybridMultilevel"/>
    <w:lvl w:ilvl="0">
      <w:lvlJc w:val="left"/>
      <w:lvlText w:val="(%1)"/>
      <w:numFmt w:val="lowerLetter"/>
      <w:start w:val="25"/>
    </w:lvl>
    <w:lvl w:ilvl="1">
      <w:lvlJc w:val="left"/>
      <w:lvlText w:val="(%2)"/>
      <w:numFmt w:val="lowerLetter"/>
      <w:start w:val="3"/>
    </w:lvl>
  </w:abstractNum>
  <w:abstractNum w:abstractNumId="187">
    <w:nsid w:val="73BBD7F8"/>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88">
    <w:nsid w:val="1876589D"/>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189">
    <w:nsid w:val="327FAC77"/>
    <w:multiLevelType w:val="hybridMultilevel"/>
    <w:lvl w:ilvl="0">
      <w:lvlJc w:val="left"/>
      <w:lvlText w:val="(%1)"/>
      <w:numFmt w:val="lowerRoman"/>
      <w:start w:val="10"/>
    </w:lvl>
    <w:lvl w:ilvl="1">
      <w:lvlJc w:val="left"/>
      <w:lvlText w:val="(%2)"/>
      <w:numFmt w:val="lowerRoman"/>
      <w:start w:val="3"/>
    </w:lvl>
    <w:lvl w:ilvl="2">
      <w:lvlJc w:val="left"/>
      <w:lvlText w:val="%3"/>
      <w:numFmt w:val="lowerLetter"/>
      <w:start w:val="1"/>
    </w:lvl>
  </w:abstractNum>
  <w:abstractNum w:abstractNumId="190">
    <w:nsid w:val="5A606509"/>
    <w:multiLevelType w:val="hybridMultilevel"/>
    <w:lvl w:ilvl="0">
      <w:lvlJc w:val="left"/>
      <w:lvlText w:val="(%1)"/>
      <w:numFmt w:val="lowerLetter"/>
      <w:start w:val="2"/>
    </w:lvl>
  </w:abstractNum>
  <w:abstractNum w:abstractNumId="191">
    <w:nsid w:val="6F38E6D1"/>
    <w:multiLevelType w:val="hybridMultilevel"/>
    <w:lvl w:ilvl="0">
      <w:lvlJc w:val="left"/>
      <w:lvlText w:val="(%1)"/>
      <w:numFmt w:val="lowerRoman"/>
      <w:start w:val="1"/>
    </w:lvl>
  </w:abstractNum>
  <w:abstractNum w:abstractNumId="192">
    <w:nsid w:val="46111BA5"/>
    <w:multiLevelType w:val="hybridMultilevel"/>
    <w:lvl w:ilvl="0">
      <w:lvlJc w:val="left"/>
      <w:lvlText w:val="(%1)"/>
      <w:numFmt w:val="lowerLetter"/>
      <w:start w:val="3"/>
    </w:lvl>
  </w:abstractNum>
  <w:abstractNum w:abstractNumId="193">
    <w:nsid w:val="5E963896"/>
    <w:multiLevelType w:val="hybridMultilevel"/>
    <w:lvl w:ilvl="0">
      <w:lvlJc w:val="left"/>
      <w:lvlText w:val="(%1)"/>
      <w:numFmt w:val="lowerLetter"/>
      <w:start w:val="4"/>
    </w:lvl>
  </w:abstractNum>
  <w:abstractNum w:abstractNumId="194">
    <w:nsid w:val="775BA7C1"/>
    <w:multiLevelType w:val="hybridMultilevel"/>
    <w:lvl w:ilvl="0">
      <w:lvlJc w:val="left"/>
      <w:lvlText w:val="(%1)"/>
      <w:numFmt w:val="lowerLetter"/>
      <w:start w:val="1"/>
    </w:lvl>
  </w:abstractNum>
  <w:abstractNum w:abstractNumId="195">
    <w:nsid w:val="1DD6D6F4"/>
    <w:multiLevelType w:val="hybridMultilevel"/>
    <w:lvl w:ilvl="0">
      <w:lvlJc w:val="left"/>
      <w:lvlText w:val="(%1)"/>
      <w:numFmt w:val="lowerLetter"/>
      <w:start w:val="2"/>
    </w:lvl>
  </w:abstractNum>
  <w:abstractNum w:abstractNumId="196">
    <w:nsid w:val="769A091F"/>
    <w:multiLevelType w:val="hybridMultilevel"/>
    <w:lvl w:ilvl="0">
      <w:lvlJc w:val="left"/>
      <w:lvlText w:val="%1"/>
      <w:numFmt w:val="lowerRoman"/>
      <w:start w:val="1"/>
    </w:lvl>
    <w:lvl w:ilvl="1">
      <w:lvlJc w:val="left"/>
      <w:lvlText w:val="(%2)"/>
      <w:numFmt w:val="lowerLetter"/>
      <w:start w:val="1"/>
    </w:lvl>
  </w:abstractNum>
  <w:abstractNum w:abstractNumId="197">
    <w:nsid w:val="4695AE95"/>
    <w:multiLevelType w:val="hybridMultilevel"/>
    <w:lvl w:ilvl="0">
      <w:lvlJc w:val="left"/>
      <w:lvlText w:val="(%1)"/>
      <w:numFmt w:val="lowerRoman"/>
      <w:start w:val="1"/>
    </w:lvl>
    <w:lvl w:ilvl="1">
      <w:lvlJc w:val="left"/>
      <w:lvlText w:val="(%2)"/>
      <w:numFmt w:val="lowerLetter"/>
      <w:start w:val="2"/>
    </w:lvl>
  </w:abstractNum>
  <w:abstractNum w:abstractNumId="198">
    <w:nsid w:val="777A4EAA"/>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lvl w:ilvl="3">
      <w:lvlJc w:val="left"/>
      <w:lvlText w:val="%4"/>
      <w:numFmt w:val="decimal"/>
      <w:start w:val="1"/>
    </w:lvl>
  </w:abstractNum>
  <w:abstractNum w:abstractNumId="199">
    <w:nsid w:val="3F48B982"/>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200">
    <w:nsid w:val="46BA8FC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201">
    <w:nsid w:val="7835626C"/>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202">
    <w:nsid w:val="665ACA49"/>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203">
    <w:nsid w:val="6835B2AE"/>
    <w:multiLevelType w:val="hybridMultilevel"/>
    <w:lvl w:ilvl="0">
      <w:lvlJc w:val="left"/>
      <w:lvlText w:val="(%1)"/>
      <w:numFmt w:val="lowerLetter"/>
      <w:start w:val="6"/>
    </w:lvl>
  </w:abstractNum>
  <w:abstractNum w:abstractNumId="204">
    <w:nsid w:val="4C187C90"/>
    <w:multiLevelType w:val="hybridMultilevel"/>
    <w:lvl w:ilvl="0">
      <w:lvlJc w:val="left"/>
      <w:lvlText w:val="(%1)"/>
      <w:numFmt w:val="lowerLetter"/>
      <w:start w:val="7"/>
    </w:lvl>
  </w:abstractNum>
  <w:abstractNum w:abstractNumId="205">
    <w:nsid w:val="541F28CD"/>
    <w:multiLevelType w:val="hybridMultilevel"/>
    <w:lvl w:ilvl="0">
      <w:lvlJc w:val="left"/>
      <w:lvlText w:val="(%1)"/>
      <w:numFmt w:val="lowerLetter"/>
      <w:start w:val="1"/>
    </w:lvl>
  </w:abstractNum>
  <w:abstractNum w:abstractNumId="206">
    <w:nsid w:val="7F65FD16"/>
    <w:multiLevelType w:val="hybridMultilevel"/>
    <w:lvl w:ilvl="0">
      <w:lvlJc w:val="left"/>
      <w:lvlText w:val="(%1)"/>
      <w:numFmt w:val="lowerLetter"/>
      <w:start w:val="1"/>
    </w:lvl>
  </w:abstractNum>
  <w:abstractNum w:abstractNumId="207">
    <w:nsid w:val="77C9FD68"/>
    <w:multiLevelType w:val="hybridMultilevel"/>
    <w:lvl w:ilvl="0">
      <w:lvlJc w:val="left"/>
      <w:lvlText w:val="(%1)"/>
      <w:numFmt w:val="lowerLetter"/>
      <w:start w:val="1"/>
    </w:lvl>
  </w:abstractNum>
  <w:abstractNum w:abstractNumId="208">
    <w:nsid w:val="298A92BA"/>
    <w:multiLevelType w:val="hybridMultilevel"/>
    <w:lvl w:ilvl="0">
      <w:lvlJc w:val="left"/>
      <w:lvlText w:val="(%1)"/>
      <w:numFmt w:val="lowerLetter"/>
      <w:start w:val="1"/>
    </w:lvl>
  </w:abstractNum>
  <w:abstractNum w:abstractNumId="209">
    <w:nsid w:val="6FE95EAC"/>
    <w:multiLevelType w:val="hybridMultilevel"/>
    <w:lvl w:ilvl="0">
      <w:lvlJc w:val="left"/>
      <w:lvlText w:val="(%1)"/>
      <w:numFmt w:val="lowerRoman"/>
      <w:start w:val="2"/>
    </w:lvl>
  </w:abstractNum>
  <w:abstractNum w:abstractNumId="210">
    <w:nsid w:val="4B697C7A"/>
    <w:multiLevelType w:val="hybridMultilevel"/>
    <w:lvl w:ilvl="0">
      <w:lvlJc w:val="left"/>
      <w:lvlText w:val="(%1)"/>
      <w:numFmt w:val="lowerLetter"/>
      <w:start w:val="1"/>
    </w:lvl>
  </w:abstractNum>
  <w:abstractNum w:abstractNumId="211">
    <w:nsid w:val="51A27AA6"/>
    <w:multiLevelType w:val="hybridMultilevel"/>
    <w:lvl w:ilvl="0">
      <w:lvlJc w:val="left"/>
      <w:lvlText w:val="(%1)"/>
      <w:numFmt w:val="lowerLetter"/>
      <w:start w:val="1"/>
    </w:lvl>
  </w:abstractNum>
  <w:abstractNum w:abstractNumId="212">
    <w:nsid w:val="613183F2"/>
    <w:multiLevelType w:val="hybridMultilevel"/>
    <w:lvl w:ilvl="0">
      <w:lvlJc w:val="left"/>
      <w:lvlText w:val="(%1)"/>
      <w:numFmt w:val="lowerLetter"/>
      <w:start w:val="1"/>
    </w:lvl>
  </w:abstractNum>
  <w:abstractNum w:abstractNumId="213">
    <w:nsid w:val="634102B4"/>
    <w:multiLevelType w:val="hybridMultilevel"/>
    <w:lvl w:ilvl="0">
      <w:lvlJc w:val="left"/>
      <w:lvlText w:val="(%1)"/>
      <w:numFmt w:val="lowerLetter"/>
      <w:start w:val="1"/>
    </w:lvl>
  </w:abstractNum>
  <w:abstractNum w:abstractNumId="214">
    <w:nsid w:val="65BF9DA8"/>
    <w:multiLevelType w:val="hybridMultilevel"/>
    <w:lvl w:ilvl="0">
      <w:lvlJc w:val="left"/>
      <w:lvlText w:val="(%1)"/>
      <w:numFmt w:val="lowerLetter"/>
      <w:start w:val="2"/>
    </w:lvl>
  </w:abstractNum>
  <w:abstractNum w:abstractNumId="215">
    <w:nsid w:val="21A2ECCA"/>
    <w:multiLevelType w:val="hybridMultilevel"/>
    <w:lvl w:ilvl="0">
      <w:lvlJc w:val="left"/>
      <w:lvlText w:val="(%1)"/>
      <w:numFmt w:val="lowerLetter"/>
      <w:start w:val="1"/>
    </w:lvl>
  </w:abstractNum>
  <w:abstractNum w:abstractNumId="216">
    <w:nsid w:val="4D5C4899"/>
    <w:multiLevelType w:val="hybridMultilevel"/>
    <w:lvl w:ilvl="0">
      <w:lvlJc w:val="left"/>
      <w:lvlText w:val="(%1)"/>
      <w:numFmt w:val="lowerLetter"/>
      <w:start w:val="1"/>
    </w:lvl>
  </w:abstractNum>
  <w:abstractNum w:abstractNumId="217">
    <w:nsid w:val="3C3B72B2"/>
    <w:multiLevelType w:val="hybridMultilevel"/>
    <w:lvl w:ilvl="0">
      <w:lvlJc w:val="left"/>
      <w:lvlText w:val="(%1)"/>
      <w:numFmt w:val="lowerLetter"/>
      <w:start w:val="1"/>
    </w:lvl>
  </w:abstractNum>
  <w:abstractNum w:abstractNumId="218">
    <w:nsid w:val="155EC4C2"/>
    <w:multiLevelType w:val="hybridMultilevel"/>
    <w:lvl w:ilvl="0">
      <w:lvlJc w:val="left"/>
      <w:lvlText w:val="(%1)"/>
      <w:numFmt w:val="lowerLetter"/>
      <w:start w:val="1"/>
    </w:lvl>
  </w:abstractNum>
  <w:abstractNum w:abstractNumId="219">
    <w:nsid w:val="65D2A137"/>
    <w:multiLevelType w:val="hybridMultilevel"/>
    <w:lvl w:ilvl="0">
      <w:lvlJc w:val="left"/>
      <w:lvlText w:val="(%1)"/>
      <w:numFmt w:val="lowerLetter"/>
      <w:start w:val="1"/>
    </w:lvl>
  </w:abstractNum>
  <w:abstractNum w:abstractNumId="220">
    <w:nsid w:val="6EBB1F2A"/>
    <w:multiLevelType w:val="hybridMultilevel"/>
    <w:lvl w:ilvl="0">
      <w:lvlJc w:val="left"/>
      <w:lvlText w:val="(%1)"/>
      <w:numFmt w:val="lowerLetter"/>
      <w:start w:val="3"/>
    </w:lvl>
  </w:abstractNum>
  <w:abstractNum w:abstractNumId="221">
    <w:nsid w:val="6FBF29CB"/>
    <w:multiLevelType w:val="hybridMultilevel"/>
    <w:lvl w:ilvl="0">
      <w:lvlJc w:val="left"/>
      <w:lvlText w:val="(%1)"/>
      <w:numFmt w:val="lowerRoman"/>
      <w:start w:val="1"/>
    </w:lvl>
    <w:lvl w:ilvl="1">
      <w:lvlJc w:val="left"/>
      <w:lvlText w:val="(%2)"/>
      <w:numFmt w:val="lowerRoman"/>
      <w:start w:val="2"/>
    </w:lvl>
  </w:abstractNum>
  <w:abstractNum w:abstractNumId="222">
    <w:nsid w:val="550B8808"/>
    <w:multiLevelType w:val="hybridMultilevel"/>
    <w:lvl w:ilvl="0">
      <w:lvlJc w:val="left"/>
      <w:lvlText w:val="(%1)"/>
      <w:numFmt w:val="lowerLetter"/>
      <w:start w:val="7"/>
    </w:lvl>
  </w:abstractNum>
  <w:abstractNum w:abstractNumId="223">
    <w:nsid w:val="34CC3ACF"/>
    <w:multiLevelType w:val="hybridMultilevel"/>
    <w:lvl w:ilvl="0">
      <w:lvlJc w:val="left"/>
      <w:lvlText w:val="(%1)"/>
      <w:numFmt w:val="lowerLetter"/>
      <w:start w:val="8"/>
    </w:lvl>
  </w:abstractNum>
  <w:abstractNum w:abstractNumId="224">
    <w:nsid w:val="4E556261"/>
    <w:multiLevelType w:val="hybridMultilevel"/>
    <w:lvl w:ilvl="0">
      <w:lvlJc w:val="left"/>
      <w:lvlText w:val="%1"/>
      <w:numFmt w:val="lowerLetter"/>
      <w:start w:val="1"/>
    </w:lvl>
    <w:lvl w:ilvl="1">
      <w:lvlJc w:val="left"/>
      <w:lvlText w:val="(%2)"/>
      <w:numFmt w:val="lowerLetter"/>
      <w:start w:val="1"/>
    </w:lvl>
  </w:abstractNum>
  <w:abstractNum w:abstractNumId="225">
    <w:nsid w:val="4C672FC9"/>
    <w:multiLevelType w:val="hybridMultilevel"/>
    <w:lvl w:ilvl="0">
      <w:lvlJc w:val="left"/>
      <w:lvlText w:val="(%1)"/>
      <w:numFmt w:val="lowerLetter"/>
      <w:start w:val="9"/>
    </w:lvl>
    <w:lvl w:ilvl="1">
      <w:lvlJc w:val="left"/>
      <w:lvlText w:val="(%2)"/>
      <w:numFmt w:val="lowerLetter"/>
      <w:start w:val="3"/>
    </w:lvl>
  </w:abstractNum>
  <w:abstractNum w:abstractNumId="226">
    <w:nsid w:val="52A311C3"/>
    <w:multiLevelType w:val="hybridMultilevel"/>
    <w:lvl w:ilvl="0">
      <w:lvlJc w:val="left"/>
      <w:lvlText w:val="(%1)"/>
      <w:numFmt w:val="lowerLetter"/>
      <w:start w:val="4"/>
    </w:lvl>
  </w:abstractNum>
  <w:abstractNum w:abstractNumId="227">
    <w:nsid w:val="44EF6B80"/>
    <w:multiLevelType w:val="hybridMultilevel"/>
    <w:lvl w:ilvl="0">
      <w:lvlJc w:val="left"/>
      <w:lvlText w:val="(%1)"/>
      <w:numFmt w:val="lowerLetter"/>
      <w:start w:val="1"/>
    </w:lvl>
  </w:abstractNum>
  <w:abstractNum w:abstractNumId="228">
    <w:nsid w:val="12FCDE5E"/>
    <w:multiLevelType w:val="hybridMultilevel"/>
    <w:lvl w:ilvl="0">
      <w:lvlJc w:val="left"/>
      <w:lvlText w:val="(%1)"/>
      <w:numFmt w:val="lowerLetter"/>
      <w:start w:val="4"/>
    </w:lvl>
  </w:abstractNum>
  <w:abstractNum w:abstractNumId="229">
    <w:nsid w:val="4A1D606E"/>
    <w:multiLevelType w:val="hybridMultilevel"/>
    <w:lvl w:ilvl="0">
      <w:lvlJc w:val="left"/>
      <w:lvlText w:val="(%1)"/>
      <w:numFmt w:val="lowerLetter"/>
      <w:start w:val="1"/>
    </w:lvl>
  </w:abstractNum>
  <w:abstractNum w:abstractNumId="230">
    <w:nsid w:val="4382503"/>
    <w:multiLevelType w:val="hybridMultilevel"/>
    <w:lvl w:ilvl="0">
      <w:lvlJc w:val="left"/>
      <w:lvlText w:val="(%1)"/>
      <w:numFmt w:val="lowerLetter"/>
      <w:start w:val="3"/>
    </w:lvl>
  </w:abstractNum>
  <w:abstractNum w:abstractNumId="231">
    <w:nsid w:val="59B76E28"/>
    <w:multiLevelType w:val="hybridMultilevel"/>
    <w:lvl w:ilvl="0">
      <w:lvlJc w:val="left"/>
      <w:lvlText w:val="%1"/>
      <w:numFmt w:val="lowerLetter"/>
      <w:start w:val="1"/>
    </w:lvl>
    <w:lvl w:ilvl="1">
      <w:lvlJc w:val="left"/>
      <w:lvlText w:val="(%2)"/>
      <w:numFmt w:val="lowerLetter"/>
      <w:start w:val="10"/>
    </w:lvl>
  </w:abstractNum>
  <w:abstractNum w:abstractNumId="232">
    <w:nsid w:val="4252C2DA"/>
    <w:multiLevelType w:val="hybridMultilevel"/>
    <w:lvl w:ilvl="0">
      <w:lvlJc w:val="left"/>
      <w:lvlText w:val="(%1)"/>
      <w:numFmt w:val="lowerLetter"/>
      <w:start w:val="13"/>
    </w:lvl>
    <w:lvl w:ilvl="1">
      <w:lvlJc w:val="left"/>
      <w:lvlText w:val="(%2)"/>
      <w:numFmt w:val="lowerLetter"/>
      <w:start w:val="14"/>
    </w:lvl>
  </w:abstractNum>
  <w:abstractNum w:abstractNumId="233">
    <w:nsid w:val="6A92EF4C"/>
    <w:multiLevelType w:val="hybridMultilevel"/>
    <w:lvl w:ilvl="0">
      <w:lvlJc w:val="left"/>
      <w:lvlText w:val="(%1)"/>
      <w:numFmt w:val="lowerLetter"/>
      <w:start w:val="15"/>
    </w:lvl>
  </w:abstractNum>
  <w:abstractNum w:abstractNumId="234">
    <w:nsid w:val="41ED20D7"/>
    <w:multiLevelType w:val="hybridMultilevel"/>
    <w:lvl w:ilvl="0">
      <w:lvlJc w:val="left"/>
      <w:lvlText w:val="%1"/>
      <w:numFmt w:val="lowerLetter"/>
      <w:start w:val="1"/>
    </w:lvl>
    <w:lvl w:ilvl="1">
      <w:lvlJc w:val="left"/>
      <w:lvlText w:val="(%2)"/>
      <w:numFmt w:val="lowerLetter"/>
      <w:start w:val="22"/>
    </w:lvl>
  </w:abstractNum>
  <w:abstractNum w:abstractNumId="235">
    <w:nsid w:val="E6B3F6A"/>
    <w:multiLevelType w:val="hybridMultilevel"/>
    <w:lvl w:ilvl="0">
      <w:lvlJc w:val="left"/>
      <w:lvlText w:val="(%1)"/>
      <w:numFmt w:val="lowerLetter"/>
      <w:start w:val="24"/>
    </w:lvl>
    <w:lvl w:ilvl="1">
      <w:lvlJc w:val="left"/>
      <w:lvlText w:val="(%2)"/>
      <w:numFmt w:val="lowerLetter"/>
      <w:start w:val="24"/>
    </w:lvl>
  </w:abstractNum>
  <w:abstractNum w:abstractNumId="236">
    <w:nsid w:val="3EB21819"/>
    <w:multiLevelType w:val="hybridMultilevel"/>
    <w:lvl w:ilvl="0">
      <w:lvlJc w:val="left"/>
      <w:lvlText w:val="(%1)"/>
      <w:numFmt w:val="lowerLetter"/>
      <w:start w:val="1"/>
    </w:lvl>
  </w:abstractNum>
  <w:abstractNum w:abstractNumId="237">
    <w:nsid w:val="41531DED"/>
    <w:multiLevelType w:val="hybridMultilevel"/>
    <w:lvl w:ilvl="0">
      <w:lvlJc w:val="left"/>
      <w:lvlText w:val="(%1)"/>
      <w:numFmt w:val="lowerRoman"/>
      <w:start w:val="1"/>
    </w:lvl>
  </w:abstractNum>
  <w:abstractNum w:abstractNumId="238">
    <w:nsid w:val="6353CD2"/>
    <w:multiLevelType w:val="hybridMultilevel"/>
    <w:lvl w:ilvl="0">
      <w:lvlJc w:val="left"/>
      <w:lvlText w:val="(%1)"/>
      <w:numFmt w:val="lowerLetter"/>
      <w:start w:val="2"/>
    </w:lvl>
  </w:abstractNum>
  <w:abstractNum w:abstractNumId="239">
    <w:nsid w:val="683CAAD3"/>
    <w:multiLevelType w:val="hybridMultilevel"/>
    <w:lvl w:ilvl="0">
      <w:lvlJc w:val="left"/>
      <w:lvlText w:val="%1"/>
      <w:numFmt w:val="decimal"/>
      <w:start w:val="1"/>
    </w:lvl>
    <w:lvl w:ilvl="1">
      <w:lvlJc w:val="left"/>
      <w:lvlText w:val="(%2)"/>
      <w:numFmt w:val="lowerLetter"/>
      <w:start w:val="1"/>
    </w:lvl>
  </w:abstractNum>
  <w:abstractNum w:abstractNumId="240">
    <w:nsid w:val="313C7C99"/>
    <w:multiLevelType w:val="hybridMultilevel"/>
    <w:lvl w:ilvl="0">
      <w:lvlJc w:val="left"/>
      <w:lvlText w:val="(%1)"/>
      <w:numFmt w:val="decimal"/>
      <w:start w:val="5"/>
    </w:lvl>
    <w:lvl w:ilvl="1">
      <w:lvlJc w:val="left"/>
      <w:lvlText w:val="(%2)"/>
      <w:numFmt w:val="lowerLetter"/>
      <w:start w:val="2"/>
    </w:lvl>
  </w:abstractNum>
  <w:abstractNum w:abstractNumId="241">
    <w:nsid w:val="519EB94C"/>
    <w:multiLevelType w:val="hybridMultilevel"/>
    <w:lvl w:ilvl="0">
      <w:lvlJc w:val="left"/>
      <w:lvlText w:val="(%1)"/>
      <w:numFmt w:val="lowerLetter"/>
      <w:start w:val="5"/>
    </w:lvl>
  </w:abstractNum>
  <w:abstractNum w:abstractNumId="242">
    <w:nsid w:val="39DF2579"/>
    <w:multiLevelType w:val="hybridMultilevel"/>
    <w:lvl w:ilvl="0">
      <w:lvlJc w:val="left"/>
      <w:lvlText w:val="(%1)"/>
      <w:numFmt w:val="lowerLetter"/>
      <w:start w:val="1"/>
    </w:lvl>
  </w:abstractNum>
  <w:abstractNum w:abstractNumId="243">
    <w:nsid w:val="126E008B"/>
    <w:multiLevelType w:val="hybridMultilevel"/>
    <w:lvl w:ilvl="0">
      <w:lvlJc w:val="left"/>
      <w:lvlText w:val="(%1)"/>
      <w:numFmt w:val="lowerRoman"/>
      <w:start w:val="1"/>
    </w:lvl>
  </w:abstractNum>
  <w:abstractNum w:abstractNumId="244">
    <w:nsid w:val="34DFBC00"/>
    <w:multiLevelType w:val="hybridMultilevel"/>
    <w:lvl w:ilvl="0">
      <w:lvlJc w:val="left"/>
      <w:lvlText w:val="%1"/>
      <w:numFmt w:val="lowerLetter"/>
      <w:start w:val="1"/>
    </w:lvl>
    <w:lvl w:ilvl="1">
      <w:lvlJc w:val="left"/>
      <w:lvlText w:val="(%2)"/>
      <w:numFmt w:val="decimal"/>
      <w:start w:val="1"/>
    </w:lvl>
  </w:abstractNum>
  <w:abstractNum w:abstractNumId="245">
    <w:nsid w:val="1F9EC322"/>
    <w:multiLevelType w:val="hybridMultilevel"/>
    <w:lvl w:ilvl="0">
      <w:lvlJc w:val="left"/>
      <w:lvlText w:val="(%1)"/>
      <w:numFmt w:val="lowerLetter"/>
      <w:start w:val="3"/>
    </w:lvl>
    <w:lvl w:ilvl="1">
      <w:lvlJc w:val="left"/>
      <w:lvlText w:val="%2"/>
      <w:numFmt w:val="decimal"/>
      <w:start w:val="1"/>
    </w:lvl>
  </w:abstractNum>
  <w:abstractNum w:abstractNumId="246">
    <w:nsid w:val="3410ED5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47">
    <w:nsid w:val="23C049A"/>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48">
    <w:nsid w:val="5BDA35D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3"/>
    </w:lvl>
  </w:abstractNum>
  <w:abstractNum w:abstractNumId="249">
    <w:nsid w:val="496FB218"/>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4"/>
    </w:lvl>
  </w:abstractNum>
  <w:abstractNum w:abstractNumId="250">
    <w:nsid w:val="680EA5D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51">
    <w:nsid w:val="4A9554FE"/>
    <w:multiLevelType w:val="hybridMultilevel"/>
    <w:lvl w:ilvl="0">
      <w:lvlJc w:val="left"/>
      <w:lvlText w:val="(%1)"/>
      <w:numFmt w:val="decimal"/>
      <w:start w:val="3"/>
    </w:lvl>
  </w:abstractNum>
  <w:abstractNum w:abstractNumId="252">
    <w:nsid w:val="392EDBE4"/>
    <w:multiLevelType w:val="hybridMultilevel"/>
    <w:lvl w:ilvl="0">
      <w:lvlJc w:val="left"/>
      <w:lvlText w:val="(%1)"/>
      <w:numFmt w:val="decimal"/>
      <w:start w:val="4"/>
    </w:lvl>
  </w:abstractNum>
  <w:abstractNum w:abstractNumId="253">
    <w:nsid w:val="3D1A2DD9"/>
    <w:multiLevelType w:val="hybridMultilevel"/>
    <w:lvl w:ilvl="0">
      <w:lvlJc w:val="left"/>
      <w:lvlText w:val="%1"/>
      <w:numFmt w:val="upperLetter"/>
      <w:start w:val="1"/>
    </w:lvl>
    <w:lvl w:ilvl="1">
      <w:lvlJc w:val="left"/>
      <w:lvlText w:val="(%2)"/>
      <w:numFmt w:val="decimal"/>
      <w:start w:val="6"/>
    </w:lvl>
  </w:abstractNum>
  <w:abstractNum w:abstractNumId="254">
    <w:nsid w:val="7F618FCD"/>
    <w:multiLevelType w:val="hybridMultilevel"/>
    <w:lvl w:ilvl="0">
      <w:lvlJc w:val="left"/>
      <w:lvlText w:val="(%1)"/>
      <w:numFmt w:val="upperLetter"/>
      <w:start w:val="3"/>
    </w:lvl>
    <w:lvl w:ilvl="1">
      <w:lvlJc w:val="left"/>
      <w:lvlText w:val="(%2)"/>
      <w:numFmt w:val="decimal"/>
      <w:start w:val="7"/>
    </w:lvl>
  </w:abstractNum>
  <w:abstractNum w:abstractNumId="255">
    <w:nsid w:val="7843E45"/>
    <w:multiLevelType w:val="hybridMultilevel"/>
    <w:lvl w:ilvl="0">
      <w:lvlJc w:val="left"/>
      <w:lvlText w:val="(%1)"/>
      <w:numFmt w:val="decimal"/>
      <w:start w:val="14"/>
    </w:lvl>
    <w:lvl w:ilvl="1">
      <w:lvlJc w:val="left"/>
      <w:lvlText w:val="(%2)"/>
      <w:numFmt w:val="decimal"/>
      <w:start w:val="19"/>
    </w:lvl>
  </w:abstractNum>
  <w:abstractNum w:abstractNumId="256">
    <w:nsid w:val="9815DA3"/>
    <w:multiLevelType w:val="hybridMultilevel"/>
    <w:lvl w:ilvl="0">
      <w:lvlJc w:val="left"/>
      <w:lvlText w:val="(%1)"/>
      <w:numFmt w:val="decimal"/>
      <w:start w:val="20"/>
    </w:lvl>
  </w:abstractNum>
  <w:abstractNum w:abstractNumId="257">
    <w:nsid w:val="5204A191"/>
    <w:multiLevelType w:val="hybridMultilevel"/>
    <w:lvl w:ilvl="0">
      <w:lvlJc w:val="left"/>
      <w:lvlText w:val="(%1)"/>
      <w:numFmt w:val="lowerLetter"/>
      <w:start w:val="3"/>
    </w:lvl>
  </w:abstractNum>
  <w:abstractNum w:abstractNumId="258">
    <w:nsid w:val="4C73A9C6"/>
    <w:multiLevelType w:val="hybridMultilevel"/>
    <w:lvl w:ilvl="0">
      <w:lvlJc w:val="left"/>
      <w:lvlText w:val="(%1)"/>
      <w:numFmt w:val="lowerLetter"/>
      <w:start w:val="1"/>
    </w:lvl>
  </w:abstractNum>
  <w:abstractNum w:abstractNumId="259">
    <w:nsid w:val="1C7E3C01"/>
    <w:multiLevelType w:val="hybridMultilevel"/>
    <w:lvl w:ilvl="0">
      <w:lvlJc w:val="left"/>
      <w:lvlText w:val="(%1)"/>
      <w:numFmt w:val="lowerLetter"/>
      <w:start w:val="2"/>
    </w:lvl>
  </w:abstractNum>
  <w:abstractNum w:abstractNumId="260">
    <w:nsid w:val="1C2201FF"/>
    <w:multiLevelType w:val="hybridMultilevel"/>
    <w:lvl w:ilvl="0">
      <w:lvlJc w:val="left"/>
      <w:lvlText w:val="(%1)"/>
      <w:numFmt w:val="lowerRoman"/>
      <w:start w:val="1"/>
    </w:lvl>
  </w:abstractNum>
  <w:abstractNum w:abstractNumId="261">
    <w:nsid w:val="50ABCEC9"/>
    <w:multiLevelType w:val="hybridMultilevel"/>
    <w:lvl w:ilvl="0">
      <w:lvlJc w:val="left"/>
      <w:lvlText w:val="(%1)"/>
      <w:numFmt w:val="lowerLetter"/>
      <w:start w:val="2"/>
    </w:lvl>
  </w:abstractNum>
  <w:abstractNum w:abstractNumId="262">
    <w:nsid w:val="7635AA2A"/>
    <w:multiLevelType w:val="hybridMultilevel"/>
    <w:lvl w:ilvl="0">
      <w:lvlJc w:val="left"/>
      <w:lvlText w:val="(%1)"/>
      <w:numFmt w:val="lowerLetter"/>
      <w:start w:val="1"/>
    </w:lvl>
  </w:abstractNum>
  <w:abstractNum w:abstractNumId="263">
    <w:nsid w:val="5E74C4D9"/>
    <w:multiLevelType w:val="hybridMultilevel"/>
    <w:lvl w:ilvl="0">
      <w:lvlJc w:val="left"/>
      <w:lvlText w:val="(%1)"/>
      <w:numFmt w:val="lowerLetter"/>
      <w:start w:val="2"/>
    </w:lvl>
  </w:abstractNum>
  <w:abstractNum w:abstractNumId="264">
    <w:nsid w:val="3B3EBE15"/>
    <w:multiLevelType w:val="hybridMultilevel"/>
    <w:lvl w:ilvl="0">
      <w:lvlJc w:val="left"/>
      <w:lvlText w:val="(%1)"/>
      <w:numFmt w:val="lowerRoman"/>
      <w:start w:val="2"/>
    </w:lvl>
  </w:abstractNum>
  <w:abstractNum w:abstractNumId="265">
    <w:nsid w:val="3822CB01"/>
    <w:multiLevelType w:val="hybridMultilevel"/>
    <w:lvl w:ilvl="0">
      <w:lvlJc w:val="left"/>
      <w:lvlText w:val="(%1)"/>
      <w:numFmt w:val="lowerRoman"/>
      <w:start w:val="1"/>
    </w:lvl>
  </w:abstractNum>
  <w:abstractNum w:abstractNumId="266">
    <w:nsid w:val="6CE00443"/>
    <w:multiLevelType w:val="hybridMultilevel"/>
    <w:lvl w:ilvl="0">
      <w:lvlJc w:val="left"/>
      <w:lvlText w:val="(%1)"/>
      <w:numFmt w:val="lowerLetter"/>
      <w:start w:val="1"/>
    </w:lvl>
  </w:abstractNum>
  <w:abstractNum w:abstractNumId="267">
    <w:nsid w:val="79F0D62F"/>
    <w:multiLevelType w:val="hybridMultilevel"/>
    <w:lvl w:ilvl="0">
      <w:lvlJc w:val="left"/>
      <w:lvlText w:val="%1"/>
      <w:numFmt w:val="lowerLetter"/>
      <w:start w:val="1"/>
    </w:lvl>
    <w:lvl w:ilvl="1">
      <w:lvlJc w:val="left"/>
      <w:lvlText w:val="(%2)"/>
      <w:numFmt w:val="lowerLetter"/>
      <w:start w:val="2"/>
    </w:lvl>
  </w:abstractNum>
  <w:abstractNum w:abstractNumId="268">
    <w:nsid w:val="7975E8EE"/>
    <w:multiLevelType w:val="hybridMultilevel"/>
    <w:lvl w:ilvl="0">
      <w:lvlJc w:val="left"/>
      <w:lvlText w:val="(%1)"/>
      <w:numFmt w:val="lowerLetter"/>
      <w:start w:val="61"/>
    </w:lvl>
    <w:lvl w:ilvl="1">
      <w:lvlJc w:val="left"/>
      <w:lvlText w:val="%2"/>
      <w:numFmt w:val="lowerLetter"/>
      <w:start w:val="1"/>
    </w:lvl>
  </w:abstractNum>
  <w:abstractNum w:abstractNumId="269">
    <w:nsid w:val="73154115"/>
    <w:multiLevelType w:val="hybridMultilevel"/>
    <w:lvl w:ilvl="0">
      <w:lvlJc w:val="left"/>
      <w:lvlText w:val="(%1)"/>
      <w:numFmt w:val="lowerLetter"/>
      <w:start w:val="1"/>
    </w:lvl>
  </w:abstractNum>
  <w:abstractNum w:abstractNumId="270">
    <w:nsid w:val="622D8102"/>
    <w:multiLevelType w:val="hybridMultilevel"/>
    <w:lvl w:ilvl="0">
      <w:lvlJc w:val="left"/>
      <w:lvlText w:val="(%1)"/>
      <w:numFmt w:val="lowerLetter"/>
      <w:start w:val="1"/>
    </w:lvl>
  </w:abstractNum>
  <w:abstractNum w:abstractNumId="271">
    <w:nsid w:val="2AB26587"/>
    <w:multiLevelType w:val="hybridMultilevel"/>
    <w:lvl w:ilvl="0">
      <w:lvlJc w:val="left"/>
      <w:lvlText w:val="(%1)"/>
      <w:numFmt w:val="lowerLetter"/>
      <w:start w:val="1"/>
    </w:lvl>
  </w:abstractNum>
  <w:abstractNum w:abstractNumId="272">
    <w:nsid w:val="44B3FA61"/>
    <w:multiLevelType w:val="hybridMultilevel"/>
    <w:lvl w:ilvl="0">
      <w:lvlJc w:val="left"/>
      <w:lvlText w:val="(%1)"/>
      <w:numFmt w:val="lowerRoman"/>
      <w:start w:val="1"/>
    </w:lvl>
  </w:abstractNum>
  <w:abstractNum w:abstractNumId="273">
    <w:nsid w:val="1C0CA67C"/>
    <w:multiLevelType w:val="hybridMultilevel"/>
    <w:lvl w:ilvl="0">
      <w:lvlJc w:val="left"/>
      <w:lvlText w:val="(%1)"/>
      <w:numFmt w:val="lowerLetter"/>
      <w:start w:val="2"/>
    </w:lvl>
  </w:abstractNum>
  <w:abstractNum w:abstractNumId="274">
    <w:nsid w:val="3D206613"/>
    <w:multiLevelType w:val="hybridMultilevel"/>
    <w:lvl w:ilvl="0">
      <w:lvlJc w:val="left"/>
      <w:lvlText w:val="(%1)"/>
      <w:numFmt w:val="lowerLetter"/>
      <w:start w:val="1"/>
    </w:lvl>
  </w:abstractNum>
  <w:abstractNum w:abstractNumId="275">
    <w:nsid w:val="7993B662"/>
    <w:multiLevelType w:val="hybridMultilevel"/>
    <w:lvl w:ilvl="0">
      <w:lvlJc w:val="left"/>
      <w:lvlText w:val="(%1)"/>
      <w:numFmt w:val="lowerRoman"/>
      <w:start w:val="2"/>
    </w:lvl>
  </w:abstractNum>
  <w:abstractNum w:abstractNumId="276">
    <w:nsid w:val="3BAB699E"/>
    <w:multiLevelType w:val="hybridMultilevel"/>
    <w:lvl w:ilvl="0">
      <w:lvlJc w:val="left"/>
      <w:lvlText w:val="(%1)"/>
      <w:numFmt w:val="lowerLetter"/>
      <w:start w:val="4"/>
    </w:lvl>
  </w:abstractNum>
  <w:abstractNum w:abstractNumId="277">
    <w:nsid w:val="71315369"/>
    <w:multiLevelType w:val="hybridMultilevel"/>
    <w:lvl w:ilvl="0">
      <w:lvlJc w:val="left"/>
      <w:lvlText w:val="(%1)"/>
      <w:numFmt w:val="lowerLetter"/>
      <w:start w:val="5"/>
    </w:lvl>
  </w:abstractNum>
  <w:abstractNum w:abstractNumId="278">
    <w:nsid w:val="7BCFBAFC"/>
    <w:multiLevelType w:val="hybridMultilevel"/>
    <w:lvl w:ilvl="0">
      <w:lvlJc w:val="left"/>
      <w:lvlText w:val="(%1)"/>
      <w:numFmt w:val="lowerRoman"/>
      <w:start w:val="10"/>
    </w:lvl>
  </w:abstractNum>
  <w:abstractNum w:abstractNumId="279">
    <w:nsid w:val="17859F72"/>
    <w:multiLevelType w:val="hybridMultilevel"/>
    <w:lvl w:ilvl="0">
      <w:lvlJc w:val="left"/>
      <w:lvlText w:val="(%1)"/>
      <w:numFmt w:val="lowerRoman"/>
      <w:start w:val="6"/>
    </w:lvl>
  </w:abstractNum>
  <w:abstractNum w:abstractNumId="280">
    <w:nsid w:val="3AA10581"/>
    <w:multiLevelType w:val="hybridMultilevel"/>
    <w:lvl w:ilvl="0">
      <w:lvlJc w:val="left"/>
      <w:lvlText w:val="(%1)"/>
      <w:numFmt w:val="upperLetter"/>
      <w:start w:val="1"/>
    </w:lvl>
  </w:abstractNum>
  <w:abstractNum w:abstractNumId="281">
    <w:nsid w:val="63DE60CD"/>
    <w:multiLevelType w:val="hybridMultilevel"/>
    <w:lvl w:ilvl="0">
      <w:lvlJc w:val="left"/>
      <w:lvlText w:val="(%1)"/>
      <w:numFmt w:val="lowerLetter"/>
      <w:start w:val="1"/>
    </w:lvl>
  </w:abstractNum>
  <w:abstractNum w:abstractNumId="282">
    <w:nsid w:val="621AF471"/>
    <w:multiLevelType w:val="hybridMultilevel"/>
    <w:lvl w:ilvl="0">
      <w:lvlJc w:val="left"/>
      <w:lvlText w:val="(%1)"/>
      <w:numFmt w:val="lowerLetter"/>
      <w:start w:val="1"/>
    </w:lvl>
  </w:abstractNum>
  <w:abstractNum w:abstractNumId="283">
    <w:nsid w:val="73CFE165"/>
    <w:multiLevelType w:val="hybridMultilevel"/>
    <w:lvl w:ilvl="0">
      <w:lvlJc w:val="left"/>
      <w:lvlText w:val="(%1)"/>
      <w:numFmt w:val="lowerLetter"/>
      <w:start w:val="2"/>
    </w:lvl>
  </w:abstractNum>
  <w:abstractNum w:abstractNumId="284">
    <w:nsid w:val="20F88EA6"/>
    <w:multiLevelType w:val="hybridMultilevel"/>
    <w:lvl w:ilvl="0">
      <w:lvlJc w:val="left"/>
      <w:lvlText w:val="(%1)"/>
      <w:numFmt w:val="lowerLetter"/>
      <w:start w:val="1"/>
    </w:lvl>
    <w:lvl w:ilvl="1">
      <w:lvlJc w:val="left"/>
      <w:lvlText w:val="(%2)"/>
      <w:numFmt w:val="upperLetter"/>
      <w:start w:val="1"/>
    </w:lvl>
  </w:abstractNum>
  <w:abstractNum w:abstractNumId="285">
    <w:nsid w:val="617C843E"/>
    <w:multiLevelType w:val="hybridMultilevel"/>
    <w:lvl w:ilvl="0">
      <w:lvlJc w:val="left"/>
      <w:lvlText w:val="(%1)"/>
      <w:numFmt w:val="lowerRoman"/>
      <w:start w:val="2"/>
    </w:lvl>
    <w:lvl w:ilvl="1">
      <w:lvlJc w:val="left"/>
      <w:lvlText w:val="(%2)"/>
      <w:numFmt w:val="upperLetter"/>
      <w:start w:val="1"/>
    </w:lvl>
  </w:abstractNum>
  <w:abstractNum w:abstractNumId="286">
    <w:nsid w:val="7B541FAB"/>
    <w:multiLevelType w:val="hybridMultilevel"/>
    <w:lvl w:ilvl="0">
      <w:lvlJc w:val="left"/>
      <w:lvlText w:val="(%1)"/>
      <w:numFmt w:val="lowerRoman"/>
      <w:start w:val="3"/>
    </w:lvl>
  </w:abstractNum>
  <w:abstractNum w:abstractNumId="287">
    <w:nsid w:val="2A79EC49"/>
    <w:multiLevelType w:val="hybridMultilevel"/>
    <w:lvl w:ilvl="0">
      <w:lvlJc w:val="left"/>
      <w:lvlText w:val="%1"/>
      <w:numFmt w:val="lowerRoman"/>
      <w:start w:val="1"/>
    </w:lvl>
    <w:lvl w:ilvl="1">
      <w:lvlJc w:val="left"/>
      <w:lvlText w:val="(%2)"/>
      <w:numFmt w:val="lowerLetter"/>
      <w:start w:val="22"/>
    </w:lvl>
    <w:lvl w:ilvl="2">
      <w:lvlJc w:val="left"/>
      <w:lvlText w:val="(%3)"/>
      <w:numFmt w:val="lowerLetter"/>
      <w:start w:val="3"/>
    </w:lvl>
  </w:abstractNum>
  <w:abstractNum w:abstractNumId="288">
    <w:nsid w:val="338125CF"/>
    <w:multiLevelType w:val="hybridMultilevel"/>
    <w:lvl w:ilvl="0">
      <w:lvlJc w:val="left"/>
      <w:lvlText w:val="(%1)"/>
      <w:numFmt w:val="lowerRoman"/>
      <w:start w:val="1"/>
    </w:lvl>
    <w:lvl w:ilvl="1">
      <w:lvlJc w:val="left"/>
      <w:lvlText w:val="(%2)"/>
      <w:numFmt w:val="lowerLetter"/>
      <w:start w:val="35"/>
    </w:lvl>
    <w:lvl w:ilvl="2">
      <w:lvlJc w:val="left"/>
      <w:lvlText w:val="%3"/>
      <w:numFmt w:val="lowerLetter"/>
      <w:start w:val="1"/>
    </w:lvl>
  </w:abstractNum>
  <w:abstractNum w:abstractNumId="289">
    <w:nsid w:val="47C7C971"/>
    <w:multiLevelType w:val="hybridMultilevel"/>
    <w:lvl w:ilvl="0">
      <w:lvlJc w:val="left"/>
      <w:lvlText w:val="(%1)"/>
      <w:numFmt w:val="lowerLetter"/>
      <w:start w:val="4"/>
    </w:lvl>
  </w:abstractNum>
  <w:abstractNum w:abstractNumId="290">
    <w:nsid w:val="46F8284B"/>
    <w:multiLevelType w:val="hybridMultilevel"/>
    <w:lvl w:ilvl="0">
      <w:lvlJc w:val="left"/>
      <w:lvlText w:val="(%1)"/>
      <w:numFmt w:val="lowerLetter"/>
      <w:start w:val="8"/>
    </w:lvl>
  </w:abstractNum>
  <w:abstractNum w:abstractNumId="291">
    <w:nsid w:val="4FA327CE"/>
    <w:multiLevelType w:val="hybridMultilevel"/>
    <w:lvl w:ilvl="0">
      <w:lvlJc w:val="left"/>
      <w:lvlText w:val="(%1)"/>
      <w:numFmt w:val="lowerRoman"/>
      <w:start w:val="2"/>
    </w:lvl>
    <w:lvl w:ilvl="1">
      <w:lvlJc w:val="left"/>
      <w:lvlText w:val="(%2)"/>
      <w:numFmt w:val="upperLetter"/>
      <w:start w:val="8"/>
    </w:lvl>
    <w:lvl w:ilvl="2">
      <w:lvlJc w:val="left"/>
      <w:lvlText w:val="(%3)"/>
      <w:numFmt w:val="upperLetter"/>
      <w:start w:val="1"/>
    </w:lvl>
  </w:abstractNum>
  <w:abstractNum w:abstractNumId="292">
    <w:nsid w:val="1873983A"/>
    <w:multiLevelType w:val="hybridMultilevel"/>
    <w:lvl w:ilvl="0">
      <w:lvlJc w:val="left"/>
      <w:lvlText w:val="(%1)"/>
      <w:numFmt w:val="lowerLetter"/>
      <w:start w:val="1"/>
    </w:lvl>
  </w:abstractNum>
  <w:abstractNum w:abstractNumId="293">
    <w:nsid w:val="3D2DD275"/>
    <w:multiLevelType w:val="hybridMultilevel"/>
    <w:lvl w:ilvl="0">
      <w:lvlJc w:val="left"/>
      <w:lvlText w:val="%1"/>
      <w:numFmt w:val="lowerLetter"/>
      <w:start w:val="1"/>
    </w:lvl>
    <w:lvl w:ilvl="1">
      <w:lvlJc w:val="left"/>
      <w:lvlText w:val="(%2)"/>
      <w:numFmt w:val="lowerLetter"/>
      <w:start w:val="2"/>
    </w:lvl>
  </w:abstractNum>
  <w:abstractNum w:abstractNumId="294">
    <w:nsid w:val="2E17ECA7"/>
    <w:multiLevelType w:val="hybridMultilevel"/>
    <w:lvl w:ilvl="0">
      <w:lvlJc w:val="left"/>
      <w:lvlText w:val="(%1)"/>
      <w:numFmt w:val="lowerLetter"/>
      <w:start w:val="9"/>
    </w:lvl>
    <w:lvl w:ilvl="1">
      <w:lvlJc w:val="left"/>
      <w:lvlText w:val="%2"/>
      <w:numFmt w:val="lowerLetter"/>
      <w:start w:val="1"/>
    </w:lvl>
  </w:abstractNum>
  <w:abstractNum w:abstractNumId="295">
    <w:nsid w:val="53B2564F"/>
    <w:multiLevelType w:val="hybridMultilevel"/>
    <w:lvl w:ilvl="0">
      <w:lvlJc w:val="left"/>
      <w:lvlText w:val="(%1)"/>
      <w:numFmt w:val="lowerLetter"/>
      <w:start w:val="24"/>
    </w:lvl>
    <w:lvl w:ilvl="1">
      <w:lvlJc w:val="left"/>
      <w:lvlText w:val="%2"/>
      <w:numFmt w:val="lowerLetter"/>
      <w:start w:val="1"/>
    </w:lvl>
  </w:abstractNum>
  <w:abstractNum w:abstractNumId="296">
    <w:nsid w:val="75509D76"/>
    <w:multiLevelType w:val="hybridMultilevel"/>
    <w:lvl w:ilvl="0">
      <w:lvlJc w:val="left"/>
      <w:lvlText w:val="(%1)"/>
      <w:numFmt w:val="lowerLetter"/>
      <w:start w:val="1"/>
    </w:lvl>
  </w:abstractNum>
  <w:abstractNum w:abstractNumId="297">
    <w:nsid w:val="1AF7F0EA"/>
    <w:multiLevelType w:val="hybridMultilevel"/>
    <w:lvl w:ilvl="0">
      <w:lvlJc w:val="left"/>
      <w:lvlText w:val="(%1)"/>
      <w:numFmt w:val="lowerLetter"/>
      <w:start w:val="2"/>
    </w:lvl>
  </w:abstractNum>
  <w:abstractNum w:abstractNumId="298">
    <w:nsid w:val="4DA32C7E"/>
    <w:multiLevelType w:val="hybridMultilevel"/>
    <w:lvl w:ilvl="0">
      <w:lvlJc w:val="left"/>
      <w:lvlText w:val="(%1)"/>
      <w:numFmt w:val="lowerLetter"/>
      <w:start w:val="1"/>
    </w:lvl>
  </w:abstractNum>
  <w:abstractNum w:abstractNumId="299">
    <w:nsid w:val="6EC68664"/>
    <w:multiLevelType w:val="hybridMultilevel"/>
    <w:lvl w:ilvl="0">
      <w:lvlJc w:val="left"/>
      <w:lvlText w:val="(%1)"/>
      <w:numFmt w:val="lowerLetter"/>
      <w:start w:val="5"/>
    </w:lvl>
  </w:abstractNum>
  <w:abstractNum w:abstractNumId="300">
    <w:nsid w:val="E0D31FF"/>
    <w:multiLevelType w:val="hybridMultilevel"/>
    <w:lvl w:ilvl="0">
      <w:lvlJc w:val="left"/>
      <w:lvlText w:val="(%1)"/>
      <w:numFmt w:val="lowerLetter"/>
      <w:start w:val="1"/>
    </w:lvl>
  </w:abstractNum>
  <w:abstractNum w:abstractNumId="301">
    <w:nsid w:val="2FD0AD81"/>
    <w:multiLevelType w:val="hybridMultilevel"/>
    <w:lvl w:ilvl="0">
      <w:lvlJc w:val="left"/>
      <w:lvlText w:val="(%1)"/>
      <w:numFmt w:val="lowerRoman"/>
      <w:start w:val="2"/>
    </w:lvl>
  </w:abstractNum>
  <w:abstractNum w:abstractNumId="302">
    <w:nsid w:val="1978EBEB"/>
    <w:multiLevelType w:val="hybridMultilevel"/>
    <w:lvl w:ilvl="0">
      <w:lvlJc w:val="left"/>
      <w:lvlText w:val="(%1)"/>
      <w:numFmt w:val="lowerLetter"/>
      <w:start w:val="3"/>
    </w:lvl>
  </w:abstractNum>
  <w:abstractNum w:abstractNumId="303">
    <w:nsid w:val="52C12C61"/>
    <w:multiLevelType w:val="hybridMultilevel"/>
    <w:lvl w:ilvl="0">
      <w:lvlJc w:val="left"/>
      <w:lvlText w:val="(%1)"/>
      <w:numFmt w:val="lowerRoman"/>
      <w:start w:val="1"/>
    </w:lvl>
  </w:abstractNum>
  <w:abstractNum w:abstractNumId="304">
    <w:nsid w:val="4BDD53FD"/>
    <w:multiLevelType w:val="hybridMultilevel"/>
    <w:lvl w:ilvl="0">
      <w:lvlJc w:val="left"/>
      <w:lvlText w:val="(%1)"/>
      <w:numFmt w:val="lowerLetter"/>
      <w:start w:val="1"/>
    </w:lvl>
  </w:abstractNum>
  <w:abstractNum w:abstractNumId="305">
    <w:nsid w:val="569951FE"/>
    <w:multiLevelType w:val="hybridMultilevel"/>
    <w:lvl w:ilvl="0">
      <w:lvlJc w:val="left"/>
      <w:lvlText w:val="(%1)"/>
      <w:numFmt w:val="lowerLetter"/>
      <w:start w:val="3"/>
    </w:lvl>
  </w:abstractNum>
  <w:abstractNum w:abstractNumId="306">
    <w:nsid w:val="4C54E2C3"/>
    <w:multiLevelType w:val="hybridMultilevel"/>
    <w:lvl w:ilvl="0">
      <w:lvlJc w:val="left"/>
      <w:lvlText w:val="(%1)"/>
      <w:numFmt w:val="lowerLetter"/>
      <w:start w:val="1"/>
    </w:lvl>
  </w:abstractNum>
  <w:abstractNum w:abstractNumId="307">
    <w:nsid w:val="788BD9B"/>
    <w:multiLevelType w:val="hybridMultilevel"/>
    <w:lvl w:ilvl="0">
      <w:lvlJc w:val="left"/>
      <w:lvlText w:val="(%1)"/>
      <w:numFmt w:val="lowerRoman"/>
      <w:start w:val="1"/>
    </w:lvl>
  </w:abstractNum>
  <w:abstractNum w:abstractNumId="308">
    <w:nsid w:val="47CAA567"/>
    <w:multiLevelType w:val="hybridMultilevel"/>
    <w:lvl w:ilvl="0">
      <w:lvlJc w:val="left"/>
      <w:lvlText w:val="(%1)"/>
      <w:numFmt w:val="lowerLetter"/>
      <w:start w:val="1"/>
    </w:lvl>
  </w:abstractNum>
  <w:abstractNum w:abstractNumId="309">
    <w:nsid w:val="48249DBF"/>
    <w:multiLevelType w:val="hybridMultilevel"/>
    <w:lvl w:ilvl="0">
      <w:lvlJc w:val="left"/>
      <w:lvlText w:val="(%1)"/>
      <w:numFmt w:val="lowerRoman"/>
      <w:start w:val="1"/>
    </w:lvl>
  </w:abstractNum>
  <w:abstractNum w:abstractNumId="310">
    <w:nsid w:val="1F0E5D0D"/>
    <w:multiLevelType w:val="hybridMultilevel"/>
    <w:lvl w:ilvl="0">
      <w:lvlJc w:val="left"/>
      <w:lvlText w:val="(%1)"/>
      <w:numFmt w:val="lowerRoman"/>
      <w:start w:val="2"/>
    </w:lvl>
  </w:abstractNum>
  <w:abstractNum w:abstractNumId="311">
    <w:nsid w:val="26BAAE9"/>
    <w:multiLevelType w:val="hybridMultilevel"/>
    <w:lvl w:ilvl="0">
      <w:lvlJc w:val="left"/>
      <w:lvlText w:val="%1."/>
      <w:numFmt w:val="decimal"/>
      <w:start w:val="1"/>
    </w:lvl>
    <w:lvl w:ilvl="1">
      <w:lvlJc w:val="left"/>
      <w:lvlText w:val="%2."/>
      <w:numFmt w:val="lowerLetter"/>
      <w:start w:val="1"/>
    </w:lvl>
  </w:abstractNum>
  <w:abstractNum w:abstractNumId="312">
    <w:nsid w:val="2C02FE8C"/>
    <w:multiLevelType w:val="hybridMultilevel"/>
    <w:lvl w:ilvl="0">
      <w:lvlJc w:val="left"/>
      <w:lvlText w:val="%1."/>
      <w:numFmt w:val="decimal"/>
      <w:start w:val="1"/>
    </w:lvl>
    <w:lvl w:ilvl="1">
      <w:lvlJc w:val="left"/>
      <w:lvlText w:val="%2."/>
      <w:numFmt w:val="lowerLetter"/>
      <w:start w:val="1"/>
    </w:lvl>
  </w:abstractNum>
  <w:abstractNum w:abstractNumId="313">
    <w:nsid w:val="129517E"/>
    <w:multiLevelType w:val="hybridMultilevel"/>
    <w:lvl w:ilvl="0">
      <w:lvlJc w:val="left"/>
      <w:lvlText w:val="%1."/>
      <w:numFmt w:val="decimal"/>
      <w:start w:val="1"/>
    </w:lvl>
  </w:abstractNum>
  <w:abstractNum w:abstractNumId="314">
    <w:nsid w:val="763B8C4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pn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303" Type="http://schemas.openxmlformats.org/officeDocument/2006/relationships/image" Target="media/image290.png"/><Relationship Id="rId304" Type="http://schemas.openxmlformats.org/officeDocument/2006/relationships/image" Target="media/image291.png"/><Relationship Id="rId305" Type="http://schemas.openxmlformats.org/officeDocument/2006/relationships/image" Target="media/image292.png"/><Relationship Id="rId306" Type="http://schemas.openxmlformats.org/officeDocument/2006/relationships/image" Target="media/image293.png"/><Relationship Id="rId307" Type="http://schemas.openxmlformats.org/officeDocument/2006/relationships/image" Target="media/image294.png"/><Relationship Id="rId308" Type="http://schemas.openxmlformats.org/officeDocument/2006/relationships/image" Target="media/image295.png"/><Relationship Id="rId309" Type="http://schemas.openxmlformats.org/officeDocument/2006/relationships/image" Target="media/image296.png"/><Relationship Id="rId310" Type="http://schemas.openxmlformats.org/officeDocument/2006/relationships/image" Target="media/image297.png"/><Relationship Id="rId311" Type="http://schemas.openxmlformats.org/officeDocument/2006/relationships/image" Target="media/image298.png"/><Relationship Id="rId312" Type="http://schemas.openxmlformats.org/officeDocument/2006/relationships/image" Target="media/image299.png"/><Relationship Id="rId313" Type="http://schemas.openxmlformats.org/officeDocument/2006/relationships/image" Target="media/image300.png"/><Relationship Id="rId314" Type="http://schemas.openxmlformats.org/officeDocument/2006/relationships/image" Target="media/image301.png"/><Relationship Id="rId315" Type="http://schemas.openxmlformats.org/officeDocument/2006/relationships/image" Target="media/image302.png"/><Relationship Id="rId316" Type="http://schemas.openxmlformats.org/officeDocument/2006/relationships/image" Target="media/image303.png"/><Relationship Id="rId317" Type="http://schemas.openxmlformats.org/officeDocument/2006/relationships/image" Target="media/image304.png"/><Relationship Id="rId318" Type="http://schemas.openxmlformats.org/officeDocument/2006/relationships/image" Target="media/image305.png"/><Relationship Id="rId319" Type="http://schemas.openxmlformats.org/officeDocument/2006/relationships/image" Target="media/image306.png"/><Relationship Id="rId320" Type="http://schemas.openxmlformats.org/officeDocument/2006/relationships/image" Target="media/image307.png"/><Relationship Id="rId321" Type="http://schemas.openxmlformats.org/officeDocument/2006/relationships/image" Target="media/image308.png"/><Relationship Id="rId322" Type="http://schemas.openxmlformats.org/officeDocument/2006/relationships/image" Target="media/image309.png"/><Relationship Id="rId323" Type="http://schemas.openxmlformats.org/officeDocument/2006/relationships/image" Target="media/image310.png"/><Relationship Id="rId324" Type="http://schemas.openxmlformats.org/officeDocument/2006/relationships/image" Target="media/image311.png"/><Relationship Id="rId325" Type="http://schemas.openxmlformats.org/officeDocument/2006/relationships/image" Target="media/image312.png"/><Relationship Id="rId326" Type="http://schemas.openxmlformats.org/officeDocument/2006/relationships/image" Target="media/image313.png"/><Relationship Id="rId327" Type="http://schemas.openxmlformats.org/officeDocument/2006/relationships/image" Target="media/image314.png"/><Relationship Id="rId328" Type="http://schemas.openxmlformats.org/officeDocument/2006/relationships/image" Target="media/image315.png"/><Relationship Id="rId329" Type="http://schemas.openxmlformats.org/officeDocument/2006/relationships/image" Target="media/image316.png"/><Relationship Id="rId330" Type="http://schemas.openxmlformats.org/officeDocument/2006/relationships/image" Target="media/image317.png"/><Relationship Id="rId331" Type="http://schemas.openxmlformats.org/officeDocument/2006/relationships/image" Target="media/image318.png"/><Relationship Id="rId332" Type="http://schemas.openxmlformats.org/officeDocument/2006/relationships/image" Target="media/image319.png"/><Relationship Id="rId333" Type="http://schemas.openxmlformats.org/officeDocument/2006/relationships/image" Target="media/image320.png"/><Relationship Id="rId334" Type="http://schemas.openxmlformats.org/officeDocument/2006/relationships/image" Target="media/image321.png"/><Relationship Id="rId335" Type="http://schemas.openxmlformats.org/officeDocument/2006/relationships/image" Target="media/image322.png"/><Relationship Id="rId336" Type="http://schemas.openxmlformats.org/officeDocument/2006/relationships/image" Target="media/image323.png"/><Relationship Id="rId337" Type="http://schemas.openxmlformats.org/officeDocument/2006/relationships/image" Target="media/image324.png"/><Relationship Id="rId338" Type="http://schemas.openxmlformats.org/officeDocument/2006/relationships/image" Target="media/image325.png"/><Relationship Id="rId339" Type="http://schemas.openxmlformats.org/officeDocument/2006/relationships/image" Target="media/image326.png"/><Relationship Id="rId340" Type="http://schemas.openxmlformats.org/officeDocument/2006/relationships/image" Target="media/image327.png"/><Relationship Id="rId341" Type="http://schemas.openxmlformats.org/officeDocument/2006/relationships/image" Target="media/image328.png"/><Relationship Id="rId342" Type="http://schemas.openxmlformats.org/officeDocument/2006/relationships/image" Target="media/image329.png"/><Relationship Id="rId343" Type="http://schemas.openxmlformats.org/officeDocument/2006/relationships/image" Target="media/image330.png"/><Relationship Id="rId344" Type="http://schemas.openxmlformats.org/officeDocument/2006/relationships/image" Target="media/image331.png"/><Relationship Id="rId345" Type="http://schemas.openxmlformats.org/officeDocument/2006/relationships/image" Target="media/image332.png"/><Relationship Id="rId346" Type="http://schemas.openxmlformats.org/officeDocument/2006/relationships/image" Target="media/image333.png"/><Relationship Id="rId347" Type="http://schemas.openxmlformats.org/officeDocument/2006/relationships/image" Target="media/image334.png"/><Relationship Id="rId348" Type="http://schemas.openxmlformats.org/officeDocument/2006/relationships/image" Target="media/image335.png"/><Relationship Id="rId349" Type="http://schemas.openxmlformats.org/officeDocument/2006/relationships/image" Target="media/image336.png"/><Relationship Id="rId350" Type="http://schemas.openxmlformats.org/officeDocument/2006/relationships/image" Target="media/image337.png"/><Relationship Id="rId351" Type="http://schemas.openxmlformats.org/officeDocument/2006/relationships/image" Target="media/image338.png"/><Relationship Id="rId352" Type="http://schemas.openxmlformats.org/officeDocument/2006/relationships/image" Target="media/image339.png"/><Relationship Id="rId353" Type="http://schemas.openxmlformats.org/officeDocument/2006/relationships/image" Target="media/image340.png"/><Relationship Id="rId354" Type="http://schemas.openxmlformats.org/officeDocument/2006/relationships/image" Target="media/image341.png"/><Relationship Id="rId355" Type="http://schemas.openxmlformats.org/officeDocument/2006/relationships/image" Target="media/image342.png"/><Relationship Id="rId356" Type="http://schemas.openxmlformats.org/officeDocument/2006/relationships/image" Target="media/image343.png"/><Relationship Id="rId357" Type="http://schemas.openxmlformats.org/officeDocument/2006/relationships/image" Target="media/image344.png"/><Relationship Id="rId358" Type="http://schemas.openxmlformats.org/officeDocument/2006/relationships/image" Target="media/image345.png"/><Relationship Id="rId359" Type="http://schemas.openxmlformats.org/officeDocument/2006/relationships/image" Target="media/image346.png"/><Relationship Id="rId360" Type="http://schemas.openxmlformats.org/officeDocument/2006/relationships/image" Target="media/image347.png"/><Relationship Id="rId361" Type="http://schemas.openxmlformats.org/officeDocument/2006/relationships/image" Target="media/image348.png"/><Relationship Id="rId362" Type="http://schemas.openxmlformats.org/officeDocument/2006/relationships/image" Target="media/image349.png"/><Relationship Id="rId363" Type="http://schemas.openxmlformats.org/officeDocument/2006/relationships/image" Target="media/image350.png"/><Relationship Id="rId364" Type="http://schemas.openxmlformats.org/officeDocument/2006/relationships/image" Target="media/image351.png"/><Relationship Id="rId365" Type="http://schemas.openxmlformats.org/officeDocument/2006/relationships/image" Target="media/image352.png"/><Relationship Id="rId366" Type="http://schemas.openxmlformats.org/officeDocument/2006/relationships/image" Target="media/image353.png"/><Relationship Id="rId367" Type="http://schemas.openxmlformats.org/officeDocument/2006/relationships/image" Target="media/image354.png"/><Relationship Id="rId368" Type="http://schemas.openxmlformats.org/officeDocument/2006/relationships/image" Target="media/image355.png"/><Relationship Id="rId369" Type="http://schemas.openxmlformats.org/officeDocument/2006/relationships/image" Target="media/image356.png"/><Relationship Id="rId370" Type="http://schemas.openxmlformats.org/officeDocument/2006/relationships/image" Target="media/image357.png"/><Relationship Id="rId371" Type="http://schemas.openxmlformats.org/officeDocument/2006/relationships/image" Target="media/image358.png"/><Relationship Id="rId372" Type="http://schemas.openxmlformats.org/officeDocument/2006/relationships/image" Target="media/image359.png"/><Relationship Id="rId373" Type="http://schemas.openxmlformats.org/officeDocument/2006/relationships/image" Target="media/image360.png"/><Relationship Id="rId374" Type="http://schemas.openxmlformats.org/officeDocument/2006/relationships/image" Target="media/image361.png"/><Relationship Id="rId375" Type="http://schemas.openxmlformats.org/officeDocument/2006/relationships/image" Target="media/image362.png"/><Relationship Id="rId376" Type="http://schemas.openxmlformats.org/officeDocument/2006/relationships/image" Target="media/image363.png"/><Relationship Id="rId377" Type="http://schemas.openxmlformats.org/officeDocument/2006/relationships/image" Target="media/image364.png"/><Relationship Id="rId378" Type="http://schemas.openxmlformats.org/officeDocument/2006/relationships/image" Target="media/image365.png"/><Relationship Id="rId379" Type="http://schemas.openxmlformats.org/officeDocument/2006/relationships/image" Target="media/image366.png"/><Relationship Id="rId380" Type="http://schemas.openxmlformats.org/officeDocument/2006/relationships/image" Target="media/image367.png"/><Relationship Id="rId381" Type="http://schemas.openxmlformats.org/officeDocument/2006/relationships/image" Target="media/image368.png"/><Relationship Id="rId382" Type="http://schemas.openxmlformats.org/officeDocument/2006/relationships/image" Target="media/image369.png"/><Relationship Id="rId383" Type="http://schemas.openxmlformats.org/officeDocument/2006/relationships/image" Target="media/image370.png"/><Relationship Id="rId384" Type="http://schemas.openxmlformats.org/officeDocument/2006/relationships/image" Target="media/image371.png"/><Relationship Id="rId385" Type="http://schemas.openxmlformats.org/officeDocument/2006/relationships/image" Target="media/image372.png"/><Relationship Id="rId386" Type="http://schemas.openxmlformats.org/officeDocument/2006/relationships/image" Target="media/image373.png"/><Relationship Id="rId387" Type="http://schemas.openxmlformats.org/officeDocument/2006/relationships/image" Target="media/image374.png"/><Relationship Id="rId388" Type="http://schemas.openxmlformats.org/officeDocument/2006/relationships/image" Target="media/image375.png"/><Relationship Id="rId389" Type="http://schemas.openxmlformats.org/officeDocument/2006/relationships/image" Target="media/image376.png"/><Relationship Id="rId390" Type="http://schemas.openxmlformats.org/officeDocument/2006/relationships/image" Target="media/image377.png"/><Relationship Id="rId391" Type="http://schemas.openxmlformats.org/officeDocument/2006/relationships/image" Target="media/image378.png"/><Relationship Id="rId392" Type="http://schemas.openxmlformats.org/officeDocument/2006/relationships/image" Target="media/image379.png"/><Relationship Id="rId393" Type="http://schemas.openxmlformats.org/officeDocument/2006/relationships/image" Target="media/image380.png"/><Relationship Id="rId394" Type="http://schemas.openxmlformats.org/officeDocument/2006/relationships/image" Target="media/image381.png"/><Relationship Id="rId395" Type="http://schemas.openxmlformats.org/officeDocument/2006/relationships/image" Target="media/image382.png"/><Relationship Id="rId396" Type="http://schemas.openxmlformats.org/officeDocument/2006/relationships/image" Target="media/image383.png"/><Relationship Id="rId397" Type="http://schemas.openxmlformats.org/officeDocument/2006/relationships/image" Target="media/image384.png"/><Relationship Id="rId398" Type="http://schemas.openxmlformats.org/officeDocument/2006/relationships/image" Target="media/image385.png"/><Relationship Id="rId399" Type="http://schemas.openxmlformats.org/officeDocument/2006/relationships/image" Target="media/image386.png"/><Relationship Id="rId400" Type="http://schemas.openxmlformats.org/officeDocument/2006/relationships/image" Target="media/image387.png"/><Relationship Id="rId401" Type="http://schemas.openxmlformats.org/officeDocument/2006/relationships/image" Target="media/image388.png"/><Relationship Id="rId402" Type="http://schemas.openxmlformats.org/officeDocument/2006/relationships/image" Target="media/image389.png"/><Relationship Id="rId403" Type="http://schemas.openxmlformats.org/officeDocument/2006/relationships/image" Target="media/image390.png"/><Relationship Id="rId404" Type="http://schemas.openxmlformats.org/officeDocument/2006/relationships/image" Target="media/image391.png"/><Relationship Id="rId405" Type="http://schemas.openxmlformats.org/officeDocument/2006/relationships/image" Target="media/image392.png"/><Relationship Id="rId406" Type="http://schemas.openxmlformats.org/officeDocument/2006/relationships/image" Target="media/image393.png"/><Relationship Id="rId407" Type="http://schemas.openxmlformats.org/officeDocument/2006/relationships/image" Target="media/image394.png"/><Relationship Id="rId408" Type="http://schemas.openxmlformats.org/officeDocument/2006/relationships/image" Target="media/image395.png"/><Relationship Id="rId409" Type="http://schemas.openxmlformats.org/officeDocument/2006/relationships/image" Target="media/image396.png"/><Relationship Id="rId410" Type="http://schemas.openxmlformats.org/officeDocument/2006/relationships/image" Target="media/image397.png"/><Relationship Id="rId411" Type="http://schemas.openxmlformats.org/officeDocument/2006/relationships/image" Target="media/image398.png"/><Relationship Id="rId412" Type="http://schemas.openxmlformats.org/officeDocument/2006/relationships/image" Target="media/image399.png"/><Relationship Id="rId413" Type="http://schemas.openxmlformats.org/officeDocument/2006/relationships/image" Target="media/image400.png"/><Relationship Id="rId414" Type="http://schemas.openxmlformats.org/officeDocument/2006/relationships/image" Target="media/image401.png"/><Relationship Id="rId415" Type="http://schemas.openxmlformats.org/officeDocument/2006/relationships/image" Target="media/image402.png"/><Relationship Id="rId416" Type="http://schemas.openxmlformats.org/officeDocument/2006/relationships/image" Target="media/image403.png"/><Relationship Id="rId417" Type="http://schemas.openxmlformats.org/officeDocument/2006/relationships/image" Target="media/image404.png"/><Relationship Id="rId418" Type="http://schemas.openxmlformats.org/officeDocument/2006/relationships/image" Target="media/image405.png"/><Relationship Id="rId419" Type="http://schemas.openxmlformats.org/officeDocument/2006/relationships/image" Target="media/image406.png"/><Relationship Id="rId420" Type="http://schemas.openxmlformats.org/officeDocument/2006/relationships/image" Target="media/image407.png"/><Relationship Id="rId421" Type="http://schemas.openxmlformats.org/officeDocument/2006/relationships/image" Target="media/image408.png"/><Relationship Id="rId422" Type="http://schemas.openxmlformats.org/officeDocument/2006/relationships/image" Target="media/image409.png"/><Relationship Id="rId423" Type="http://schemas.openxmlformats.org/officeDocument/2006/relationships/image" Target="media/image410.png"/><Relationship Id="rId424" Type="http://schemas.openxmlformats.org/officeDocument/2006/relationships/image" Target="media/image411.png"/><Relationship Id="rId425" Type="http://schemas.openxmlformats.org/officeDocument/2006/relationships/image" Target="media/image412.png"/><Relationship Id="rId426" Type="http://schemas.openxmlformats.org/officeDocument/2006/relationships/image" Target="media/image413.png"/><Relationship Id="rId427" Type="http://schemas.openxmlformats.org/officeDocument/2006/relationships/image" Target="media/image414.png"/><Relationship Id="rId428" Type="http://schemas.openxmlformats.org/officeDocument/2006/relationships/image" Target="media/image415.png"/><Relationship Id="rId429" Type="http://schemas.openxmlformats.org/officeDocument/2006/relationships/image" Target="media/image416.png"/><Relationship Id="rId430" Type="http://schemas.openxmlformats.org/officeDocument/2006/relationships/image" Target="media/image417.png"/><Relationship Id="rId431" Type="http://schemas.openxmlformats.org/officeDocument/2006/relationships/image" Target="media/image418.png"/><Relationship Id="rId432" Type="http://schemas.openxmlformats.org/officeDocument/2006/relationships/image" Target="media/image419.png"/><Relationship Id="rId433" Type="http://schemas.openxmlformats.org/officeDocument/2006/relationships/image" Target="media/image420.png"/><Relationship Id="rId434" Type="http://schemas.openxmlformats.org/officeDocument/2006/relationships/image" Target="media/image421.png"/><Relationship Id="rId435" Type="http://schemas.openxmlformats.org/officeDocument/2006/relationships/image" Target="media/image422.png"/><Relationship Id="rId436" Type="http://schemas.openxmlformats.org/officeDocument/2006/relationships/image" Target="media/image423.png"/><Relationship Id="rId437" Type="http://schemas.openxmlformats.org/officeDocument/2006/relationships/image" Target="media/image424.png"/><Relationship Id="rId438" Type="http://schemas.openxmlformats.org/officeDocument/2006/relationships/image" Target="media/image425.png"/><Relationship Id="rId439" Type="http://schemas.openxmlformats.org/officeDocument/2006/relationships/image" Target="media/image426.png"/><Relationship Id="rId440" Type="http://schemas.openxmlformats.org/officeDocument/2006/relationships/image" Target="media/image427.png"/><Relationship Id="rId441" Type="http://schemas.openxmlformats.org/officeDocument/2006/relationships/image" Target="media/image428.png"/><Relationship Id="rId442" Type="http://schemas.openxmlformats.org/officeDocument/2006/relationships/image" Target="media/image429.png"/><Relationship Id="rId443" Type="http://schemas.openxmlformats.org/officeDocument/2006/relationships/image" Target="media/image430.png"/><Relationship Id="rId444" Type="http://schemas.openxmlformats.org/officeDocument/2006/relationships/image" Target="media/image431.png"/><Relationship Id="rId445" Type="http://schemas.openxmlformats.org/officeDocument/2006/relationships/image" Target="media/image432.png"/><Relationship Id="rId446" Type="http://schemas.openxmlformats.org/officeDocument/2006/relationships/image" Target="media/image433.png"/><Relationship Id="rId447" Type="http://schemas.openxmlformats.org/officeDocument/2006/relationships/image" Target="media/image434.png"/><Relationship Id="rId448" Type="http://schemas.openxmlformats.org/officeDocument/2006/relationships/image" Target="media/image435.png"/><Relationship Id="rId449" Type="http://schemas.openxmlformats.org/officeDocument/2006/relationships/image" Target="media/image436.png"/><Relationship Id="rId450" Type="http://schemas.openxmlformats.org/officeDocument/2006/relationships/image" Target="media/image437.png"/><Relationship Id="rId451" Type="http://schemas.openxmlformats.org/officeDocument/2006/relationships/image" Target="media/image438.png"/><Relationship Id="rId452" Type="http://schemas.openxmlformats.org/officeDocument/2006/relationships/image" Target="media/image439.png"/><Relationship Id="rId453" Type="http://schemas.openxmlformats.org/officeDocument/2006/relationships/image" Target="media/image440.png"/><Relationship Id="rId454" Type="http://schemas.openxmlformats.org/officeDocument/2006/relationships/image" Target="media/image441.png"/><Relationship Id="rId455" Type="http://schemas.openxmlformats.org/officeDocument/2006/relationships/image" Target="media/image442.png"/><Relationship Id="rId456" Type="http://schemas.openxmlformats.org/officeDocument/2006/relationships/image" Target="media/image443.png"/><Relationship Id="rId457" Type="http://schemas.openxmlformats.org/officeDocument/2006/relationships/image" Target="media/image444.png"/><Relationship Id="rId458" Type="http://schemas.openxmlformats.org/officeDocument/2006/relationships/image" Target="media/image445.png"/><Relationship Id="rId459" Type="http://schemas.openxmlformats.org/officeDocument/2006/relationships/image" Target="media/image446.png"/><Relationship Id="rId460" Type="http://schemas.openxmlformats.org/officeDocument/2006/relationships/image" Target="media/image447.png"/><Relationship Id="rId461" Type="http://schemas.openxmlformats.org/officeDocument/2006/relationships/image" Target="media/image448.png"/><Relationship Id="rId462" Type="http://schemas.openxmlformats.org/officeDocument/2006/relationships/image" Target="media/image449.png"/><Relationship Id="rId463" Type="http://schemas.openxmlformats.org/officeDocument/2006/relationships/image" Target="media/image450.png"/><Relationship Id="rId464" Type="http://schemas.openxmlformats.org/officeDocument/2006/relationships/image" Target="media/image451.png"/><Relationship Id="rId465" Type="http://schemas.openxmlformats.org/officeDocument/2006/relationships/image" Target="media/image452.png"/><Relationship Id="rId466" Type="http://schemas.openxmlformats.org/officeDocument/2006/relationships/image" Target="media/image453.png"/><Relationship Id="rId467" Type="http://schemas.openxmlformats.org/officeDocument/2006/relationships/image" Target="media/image454.png"/><Relationship Id="rId468" Type="http://schemas.openxmlformats.org/officeDocument/2006/relationships/image" Target="media/image455.png"/><Relationship Id="rId469" Type="http://schemas.openxmlformats.org/officeDocument/2006/relationships/image" Target="media/image456.png"/><Relationship Id="rId470" Type="http://schemas.openxmlformats.org/officeDocument/2006/relationships/image" Target="media/image457.png"/><Relationship Id="rId471" Type="http://schemas.openxmlformats.org/officeDocument/2006/relationships/image" Target="media/image458.png"/><Relationship Id="rId472" Type="http://schemas.openxmlformats.org/officeDocument/2006/relationships/image" Target="media/image459.png"/><Relationship Id="rId473" Type="http://schemas.openxmlformats.org/officeDocument/2006/relationships/image" Target="media/image460.png"/><Relationship Id="rId474" Type="http://schemas.openxmlformats.org/officeDocument/2006/relationships/image" Target="media/image461.png"/><Relationship Id="rId475" Type="http://schemas.openxmlformats.org/officeDocument/2006/relationships/image" Target="media/image462.png"/><Relationship Id="rId476" Type="http://schemas.openxmlformats.org/officeDocument/2006/relationships/image" Target="media/image463.png"/><Relationship Id="rId477" Type="http://schemas.openxmlformats.org/officeDocument/2006/relationships/image" Target="media/image464.png"/><Relationship Id="rId478" Type="http://schemas.openxmlformats.org/officeDocument/2006/relationships/image" Target="media/image465.png"/><Relationship Id="rId479" Type="http://schemas.openxmlformats.org/officeDocument/2006/relationships/image" Target="media/image466.png"/><Relationship Id="rId480" Type="http://schemas.openxmlformats.org/officeDocument/2006/relationships/image" Target="media/image467.png"/><Relationship Id="rId481" Type="http://schemas.openxmlformats.org/officeDocument/2006/relationships/image" Target="media/image468.png"/><Relationship Id="rId482" Type="http://schemas.openxmlformats.org/officeDocument/2006/relationships/image" Target="media/image469.png"/><Relationship Id="rId483" Type="http://schemas.openxmlformats.org/officeDocument/2006/relationships/image" Target="media/image470.png"/><Relationship Id="rId484" Type="http://schemas.openxmlformats.org/officeDocument/2006/relationships/image" Target="media/image471.png"/><Relationship Id="rId485" Type="http://schemas.openxmlformats.org/officeDocument/2006/relationships/image" Target="media/image472.png"/><Relationship Id="rId486" Type="http://schemas.openxmlformats.org/officeDocument/2006/relationships/image" Target="media/image473.png"/><Relationship Id="rId487" Type="http://schemas.openxmlformats.org/officeDocument/2006/relationships/image" Target="media/image474.png"/><Relationship Id="rId488" Type="http://schemas.openxmlformats.org/officeDocument/2006/relationships/image" Target="media/image475.png"/><Relationship Id="rId489" Type="http://schemas.openxmlformats.org/officeDocument/2006/relationships/image" Target="media/image476.png"/><Relationship Id="rId490" Type="http://schemas.openxmlformats.org/officeDocument/2006/relationships/image" Target="media/image477.png"/><Relationship Id="rId491" Type="http://schemas.openxmlformats.org/officeDocument/2006/relationships/image" Target="media/image478.png"/><Relationship Id="rId492" Type="http://schemas.openxmlformats.org/officeDocument/2006/relationships/image" Target="media/image479.png"/><Relationship Id="rId493" Type="http://schemas.openxmlformats.org/officeDocument/2006/relationships/image" Target="media/image480.png"/><Relationship Id="rId494" Type="http://schemas.openxmlformats.org/officeDocument/2006/relationships/image" Target="media/image481.png"/><Relationship Id="rId495" Type="http://schemas.openxmlformats.org/officeDocument/2006/relationships/image" Target="media/image482.png"/><Relationship Id="rId496" Type="http://schemas.openxmlformats.org/officeDocument/2006/relationships/image" Target="media/image483.png"/><Relationship Id="rId497" Type="http://schemas.openxmlformats.org/officeDocument/2006/relationships/image" Target="media/image484.png"/><Relationship Id="rId498" Type="http://schemas.openxmlformats.org/officeDocument/2006/relationships/image" Target="media/image485.png"/><Relationship Id="rId499" Type="http://schemas.openxmlformats.org/officeDocument/2006/relationships/image" Target="media/image486.png"/><Relationship Id="rId500" Type="http://schemas.openxmlformats.org/officeDocument/2006/relationships/image" Target="media/image487.png"/><Relationship Id="rId501" Type="http://schemas.openxmlformats.org/officeDocument/2006/relationships/image" Target="media/image488.png"/><Relationship Id="rId502" Type="http://schemas.openxmlformats.org/officeDocument/2006/relationships/image" Target="media/image489.png"/><Relationship Id="rId503" Type="http://schemas.openxmlformats.org/officeDocument/2006/relationships/image" Target="media/image490.png"/><Relationship Id="rId504" Type="http://schemas.openxmlformats.org/officeDocument/2006/relationships/image" Target="media/image491.png"/><Relationship Id="rId505" Type="http://schemas.openxmlformats.org/officeDocument/2006/relationships/image" Target="media/image492.png"/><Relationship Id="rId506" Type="http://schemas.openxmlformats.org/officeDocument/2006/relationships/image" Target="media/image493.png"/><Relationship Id="rId507" Type="http://schemas.openxmlformats.org/officeDocument/2006/relationships/image" Target="media/image494.png"/><Relationship Id="rId508" Type="http://schemas.openxmlformats.org/officeDocument/2006/relationships/image" Target="media/image495.png"/><Relationship Id="rId509" Type="http://schemas.openxmlformats.org/officeDocument/2006/relationships/image" Target="media/image496.png"/><Relationship Id="rId510" Type="http://schemas.openxmlformats.org/officeDocument/2006/relationships/image" Target="media/image497.png"/><Relationship Id="rId511" Type="http://schemas.openxmlformats.org/officeDocument/2006/relationships/image" Target="media/image498.png"/><Relationship Id="rId512" Type="http://schemas.openxmlformats.org/officeDocument/2006/relationships/image" Target="media/image499.png"/><Relationship Id="rId513" Type="http://schemas.openxmlformats.org/officeDocument/2006/relationships/image" Target="media/image500.png"/><Relationship Id="rId514" Type="http://schemas.openxmlformats.org/officeDocument/2006/relationships/image" Target="media/image501.png"/><Relationship Id="rId515" Type="http://schemas.openxmlformats.org/officeDocument/2006/relationships/image" Target="media/image502.png"/><Relationship Id="rId516" Type="http://schemas.openxmlformats.org/officeDocument/2006/relationships/image" Target="media/image503.png"/><Relationship Id="rId517" Type="http://schemas.openxmlformats.org/officeDocument/2006/relationships/image" Target="media/image504.png"/><Relationship Id="rId518" Type="http://schemas.openxmlformats.org/officeDocument/2006/relationships/image" Target="media/image505.png"/><Relationship Id="rId519" Type="http://schemas.openxmlformats.org/officeDocument/2006/relationships/image" Target="media/image506.png"/><Relationship Id="rId520" Type="http://schemas.openxmlformats.org/officeDocument/2006/relationships/image" Target="media/image507.png"/><Relationship Id="rId521" Type="http://schemas.openxmlformats.org/officeDocument/2006/relationships/image" Target="media/image508.png"/><Relationship Id="rId522" Type="http://schemas.openxmlformats.org/officeDocument/2006/relationships/image" Target="media/image509.png"/><Relationship Id="rId523" Type="http://schemas.openxmlformats.org/officeDocument/2006/relationships/image" Target="media/image510.png"/><Relationship Id="rId524" Type="http://schemas.openxmlformats.org/officeDocument/2006/relationships/image" Target="media/image511.png"/><Relationship Id="rId525" Type="http://schemas.openxmlformats.org/officeDocument/2006/relationships/image" Target="media/image512.png"/><Relationship Id="rId526" Type="http://schemas.openxmlformats.org/officeDocument/2006/relationships/image" Target="media/image513.png"/><Relationship Id="rId527" Type="http://schemas.openxmlformats.org/officeDocument/2006/relationships/image" Target="media/image514.png"/><Relationship Id="rId528" Type="http://schemas.openxmlformats.org/officeDocument/2006/relationships/image" Target="media/image515.png"/><Relationship Id="rId529" Type="http://schemas.openxmlformats.org/officeDocument/2006/relationships/image" Target="media/image516.png"/><Relationship Id="rId530" Type="http://schemas.openxmlformats.org/officeDocument/2006/relationships/image" Target="media/image517.png"/><Relationship Id="rId531" Type="http://schemas.openxmlformats.org/officeDocument/2006/relationships/image" Target="media/image518.png"/><Relationship Id="rId532" Type="http://schemas.openxmlformats.org/officeDocument/2006/relationships/image" Target="media/image519.png"/><Relationship Id="rId533" Type="http://schemas.openxmlformats.org/officeDocument/2006/relationships/image" Target="media/image520.png"/><Relationship Id="rId534" Type="http://schemas.openxmlformats.org/officeDocument/2006/relationships/image" Target="media/image521.png"/><Relationship Id="rId535" Type="http://schemas.openxmlformats.org/officeDocument/2006/relationships/image" Target="media/image522.png"/><Relationship Id="rId536" Type="http://schemas.openxmlformats.org/officeDocument/2006/relationships/image" Target="media/image523.png"/><Relationship Id="rId537" Type="http://schemas.openxmlformats.org/officeDocument/2006/relationships/image" Target="media/image524.png"/><Relationship Id="rId538" Type="http://schemas.openxmlformats.org/officeDocument/2006/relationships/image" Target="media/image525.png"/><Relationship Id="rId539" Type="http://schemas.openxmlformats.org/officeDocument/2006/relationships/image" Target="media/image526.png"/><Relationship Id="rId540" Type="http://schemas.openxmlformats.org/officeDocument/2006/relationships/image" Target="media/image527.png"/><Relationship Id="rId541" Type="http://schemas.openxmlformats.org/officeDocument/2006/relationships/image" Target="media/image528.png"/><Relationship Id="rId542" Type="http://schemas.openxmlformats.org/officeDocument/2006/relationships/image" Target="media/image529.png"/><Relationship Id="rId543" Type="http://schemas.openxmlformats.org/officeDocument/2006/relationships/image" Target="media/image530.png"/><Relationship Id="rId544" Type="http://schemas.openxmlformats.org/officeDocument/2006/relationships/image" Target="media/image531.png"/><Relationship Id="rId545" Type="http://schemas.openxmlformats.org/officeDocument/2006/relationships/image" Target="media/image532.png"/><Relationship Id="rId546" Type="http://schemas.openxmlformats.org/officeDocument/2006/relationships/image" Target="media/image533.png"/><Relationship Id="rId547" Type="http://schemas.openxmlformats.org/officeDocument/2006/relationships/image" Target="media/image534.png"/><Relationship Id="rId548" Type="http://schemas.openxmlformats.org/officeDocument/2006/relationships/image" Target="media/image535.png"/><Relationship Id="rId549" Type="http://schemas.openxmlformats.org/officeDocument/2006/relationships/image" Target="media/image536.png"/><Relationship Id="rId550" Type="http://schemas.openxmlformats.org/officeDocument/2006/relationships/image" Target="media/image537.png"/><Relationship Id="rId551" Type="http://schemas.openxmlformats.org/officeDocument/2006/relationships/image" Target="media/image538.png"/><Relationship Id="rId552" Type="http://schemas.openxmlformats.org/officeDocument/2006/relationships/image" Target="media/image539.png"/><Relationship Id="rId553" Type="http://schemas.openxmlformats.org/officeDocument/2006/relationships/image" Target="media/image540.png"/><Relationship Id="rId554" Type="http://schemas.openxmlformats.org/officeDocument/2006/relationships/image" Target="media/image541.png"/><Relationship Id="rId555" Type="http://schemas.openxmlformats.org/officeDocument/2006/relationships/image" Target="media/image542.png"/><Relationship Id="rId556" Type="http://schemas.openxmlformats.org/officeDocument/2006/relationships/image" Target="media/image543.png"/><Relationship Id="rId557" Type="http://schemas.openxmlformats.org/officeDocument/2006/relationships/image" Target="media/image544.png"/><Relationship Id="rId558" Type="http://schemas.openxmlformats.org/officeDocument/2006/relationships/image" Target="media/image545.png"/><Relationship Id="rId559" Type="http://schemas.openxmlformats.org/officeDocument/2006/relationships/image" Target="media/image546.png"/><Relationship Id="rId560" Type="http://schemas.openxmlformats.org/officeDocument/2006/relationships/image" Target="media/image547.png"/><Relationship Id="rId561" Type="http://schemas.openxmlformats.org/officeDocument/2006/relationships/image" Target="media/image548.png"/><Relationship Id="rId562" Type="http://schemas.openxmlformats.org/officeDocument/2006/relationships/image" Target="media/image549.png"/><Relationship Id="rId563" Type="http://schemas.openxmlformats.org/officeDocument/2006/relationships/image" Target="media/image550.png"/><Relationship Id="rId564" Type="http://schemas.openxmlformats.org/officeDocument/2006/relationships/image" Target="media/image551.png"/><Relationship Id="rId243" Type="http://schemas.openxmlformats.org/officeDocument/2006/relationships/hyperlink" Target="https://www.sec.gov/Archives/edgar/data/1865782/000119312524019479/d925158dex31.htm" TargetMode="External"/><Relationship Id="rId244" Type="http://schemas.openxmlformats.org/officeDocument/2006/relationships/hyperlink" Target="https://www.sec.gov/Archives/edgar/data/1865782/000119312524019479/d925158dex32.htm" TargetMode="External"/><Relationship Id="rId245" Type="http://schemas.openxmlformats.org/officeDocument/2006/relationships/hyperlink" Target="https://www.sec.gov/Archives/edgar/data/1865782/000119312524019479/d925158dex41.htm" TargetMode="External"/><Relationship Id="rId246" Type="http://schemas.openxmlformats.org/officeDocument/2006/relationships/hyperlink" Target="https://www.sec.gov/Archives/edgar/data/1865782/000119312524019479/d925158dex44.htm" TargetMode="External"/><Relationship Id="rId247" Type="http://schemas.openxmlformats.org/officeDocument/2006/relationships/hyperlink" Target="https://www.sec.gov/Archives/edgar/data/1865782/000119312524019479/d925158dex45.htm" TargetMode="External"/><Relationship Id="rId248" Type="http://schemas.openxmlformats.org/officeDocument/2006/relationships/hyperlink" Target="https://www.sec.gov/Archives/edgar/data/1865782/000119312524005605/d25196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2024-05-02T08:12:12Z</dcterms:created>
  <dcterms:modified xsi:type="dcterms:W3CDTF">2024-05-02T08:12:12Z</dcterms:modified>
</cp:coreProperties>
</file>