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BrightSpring Health Services,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001-41938</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82-2956404</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805 N. Whittington Parkway</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Louisville, Kentucky</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502 394-2100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3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BTSG</w:t>
            </w:r>
          </w:p>
        </w:tc>
        <w:tc>
          <w:tcPr>
            <w:tcW w:w="80" w:type="dxa"/>
            <w:vAlign w:val="bottom"/>
          </w:tcPr>
          <w:p>
            <w:pPr>
              <w:spacing w:after="0"/>
              <w:rPr>
                <w:sz w:val="16"/>
                <w:szCs w:val="16"/>
                <w:color w:val="auto"/>
              </w:rPr>
            </w:pPr>
          </w:p>
        </w:tc>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6.75% Tangible Equity Units</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BTSGU</w:t>
            </w:r>
          </w:p>
        </w:tc>
        <w:tc>
          <w:tcPr>
            <w:tcW w:w="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February 27, 2026, BrightSpring Health Services, Inc. issued a press release announcing its financial results for the quarter and year ended December 31, 2025. A copy of the press release is furnished as Exhibit 99.1 to this Current Report on Form 8-K and incorporated by reference in this Item 2.02.</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or the Exchange Act, except as otherwise expressly stated by specific reference in any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ind w:left="240"/>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BrightSpring Health Services, Inc., dated 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-20320</wp:posOffset>
            </wp:positionV>
            <wp:extent cx="3556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6635" cy="8890"/>
                    </a:xfrm>
                    <a:prstGeom prst="rect">
                      <a:avLst/>
                    </a:prstGeom>
                    <a:noFill/>
                  </pic:spPr>
                </pic:pic>
              </a:graphicData>
            </a:graphic>
          </wp:anchor>
        </w:drawing>
      </w:r>
    </w:p>
    <w:p>
      <w:pPr>
        <w:ind w:left="26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1089" w:right="11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BRIGHTSPRING HEALTH SERVICES, INC.</w:t>
            </w:r>
          </w:p>
        </w:tc>
      </w:tr>
      <w:tr>
        <w:trPr>
          <w:trHeight w:val="580"/>
        </w:trPr>
        <w:tc>
          <w:tcPr>
            <w:tcW w:w="3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February 27, 2026</w:t>
            </w:r>
          </w:p>
        </w:tc>
        <w:tc>
          <w:tcPr>
            <w:tcW w:w="1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Jennifer Phipps</w:t>
            </w:r>
          </w:p>
        </w:tc>
      </w:tr>
      <w:tr>
        <w:trPr>
          <w:trHeight w:val="191"/>
        </w:trPr>
        <w:tc>
          <w:tcPr>
            <w:tcW w:w="3960" w:type="dxa"/>
            <w:vAlign w:val="bottom"/>
          </w:tcPr>
          <w:p>
            <w:pPr>
              <w:spacing w:after="0"/>
              <w:rPr>
                <w:sz w:val="16"/>
                <w:szCs w:val="16"/>
                <w:color w:val="auto"/>
              </w:rPr>
            </w:pPr>
          </w:p>
        </w:tc>
        <w:tc>
          <w:tcPr>
            <w:tcW w:w="1960" w:type="dxa"/>
            <w:vAlign w:val="bottom"/>
          </w:tcPr>
          <w:p>
            <w:pPr>
              <w:ind w:left="13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Jennifer Phipps</w:t>
            </w:r>
          </w:p>
        </w:tc>
        <w:tc>
          <w:tcPr>
            <w:tcW w:w="660" w:type="dxa"/>
            <w:vAlign w:val="bottom"/>
          </w:tcPr>
          <w:p>
            <w:pPr>
              <w:spacing w:after="0"/>
              <w:rPr>
                <w:sz w:val="16"/>
                <w:szCs w:val="16"/>
                <w:color w:val="auto"/>
              </w:rPr>
            </w:pPr>
          </w:p>
        </w:tc>
      </w:tr>
      <w:tr>
        <w:trPr>
          <w:trHeight w:val="248"/>
        </w:trPr>
        <w:tc>
          <w:tcPr>
            <w:tcW w:w="3960" w:type="dxa"/>
            <w:vAlign w:val="bottom"/>
          </w:tcPr>
          <w:p>
            <w:pPr>
              <w:spacing w:after="0"/>
              <w:rPr>
                <w:sz w:val="21"/>
                <w:szCs w:val="21"/>
                <w:color w:val="auto"/>
              </w:rPr>
            </w:pPr>
          </w:p>
        </w:tc>
        <w:tc>
          <w:tcPr>
            <w:tcW w:w="1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141"/>
        </w:trPr>
        <w:tc>
          <w:tcPr>
            <w:tcW w:w="39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3" w:name="page4"/>
    <w:bookmarkEnd w:id="3"/>
    <w:p>
      <w:pPr>
        <w:jc w:val="center"/>
        <w:ind w:right="60"/>
        <w:spacing w:after="0" w:line="272" w:lineRule="auto"/>
        <w:rPr>
          <w:sz w:val="20"/>
          <w:szCs w:val="20"/>
          <w:color w:val="auto"/>
        </w:rPr>
      </w:pPr>
      <w:r>
        <w:rPr>
          <w:rFonts w:ascii="Arial" w:cs="Arial" w:eastAsia="Arial" w:hAnsi="Arial"/>
          <w:sz w:val="22"/>
          <w:szCs w:val="22"/>
          <w:b w:val="1"/>
          <w:bCs w:val="1"/>
          <w:color w:val="auto"/>
        </w:rPr>
        <w:t>BrightSpring Health Services, Inc. Reports Fourth Quarter and Full Year 2025 Financial Results and Provides Full Year 2026 Guidance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LOUISVILLE, Ky., February 27, 2026 </w:t>
      </w:r>
      <w:r>
        <w:rPr>
          <w:rFonts w:ascii="Arial" w:cs="Arial" w:eastAsia="Arial" w:hAnsi="Arial"/>
          <w:sz w:val="20"/>
          <w:szCs w:val="20"/>
          <w:color w:val="auto"/>
        </w:rPr>
        <w:t>— BrightSpring Health Services, Inc. (“BrightSpring”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(NASDAQ: BTSG), a leading provider of home and community-based health services for complex populations, today announced financial results for the fourth quarter and full year ended December 31, 2025 and initiated full year 2026 Revenue and Adjusted EBITDA</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guidance.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2025 Financial Highlights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(note: all figures represent continuing operations and exclude the Community Living business)</w:t>
      </w:r>
    </w:p>
    <w:p>
      <w:pPr>
        <w:spacing w:after="0" w:line="76" w:lineRule="exact"/>
        <w:rPr>
          <w:sz w:val="20"/>
          <w:szCs w:val="20"/>
          <w:color w:val="auto"/>
        </w:rPr>
      </w:pPr>
    </w:p>
    <w:p>
      <w:pPr>
        <w:ind w:left="660" w:right="480" w:hanging="328"/>
        <w:spacing w:after="0" w:line="234" w:lineRule="auto"/>
        <w:tabs>
          <w:tab w:leader="none" w:pos="6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revenue of $3,551 million, up 29.3% compared to $2,747 million in the fourth quarter of 2024</w:t>
      </w:r>
    </w:p>
    <w:p>
      <w:pPr>
        <w:ind w:left="660" w:hanging="328"/>
        <w:spacing w:after="0" w:line="238" w:lineRule="auto"/>
        <w:tabs>
          <w:tab w:leader="none" w:pos="6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of $413 million, up 21.8% compared to $339 million in the fourth quarter of 2024</w:t>
      </w:r>
    </w:p>
    <w:p>
      <w:pPr>
        <w:ind w:left="660" w:hanging="328"/>
        <w:spacing w:after="0"/>
        <w:tabs>
          <w:tab w:leader="none" w:pos="66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Net income of $49.6 million compared to net income of $4.3 million in the fourth quarter of 2024</w:t>
      </w:r>
    </w:p>
    <w:p>
      <w:pPr>
        <w:spacing w:after="0" w:line="23" w:lineRule="exact"/>
        <w:rPr>
          <w:rFonts w:ascii="Times New Roman" w:cs="Times New Roman" w:eastAsia="Times New Roman" w:hAnsi="Times New Roman"/>
          <w:sz w:val="19"/>
          <w:szCs w:val="19"/>
          <w:color w:val="auto"/>
        </w:rPr>
      </w:pPr>
    </w:p>
    <w:p>
      <w:pPr>
        <w:ind w:left="660" w:right="260" w:hanging="328"/>
        <w:spacing w:after="0" w:line="202" w:lineRule="auto"/>
        <w:tabs>
          <w:tab w:leader="none" w:pos="6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$184 million, up 40.7% compared to $130 million in the fourth quarter of 2024</w:t>
      </w:r>
    </w:p>
    <w:p>
      <w:pPr>
        <w:ind w:left="660" w:hanging="328"/>
        <w:spacing w:after="0"/>
        <w:tabs>
          <w:tab w:leader="none" w:pos="66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Acquired 107 home health and hospice branches as a part of the Amedisys and LHC acquisition</w:t>
      </w:r>
    </w:p>
    <w:p>
      <w:pPr>
        <w:spacing w:after="0" w:line="10" w:lineRule="exact"/>
        <w:rPr>
          <w:rFonts w:ascii="Times New Roman" w:cs="Times New Roman" w:eastAsia="Times New Roman" w:hAnsi="Times New Roman"/>
          <w:sz w:val="19"/>
          <w:szCs w:val="19"/>
          <w:color w:val="auto"/>
        </w:rPr>
      </w:pPr>
    </w:p>
    <w:p>
      <w:pPr>
        <w:jc w:val="both"/>
        <w:ind w:left="660" w:hanging="328"/>
        <w:spacing w:after="0" w:line="234" w:lineRule="auto"/>
        <w:tabs>
          <w:tab w:leader="none" w:pos="6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Repurchased 1,500,000 shares of common stock, for approximately $43.2 million, in connection with the October 2025 secondary offering by affiliates of Kohlberg Kravis Roberts &amp; Co. L.P. and certain members of management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2025 Financial Highlights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(note: all figures represent continuing operations and exclude the Community Living business)</w:t>
      </w:r>
    </w:p>
    <w:p>
      <w:pPr>
        <w:spacing w:after="0" w:line="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revenue of $12,911 million, up 28.2% compared to $10,072 million in full year 2024</w:t>
      </w:r>
    </w:p>
    <w:p>
      <w:pPr>
        <w:spacing w:after="0" w:line="16" w:lineRule="exact"/>
        <w:rPr>
          <w:rFonts w:ascii="Times New Roman" w:cs="Times New Roman" w:eastAsia="Times New Roman" w:hAnsi="Times New Roman"/>
          <w:sz w:val="20"/>
          <w:szCs w:val="20"/>
          <w:color w:val="auto"/>
        </w:rPr>
      </w:pPr>
    </w:p>
    <w:p>
      <w:pPr>
        <w:ind w:left="660" w:hanging="328"/>
        <w:spacing w:after="0" w:line="238" w:lineRule="auto"/>
        <w:tabs>
          <w:tab w:leader="none" w:pos="6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of $1,518 million, up 19.8% compared to $1,266 million in full year 2024</w:t>
      </w:r>
    </w:p>
    <w:p>
      <w:pPr>
        <w:ind w:left="660" w:hanging="328"/>
        <w:spacing w:after="0" w:line="238" w:lineRule="auto"/>
        <w:tabs>
          <w:tab w:leader="none" w:pos="6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 of $104.8 million compared to a net loss of $68.9 million in full year 2024</w:t>
      </w: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cash flow of $490 million, compared to $24 million in full year 2024</w:t>
      </w:r>
    </w:p>
    <w:p>
      <w:pPr>
        <w:spacing w:after="0" w:line="12" w:lineRule="exact"/>
        <w:rPr>
          <w:rFonts w:ascii="Times New Roman" w:cs="Times New Roman" w:eastAsia="Times New Roman" w:hAnsi="Times New Roman"/>
          <w:sz w:val="20"/>
          <w:szCs w:val="20"/>
          <w:color w:val="auto"/>
        </w:rPr>
      </w:pPr>
    </w:p>
    <w:p>
      <w:pPr>
        <w:ind w:left="660" w:hanging="328"/>
        <w:spacing w:after="0" w:line="216" w:lineRule="auto"/>
        <w:tabs>
          <w:tab w:leader="none" w:pos="6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$618 million, up 34.2% compared to $460 million in full year 2024</w:t>
      </w:r>
    </w:p>
    <w:p>
      <w:pPr>
        <w:ind w:left="660" w:right="180" w:hanging="328"/>
        <w:spacing w:after="0" w:line="196" w:lineRule="auto"/>
        <w:tabs>
          <w:tab w:leader="none" w:pos="6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Leverage</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of 2.99x as of December 31, 2025 compared to leverage of 4.16x on December 31, 2024</w:t>
      </w:r>
    </w:p>
    <w:p>
      <w:pPr>
        <w:ind w:left="660" w:right="40" w:hanging="328"/>
        <w:spacing w:after="0" w:line="239" w:lineRule="auto"/>
        <w:tabs>
          <w:tab w:leader="none" w:pos="6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Planned divestiture of Community Living business to Sevita, announced on January 20, 2025, is expected to close by the end of the first quarter of 2026</w:t>
      </w:r>
    </w:p>
    <w:p>
      <w:pPr>
        <w:spacing w:after="0" w:line="171"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"In 2025, BrightSpring’s financial performance was driven by ongoing demand for our high-quality and differentiated services and operational capabilities,” said Jon Rousseau, Chairman, President, and Chief Executive Officer of the Company. “I am pleased with our results across the enterprise, underpinned by the people and processes we have in place, which expand the reach and impact of our mission every day. In 2026, we remain focused on delivering superior, timely, and lower-cost coordinated patient care that provides significant value to the healthcare system, the individuals we serve, and our organization.”</w:t>
      </w:r>
    </w:p>
    <w:p>
      <w:pPr>
        <w:spacing w:after="0" w:line="180" w:lineRule="exact"/>
        <w:rPr>
          <w:sz w:val="20"/>
          <w:szCs w:val="20"/>
          <w:color w:val="auto"/>
        </w:rPr>
      </w:pPr>
    </w:p>
    <w:p>
      <w:pPr>
        <w:jc w:val="both"/>
        <w:ind w:right="140"/>
        <w:spacing w:after="0" w:line="226"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Adjusted EBITDA is a non-GAAP financial measure. Please see “Non-GAAP Financial Information” and the end of this press release for a reconciliation of Adjusted EBITDA to net income (loss) from continuing operations, the most directly comparable financial measure prepared in accordance with GAAP.</w:t>
      </w:r>
    </w:p>
    <w:p>
      <w:pPr>
        <w:spacing w:after="0" w:line="106" w:lineRule="exact"/>
        <w:rPr>
          <w:sz w:val="20"/>
          <w:szCs w:val="20"/>
          <w:color w:val="auto"/>
        </w:rPr>
      </w:pPr>
    </w:p>
    <w:p>
      <w:pPr>
        <w:ind w:right="460"/>
        <w:spacing w:after="0" w:line="223" w:lineRule="auto"/>
        <w:rPr>
          <w:sz w:val="20"/>
          <w:szCs w:val="20"/>
          <w:color w:val="auto"/>
        </w:rPr>
      </w:pPr>
      <w:r>
        <w:rPr>
          <w:rFonts w:ascii="Arial" w:cs="Arial" w:eastAsia="Arial" w:hAnsi="Arial"/>
          <w:sz w:val="24"/>
          <w:szCs w:val="24"/>
          <w:color w:val="auto"/>
          <w:vertAlign w:val="superscript"/>
        </w:rPr>
        <w:t>2</w:t>
      </w:r>
      <w:r>
        <w:rPr>
          <w:rFonts w:ascii="Arial" w:cs="Arial" w:eastAsia="Arial" w:hAnsi="Arial"/>
          <w:sz w:val="18"/>
          <w:szCs w:val="18"/>
          <w:color w:val="auto"/>
        </w:rPr>
        <w:t>The results of the Community Living business are included in the calculation of our leverage pursuant to the terms of our 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3" w:right="141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Key Financials</w:t>
      </w:r>
      <w:r>
        <w:rPr>
          <w:rFonts w:ascii="Arial" w:cs="Arial" w:eastAsia="Arial" w:hAnsi="Arial"/>
          <w:sz w:val="26"/>
          <w:szCs w:val="26"/>
          <w:b w:val="1"/>
          <w:bCs w:val="1"/>
          <w:color w:val="auto"/>
          <w:vertAlign w:val="superscript"/>
        </w:rPr>
        <w:t>3</w:t>
      </w:r>
      <w:r>
        <w:rPr>
          <w:rFonts w:ascii="Arial" w:cs="Arial" w:eastAsia="Arial" w:hAnsi="Arial"/>
          <w:sz w:val="20"/>
          <w:szCs w:val="20"/>
          <w:b w:val="1"/>
          <w:bCs w:val="1"/>
          <w:color w:val="auto"/>
        </w:rPr>
        <w:t xml:space="preserve"> (for BrightSpring continuing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5"/>
          </w:tcPr>
          <w:p>
            <w:pPr>
              <w:ind w:left="38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9"/>
          </w:tcPr>
          <w:p>
            <w:pPr>
              <w:jc w:val="center"/>
              <w:ind w:right="74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5"/>
          </w:tcPr>
          <w:p>
            <w:pPr>
              <w:ind w:left="260"/>
              <w:spacing w:after="0" w:line="202"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8"/>
                <w:szCs w:val="18"/>
                <w:b w:val="1"/>
                <w:bCs w:val="1"/>
                <w:color w:val="auto"/>
                <w:w w:val="99"/>
              </w:rPr>
              <w:t>(Unaudited)</w:t>
            </w: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260" w:type="dxa"/>
            <w:vAlign w:val="bottom"/>
            <w:gridSpan w:val="2"/>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5"/>
        </w:trPr>
        <w:tc>
          <w:tcPr>
            <w:tcW w:w="2780" w:type="dxa"/>
            <w:vAlign w:val="bottom"/>
            <w:gridSpan w:val="2"/>
          </w:tcPr>
          <w:p>
            <w:pPr>
              <w:ind w:left="10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7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Pharmacy Solutions Revenue</w:t>
            </w: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32</w:t>
            </w:r>
          </w:p>
        </w:tc>
        <w:tc>
          <w:tcPr>
            <w:tcW w:w="280" w:type="dxa"/>
            <w:vAlign w:val="bottom"/>
            <w:tcBorders>
              <w:right w:val="single" w:sz="8" w:color="CCEEFF"/>
            </w:tcBorders>
            <w:shd w:val="clear" w:color="auto" w:fill="CCEEFF"/>
          </w:tcPr>
          <w:p>
            <w:pPr>
              <w:spacing w:after="0"/>
              <w:rPr>
                <w:sz w:val="16"/>
                <w:szCs w:val="16"/>
                <w:color w:val="auto"/>
              </w:rPr>
            </w:pPr>
          </w:p>
        </w:tc>
        <w:tc>
          <w:tcPr>
            <w:tcW w:w="1000" w:type="dxa"/>
            <w:vAlign w:val="bottom"/>
            <w:gridSpan w:val="2"/>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780" w:type="dxa"/>
            <w:vAlign w:val="bottom"/>
            <w:gridSpan w:val="3"/>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31"/>
        </w:trPr>
        <w:tc>
          <w:tcPr>
            <w:tcW w:w="2780" w:type="dxa"/>
            <w:vAlign w:val="bottom"/>
            <w:gridSpan w:val="2"/>
            <w:vMerge w:val="continue"/>
            <w:shd w:val="clear" w:color="auto" w:fill="CCEEFF"/>
          </w:tcPr>
          <w:p>
            <w:pPr>
              <w:spacing w:after="0"/>
              <w:rPr>
                <w:sz w:val="11"/>
                <w:szCs w:val="11"/>
                <w:color w:val="auto"/>
              </w:rPr>
            </w:pPr>
          </w:p>
        </w:tc>
        <w:tc>
          <w:tcPr>
            <w:tcW w:w="3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3,157</w:t>
            </w:r>
          </w:p>
        </w:tc>
        <w:tc>
          <w:tcPr>
            <w:tcW w:w="700" w:type="dxa"/>
            <w:vAlign w:val="bottom"/>
            <w:gridSpan w:val="4"/>
            <w:vMerge w:val="restart"/>
            <w:shd w:val="clear" w:color="auto" w:fill="CCEEFF"/>
          </w:tcPr>
          <w:p>
            <w:pPr>
              <w:jc w:val="center"/>
              <w:ind w:left="31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11,446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  8,754</w:t>
            </w:r>
          </w:p>
        </w:tc>
        <w:tc>
          <w:tcPr>
            <w:tcW w:w="78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
        </w:trPr>
        <w:tc>
          <w:tcPr>
            <w:tcW w:w="2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500" w:type="dxa"/>
            <w:vAlign w:val="bottom"/>
            <w:vMerge w:val="continue"/>
            <w:shd w:val="clear" w:color="auto" w:fill="CCEEFF"/>
          </w:tcPr>
          <w:p>
            <w:pPr>
              <w:spacing w:after="0"/>
              <w:rPr>
                <w:sz w:val="7"/>
                <w:szCs w:val="7"/>
                <w:color w:val="auto"/>
              </w:rPr>
            </w:pPr>
          </w:p>
        </w:tc>
        <w:tc>
          <w:tcPr>
            <w:tcW w:w="700" w:type="dxa"/>
            <w:vAlign w:val="bottom"/>
            <w:gridSpan w:val="4"/>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20" w:type="dxa"/>
            <w:vAlign w:val="bottom"/>
            <w:gridSpan w:val="2"/>
            <w:vMerge w:val="continue"/>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20" w:type="dxa"/>
            <w:vAlign w:val="bottom"/>
            <w:tcBorders>
              <w:right w:val="single" w:sz="8" w:color="CCEEFF"/>
            </w:tcBorders>
            <w:gridSpan w:val="2"/>
            <w:vMerge w:val="continue"/>
            <w:shd w:val="clear" w:color="auto" w:fill="CCEEFF"/>
          </w:tcPr>
          <w:p>
            <w:pPr>
              <w:spacing w:after="0"/>
              <w:rPr>
                <w:sz w:val="7"/>
                <w:szCs w:val="7"/>
                <w:color w:val="auto"/>
              </w:rPr>
            </w:pPr>
          </w:p>
        </w:tc>
        <w:tc>
          <w:tcPr>
            <w:tcW w:w="78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780" w:type="dxa"/>
            <w:vAlign w:val="bottom"/>
            <w:gridSpan w:val="2"/>
            <w:vMerge w:val="restart"/>
          </w:tcPr>
          <w:p>
            <w:pPr>
              <w:ind w:left="100"/>
              <w:spacing w:after="0"/>
              <w:rPr>
                <w:sz w:val="20"/>
                <w:szCs w:val="20"/>
                <w:color w:val="auto"/>
              </w:rPr>
            </w:pPr>
            <w:r>
              <w:rPr>
                <w:rFonts w:ascii="Arial" w:cs="Arial" w:eastAsia="Arial" w:hAnsi="Arial"/>
                <w:sz w:val="18"/>
                <w:szCs w:val="18"/>
                <w:color w:val="auto"/>
              </w:rPr>
              <w:t>Provider Services Revenue</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jc w:val="right"/>
              <w:ind w:right="10"/>
              <w:spacing w:after="0" w:line="183"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5"/>
                <w:szCs w:val="15"/>
                <w:color w:val="auto"/>
              </w:rPr>
            </w:pPr>
          </w:p>
        </w:tc>
        <w:tc>
          <w:tcPr>
            <w:tcW w:w="1000" w:type="dxa"/>
            <w:vAlign w:val="bottom"/>
            <w:gridSpan w:val="2"/>
          </w:tcPr>
          <w:p>
            <w:pPr>
              <w:ind w:left="620"/>
              <w:spacing w:after="0" w:line="183"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3"/>
          </w:tcPr>
          <w:p>
            <w:pPr>
              <w:jc w:val="right"/>
              <w:ind w:right="10"/>
              <w:spacing w:after="0" w:line="18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44"/>
        </w:trPr>
        <w:tc>
          <w:tcPr>
            <w:tcW w:w="27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2"/>
                <w:szCs w:val="12"/>
                <w:color w:val="auto"/>
              </w:rPr>
            </w:pPr>
          </w:p>
        </w:tc>
        <w:tc>
          <w:tcPr>
            <w:tcW w:w="100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1,318</w:t>
            </w:r>
          </w:p>
        </w:tc>
        <w:tc>
          <w:tcPr>
            <w:tcW w:w="260" w:type="dxa"/>
            <w:vAlign w:val="bottom"/>
            <w:gridSpan w:val="2"/>
            <w:vMerge w:val="restart"/>
          </w:tcPr>
          <w:p>
            <w:pPr>
              <w:spacing w:after="0"/>
              <w:rPr>
                <w:sz w:val="12"/>
                <w:szCs w:val="12"/>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26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bottom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Borders>
              <w:bottom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680" w:type="dxa"/>
            <w:vAlign w:val="bottom"/>
            <w:vMerge w:val="restart"/>
            <w:shd w:val="clear" w:color="auto" w:fill="CAEDFB"/>
          </w:tcPr>
          <w:p>
            <w:pPr>
              <w:ind w:left="16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vMerge w:val="restart"/>
            <w:shd w:val="clear" w:color="auto" w:fill="CAEDFB"/>
          </w:tcPr>
          <w:p>
            <w:pPr>
              <w:spacing w:after="0"/>
              <w:rPr>
                <w:sz w:val="15"/>
                <w:szCs w:val="15"/>
                <w:color w:val="auto"/>
              </w:rPr>
            </w:pPr>
          </w:p>
        </w:tc>
        <w:tc>
          <w:tcPr>
            <w:tcW w:w="340" w:type="dxa"/>
            <w:vAlign w:val="bottom"/>
            <w:vMerge w:val="restart"/>
            <w:shd w:val="clear" w:color="auto" w:fill="CAEDFB"/>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vMerge w:val="restart"/>
            <w:shd w:val="clear" w:color="auto" w:fill="CAEDFB"/>
          </w:tcPr>
          <w:p>
            <w:pPr>
              <w:jc w:val="right"/>
              <w:spacing w:after="0"/>
              <w:rPr>
                <w:sz w:val="20"/>
                <w:szCs w:val="20"/>
                <w:color w:val="auto"/>
              </w:rPr>
            </w:pPr>
            <w:r>
              <w:rPr>
                <w:rFonts w:ascii="Arial" w:cs="Arial" w:eastAsia="Arial" w:hAnsi="Arial"/>
                <w:sz w:val="18"/>
                <w:szCs w:val="18"/>
                <w:b w:val="1"/>
                <w:bCs w:val="1"/>
                <w:color w:val="auto"/>
                <w:w w:val="97"/>
              </w:rPr>
              <w:t>3,551</w:t>
            </w:r>
          </w:p>
        </w:tc>
        <w:tc>
          <w:tcPr>
            <w:tcW w:w="700" w:type="dxa"/>
            <w:vAlign w:val="bottom"/>
            <w:gridSpan w:val="4"/>
            <w:vMerge w:val="restart"/>
            <w:shd w:val="clear" w:color="auto" w:fill="CAEDFB"/>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CAEDFB"/>
          </w:tcPr>
          <w:p>
            <w:pPr>
              <w:spacing w:after="0"/>
              <w:rPr>
                <w:sz w:val="15"/>
                <w:szCs w:val="15"/>
                <w:color w:val="auto"/>
              </w:rPr>
            </w:pPr>
          </w:p>
        </w:tc>
        <w:tc>
          <w:tcPr>
            <w:tcW w:w="620" w:type="dxa"/>
            <w:vAlign w:val="bottom"/>
            <w:vMerge w:val="restart"/>
            <w:shd w:val="clear" w:color="auto" w:fill="CAEDFB"/>
          </w:tcPr>
          <w:p>
            <w:pPr>
              <w:jc w:val="right"/>
              <w:ind w:right="50"/>
              <w:spacing w:after="0"/>
              <w:rPr>
                <w:sz w:val="20"/>
                <w:szCs w:val="20"/>
                <w:color w:val="auto"/>
              </w:rPr>
            </w:pPr>
            <w:r>
              <w:rPr>
                <w:rFonts w:ascii="Arial" w:cs="Arial" w:eastAsia="Arial" w:hAnsi="Arial"/>
                <w:sz w:val="18"/>
                <w:szCs w:val="18"/>
                <w:b w:val="1"/>
                <w:bCs w:val="1"/>
                <w:color w:val="auto"/>
              </w:rPr>
              <w:t>2,747</w:t>
            </w:r>
          </w:p>
        </w:tc>
        <w:tc>
          <w:tcPr>
            <w:tcW w:w="240" w:type="dxa"/>
            <w:vAlign w:val="bottom"/>
            <w:shd w:val="clear" w:color="auto" w:fill="CAEDFB"/>
          </w:tcPr>
          <w:p>
            <w:pPr>
              <w:spacing w:after="0"/>
              <w:rPr>
                <w:sz w:val="15"/>
                <w:szCs w:val="15"/>
                <w:color w:val="auto"/>
              </w:rPr>
            </w:pPr>
          </w:p>
        </w:tc>
        <w:tc>
          <w:tcPr>
            <w:tcW w:w="20" w:type="dxa"/>
            <w:vAlign w:val="bottom"/>
            <w:shd w:val="clear" w:color="auto" w:fill="CAEDFB"/>
          </w:tcPr>
          <w:p>
            <w:pPr>
              <w:spacing w:after="0"/>
              <w:rPr>
                <w:sz w:val="15"/>
                <w:szCs w:val="15"/>
                <w:color w:val="auto"/>
              </w:rPr>
            </w:pPr>
          </w:p>
        </w:tc>
        <w:tc>
          <w:tcPr>
            <w:tcW w:w="520" w:type="dxa"/>
            <w:vAlign w:val="bottom"/>
            <w:gridSpan w:val="2"/>
            <w:shd w:val="clear" w:color="auto" w:fill="CAEDFB"/>
          </w:tcPr>
          <w:p>
            <w:pPr>
              <w:jc w:val="right"/>
              <w:ind w:right="10"/>
              <w:spacing w:after="0" w:line="177" w:lineRule="exact"/>
              <w:rPr>
                <w:sz w:val="20"/>
                <w:szCs w:val="20"/>
                <w:color w:val="auto"/>
              </w:rPr>
            </w:pPr>
            <w:r>
              <w:rPr>
                <w:rFonts w:ascii="Arial" w:cs="Arial" w:eastAsia="Arial" w:hAnsi="Arial"/>
                <w:sz w:val="18"/>
                <w:szCs w:val="18"/>
                <w:b w:val="1"/>
                <w:bCs w:val="1"/>
                <w:color w:val="auto"/>
              </w:rPr>
              <w:t>29</w:t>
            </w:r>
          </w:p>
        </w:tc>
        <w:tc>
          <w:tcPr>
            <w:tcW w:w="280" w:type="dxa"/>
            <w:vAlign w:val="bottom"/>
            <w:tcBorders>
              <w:right w:val="single" w:sz="8" w:color="CAEDFB"/>
            </w:tcBorders>
            <w:shd w:val="clear" w:color="auto" w:fill="CAEDFB"/>
          </w:tcPr>
          <w:p>
            <w:pPr>
              <w:spacing w:after="0"/>
              <w:rPr>
                <w:sz w:val="15"/>
                <w:szCs w:val="15"/>
                <w:color w:val="auto"/>
              </w:rPr>
            </w:pPr>
          </w:p>
        </w:tc>
        <w:tc>
          <w:tcPr>
            <w:tcW w:w="1000" w:type="dxa"/>
            <w:vAlign w:val="bottom"/>
            <w:gridSpan w:val="2"/>
            <w:vMerge w:val="restart"/>
            <w:shd w:val="clear" w:color="auto" w:fill="CAEDFB"/>
          </w:tcPr>
          <w:p>
            <w:pPr>
              <w:jc w:val="right"/>
              <w:ind w:right="30"/>
              <w:spacing w:after="0"/>
              <w:rPr>
                <w:sz w:val="20"/>
                <w:szCs w:val="20"/>
                <w:color w:val="auto"/>
              </w:rPr>
            </w:pPr>
            <w:r>
              <w:rPr>
                <w:rFonts w:ascii="Arial" w:cs="Arial" w:eastAsia="Arial" w:hAnsi="Arial"/>
                <w:sz w:val="18"/>
                <w:szCs w:val="18"/>
                <w:b w:val="1"/>
                <w:bCs w:val="1"/>
                <w:color w:val="auto"/>
              </w:rPr>
              <w:t>$ 12,911</w:t>
            </w:r>
          </w:p>
        </w:tc>
        <w:tc>
          <w:tcPr>
            <w:tcW w:w="100" w:type="dxa"/>
            <w:vAlign w:val="bottom"/>
            <w:shd w:val="clear" w:color="auto" w:fill="CAEDFB"/>
          </w:tcPr>
          <w:p>
            <w:pPr>
              <w:spacing w:after="0"/>
              <w:rPr>
                <w:sz w:val="15"/>
                <w:szCs w:val="15"/>
                <w:color w:val="auto"/>
              </w:rPr>
            </w:pPr>
          </w:p>
        </w:tc>
        <w:tc>
          <w:tcPr>
            <w:tcW w:w="160" w:type="dxa"/>
            <w:vAlign w:val="bottom"/>
            <w:shd w:val="clear" w:color="auto" w:fill="CAEDFB"/>
          </w:tcPr>
          <w:p>
            <w:pPr>
              <w:spacing w:after="0"/>
              <w:rPr>
                <w:sz w:val="15"/>
                <w:szCs w:val="15"/>
                <w:color w:val="auto"/>
              </w:rPr>
            </w:pPr>
          </w:p>
        </w:tc>
        <w:tc>
          <w:tcPr>
            <w:tcW w:w="1020" w:type="dxa"/>
            <w:vAlign w:val="bottom"/>
            <w:tcBorders>
              <w:right w:val="single" w:sz="8" w:color="CAEDFB"/>
            </w:tcBorders>
            <w:gridSpan w:val="2"/>
            <w:vMerge w:val="restart"/>
            <w:shd w:val="clear" w:color="auto" w:fill="CAEDFB"/>
          </w:tcPr>
          <w:p>
            <w:pPr>
              <w:jc w:val="right"/>
              <w:ind w:right="10"/>
              <w:spacing w:after="0"/>
              <w:rPr>
                <w:sz w:val="20"/>
                <w:szCs w:val="20"/>
                <w:color w:val="auto"/>
              </w:rPr>
            </w:pPr>
            <w:r>
              <w:rPr>
                <w:rFonts w:ascii="Arial" w:cs="Arial" w:eastAsia="Arial" w:hAnsi="Arial"/>
                <w:sz w:val="18"/>
                <w:szCs w:val="18"/>
                <w:b w:val="1"/>
                <w:bCs w:val="1"/>
                <w:color w:val="auto"/>
              </w:rPr>
              <w:t>$ 10,072</w:t>
            </w:r>
          </w:p>
        </w:tc>
        <w:tc>
          <w:tcPr>
            <w:tcW w:w="780" w:type="dxa"/>
            <w:vAlign w:val="bottom"/>
            <w:gridSpan w:val="3"/>
            <w:shd w:val="clear" w:color="auto" w:fill="CAEDFB"/>
          </w:tcPr>
          <w:p>
            <w:pPr>
              <w:jc w:val="right"/>
              <w:ind w:right="10"/>
              <w:spacing w:after="0" w:line="177" w:lineRule="exact"/>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1"/>
        </w:trPr>
        <w:tc>
          <w:tcPr>
            <w:tcW w:w="2680" w:type="dxa"/>
            <w:vAlign w:val="bottom"/>
            <w:tcBorders>
              <w:bottom w:val="single" w:sz="8" w:color="CAEDFB"/>
            </w:tcBorders>
            <w:vMerge w:val="continue"/>
            <w:shd w:val="clear" w:color="auto" w:fill="CAEDFB"/>
          </w:tcPr>
          <w:p>
            <w:pPr>
              <w:spacing w:after="0"/>
              <w:rPr>
                <w:sz w:val="17"/>
                <w:szCs w:val="17"/>
                <w:color w:val="auto"/>
              </w:rPr>
            </w:pPr>
          </w:p>
        </w:tc>
        <w:tc>
          <w:tcPr>
            <w:tcW w:w="100" w:type="dxa"/>
            <w:vAlign w:val="bottom"/>
            <w:tcBorders>
              <w:bottom w:val="single" w:sz="8" w:color="CAEDFB"/>
            </w:tcBorders>
            <w:vMerge w:val="continue"/>
            <w:shd w:val="clear" w:color="auto" w:fill="CAEDFB"/>
          </w:tcPr>
          <w:p>
            <w:pPr>
              <w:spacing w:after="0"/>
              <w:rPr>
                <w:sz w:val="17"/>
                <w:szCs w:val="17"/>
                <w:color w:val="auto"/>
              </w:rPr>
            </w:pPr>
          </w:p>
        </w:tc>
        <w:tc>
          <w:tcPr>
            <w:tcW w:w="340" w:type="dxa"/>
            <w:vAlign w:val="bottom"/>
            <w:tcBorders>
              <w:bottom w:val="single" w:sz="8" w:color="CAEDFB"/>
            </w:tcBorders>
            <w:vMerge w:val="continue"/>
            <w:shd w:val="clear" w:color="auto" w:fill="CAEDFB"/>
          </w:tcPr>
          <w:p>
            <w:pPr>
              <w:spacing w:after="0"/>
              <w:rPr>
                <w:sz w:val="17"/>
                <w:szCs w:val="17"/>
                <w:color w:val="auto"/>
              </w:rPr>
            </w:pPr>
          </w:p>
        </w:tc>
        <w:tc>
          <w:tcPr>
            <w:tcW w:w="500" w:type="dxa"/>
            <w:vAlign w:val="bottom"/>
            <w:tcBorders>
              <w:bottom w:val="single" w:sz="8" w:color="CAEDFB"/>
            </w:tcBorders>
            <w:vMerge w:val="continue"/>
            <w:shd w:val="clear" w:color="auto" w:fill="CAEDFB"/>
          </w:tcPr>
          <w:p>
            <w:pPr>
              <w:spacing w:after="0"/>
              <w:rPr>
                <w:sz w:val="17"/>
                <w:szCs w:val="17"/>
                <w:color w:val="auto"/>
              </w:rPr>
            </w:pPr>
          </w:p>
        </w:tc>
        <w:tc>
          <w:tcPr>
            <w:tcW w:w="700" w:type="dxa"/>
            <w:vAlign w:val="bottom"/>
            <w:tcBorders>
              <w:bottom w:val="single" w:sz="8" w:color="CAEDFB"/>
            </w:tcBorders>
            <w:gridSpan w:val="4"/>
            <w:vMerge w:val="continue"/>
            <w:shd w:val="clear" w:color="auto" w:fill="CAEDFB"/>
          </w:tcPr>
          <w:p>
            <w:pPr>
              <w:spacing w:after="0"/>
              <w:rPr>
                <w:sz w:val="17"/>
                <w:szCs w:val="17"/>
                <w:color w:val="auto"/>
              </w:rPr>
            </w:pPr>
          </w:p>
        </w:tc>
        <w:tc>
          <w:tcPr>
            <w:tcW w:w="20" w:type="dxa"/>
            <w:vAlign w:val="bottom"/>
            <w:tcBorders>
              <w:bottom w:val="single" w:sz="8" w:color="CAEDFB"/>
            </w:tcBorders>
            <w:shd w:val="clear" w:color="auto" w:fill="CAEDFB"/>
          </w:tcPr>
          <w:p>
            <w:pPr>
              <w:spacing w:after="0"/>
              <w:rPr>
                <w:sz w:val="17"/>
                <w:szCs w:val="17"/>
                <w:color w:val="auto"/>
              </w:rPr>
            </w:pPr>
          </w:p>
        </w:tc>
        <w:tc>
          <w:tcPr>
            <w:tcW w:w="620" w:type="dxa"/>
            <w:vAlign w:val="bottom"/>
            <w:tcBorders>
              <w:bottom w:val="single" w:sz="8" w:color="CAEDFB"/>
            </w:tcBorders>
            <w:vMerge w:val="continue"/>
            <w:shd w:val="clear" w:color="auto" w:fill="CAEDFB"/>
          </w:tcPr>
          <w:p>
            <w:pPr>
              <w:spacing w:after="0"/>
              <w:rPr>
                <w:sz w:val="17"/>
                <w:szCs w:val="17"/>
                <w:color w:val="auto"/>
              </w:rPr>
            </w:pPr>
          </w:p>
        </w:tc>
        <w:tc>
          <w:tcPr>
            <w:tcW w:w="240" w:type="dxa"/>
            <w:vAlign w:val="bottom"/>
            <w:tcBorders>
              <w:bottom w:val="single" w:sz="8" w:color="CAEDFB"/>
            </w:tcBorders>
            <w:shd w:val="clear" w:color="auto" w:fill="CAEDFB"/>
          </w:tcPr>
          <w:p>
            <w:pPr>
              <w:spacing w:after="0"/>
              <w:rPr>
                <w:sz w:val="17"/>
                <w:szCs w:val="17"/>
                <w:color w:val="auto"/>
              </w:rPr>
            </w:pPr>
          </w:p>
        </w:tc>
        <w:tc>
          <w:tcPr>
            <w:tcW w:w="20" w:type="dxa"/>
            <w:vAlign w:val="bottom"/>
            <w:tcBorders>
              <w:bottom w:val="single" w:sz="8" w:color="CAEDFB"/>
            </w:tcBorders>
            <w:shd w:val="clear" w:color="auto" w:fill="CAEDFB"/>
          </w:tcPr>
          <w:p>
            <w:pPr>
              <w:spacing w:after="0"/>
              <w:rPr>
                <w:sz w:val="17"/>
                <w:szCs w:val="17"/>
                <w:color w:val="auto"/>
              </w:rPr>
            </w:pPr>
          </w:p>
        </w:tc>
        <w:tc>
          <w:tcPr>
            <w:tcW w:w="520" w:type="dxa"/>
            <w:vAlign w:val="bottom"/>
            <w:tcBorders>
              <w:bottom w:val="single" w:sz="8" w:color="CAEDFB"/>
            </w:tcBorders>
            <w:gridSpan w:val="2"/>
            <w:shd w:val="clear" w:color="auto" w:fill="CAEDFB"/>
          </w:tcPr>
          <w:p>
            <w:pPr>
              <w:jc w:val="right"/>
              <w:ind w:right="10"/>
              <w:spacing w:after="0" w:line="161"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AEDFB"/>
              <w:right w:val="single" w:sz="8" w:color="CAEDFB"/>
            </w:tcBorders>
            <w:shd w:val="clear" w:color="auto" w:fill="CAEDFB"/>
          </w:tcPr>
          <w:p>
            <w:pPr>
              <w:spacing w:after="0"/>
              <w:rPr>
                <w:sz w:val="17"/>
                <w:szCs w:val="17"/>
                <w:color w:val="auto"/>
              </w:rPr>
            </w:pPr>
          </w:p>
        </w:tc>
        <w:tc>
          <w:tcPr>
            <w:tcW w:w="1000" w:type="dxa"/>
            <w:vAlign w:val="bottom"/>
            <w:tcBorders>
              <w:bottom w:val="single" w:sz="8" w:color="CAEDFB"/>
            </w:tcBorders>
            <w:gridSpan w:val="2"/>
            <w:vMerge w:val="continue"/>
            <w:shd w:val="clear" w:color="auto" w:fill="CAEDFB"/>
          </w:tcPr>
          <w:p>
            <w:pPr>
              <w:spacing w:after="0"/>
              <w:rPr>
                <w:sz w:val="17"/>
                <w:szCs w:val="17"/>
                <w:color w:val="auto"/>
              </w:rPr>
            </w:pPr>
          </w:p>
        </w:tc>
        <w:tc>
          <w:tcPr>
            <w:tcW w:w="100" w:type="dxa"/>
            <w:vAlign w:val="bottom"/>
            <w:tcBorders>
              <w:bottom w:val="single" w:sz="8" w:color="CAEDFB"/>
            </w:tcBorders>
            <w:shd w:val="clear" w:color="auto" w:fill="CAEDFB"/>
          </w:tcPr>
          <w:p>
            <w:pPr>
              <w:spacing w:after="0"/>
              <w:rPr>
                <w:sz w:val="17"/>
                <w:szCs w:val="17"/>
                <w:color w:val="auto"/>
              </w:rPr>
            </w:pPr>
          </w:p>
        </w:tc>
        <w:tc>
          <w:tcPr>
            <w:tcW w:w="160" w:type="dxa"/>
            <w:vAlign w:val="bottom"/>
            <w:tcBorders>
              <w:bottom w:val="single" w:sz="8" w:color="CAEDFB"/>
            </w:tcBorders>
            <w:shd w:val="clear" w:color="auto" w:fill="CAEDFB"/>
          </w:tcPr>
          <w:p>
            <w:pPr>
              <w:spacing w:after="0"/>
              <w:rPr>
                <w:sz w:val="17"/>
                <w:szCs w:val="17"/>
                <w:color w:val="auto"/>
              </w:rPr>
            </w:pPr>
          </w:p>
        </w:tc>
        <w:tc>
          <w:tcPr>
            <w:tcW w:w="1020" w:type="dxa"/>
            <w:vAlign w:val="bottom"/>
            <w:tcBorders>
              <w:bottom w:val="single" w:sz="8" w:color="CAEDFB"/>
              <w:right w:val="single" w:sz="8" w:color="CAEDFB"/>
            </w:tcBorders>
            <w:gridSpan w:val="2"/>
            <w:vMerge w:val="continue"/>
            <w:shd w:val="clear" w:color="auto" w:fill="CAEDFB"/>
          </w:tcPr>
          <w:p>
            <w:pPr>
              <w:spacing w:after="0"/>
              <w:rPr>
                <w:sz w:val="17"/>
                <w:szCs w:val="17"/>
                <w:color w:val="auto"/>
              </w:rPr>
            </w:pPr>
          </w:p>
        </w:tc>
        <w:tc>
          <w:tcPr>
            <w:tcW w:w="780" w:type="dxa"/>
            <w:vAlign w:val="bottom"/>
            <w:tcBorders>
              <w:bottom w:val="single" w:sz="8" w:color="CAEDFB"/>
            </w:tcBorders>
            <w:gridSpan w:val="3"/>
            <w:shd w:val="clear" w:color="auto" w:fill="CAEDFB"/>
          </w:tcPr>
          <w:p>
            <w:pPr>
              <w:jc w:val="right"/>
              <w:ind w:right="10"/>
              <w:spacing w:after="0" w:line="16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680" w:type="dxa"/>
            <w:vAlign w:val="bottom"/>
            <w:tcBorders>
              <w:top w:val="single" w:sz="8" w:color="CAEDFB"/>
            </w:tcBorders>
            <w:shd w:val="clear" w:color="auto" w:fill="CAEDFB"/>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AEDFB"/>
            </w:tcBorders>
            <w:shd w:val="clear" w:color="auto" w:fill="CAEDFB"/>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AEDFB"/>
            </w:tcBorders>
            <w:shd w:val="clear" w:color="auto" w:fill="CAEDFB"/>
          </w:tcPr>
          <w:p>
            <w:pPr>
              <w:spacing w:after="0" w:line="20" w:lineRule="exact"/>
              <w:rPr>
                <w:sz w:val="1"/>
                <w:szCs w:val="1"/>
                <w:color w:val="auto"/>
              </w:rPr>
            </w:pPr>
          </w:p>
        </w:tc>
        <w:tc>
          <w:tcPr>
            <w:tcW w:w="20" w:type="dxa"/>
            <w:vAlign w:val="bottom"/>
            <w:tcBorders>
              <w:top w:val="single" w:sz="8" w:color="CAEDFB"/>
            </w:tcBorders>
            <w:shd w:val="clear" w:color="auto" w:fill="CAEDFB"/>
          </w:tcPr>
          <w:p>
            <w:pPr>
              <w:spacing w:after="0" w:line="20" w:lineRule="exact"/>
              <w:rPr>
                <w:sz w:val="1"/>
                <w:szCs w:val="1"/>
                <w:color w:val="auto"/>
              </w:rPr>
            </w:pPr>
          </w:p>
        </w:tc>
        <w:tc>
          <w:tcPr>
            <w:tcW w:w="220" w:type="dxa"/>
            <w:vAlign w:val="bottom"/>
            <w:tcBorders>
              <w:top w:val="single" w:sz="8" w:color="CAEDFB"/>
            </w:tcBorders>
            <w:shd w:val="clear" w:color="auto" w:fill="CAEDFB"/>
          </w:tcPr>
          <w:p>
            <w:pPr>
              <w:spacing w:after="0" w:line="20" w:lineRule="exact"/>
              <w:rPr>
                <w:sz w:val="1"/>
                <w:szCs w:val="1"/>
                <w:color w:val="auto"/>
              </w:rPr>
            </w:pPr>
          </w:p>
        </w:tc>
        <w:tc>
          <w:tcPr>
            <w:tcW w:w="300" w:type="dxa"/>
            <w:vAlign w:val="bottom"/>
            <w:tcBorders>
              <w:top w:val="single" w:sz="8" w:color="CAEDFB"/>
            </w:tcBorders>
            <w:shd w:val="clear" w:color="auto" w:fill="CAEDFB"/>
          </w:tcPr>
          <w:p>
            <w:pPr>
              <w:spacing w:after="0" w:line="20" w:lineRule="exact"/>
              <w:rPr>
                <w:sz w:val="1"/>
                <w:szCs w:val="1"/>
                <w:color w:val="auto"/>
              </w:rPr>
            </w:pPr>
          </w:p>
        </w:tc>
        <w:tc>
          <w:tcPr>
            <w:tcW w:w="280" w:type="dxa"/>
            <w:vAlign w:val="bottom"/>
            <w:tcBorders>
              <w:top w:val="single" w:sz="8" w:color="CAEDFB"/>
              <w:right w:val="single" w:sz="8" w:color="auto"/>
            </w:tcBorders>
            <w:shd w:val="clear" w:color="auto" w:fill="CAEDFB"/>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AEDFB"/>
            </w:tcBorders>
            <w:shd w:val="clear" w:color="auto" w:fill="CAEDFB"/>
          </w:tcPr>
          <w:p>
            <w:pPr>
              <w:spacing w:after="0" w:line="20" w:lineRule="exact"/>
              <w:rPr>
                <w:sz w:val="1"/>
                <w:szCs w:val="1"/>
                <w:color w:val="auto"/>
              </w:rPr>
            </w:pPr>
          </w:p>
        </w:tc>
        <w:tc>
          <w:tcPr>
            <w:tcW w:w="160" w:type="dxa"/>
            <w:vAlign w:val="bottom"/>
            <w:tcBorders>
              <w:top w:val="single" w:sz="8" w:color="CAEDFB"/>
            </w:tcBorders>
            <w:shd w:val="clear" w:color="auto" w:fill="CAEDFB"/>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AEDFB"/>
            </w:tcBorders>
            <w:shd w:val="clear" w:color="auto" w:fill="CAEDFB"/>
          </w:tcPr>
          <w:p>
            <w:pPr>
              <w:spacing w:after="0" w:line="20" w:lineRule="exact"/>
              <w:rPr>
                <w:sz w:val="1"/>
                <w:szCs w:val="1"/>
                <w:color w:val="auto"/>
              </w:rPr>
            </w:pPr>
          </w:p>
        </w:tc>
        <w:tc>
          <w:tcPr>
            <w:tcW w:w="40" w:type="dxa"/>
            <w:vAlign w:val="bottom"/>
            <w:tcBorders>
              <w:top w:val="single" w:sz="8" w:color="CAEDFB"/>
            </w:tcBorders>
            <w:shd w:val="clear" w:color="auto" w:fill="CAEDFB"/>
          </w:tcPr>
          <w:p>
            <w:pPr>
              <w:spacing w:after="0" w:line="20" w:lineRule="exact"/>
              <w:rPr>
                <w:sz w:val="1"/>
                <w:szCs w:val="1"/>
                <w:color w:val="auto"/>
              </w:rPr>
            </w:pPr>
          </w:p>
        </w:tc>
        <w:tc>
          <w:tcPr>
            <w:tcW w:w="520" w:type="dxa"/>
            <w:vAlign w:val="bottom"/>
            <w:tcBorders>
              <w:top w:val="single" w:sz="8" w:color="CAEDFB"/>
            </w:tcBorders>
            <w:shd w:val="clear" w:color="auto" w:fill="CAED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9"/>
          </w:tcPr>
          <w:p>
            <w:pPr>
              <w:jc w:val="center"/>
              <w:ind w:right="4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9"/>
          </w:tcPr>
          <w:p>
            <w:pPr>
              <w:jc w:val="center"/>
              <w:ind w:right="80"/>
              <w:spacing w:after="0" w:line="202"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5"/>
          </w:tcPr>
          <w:p>
            <w:pPr>
              <w:ind w:left="380"/>
              <w:spacing w:after="0" w:line="202"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8"/>
                <w:szCs w:val="18"/>
                <w:b w:val="1"/>
                <w:bCs w:val="1"/>
                <w:color w:val="auto"/>
                <w:w w:val="99"/>
              </w:rPr>
              <w:t>(Unaudited)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780" w:type="dxa"/>
            <w:vAlign w:val="bottom"/>
            <w:gridSpan w:val="2"/>
            <w:vMerge w:val="restart"/>
          </w:tcPr>
          <w:p>
            <w:pPr>
              <w:ind w:left="10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8"/>
                <w:szCs w:val="18"/>
                <w:color w:val="auto"/>
              </w:rPr>
            </w:pPr>
          </w:p>
        </w:tc>
        <w:tc>
          <w:tcPr>
            <w:tcW w:w="10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9"/>
              </w:rPr>
              <w:t>2024</w:t>
            </w:r>
          </w:p>
        </w:tc>
        <w:tc>
          <w:tcPr>
            <w:tcW w:w="7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5"/>
        </w:trPr>
        <w:tc>
          <w:tcPr>
            <w:tcW w:w="278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78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Pharmacy Solutions segment</w:t>
            </w: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00" w:type="dxa"/>
            <w:vAlign w:val="bottom"/>
            <w:gridSpan w:val="2"/>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395</w:t>
            </w: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120" w:type="dxa"/>
            <w:vAlign w:val="bottom"/>
            <w:gridSpan w:val="3"/>
          </w:tcPr>
          <w:p>
            <w:pPr>
              <w:ind w:left="100"/>
              <w:spacing w:after="0"/>
              <w:rPr>
                <w:sz w:val="20"/>
                <w:szCs w:val="20"/>
                <w:color w:val="auto"/>
              </w:rPr>
            </w:pPr>
            <w:r>
              <w:rPr>
                <w:rFonts w:ascii="Arial" w:cs="Arial" w:eastAsia="Arial" w:hAnsi="Arial"/>
                <w:sz w:val="18"/>
                <w:szCs w:val="18"/>
                <w:color w:val="auto"/>
              </w:rPr>
              <w:t>Provider Services segment EBITDA</w:t>
            </w:r>
          </w:p>
        </w:tc>
        <w:tc>
          <w:tcPr>
            <w:tcW w:w="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205</w:t>
            </w:r>
          </w:p>
        </w:tc>
        <w:tc>
          <w:tcPr>
            <w:tcW w:w="220" w:type="dxa"/>
            <w:vAlign w:val="bottom"/>
          </w:tcPr>
          <w:p>
            <w:pPr>
              <w:spacing w:after="0"/>
              <w:rPr>
                <w:sz w:val="21"/>
                <w:szCs w:val="21"/>
                <w:color w:val="auto"/>
              </w:rPr>
            </w:pPr>
          </w:p>
        </w:tc>
        <w:tc>
          <w:tcPr>
            <w:tcW w:w="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7"/>
        </w:trPr>
        <w:tc>
          <w:tcPr>
            <w:tcW w:w="27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Total Segment Adjusted EBITDA</w:t>
            </w: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30"/>
              <w:spacing w:after="0" w:line="177"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000" w:type="dxa"/>
            <w:vAlign w:val="bottom"/>
            <w:gridSpan w:val="2"/>
            <w:shd w:val="clear" w:color="auto" w:fill="CCEEFF"/>
          </w:tcPr>
          <w:p>
            <w:pPr>
              <w:ind w:left="600"/>
              <w:spacing w:after="0" w:line="177"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410"/>
              <w:spacing w:after="0" w:line="177"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80" w:type="dxa"/>
            <w:vAlign w:val="bottom"/>
            <w:gridSpan w:val="2"/>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3"/>
              </w:rPr>
              <w:t>227</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vMerge w:val="restart"/>
            <w:shd w:val="clear" w:color="auto" w:fill="CCEEFF"/>
          </w:tcPr>
          <w:p>
            <w:pPr>
              <w:jc w:val="center"/>
              <w:ind w:left="230"/>
              <w:spacing w:after="0"/>
              <w:rPr>
                <w:sz w:val="20"/>
                <w:szCs w:val="20"/>
                <w:color w:val="auto"/>
              </w:rPr>
            </w:pPr>
            <w:r>
              <w:rPr>
                <w:rFonts w:ascii="Arial" w:cs="Arial" w:eastAsia="Arial" w:hAnsi="Arial"/>
                <w:sz w:val="18"/>
                <w:szCs w:val="18"/>
                <w:color w:val="auto"/>
                <w:w w:val="99"/>
              </w:rPr>
              <w:t>600</w:t>
            </w:r>
          </w:p>
        </w:tc>
        <w:tc>
          <w:tcPr>
            <w:tcW w:w="78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90"/>
        </w:trPr>
        <w:tc>
          <w:tcPr>
            <w:tcW w:w="2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0" w:type="dxa"/>
            <w:vAlign w:val="bottom"/>
            <w:tcBorders>
              <w:right w:val="single" w:sz="8" w:color="CCEEFF"/>
            </w:tcBorders>
            <w:gridSpan w:val="3"/>
            <w:vMerge w:val="continue"/>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20" w:type="dxa"/>
            <w:vAlign w:val="bottom"/>
            <w:tcBorders>
              <w:right w:val="single" w:sz="8" w:color="CCEEFF"/>
            </w:tcBorders>
            <w:gridSpan w:val="2"/>
            <w:vMerge w:val="continue"/>
            <w:shd w:val="clear" w:color="auto" w:fill="CCEEFF"/>
          </w:tcPr>
          <w:p>
            <w:pPr>
              <w:spacing w:after="0"/>
              <w:rPr>
                <w:sz w:val="7"/>
                <w:szCs w:val="7"/>
                <w:color w:val="auto"/>
              </w:rPr>
            </w:pPr>
          </w:p>
        </w:tc>
        <w:tc>
          <w:tcPr>
            <w:tcW w:w="78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780" w:type="dxa"/>
            <w:vAlign w:val="bottom"/>
            <w:gridSpan w:val="2"/>
          </w:tcPr>
          <w:p>
            <w:pPr>
              <w:ind w:left="100"/>
              <w:spacing w:after="0"/>
              <w:rPr>
                <w:sz w:val="20"/>
                <w:szCs w:val="20"/>
                <w:color w:val="auto"/>
              </w:rPr>
            </w:pPr>
            <w:r>
              <w:rPr>
                <w:rFonts w:ascii="Arial" w:cs="Arial" w:eastAsia="Arial" w:hAnsi="Arial"/>
                <w:sz w:val="18"/>
                <w:szCs w:val="18"/>
                <w:color w:val="auto"/>
              </w:rPr>
              <w:t>Corporate Costs</w:t>
            </w:r>
          </w:p>
        </w:tc>
        <w:tc>
          <w:tcPr>
            <w:tcW w:w="3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(43)</w:t>
            </w: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1"/>
                <w:szCs w:val="21"/>
                <w:color w:val="auto"/>
              </w:rPr>
            </w:pPr>
          </w:p>
        </w:tc>
        <w:tc>
          <w:tcPr>
            <w:tcW w:w="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780" w:type="dxa"/>
            <w:vAlign w:val="bottom"/>
            <w:gridSpan w:val="2"/>
            <w:shd w:val="clear" w:color="auto" w:fill="CAEDFB"/>
          </w:tcPr>
          <w:p>
            <w:pPr>
              <w:ind w:left="160"/>
              <w:spacing w:after="0" w:line="169" w:lineRule="exact"/>
              <w:rPr>
                <w:sz w:val="20"/>
                <w:szCs w:val="20"/>
                <w:color w:val="auto"/>
              </w:rPr>
            </w:pPr>
            <w:r>
              <w:rPr>
                <w:rFonts w:ascii="Arial" w:cs="Arial" w:eastAsia="Arial" w:hAnsi="Arial"/>
                <w:sz w:val="18"/>
                <w:szCs w:val="18"/>
                <w:b w:val="1"/>
                <w:bCs w:val="1"/>
                <w:color w:val="auto"/>
              </w:rPr>
              <w:t>Total Company Adjusted</w:t>
            </w:r>
          </w:p>
        </w:tc>
        <w:tc>
          <w:tcPr>
            <w:tcW w:w="340" w:type="dxa"/>
            <w:vAlign w:val="bottom"/>
            <w:shd w:val="clear" w:color="auto" w:fill="CAEDFB"/>
          </w:tcPr>
          <w:p>
            <w:pPr>
              <w:spacing w:after="0"/>
              <w:rPr>
                <w:sz w:val="14"/>
                <w:szCs w:val="14"/>
                <w:color w:val="auto"/>
              </w:rPr>
            </w:pPr>
          </w:p>
        </w:tc>
        <w:tc>
          <w:tcPr>
            <w:tcW w:w="500" w:type="dxa"/>
            <w:vAlign w:val="bottom"/>
            <w:shd w:val="clear" w:color="auto" w:fill="CAEDFB"/>
          </w:tcPr>
          <w:p>
            <w:pPr>
              <w:spacing w:after="0"/>
              <w:rPr>
                <w:sz w:val="14"/>
                <w:szCs w:val="14"/>
                <w:color w:val="auto"/>
              </w:rPr>
            </w:pPr>
          </w:p>
        </w:tc>
        <w:tc>
          <w:tcPr>
            <w:tcW w:w="80" w:type="dxa"/>
            <w:vAlign w:val="bottom"/>
            <w:shd w:val="clear" w:color="auto" w:fill="CAEDFB"/>
          </w:tcPr>
          <w:p>
            <w:pPr>
              <w:spacing w:after="0"/>
              <w:rPr>
                <w:sz w:val="14"/>
                <w:szCs w:val="14"/>
                <w:color w:val="auto"/>
              </w:rPr>
            </w:pPr>
          </w:p>
        </w:tc>
        <w:tc>
          <w:tcPr>
            <w:tcW w:w="240" w:type="dxa"/>
            <w:vAlign w:val="bottom"/>
            <w:shd w:val="clear" w:color="auto" w:fill="CAEDFB"/>
          </w:tcPr>
          <w:p>
            <w:pPr>
              <w:spacing w:after="0"/>
              <w:rPr>
                <w:sz w:val="14"/>
                <w:szCs w:val="14"/>
                <w:color w:val="auto"/>
              </w:rPr>
            </w:pPr>
          </w:p>
        </w:tc>
        <w:tc>
          <w:tcPr>
            <w:tcW w:w="120" w:type="dxa"/>
            <w:vAlign w:val="bottom"/>
            <w:shd w:val="clear" w:color="auto" w:fill="CAEDFB"/>
          </w:tcPr>
          <w:p>
            <w:pPr>
              <w:spacing w:after="0"/>
              <w:rPr>
                <w:sz w:val="14"/>
                <w:szCs w:val="14"/>
                <w:color w:val="auto"/>
              </w:rPr>
            </w:pPr>
          </w:p>
        </w:tc>
        <w:tc>
          <w:tcPr>
            <w:tcW w:w="260" w:type="dxa"/>
            <w:vAlign w:val="bottom"/>
            <w:shd w:val="clear" w:color="auto" w:fill="CAEDFB"/>
          </w:tcPr>
          <w:p>
            <w:pPr>
              <w:spacing w:after="0"/>
              <w:rPr>
                <w:sz w:val="14"/>
                <w:szCs w:val="14"/>
                <w:color w:val="auto"/>
              </w:rPr>
            </w:pPr>
          </w:p>
        </w:tc>
        <w:tc>
          <w:tcPr>
            <w:tcW w:w="20" w:type="dxa"/>
            <w:vAlign w:val="bottom"/>
            <w:shd w:val="clear" w:color="auto" w:fill="CAEDFB"/>
          </w:tcPr>
          <w:p>
            <w:pPr>
              <w:spacing w:after="0"/>
              <w:rPr>
                <w:sz w:val="14"/>
                <w:szCs w:val="14"/>
                <w:color w:val="auto"/>
              </w:rPr>
            </w:pPr>
          </w:p>
        </w:tc>
        <w:tc>
          <w:tcPr>
            <w:tcW w:w="620" w:type="dxa"/>
            <w:vAlign w:val="bottom"/>
            <w:shd w:val="clear" w:color="auto" w:fill="CAEDFB"/>
          </w:tcPr>
          <w:p>
            <w:pPr>
              <w:jc w:val="right"/>
              <w:ind w:right="130"/>
              <w:spacing w:after="0" w:line="169"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AEDFB"/>
          </w:tcPr>
          <w:p>
            <w:pPr>
              <w:spacing w:after="0"/>
              <w:rPr>
                <w:sz w:val="14"/>
                <w:szCs w:val="14"/>
                <w:color w:val="auto"/>
              </w:rPr>
            </w:pPr>
          </w:p>
        </w:tc>
        <w:tc>
          <w:tcPr>
            <w:tcW w:w="20" w:type="dxa"/>
            <w:vAlign w:val="bottom"/>
            <w:shd w:val="clear" w:color="auto" w:fill="CAEDFB"/>
          </w:tcPr>
          <w:p>
            <w:pPr>
              <w:spacing w:after="0"/>
              <w:rPr>
                <w:sz w:val="14"/>
                <w:szCs w:val="14"/>
                <w:color w:val="auto"/>
              </w:rPr>
            </w:pPr>
          </w:p>
        </w:tc>
        <w:tc>
          <w:tcPr>
            <w:tcW w:w="220" w:type="dxa"/>
            <w:vAlign w:val="bottom"/>
            <w:shd w:val="clear" w:color="auto" w:fill="CAEDFB"/>
          </w:tcPr>
          <w:p>
            <w:pPr>
              <w:spacing w:after="0"/>
              <w:rPr>
                <w:sz w:val="14"/>
                <w:szCs w:val="14"/>
                <w:color w:val="auto"/>
              </w:rPr>
            </w:pPr>
          </w:p>
        </w:tc>
        <w:tc>
          <w:tcPr>
            <w:tcW w:w="300" w:type="dxa"/>
            <w:vAlign w:val="bottom"/>
            <w:shd w:val="clear" w:color="auto" w:fill="CAEDFB"/>
          </w:tcPr>
          <w:p>
            <w:pPr>
              <w:spacing w:after="0"/>
              <w:rPr>
                <w:sz w:val="14"/>
                <w:szCs w:val="14"/>
                <w:color w:val="auto"/>
              </w:rPr>
            </w:pPr>
          </w:p>
        </w:tc>
        <w:tc>
          <w:tcPr>
            <w:tcW w:w="280" w:type="dxa"/>
            <w:vAlign w:val="bottom"/>
            <w:tcBorders>
              <w:right w:val="single" w:sz="8" w:color="CAEDFB"/>
            </w:tcBorders>
            <w:shd w:val="clear" w:color="auto" w:fill="CAEDFB"/>
          </w:tcPr>
          <w:p>
            <w:pPr>
              <w:spacing w:after="0"/>
              <w:rPr>
                <w:sz w:val="14"/>
                <w:szCs w:val="14"/>
                <w:color w:val="auto"/>
              </w:rPr>
            </w:pPr>
          </w:p>
        </w:tc>
        <w:tc>
          <w:tcPr>
            <w:tcW w:w="1000" w:type="dxa"/>
            <w:vAlign w:val="bottom"/>
            <w:gridSpan w:val="2"/>
            <w:shd w:val="clear" w:color="auto" w:fill="CAEDFB"/>
          </w:tcPr>
          <w:p>
            <w:pPr>
              <w:jc w:val="right"/>
              <w:ind w:right="250"/>
              <w:spacing w:after="0" w:line="169"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AEDFB"/>
          </w:tcPr>
          <w:p>
            <w:pPr>
              <w:spacing w:after="0"/>
              <w:rPr>
                <w:sz w:val="14"/>
                <w:szCs w:val="14"/>
                <w:color w:val="auto"/>
              </w:rPr>
            </w:pPr>
          </w:p>
        </w:tc>
        <w:tc>
          <w:tcPr>
            <w:tcW w:w="160" w:type="dxa"/>
            <w:vAlign w:val="bottom"/>
            <w:shd w:val="clear" w:color="auto" w:fill="CAEDFB"/>
          </w:tcPr>
          <w:p>
            <w:pPr>
              <w:spacing w:after="0"/>
              <w:rPr>
                <w:sz w:val="14"/>
                <w:szCs w:val="14"/>
                <w:color w:val="auto"/>
              </w:rPr>
            </w:pPr>
          </w:p>
        </w:tc>
        <w:tc>
          <w:tcPr>
            <w:tcW w:w="1020" w:type="dxa"/>
            <w:vAlign w:val="bottom"/>
            <w:tcBorders>
              <w:right w:val="single" w:sz="8" w:color="CAEDFB"/>
            </w:tcBorders>
            <w:gridSpan w:val="2"/>
            <w:shd w:val="clear" w:color="auto" w:fill="CAEDFB"/>
          </w:tcPr>
          <w:p>
            <w:pPr>
              <w:jc w:val="right"/>
              <w:ind w:right="410"/>
              <w:spacing w:after="0" w:line="169"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AEDFB"/>
          </w:tcPr>
          <w:p>
            <w:pPr>
              <w:spacing w:after="0"/>
              <w:rPr>
                <w:sz w:val="14"/>
                <w:szCs w:val="14"/>
                <w:color w:val="auto"/>
              </w:rPr>
            </w:pPr>
          </w:p>
        </w:tc>
        <w:tc>
          <w:tcPr>
            <w:tcW w:w="40" w:type="dxa"/>
            <w:vAlign w:val="bottom"/>
            <w:shd w:val="clear" w:color="auto" w:fill="CAEDFB"/>
          </w:tcPr>
          <w:p>
            <w:pPr>
              <w:spacing w:after="0"/>
              <w:rPr>
                <w:sz w:val="14"/>
                <w:szCs w:val="14"/>
                <w:color w:val="auto"/>
              </w:rPr>
            </w:pPr>
          </w:p>
        </w:tc>
        <w:tc>
          <w:tcPr>
            <w:tcW w:w="520" w:type="dxa"/>
            <w:vAlign w:val="bottom"/>
            <w:shd w:val="clear" w:color="auto" w:fill="CAEDFB"/>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780" w:type="dxa"/>
            <w:vAlign w:val="bottom"/>
            <w:tcBorders>
              <w:bottom w:val="single" w:sz="8" w:color="CAEDFB"/>
            </w:tcBorders>
            <w:gridSpan w:val="2"/>
            <w:shd w:val="clear" w:color="auto" w:fill="CAEDFB"/>
          </w:tcPr>
          <w:p>
            <w:pPr>
              <w:ind w:left="100"/>
              <w:spacing w:after="0" w:line="210" w:lineRule="exact"/>
              <w:rPr>
                <w:sz w:val="20"/>
                <w:szCs w:val="20"/>
                <w:color w:val="auto"/>
              </w:rPr>
            </w:pPr>
            <w:r>
              <w:rPr>
                <w:rFonts w:ascii="Arial" w:cs="Arial" w:eastAsia="Arial" w:hAnsi="Arial"/>
                <w:sz w:val="17"/>
                <w:szCs w:val="17"/>
                <w:b w:val="1"/>
                <w:bCs w:val="1"/>
                <w:color w:val="auto"/>
              </w:rPr>
              <w:t>EBITDA</w:t>
            </w:r>
            <w:r>
              <w:rPr>
                <w:rFonts w:ascii="Arial" w:cs="Arial" w:eastAsia="Arial" w:hAnsi="Arial"/>
                <w:sz w:val="24"/>
                <w:szCs w:val="24"/>
                <w:b w:val="1"/>
                <w:bCs w:val="1"/>
                <w:color w:val="auto"/>
                <w:vertAlign w:val="superscript"/>
              </w:rPr>
              <w:t>(1)</w:t>
            </w:r>
          </w:p>
        </w:tc>
        <w:tc>
          <w:tcPr>
            <w:tcW w:w="340" w:type="dxa"/>
            <w:vAlign w:val="bottom"/>
            <w:tcBorders>
              <w:bottom w:val="single" w:sz="8" w:color="CAEDFB"/>
            </w:tcBorders>
            <w:shd w:val="clear" w:color="auto" w:fill="CAEDFB"/>
          </w:tcPr>
          <w:p>
            <w:pPr>
              <w:spacing w:after="0"/>
              <w:rPr>
                <w:sz w:val="23"/>
                <w:szCs w:val="23"/>
                <w:color w:val="auto"/>
              </w:rPr>
            </w:pPr>
          </w:p>
        </w:tc>
        <w:tc>
          <w:tcPr>
            <w:tcW w:w="500" w:type="dxa"/>
            <w:vAlign w:val="bottom"/>
            <w:tcBorders>
              <w:bottom w:val="single" w:sz="8" w:color="auto"/>
            </w:tcBorders>
            <w:shd w:val="clear" w:color="auto" w:fill="CAEDFB"/>
          </w:tcPr>
          <w:p>
            <w:pPr>
              <w:jc w:val="right"/>
              <w:ind w:right="17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gridSpan w:val="3"/>
            <w:shd w:val="clear" w:color="auto" w:fill="CAEDFB"/>
          </w:tcPr>
          <w:p>
            <w:pPr>
              <w:jc w:val="right"/>
              <w:ind w:right="100"/>
              <w:spacing w:after="0"/>
              <w:rPr>
                <w:sz w:val="20"/>
                <w:szCs w:val="20"/>
                <w:color w:val="auto"/>
              </w:rPr>
            </w:pPr>
            <w:r>
              <w:rPr>
                <w:rFonts w:ascii="Arial" w:cs="Arial" w:eastAsia="Arial" w:hAnsi="Arial"/>
                <w:sz w:val="18"/>
                <w:szCs w:val="18"/>
                <w:b w:val="1"/>
                <w:bCs w:val="1"/>
                <w:color w:val="auto"/>
              </w:rPr>
              <w:t>184</w:t>
            </w:r>
          </w:p>
        </w:tc>
        <w:tc>
          <w:tcPr>
            <w:tcW w:w="260" w:type="dxa"/>
            <w:vAlign w:val="bottom"/>
            <w:tcBorders>
              <w:bottom w:val="single" w:sz="8" w:color="CAEDFB"/>
            </w:tcBorders>
            <w:shd w:val="clear" w:color="auto" w:fill="CAEDFB"/>
          </w:tcPr>
          <w:p>
            <w:pPr>
              <w:spacing w:after="0"/>
              <w:rPr>
                <w:sz w:val="23"/>
                <w:szCs w:val="23"/>
                <w:color w:val="auto"/>
              </w:rPr>
            </w:pPr>
          </w:p>
        </w:tc>
        <w:tc>
          <w:tcPr>
            <w:tcW w:w="20" w:type="dxa"/>
            <w:vAlign w:val="bottom"/>
            <w:tcBorders>
              <w:bottom w:val="single" w:sz="8" w:color="auto"/>
            </w:tcBorders>
            <w:shd w:val="clear" w:color="auto" w:fill="CAEDFB"/>
          </w:tcPr>
          <w:p>
            <w:pPr>
              <w:spacing w:after="0"/>
              <w:rPr>
                <w:sz w:val="23"/>
                <w:szCs w:val="23"/>
                <w:color w:val="auto"/>
              </w:rPr>
            </w:pPr>
          </w:p>
        </w:tc>
        <w:tc>
          <w:tcPr>
            <w:tcW w:w="860" w:type="dxa"/>
            <w:vAlign w:val="bottom"/>
            <w:tcBorders>
              <w:bottom w:val="single" w:sz="8" w:color="auto"/>
            </w:tcBorders>
            <w:gridSpan w:val="2"/>
            <w:shd w:val="clear" w:color="auto" w:fill="CAEDFB"/>
          </w:tcPr>
          <w:p>
            <w:pPr>
              <w:jc w:val="right"/>
              <w:ind w:right="160"/>
              <w:spacing w:after="0"/>
              <w:rPr>
                <w:sz w:val="20"/>
                <w:szCs w:val="20"/>
                <w:color w:val="auto"/>
              </w:rPr>
            </w:pPr>
            <w:r>
              <w:rPr>
                <w:rFonts w:ascii="Arial" w:cs="Arial" w:eastAsia="Arial" w:hAnsi="Arial"/>
                <w:sz w:val="18"/>
                <w:szCs w:val="18"/>
                <w:b w:val="1"/>
                <w:bCs w:val="1"/>
                <w:color w:val="auto"/>
              </w:rPr>
              <w:t>130</w:t>
            </w:r>
          </w:p>
        </w:tc>
        <w:tc>
          <w:tcPr>
            <w:tcW w:w="20" w:type="dxa"/>
            <w:vAlign w:val="bottom"/>
            <w:tcBorders>
              <w:bottom w:val="single" w:sz="8" w:color="CAEDFB"/>
            </w:tcBorders>
            <w:shd w:val="clear" w:color="auto" w:fill="CAEDFB"/>
          </w:tcPr>
          <w:p>
            <w:pPr>
              <w:spacing w:after="0"/>
              <w:rPr>
                <w:sz w:val="23"/>
                <w:szCs w:val="23"/>
                <w:color w:val="auto"/>
              </w:rPr>
            </w:pPr>
          </w:p>
        </w:tc>
        <w:tc>
          <w:tcPr>
            <w:tcW w:w="800" w:type="dxa"/>
            <w:vAlign w:val="bottom"/>
            <w:tcBorders>
              <w:bottom w:val="single" w:sz="8" w:color="CAEDFB"/>
              <w:right w:val="single" w:sz="8" w:color="CAEDFB"/>
            </w:tcBorders>
            <w:gridSpan w:val="3"/>
            <w:shd w:val="clear" w:color="auto" w:fill="CAEDFB"/>
          </w:tcPr>
          <w:p>
            <w:pPr>
              <w:jc w:val="right"/>
              <w:ind w:right="100"/>
              <w:spacing w:after="0"/>
              <w:rPr>
                <w:sz w:val="20"/>
                <w:szCs w:val="20"/>
                <w:color w:val="auto"/>
              </w:rPr>
            </w:pPr>
            <w:r>
              <w:rPr>
                <w:rFonts w:ascii="Arial" w:cs="Arial" w:eastAsia="Arial" w:hAnsi="Arial"/>
                <w:sz w:val="18"/>
                <w:szCs w:val="18"/>
                <w:b w:val="1"/>
                <w:bCs w:val="1"/>
                <w:color w:val="auto"/>
              </w:rPr>
              <w:t>41%</w:t>
            </w:r>
          </w:p>
        </w:tc>
        <w:tc>
          <w:tcPr>
            <w:tcW w:w="260" w:type="dxa"/>
            <w:vAlign w:val="bottom"/>
            <w:tcBorders>
              <w:bottom w:val="single" w:sz="8" w:color="CAEDFB"/>
            </w:tcBorders>
            <w:shd w:val="clear" w:color="auto" w:fill="CAEDFB"/>
          </w:tcPr>
          <w:p>
            <w:pPr>
              <w:spacing w:after="0"/>
              <w:rPr>
                <w:sz w:val="23"/>
                <w:szCs w:val="23"/>
                <w:color w:val="auto"/>
              </w:rPr>
            </w:pPr>
          </w:p>
        </w:tc>
        <w:tc>
          <w:tcPr>
            <w:tcW w:w="840" w:type="dxa"/>
            <w:vAlign w:val="bottom"/>
            <w:tcBorders>
              <w:bottom w:val="single" w:sz="8" w:color="auto"/>
            </w:tcBorders>
            <w:gridSpan w:val="2"/>
            <w:shd w:val="clear" w:color="auto" w:fill="CAEDFB"/>
          </w:tcPr>
          <w:p>
            <w:pPr>
              <w:jc w:val="right"/>
              <w:ind w:right="100"/>
              <w:spacing w:after="0"/>
              <w:rPr>
                <w:sz w:val="20"/>
                <w:szCs w:val="20"/>
                <w:color w:val="auto"/>
              </w:rPr>
            </w:pPr>
            <w:r>
              <w:rPr>
                <w:rFonts w:ascii="Arial" w:cs="Arial" w:eastAsia="Arial" w:hAnsi="Arial"/>
                <w:sz w:val="18"/>
                <w:szCs w:val="18"/>
                <w:b w:val="1"/>
                <w:bCs w:val="1"/>
                <w:color w:val="auto"/>
              </w:rPr>
              <w:t>618</w:t>
            </w:r>
          </w:p>
        </w:tc>
        <w:tc>
          <w:tcPr>
            <w:tcW w:w="160" w:type="dxa"/>
            <w:vAlign w:val="bottom"/>
            <w:tcBorders>
              <w:bottom w:val="single" w:sz="8" w:color="CAEDFB"/>
            </w:tcBorders>
            <w:shd w:val="clear" w:color="auto" w:fill="CAEDFB"/>
          </w:tcPr>
          <w:p>
            <w:pPr>
              <w:spacing w:after="0"/>
              <w:rPr>
                <w:sz w:val="23"/>
                <w:szCs w:val="23"/>
                <w:color w:val="auto"/>
              </w:rPr>
            </w:pPr>
          </w:p>
        </w:tc>
        <w:tc>
          <w:tcPr>
            <w:tcW w:w="100" w:type="dxa"/>
            <w:vAlign w:val="bottom"/>
            <w:tcBorders>
              <w:bottom w:val="single" w:sz="8" w:color="CAEDFB"/>
            </w:tcBorders>
            <w:shd w:val="clear" w:color="auto" w:fill="CAEDFB"/>
          </w:tcPr>
          <w:p>
            <w:pPr>
              <w:spacing w:after="0"/>
              <w:rPr>
                <w:sz w:val="23"/>
                <w:szCs w:val="23"/>
                <w:color w:val="auto"/>
              </w:rPr>
            </w:pPr>
          </w:p>
        </w:tc>
        <w:tc>
          <w:tcPr>
            <w:tcW w:w="920" w:type="dxa"/>
            <w:vAlign w:val="bottom"/>
            <w:tcBorders>
              <w:bottom w:val="single" w:sz="8" w:color="auto"/>
              <w:right w:val="single" w:sz="8" w:color="CAEDFB"/>
            </w:tcBorders>
            <w:shd w:val="clear" w:color="auto" w:fill="CAEDFB"/>
          </w:tcPr>
          <w:p>
            <w:pPr>
              <w:jc w:val="center"/>
              <w:ind w:left="130"/>
              <w:spacing w:after="0"/>
              <w:rPr>
                <w:sz w:val="20"/>
                <w:szCs w:val="20"/>
                <w:color w:val="auto"/>
              </w:rPr>
            </w:pPr>
            <w:r>
              <w:rPr>
                <w:rFonts w:ascii="Arial" w:cs="Arial" w:eastAsia="Arial" w:hAnsi="Arial"/>
                <w:sz w:val="18"/>
                <w:szCs w:val="18"/>
                <w:b w:val="1"/>
                <w:bCs w:val="1"/>
                <w:color w:val="auto"/>
                <w:w w:val="99"/>
              </w:rPr>
              <w:t>460</w:t>
            </w:r>
          </w:p>
        </w:tc>
        <w:tc>
          <w:tcPr>
            <w:tcW w:w="780" w:type="dxa"/>
            <w:vAlign w:val="bottom"/>
            <w:tcBorders>
              <w:bottom w:val="single" w:sz="8" w:color="CAEDFB"/>
            </w:tcBorders>
            <w:gridSpan w:val="3"/>
            <w:shd w:val="clear" w:color="auto" w:fill="CAEDFB"/>
          </w:tcPr>
          <w:p>
            <w:pPr>
              <w:jc w:val="right"/>
              <w:ind w:right="1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-3269615</wp:posOffset>
            </wp:positionV>
            <wp:extent cx="18796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960" cy="18859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-2176780</wp:posOffset>
            </wp:positionV>
            <wp:extent cx="1625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-2159635</wp:posOffset>
            </wp:positionV>
            <wp:extent cx="1625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-2176780</wp:posOffset>
            </wp:positionV>
            <wp:extent cx="1625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-2159635</wp:posOffset>
            </wp:positionV>
            <wp:extent cx="1625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-2176780</wp:posOffset>
            </wp:positionV>
            <wp:extent cx="163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-2159635</wp:posOffset>
            </wp:positionV>
            <wp:extent cx="163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-2176780</wp:posOffset>
            </wp:positionV>
            <wp:extent cx="1631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-2159635</wp:posOffset>
            </wp:positionV>
            <wp:extent cx="163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-1461135</wp:posOffset>
            </wp:positionV>
            <wp:extent cx="18796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7960" cy="18859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-25400</wp:posOffset>
            </wp:positionV>
            <wp:extent cx="1631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163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-25400</wp:posOffset>
            </wp:positionV>
            <wp:extent cx="1625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-8255</wp:posOffset>
            </wp:positionV>
            <wp:extent cx="1625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163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1631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1625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1625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ectPr>
          <w:pgSz w:w="11900" w:h="16838" w:orient="portrait"/>
          <w:cols w:equalWidth="0" w:num="1">
            <w:col w:w="9080"/>
          </w:cols>
          <w:pgMar w:left="1400" w:top="1101" w:right="14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0" w:right="280"/>
        <w:spacing w:after="0" w:line="412" w:lineRule="auto"/>
        <w:rPr>
          <w:sz w:val="20"/>
          <w:szCs w:val="20"/>
          <w:color w:val="auto"/>
        </w:rPr>
      </w:pPr>
      <w:r>
        <w:rPr>
          <w:rFonts w:ascii="Arial" w:cs="Arial" w:eastAsia="Arial" w:hAnsi="Arial"/>
          <w:sz w:val="18"/>
          <w:szCs w:val="18"/>
          <w:b w:val="1"/>
          <w:bCs w:val="1"/>
          <w:color w:val="auto"/>
        </w:rPr>
        <w:t xml:space="preserve">Pharmacy Solutions </w:t>
      </w:r>
      <w:r>
        <w:rPr>
          <w:rFonts w:ascii="Arial" w:cs="Arial" w:eastAsia="Arial" w:hAnsi="Arial"/>
          <w:sz w:val="18"/>
          <w:szCs w:val="18"/>
          <w:color w:val="auto"/>
        </w:rPr>
        <w:t>Prescriptions dispensed</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Revenue per script ($)</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Gross Profit per script ($)</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Provider Services</w:t>
      </w:r>
    </w:p>
    <w:p>
      <w:pPr>
        <w:spacing w:after="0" w:line="40" w:lineRule="exact"/>
        <w:rPr>
          <w:sz w:val="20"/>
          <w:szCs w:val="20"/>
          <w:color w:val="auto"/>
        </w:rPr>
      </w:pPr>
    </w:p>
    <w:p>
      <w:pPr>
        <w:ind w:left="360" w:hanging="249"/>
        <w:spacing w:after="0" w:line="235" w:lineRule="auto"/>
        <w:rPr>
          <w:sz w:val="20"/>
          <w:szCs w:val="20"/>
          <w:color w:val="auto"/>
        </w:rPr>
      </w:pPr>
      <w:r>
        <w:rPr>
          <w:rFonts w:ascii="Arial" w:cs="Arial" w:eastAsia="Arial" w:hAnsi="Arial"/>
          <w:sz w:val="18"/>
          <w:szCs w:val="18"/>
          <w:color w:val="auto"/>
        </w:rPr>
        <w:t>Home Health Care average daily census</w:t>
      </w:r>
    </w:p>
    <w:p>
      <w:pPr>
        <w:ind w:left="100" w:right="540"/>
        <w:spacing w:after="0" w:line="234" w:lineRule="auto"/>
        <w:rPr>
          <w:sz w:val="20"/>
          <w:szCs w:val="20"/>
          <w:color w:val="auto"/>
        </w:rPr>
      </w:pPr>
      <w:r>
        <w:rPr>
          <w:rFonts w:ascii="Arial" w:cs="Arial" w:eastAsia="Arial" w:hAnsi="Arial"/>
          <w:sz w:val="18"/>
          <w:szCs w:val="18"/>
          <w:color w:val="auto"/>
        </w:rPr>
        <w:t>Rehab Care persons served</w:t>
      </w:r>
    </w:p>
    <w:p>
      <w:pPr>
        <w:spacing w:after="0" w:line="1" w:lineRule="exact"/>
        <w:rPr>
          <w:sz w:val="20"/>
          <w:szCs w:val="20"/>
          <w:color w:val="auto"/>
        </w:rPr>
      </w:pPr>
    </w:p>
    <w:p>
      <w:pPr>
        <w:ind w:left="100" w:right="360"/>
        <w:spacing w:after="0" w:line="250" w:lineRule="auto"/>
        <w:rPr>
          <w:sz w:val="20"/>
          <w:szCs w:val="20"/>
          <w:color w:val="auto"/>
        </w:rPr>
      </w:pPr>
      <w:r>
        <w:rPr>
          <w:rFonts w:ascii="Arial" w:cs="Arial" w:eastAsia="Arial" w:hAnsi="Arial"/>
          <w:sz w:val="18"/>
          <w:szCs w:val="18"/>
          <w:color w:val="auto"/>
        </w:rPr>
        <w:t>Personal Care persons 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center"/>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1"/>
        </w:trPr>
        <w:tc>
          <w:tcPr>
            <w:tcW w:w="2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 (Unaudited)</w:t>
            </w:r>
          </w:p>
        </w:tc>
        <w:tc>
          <w:tcPr>
            <w:tcW w:w="2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17"/>
        </w:trPr>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434"/>
        </w:trPr>
        <w:tc>
          <w:tcPr>
            <w:tcW w:w="1140" w:type="dxa"/>
            <w:vAlign w:val="bottom"/>
          </w:tcPr>
          <w:p>
            <w:pPr>
              <w:spacing w:after="0"/>
              <w:rPr>
                <w:sz w:val="24"/>
                <w:szCs w:val="24"/>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10,967,46</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43,367,07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41,816,58</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10,844,786</w:t>
            </w: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w:t>
            </w:r>
          </w:p>
        </w:tc>
      </w:tr>
      <w:tr>
        <w:trPr>
          <w:trHeight w:val="203"/>
        </w:trPr>
        <w:tc>
          <w:tcPr>
            <w:tcW w:w="114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218.5</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209.3</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291.07</w:t>
            </w: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w:t>
            </w:r>
          </w:p>
        </w:tc>
        <w:tc>
          <w:tcPr>
            <w:tcW w:w="8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33%</w:t>
            </w:r>
          </w:p>
        </w:tc>
        <w:tc>
          <w:tcPr>
            <w:tcW w:w="2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263.93</w:t>
            </w:r>
          </w:p>
        </w:tc>
        <w:tc>
          <w:tcPr>
            <w:tcW w:w="12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26%</w:t>
            </w:r>
          </w:p>
        </w:tc>
      </w:tr>
      <w:tr>
        <w:trPr>
          <w:trHeight w:val="203"/>
        </w:trPr>
        <w:tc>
          <w:tcPr>
            <w:tcW w:w="114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17.8</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9"/>
        </w:trPr>
        <w:tc>
          <w:tcPr>
            <w:tcW w:w="1140" w:type="dxa"/>
            <w:vAlign w:val="bottom"/>
          </w:tcPr>
          <w:p>
            <w:pPr>
              <w:jc w:val="right"/>
              <w:ind w:right="50"/>
              <w:spacing w:after="0"/>
              <w:rPr>
                <w:sz w:val="20"/>
                <w:szCs w:val="20"/>
                <w:color w:val="auto"/>
              </w:rPr>
            </w:pPr>
            <w:r>
              <w:rPr>
                <w:rFonts w:ascii="Arial" w:cs="Arial" w:eastAsia="Arial" w:hAnsi="Arial"/>
                <w:sz w:val="18"/>
                <w:szCs w:val="18"/>
                <w:color w:val="auto"/>
              </w:rPr>
              <w:t>23.52</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65</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1280" w:type="dxa"/>
            <w:vAlign w:val="bottom"/>
            <w:gridSpan w:val="2"/>
          </w:tcPr>
          <w:p>
            <w:pPr>
              <w:jc w:val="right"/>
              <w:ind w:right="41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21%</w:t>
            </w:r>
          </w:p>
        </w:tc>
      </w:tr>
      <w:tr>
        <w:trPr>
          <w:trHeight w:val="662"/>
        </w:trPr>
        <w:tc>
          <w:tcPr>
            <w:tcW w:w="1140" w:type="dxa"/>
            <w:vAlign w:val="bottom"/>
          </w:tcPr>
          <w:p>
            <w:pPr>
              <w:jc w:val="right"/>
              <w:ind w:right="10"/>
              <w:spacing w:after="0"/>
              <w:rPr>
                <w:sz w:val="20"/>
                <w:szCs w:val="20"/>
                <w:color w:val="auto"/>
              </w:rPr>
            </w:pPr>
            <w:r>
              <w:rPr>
                <w:rFonts w:ascii="Arial" w:cs="Arial" w:eastAsia="Arial" w:hAnsi="Arial"/>
                <w:sz w:val="18"/>
                <w:szCs w:val="18"/>
                <w:color w:val="auto"/>
              </w:rPr>
              <w:t>34,593</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30,019</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31,135</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28,532</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r>
      <w:tr>
        <w:trPr>
          <w:trHeight w:val="405"/>
        </w:trPr>
        <w:tc>
          <w:tcPr>
            <w:tcW w:w="1140" w:type="dxa"/>
            <w:vAlign w:val="bottom"/>
          </w:tcPr>
          <w:p>
            <w:pPr>
              <w:jc w:val="right"/>
              <w:ind w:right="10"/>
              <w:spacing w:after="0"/>
              <w:rPr>
                <w:sz w:val="20"/>
                <w:szCs w:val="20"/>
                <w:color w:val="auto"/>
              </w:rPr>
            </w:pPr>
            <w:r>
              <w:rPr>
                <w:rFonts w:ascii="Arial" w:cs="Arial" w:eastAsia="Arial" w:hAnsi="Arial"/>
                <w:sz w:val="18"/>
                <w:szCs w:val="18"/>
                <w:color w:val="auto"/>
              </w:rPr>
              <w:t>7,363</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6,544</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7,127</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6,597</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r>
      <w:tr>
        <w:trPr>
          <w:trHeight w:val="405"/>
        </w:trPr>
        <w:tc>
          <w:tcPr>
            <w:tcW w:w="1140" w:type="dxa"/>
            <w:vAlign w:val="bottom"/>
          </w:tcPr>
          <w:p>
            <w:pPr>
              <w:jc w:val="right"/>
              <w:ind w:right="10"/>
              <w:spacing w:after="0"/>
              <w:rPr>
                <w:sz w:val="20"/>
                <w:szCs w:val="20"/>
                <w:color w:val="auto"/>
              </w:rPr>
            </w:pPr>
            <w:r>
              <w:rPr>
                <w:rFonts w:ascii="Arial" w:cs="Arial" w:eastAsia="Arial" w:hAnsi="Arial"/>
                <w:sz w:val="18"/>
                <w:szCs w:val="18"/>
                <w:color w:val="auto"/>
              </w:rPr>
              <w:t>16,175</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15,874</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16,079</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15,879</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-1716405</wp:posOffset>
            </wp:positionV>
            <wp:extent cx="576072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25717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-1202055</wp:posOffset>
            </wp:positionV>
            <wp:extent cx="576072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25717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-781685</wp:posOffset>
            </wp:positionV>
            <wp:extent cx="576072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0720" cy="25717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-267335</wp:posOffset>
            </wp:positionV>
            <wp:extent cx="576072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25717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-2054860</wp:posOffset>
            </wp:positionV>
            <wp:extent cx="18859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300" w:space="120"/>
            <w:col w:w="6660"/>
          </w:cols>
          <w:pgMar w:left="1400" w:top="1101" w:right="1419" w:bottom="1440" w:gutter="0" w:footer="0" w:header="0"/>
          <w:type w:val="continuous"/>
        </w:sectPr>
      </w:pPr>
    </w:p>
    <w:p>
      <w:pPr>
        <w:jc w:val="both"/>
        <w:ind w:right="140"/>
        <w:spacing w:after="0" w:line="226"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Adjusted EBITDA is a non-GAAP financial measure. Please see “Non-GAAP Financial Information” and the end of this press release for a reconciliation of Adjusted EBITDA to net income (loss) from continuing operations, the most directly comparable financial measure prepared in accordance with GAAP.</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3</w:t>
      </w:r>
      <w:r>
        <w:rPr>
          <w:rFonts w:ascii="Arial" w:cs="Arial" w:eastAsia="Arial" w:hAnsi="Arial"/>
          <w:sz w:val="18"/>
          <w:szCs w:val="18"/>
          <w:color w:val="auto"/>
        </w:rPr>
        <w:t>Financial tables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01" w:right="14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Full Year 2026 Financial Guidance</w:t>
      </w:r>
    </w:p>
    <w:p>
      <w:pPr>
        <w:spacing w:after="0" w:line="204" w:lineRule="exact"/>
        <w:rPr>
          <w:sz w:val="20"/>
          <w:szCs w:val="20"/>
          <w:color w:val="auto"/>
        </w:rPr>
      </w:pPr>
    </w:p>
    <w:p>
      <w:pPr>
        <w:ind w:right="260"/>
        <w:spacing w:after="0" w:line="230" w:lineRule="auto"/>
        <w:rPr>
          <w:sz w:val="20"/>
          <w:szCs w:val="20"/>
          <w:color w:val="auto"/>
        </w:rPr>
      </w:pPr>
      <w:r>
        <w:rPr>
          <w:rFonts w:ascii="Arial" w:cs="Arial" w:eastAsia="Arial" w:hAnsi="Arial"/>
          <w:sz w:val="20"/>
          <w:szCs w:val="20"/>
          <w:color w:val="auto"/>
        </w:rPr>
        <w:t>For the full year 2026, BrightSpring is providing Revenue and Adjusted EBITDA guidance, which excludes the Community Living business and the effects of any future closed acquisitions. All growth rates are shown as compared to the full year 2025 Revenue and Adjusted EBITDA results, excluding the Community Living business:</w:t>
      </w:r>
    </w:p>
    <w:p>
      <w:pPr>
        <w:ind w:left="660" w:hanging="328"/>
        <w:spacing w:after="0"/>
        <w:tabs>
          <w:tab w:leader="none" w:pos="6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Revenues of $14,450 million to $15,000 million, or 11.9% to 16.2% growth.</w:t>
      </w:r>
    </w:p>
    <w:p>
      <w:pPr>
        <w:ind w:left="1300" w:right="240" w:hanging="320"/>
        <w:spacing w:after="0" w:line="224" w:lineRule="auto"/>
        <w:tabs>
          <w:tab w:leader="none" w:pos="130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Pharmacy Segment Revenue of $12,600 million to $13,100 million, or 10.1% to 14.5% growth.</w:t>
      </w:r>
    </w:p>
    <w:p>
      <w:pPr>
        <w:spacing w:after="0" w:line="1" w:lineRule="exact"/>
        <w:rPr>
          <w:rFonts w:ascii="Times New Roman" w:cs="Times New Roman" w:eastAsia="Times New Roman" w:hAnsi="Times New Roman"/>
          <w:sz w:val="20"/>
          <w:szCs w:val="20"/>
          <w:color w:val="auto"/>
        </w:rPr>
      </w:pPr>
    </w:p>
    <w:p>
      <w:pPr>
        <w:ind w:left="1300" w:right="620" w:hanging="320"/>
        <w:spacing w:after="0" w:line="239" w:lineRule="auto"/>
        <w:tabs>
          <w:tab w:leader="none" w:pos="130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Provider Segment Revenue of $1,850 million to $1,900 million, or 26.3% to 29.7% growth.</w:t>
      </w:r>
    </w:p>
    <w:p>
      <w:pPr>
        <w:ind w:left="660" w:hanging="328"/>
        <w:spacing w:after="0" w:line="184" w:lineRule="auto"/>
        <w:tabs>
          <w:tab w:leader="none" w:pos="6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Total Adjusted EBITDA</w:t>
      </w:r>
      <w:r>
        <w:rPr>
          <w:rFonts w:ascii="Arial" w:cs="Arial" w:eastAsia="Arial" w:hAnsi="Arial"/>
          <w:sz w:val="26"/>
          <w:szCs w:val="26"/>
          <w:color w:val="auto"/>
          <w:vertAlign w:val="superscript"/>
        </w:rPr>
        <w:t>4</w:t>
      </w:r>
      <w:r>
        <w:rPr>
          <w:rFonts w:ascii="Arial" w:cs="Arial" w:eastAsia="Arial" w:hAnsi="Arial"/>
          <w:sz w:val="20"/>
          <w:szCs w:val="20"/>
          <w:color w:val="auto"/>
        </w:rPr>
        <w:t xml:space="preserve"> of $760 million to $790 million, or 23.1% to 27.9% growth.</w:t>
      </w:r>
    </w:p>
    <w:p>
      <w:pPr>
        <w:ind w:left="660" w:right="640" w:hanging="328"/>
        <w:spacing w:after="0" w:line="239" w:lineRule="auto"/>
        <w:tabs>
          <w:tab w:leader="none" w:pos="6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Amedysis and LHC acquisition is expected to contribute approximately $30 million in Adjusted EBITDA in 2026.</w:t>
      </w:r>
    </w:p>
    <w:p>
      <w:pPr>
        <w:spacing w:after="0" w:line="180" w:lineRule="exact"/>
        <w:rPr>
          <w:sz w:val="20"/>
          <w:szCs w:val="20"/>
          <w:color w:val="auto"/>
        </w:rPr>
      </w:pPr>
    </w:p>
    <w:p>
      <w:pPr>
        <w:jc w:val="both"/>
        <w:spacing w:after="0" w:line="230" w:lineRule="auto"/>
        <w:rPr>
          <w:sz w:val="20"/>
          <w:szCs w:val="20"/>
          <w:color w:val="auto"/>
        </w:rPr>
      </w:pPr>
      <w:r>
        <w:rPr>
          <w:rFonts w:ascii="Arial" w:cs="Arial" w:eastAsia="Arial" w:hAnsi="Arial"/>
          <w:sz w:val="24"/>
          <w:szCs w:val="24"/>
          <w:color w:val="auto"/>
          <w:vertAlign w:val="superscript"/>
        </w:rPr>
        <w:t>4</w:t>
      </w:r>
      <w:r>
        <w:rPr>
          <w:rFonts w:ascii="Arial" w:cs="Arial" w:eastAsia="Arial" w:hAnsi="Arial"/>
          <w:sz w:val="18"/>
          <w:szCs w:val="18"/>
          <w:color w:val="auto"/>
        </w:rPr>
        <w:t>A reconciliation of the foregoing guidance for the non-GAAP metric of Adjusted EBITDA to GAAP net income (loss) from continuing operations cannot be provided without unreasonable effort because of the inherent difficulty of accurately forecasting the occurrence and financial impact of the various adjusting items necessary for such reconciliation that have not yet occurred, are out of our control, or cannot be reasonably predicted. For the same reasons, the Company is unable to assess the probable significance of the unavailable information, which could have a material impact on its future GAAP financial results.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Details</w:t>
      </w:r>
    </w:p>
    <w:p>
      <w:pPr>
        <w:spacing w:after="0" w:line="215" w:lineRule="exact"/>
        <w:rPr>
          <w:sz w:val="20"/>
          <w:szCs w:val="20"/>
          <w:color w:val="auto"/>
        </w:rPr>
      </w:pPr>
    </w:p>
    <w:p>
      <w:pPr>
        <w:ind w:right="440"/>
        <w:spacing w:after="0" w:line="217" w:lineRule="auto"/>
        <w:rPr>
          <w:sz w:val="20"/>
          <w:szCs w:val="20"/>
          <w:color w:val="auto"/>
        </w:rPr>
      </w:pPr>
      <w:r>
        <w:rPr>
          <w:rFonts w:ascii="Arial" w:cs="Arial" w:eastAsia="Arial" w:hAnsi="Arial"/>
          <w:sz w:val="20"/>
          <w:szCs w:val="20"/>
          <w:color w:val="auto"/>
        </w:rPr>
        <w:t>The Company will host a conference call today, February 27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at 8:30 a.m. Eastern Time. Investors interested in listening to the conference call are required to register online.</w:t>
      </w:r>
    </w:p>
    <w:p>
      <w:pPr>
        <w:spacing w:after="0" w:line="17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 live and archived webcast of the event will be available on the “Events &amp; Presentations” section of the BrightSpring website at https://ir.brightspringhealth.com/. The Company has posted supplemental information on the fourth quarter and fiscal year 2025 results that it will reference during the conference call. The supplemental information can be found under the “Events &amp; Presentations” on the Company’s investor relations page.</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BrightSpring Health Services</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BrightSpring Health Services provides complementary home- and community-based pharmacy and provider health solutions for complex populations in need of specialized and/or chronic care. Through the Company’s service lines, including pharmacy, home health care and primary care, and rehabilitation and behavioral health, we provide comprehensive and integrated care and clinical solutions in all 50 states to over 465,000 customers, clients and patients daily. BrightSpring has consistently demonstrated strong and industry-leading quality metrics across its services lines, while improving the quality of life and health for high-need individuals and reducing overall costs to the healthcare system.</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may relate to matters which include, but are not limited to, industries, business strategy, goals and expectations concerning our market position, future operations, margins, profitability, capital expenditures, liquidity and capital resources and other financial and operating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8" w:right="1419" w:bottom="1440" w:gutter="0" w:footer="0" w:header="0"/>
        </w:sectPr>
      </w:pPr>
    </w:p>
    <w:bookmarkStart w:id="6" w:name="page7"/>
    <w:bookmarkEnd w:id="6"/>
    <w:p>
      <w:pPr>
        <w:jc w:val="both"/>
        <w:spacing w:after="0" w:line="237" w:lineRule="auto"/>
        <w:rPr>
          <w:sz w:val="20"/>
          <w:szCs w:val="20"/>
          <w:color w:val="auto"/>
        </w:rPr>
      </w:pPr>
      <w:r>
        <w:rPr>
          <w:rFonts w:ascii="Arial" w:cs="Arial" w:eastAsia="Arial" w:hAnsi="Arial"/>
          <w:sz w:val="20"/>
          <w:szCs w:val="20"/>
          <w:color w:val="auto"/>
        </w:rPr>
        <w:t>In some cases, we have used words such as “anticipate,” “assume,” “believe,” “continue,” “could,” “estimate,” “expect,” “intend,” “may,” “plan,” “potential,” “predict,” “project,” “future,” “will,” “seek,” “foreseeable,” “target,” “guidance,” the negative version of these words, or similar terms and phrases to identify these forward-looking statements.</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forward-looking statements are based on management’s current expectations and are not historical facts or guarantees of future performance. The forward-looking statements relate to the future and are therefore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the following:</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our operation in a highly competitive industry;</w:t>
      </w:r>
    </w:p>
    <w:p>
      <w:pPr>
        <w:spacing w:after="0" w:line="17" w:lineRule="exact"/>
        <w:rPr>
          <w:rFonts w:ascii="Times New Roman" w:cs="Times New Roman" w:eastAsia="Times New Roman" w:hAnsi="Times New Roman"/>
          <w:sz w:val="18"/>
          <w:szCs w:val="18"/>
          <w:color w:val="auto"/>
        </w:rPr>
      </w:pPr>
    </w:p>
    <w:p>
      <w:pPr>
        <w:ind w:left="660" w:right="54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our inability to maintain relationships with existing patient referral sources or establish new referral sources;</w:t>
      </w:r>
    </w:p>
    <w:p>
      <w:pPr>
        <w:ind w:left="660" w:right="80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changes to Medicare and Medicaid rates or methods governing Medicare and Medicaid payments for our services;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cost containment initiatives of third-party payors, including post-payment audits;</w:t>
      </w:r>
    </w:p>
    <w:p>
      <w:pPr>
        <w:ind w:left="660" w:right="16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the implementation of alternative payment models and the transition of Medicaid and Medicare beneficiaries to managed care organizations may limit our market share and could adversely affect our revenues;</w:t>
      </w:r>
    </w:p>
    <w:p>
      <w:pPr>
        <w:spacing w:after="0" w:line="1" w:lineRule="exact"/>
        <w:rPr>
          <w:rFonts w:ascii="Times New Roman" w:cs="Times New Roman" w:eastAsia="Times New Roman" w:hAnsi="Times New Roman"/>
          <w:sz w:val="18"/>
          <w:szCs w:val="18"/>
          <w:color w:val="auto"/>
        </w:rPr>
      </w:pPr>
    </w:p>
    <w:p>
      <w:pPr>
        <w:ind w:left="660" w:right="46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changes in the case mix of patients, as well as payor mix and payment methodologies, and decisions and operations of third-party organizations;</w:t>
      </w:r>
    </w:p>
    <w:p>
      <w:pPr>
        <w:ind w:left="660" w:right="42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our reliance on federal and state spending, budget decisions, and continuous governmental operations which may fluctuate under different political conditions;</w:t>
      </w:r>
    </w:p>
    <w:p>
      <w:pPr>
        <w:ind w:left="660" w:right="72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changes in drug utilization and/or pricing, PBM contracts, and Medicare Part D/Medicaid reimbursement, which may negatively impact our profitability;</w:t>
      </w:r>
    </w:p>
    <w:p>
      <w:pPr>
        <w:ind w:left="660" w:right="96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changes in our relationships with pharmaceutical suppliers, including changes in drug availability or pricing;</w:t>
      </w:r>
    </w:p>
    <w:p>
      <w:pPr>
        <w:ind w:left="660" w:right="84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reliance on the continual recruitment and retention of nurses, pharmacists, therapists, caregivers, direct support professionals, and other qualified personnel, including senior management;</w:t>
      </w:r>
    </w:p>
    <w:p>
      <w:pPr>
        <w:spacing w:after="0" w:line="1" w:lineRule="exact"/>
        <w:rPr>
          <w:rFonts w:ascii="Times New Roman" w:cs="Times New Roman" w:eastAsia="Times New Roman" w:hAnsi="Times New Roman"/>
          <w:sz w:val="18"/>
          <w:szCs w:val="18"/>
          <w:color w:val="auto"/>
        </w:rPr>
      </w:pPr>
    </w:p>
    <w:p>
      <w:pPr>
        <w:ind w:left="660" w:right="280" w:hanging="328"/>
        <w:spacing w:after="0" w:line="237" w:lineRule="auto"/>
        <w:tabs>
          <w:tab w:leader="none" w:pos="6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9"/>
          <w:szCs w:val="19"/>
          <w:color w:val="auto"/>
        </w:rPr>
        <w:t>compliance with or changes to federal, state, and local laws and regulations that govern our employment practices, including minimum wage, living wage, and paid time-off requirements;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fluctuation of our results of operations on a quarterly basis;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harm caused by labor relation matters;</w:t>
      </w:r>
    </w:p>
    <w:p>
      <w:pPr>
        <w:ind w:left="660" w:right="4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limitations in our ability to control reimbursement rates received for our services if we are unable to maintain or reduce our costs to provide such services;</w:t>
      </w:r>
    </w:p>
    <w:p>
      <w:pPr>
        <w:ind w:left="660" w:right="6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delays in collection or non-collection of our accounts receivable, particularly during the business integration process;</w:t>
      </w:r>
    </w:p>
    <w:p>
      <w:pPr>
        <w:ind w:left="660" w:right="30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failure to manage our growth effectively, which may inhibit our ability to execute our business plan, maintain high levels of service and satisfaction or adequately address competitive challenges;</w:t>
      </w:r>
    </w:p>
    <w:p>
      <w:pPr>
        <w:spacing w:after="0" w:line="1" w:lineRule="exact"/>
        <w:rPr>
          <w:rFonts w:ascii="Times New Roman" w:cs="Times New Roman" w:eastAsia="Times New Roman" w:hAnsi="Times New Roman"/>
          <w:sz w:val="18"/>
          <w:szCs w:val="18"/>
          <w:color w:val="auto"/>
        </w:rPr>
      </w:pPr>
    </w:p>
    <w:p>
      <w:pPr>
        <w:ind w:left="66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our ability to identify, successfully complete and manage acquisitions, joint ventures, divestitures and other significant transactions and strategic initiatives;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our ability to continue to provide consistently high quality of care;</w:t>
      </w:r>
    </w:p>
    <w:p>
      <w:pPr>
        <w:ind w:left="660" w:right="660" w:hanging="328"/>
        <w:spacing w:after="0" w:line="237" w:lineRule="auto"/>
        <w:tabs>
          <w:tab w:leader="none" w:pos="6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9"/>
          <w:szCs w:val="19"/>
          <w:color w:val="auto"/>
        </w:rPr>
        <w:t>maintenance of our corporate reputation or the emergence of adverse publicity, including negative information on social media or changes in public perception of our services;</w:t>
      </w:r>
    </w:p>
    <w:p>
      <w:pPr>
        <w:jc w:val="both"/>
        <w:ind w:left="660" w:right="20" w:hanging="328"/>
        <w:spacing w:after="0" w:line="234"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contract continuance, expansion and renewal with our existing customers, including renewals at lower fee levels, customers declining to purchase additional services from us, or reduction in the services received from us pursuant to those contracts;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90" w:right="1419" w:bottom="1440" w:gutter="0" w:footer="0" w:header="0"/>
        </w:sectPr>
      </w:pPr>
    </w:p>
    <w:bookmarkStart w:id="7" w:name="page8"/>
    <w:bookmarkEnd w:id="7"/>
    <w:p>
      <w:pPr>
        <w:jc w:val="both"/>
        <w:ind w:left="660" w:right="480" w:hanging="328"/>
        <w:spacing w:after="0" w:line="231"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effective investment in, implementation of improvements to and proper maintenance of the uninterrupted operation and data integrity of our information technology and other business systems;</w:t>
      </w:r>
    </w:p>
    <w:p>
      <w:pPr>
        <w:spacing w:after="0" w:line="1" w:lineRule="exact"/>
        <w:rPr>
          <w:rFonts w:ascii="Times New Roman" w:cs="Times New Roman" w:eastAsia="Times New Roman" w:hAnsi="Times New Roman"/>
          <w:sz w:val="18"/>
          <w:szCs w:val="18"/>
          <w:color w:val="auto"/>
        </w:rPr>
      </w:pPr>
    </w:p>
    <w:p>
      <w:pPr>
        <w:ind w:left="660" w:right="100" w:hanging="328"/>
        <w:spacing w:after="0" w:line="237" w:lineRule="auto"/>
        <w:tabs>
          <w:tab w:leader="none" w:pos="66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9"/>
          <w:szCs w:val="19"/>
          <w:color w:val="auto"/>
        </w:rPr>
        <w:t>security breaches, loss of data, and other disruptions, which could compromise sensitive business or patient information; cause a loss of confidential patient data, employee data or personal information; or prevent access to critical information and thereby expose us to liability, litigation, and federal and state governmental inquiries and damage our reputation and brand;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risks related to credit card payments and other payment methods;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potential substantial malpractice or other similar claims;</w:t>
      </w:r>
    </w:p>
    <w:p>
      <w:pPr>
        <w:ind w:left="660" w:right="160" w:hanging="328"/>
        <w:spacing w:after="0" w:line="225"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various risks related to governmental inquiries, regulatory actions, and whistleblower and other lawsuits, which may not be entirely covered by insurance;</w:t>
      </w:r>
    </w:p>
    <w:p>
      <w:pPr>
        <w:ind w:left="660" w:right="420" w:hanging="328"/>
        <w:spacing w:after="0" w:line="237" w:lineRule="auto"/>
        <w:tabs>
          <w:tab w:leader="none" w:pos="66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9"/>
          <w:szCs w:val="19"/>
          <w:color w:val="auto"/>
        </w:rPr>
        <w:t>our current insurance program, which may expose us to unexpected costs, particularly if we incur losses not covered by our insurance or if claims or losses differ from our estimates;</w:t>
      </w:r>
    </w:p>
    <w:p>
      <w:pPr>
        <w:ind w:left="660" w:right="80" w:hanging="328"/>
        <w:spacing w:after="0" w:line="225"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factors outside of our control, including those listed, which have required and could in the future require us to record an asset impairment of goodwill;</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a pandemic, epidemic, or outbreak of an infectious disease;</w:t>
      </w:r>
    </w:p>
    <w:p>
      <w:pPr>
        <w:ind w:left="660" w:right="280" w:hanging="328"/>
        <w:spacing w:after="0" w:line="225"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inclement weather, natural disasters, acts of terrorism, riots, civil insurrection or social unrest, looting, protests, strikes, or street demonstrations;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our inability to adequately protect our intellectual property rights;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risks related to our compliance with our regulatory framework;</w:t>
      </w:r>
    </w:p>
    <w:p>
      <w:pPr>
        <w:ind w:left="660" w:right="240" w:hanging="328"/>
        <w:spacing w:after="0" w:line="225"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the significant interests of KKR Stockholder may conflict with our stockholders’ interests in the future;</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our substantial indebtedness;</w:t>
      </w:r>
    </w:p>
    <w:p>
      <w:pPr>
        <w:ind w:left="660" w:hanging="328"/>
        <w:spacing w:after="0" w:line="225"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significant changes in tax or trade policies, tariffs, or trade relations between the United States and other countries, such as the imposition of unilateral tariffs on imported products, including impacts on imported drug products, which could result in supply chain disruptions and significant increases in costs;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fluctuations in the amount and frequency of repurchases of our common stock.</w:t>
      </w:r>
    </w:p>
    <w:p>
      <w:pPr>
        <w:spacing w:after="0" w:line="19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forward-looking statements included in this press release are made only as of the date of this press release, and we undertake no obligation to publicly update or revise any forward-looking statement, whether as a result of new information, future developments, or otherwise, except as required by law. These factors should not be construed as exhaustive, and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 looking statements do not reflect the potential impact of any future acquisitions, mergers, dispositions, joint ventures, investments, or other strategic transactions we may make.</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additional information on these and other factors that could cause BrightSpring’s actual results to differ materially from expected results, please see our filings with the Securities and Exchange Commission (the “SEC”), which are accessible on the SEC’s website at www.sec.gov.</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press release contains “non-GAAP financial measures,” including “EBITDA,” “Adjusted EBITDA,” and “Adjusted EPS,” which are financial measures that either exclude or include amounts that are not excluded or included in the most directly comparable measures calculated and presented in accordance with accounting principles generally accepted in the United States, or GAAP.</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EBITDA, Adjusted EBITDA, and Adjusted EPS have been presented in this release as supplemental measures of financial performance that are not required by, or presented in accordance with, GAAP, because we believe they</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90" w:right="1419" w:bottom="1440" w:gutter="0" w:footer="0" w:header="0"/>
        </w:sectPr>
      </w:pPr>
    </w:p>
    <w:bookmarkStart w:id="8" w:name="page9"/>
    <w:bookmarkEnd w:id="8"/>
    <w:p>
      <w:pPr>
        <w:jc w:val="both"/>
        <w:ind w:left="980" w:right="980"/>
        <w:spacing w:after="0" w:line="230" w:lineRule="auto"/>
        <w:rPr>
          <w:sz w:val="20"/>
          <w:szCs w:val="20"/>
          <w:color w:val="auto"/>
        </w:rPr>
      </w:pPr>
      <w:r>
        <w:rPr>
          <w:rFonts w:ascii="Arial" w:cs="Arial" w:eastAsia="Arial" w:hAnsi="Arial"/>
          <w:sz w:val="20"/>
          <w:szCs w:val="20"/>
          <w:color w:val="auto"/>
        </w:rPr>
        <w:t>assist investors and analysts in comparing our operating performance across reporting periods on a consistent basis by excluding items that we do not believe are indicative of our core operating performance. Management also believes that these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EPS to supplement GAAP measures of performance in the evaluation of the effectiveness of our business strategies, to make budgeting decisions, to establish and award discretionary annual incentive compensation, and to compare our performance against that of other peer companies using similar measures.</w:t>
      </w:r>
    </w:p>
    <w:p>
      <w:pPr>
        <w:spacing w:after="0" w:line="176" w:lineRule="exact"/>
        <w:rPr>
          <w:sz w:val="20"/>
          <w:szCs w:val="20"/>
          <w:color w:val="auto"/>
        </w:rPr>
      </w:pPr>
    </w:p>
    <w:p>
      <w:pPr>
        <w:jc w:val="both"/>
        <w:ind w:left="980" w:right="980"/>
        <w:spacing w:after="0" w:line="243" w:lineRule="auto"/>
        <w:rPr>
          <w:sz w:val="20"/>
          <w:szCs w:val="20"/>
          <w:color w:val="auto"/>
        </w:rPr>
      </w:pPr>
      <w:r>
        <w:rPr>
          <w:rFonts w:ascii="Arial" w:cs="Arial" w:eastAsia="Arial" w:hAnsi="Arial"/>
          <w:sz w:val="19"/>
          <w:szCs w:val="19"/>
          <w:color w:val="auto"/>
        </w:rPr>
        <w:t>Management supplements GAAP results with non-GAAP financial measures to provide a more complete understanding of the factors and trends affecting the business than GAAP results alone. EBITDA, Adjusted EBITDA, and Adjusted EPS are not GAAP measures of our financial performance and should not be considered as an alternative to net income (loss) as a measure of financial performance or any other performance measures derived in accordance with GAAP. Additionally, these measures are not intended to be a measure of free cash flow available for management’s discretionary use as they do not consider certain cash requirements such as tax payments, debt service requirements, total capital expenditures, and certain other cash costs that may recur in the future.</w:t>
      </w:r>
    </w:p>
    <w:p>
      <w:pPr>
        <w:spacing w:after="0" w:line="174" w:lineRule="exact"/>
        <w:rPr>
          <w:sz w:val="20"/>
          <w:szCs w:val="20"/>
          <w:color w:val="auto"/>
        </w:rPr>
      </w:pPr>
    </w:p>
    <w:p>
      <w:pPr>
        <w:jc w:val="both"/>
        <w:ind w:left="980" w:right="980"/>
        <w:spacing w:after="0" w:line="233" w:lineRule="auto"/>
        <w:rPr>
          <w:sz w:val="20"/>
          <w:szCs w:val="20"/>
          <w:color w:val="auto"/>
        </w:rPr>
      </w:pPr>
      <w:r>
        <w:rPr>
          <w:rFonts w:ascii="Arial" w:cs="Arial" w:eastAsia="Arial" w:hAnsi="Arial"/>
          <w:sz w:val="20"/>
          <w:szCs w:val="20"/>
          <w:color w:val="auto"/>
        </w:rPr>
        <w:t>Management defines EBITDA as net income (loss) from continuing operations before income tax expense (benefit), interest expense, net and depreciation and amortization. Management also defines Adjusted EBITDA as EBITDA, further adjusted to exclude non-cash share-based compensation, acquisition, integration and transaction-related costs, restructuring and divestiture-related and other costs, legal costs and settlements associated with certain historical matters for PharMerica, significant projects, and management fees.</w:t>
      </w:r>
    </w:p>
    <w:p>
      <w:pPr>
        <w:spacing w:after="0" w:line="172" w:lineRule="exact"/>
        <w:rPr>
          <w:sz w:val="20"/>
          <w:szCs w:val="20"/>
          <w:color w:val="auto"/>
        </w:rPr>
      </w:pPr>
    </w:p>
    <w:p>
      <w:pPr>
        <w:jc w:val="both"/>
        <w:ind w:left="980" w:right="980"/>
        <w:spacing w:after="0" w:line="233" w:lineRule="auto"/>
        <w:rPr>
          <w:sz w:val="20"/>
          <w:szCs w:val="20"/>
          <w:color w:val="auto"/>
        </w:rPr>
      </w:pPr>
      <w:r>
        <w:rPr>
          <w:rFonts w:ascii="Arial" w:cs="Arial" w:eastAsia="Arial" w:hAnsi="Arial"/>
          <w:sz w:val="20"/>
          <w:szCs w:val="20"/>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Please see the end of this press release for reconciliations of non-GAAP financial measures to the most directly comparable financial measure prepared in accordance with GAAP.</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120" w:type="dxa"/>
            <w:vAlign w:val="bottom"/>
          </w:tcPr>
          <w:p>
            <w:pPr>
              <w:ind w:left="980"/>
              <w:spacing w:after="0"/>
              <w:rPr>
                <w:sz w:val="20"/>
                <w:szCs w:val="20"/>
                <w:color w:val="auto"/>
              </w:rPr>
            </w:pPr>
            <w:r>
              <w:rPr>
                <w:rFonts w:ascii="Arial" w:cs="Arial" w:eastAsia="Arial" w:hAnsi="Arial"/>
                <w:sz w:val="20"/>
                <w:szCs w:val="20"/>
                <w:b w:val="1"/>
                <w:bCs w:val="1"/>
                <w:color w:val="auto"/>
              </w:rPr>
              <w:t>BrightSpring Contact:</w:t>
            </w:r>
          </w:p>
        </w:tc>
        <w:tc>
          <w:tcPr>
            <w:tcW w:w="6920" w:type="dxa"/>
            <w:vAlign w:val="bottom"/>
          </w:tcPr>
          <w:p>
            <w:pPr>
              <w:spacing w:after="0"/>
              <w:rPr>
                <w:sz w:val="23"/>
                <w:szCs w:val="23"/>
                <w:color w:val="auto"/>
              </w:rPr>
            </w:pPr>
          </w:p>
        </w:tc>
      </w:tr>
      <w:tr>
        <w:trPr>
          <w:trHeight w:val="377"/>
        </w:trPr>
        <w:tc>
          <w:tcPr>
            <w:tcW w:w="4120" w:type="dxa"/>
            <w:vAlign w:val="bottom"/>
          </w:tcPr>
          <w:p>
            <w:pPr>
              <w:ind w:left="980"/>
              <w:spacing w:after="0"/>
              <w:rPr>
                <w:sz w:val="20"/>
                <w:szCs w:val="20"/>
                <w:color w:val="auto"/>
              </w:rPr>
            </w:pPr>
            <w:r>
              <w:rPr>
                <w:rFonts w:ascii="Arial" w:cs="Arial" w:eastAsia="Arial" w:hAnsi="Arial"/>
                <w:sz w:val="20"/>
                <w:szCs w:val="20"/>
                <w:b w:val="1"/>
                <w:bCs w:val="1"/>
                <w:i w:val="1"/>
                <w:iCs w:val="1"/>
                <w:color w:val="auto"/>
              </w:rPr>
              <w:t>Investor Relations:</w:t>
            </w:r>
          </w:p>
        </w:tc>
        <w:tc>
          <w:tcPr>
            <w:tcW w:w="6920" w:type="dxa"/>
            <w:vAlign w:val="bottom"/>
          </w:tcPr>
          <w:p>
            <w:pPr>
              <w:ind w:left="1260"/>
              <w:spacing w:after="0"/>
              <w:rPr>
                <w:sz w:val="20"/>
                <w:szCs w:val="20"/>
                <w:color w:val="auto"/>
              </w:rPr>
            </w:pPr>
            <w:r>
              <w:rPr>
                <w:rFonts w:ascii="Arial" w:cs="Arial" w:eastAsia="Arial" w:hAnsi="Arial"/>
                <w:sz w:val="20"/>
                <w:szCs w:val="20"/>
                <w:b w:val="1"/>
                <w:bCs w:val="1"/>
                <w:i w:val="1"/>
                <w:iCs w:val="1"/>
                <w:color w:val="auto"/>
              </w:rPr>
              <w:t>Media Contact:</w:t>
            </w:r>
          </w:p>
        </w:tc>
      </w:tr>
      <w:tr>
        <w:trPr>
          <w:trHeight w:val="216"/>
        </w:trPr>
        <w:tc>
          <w:tcPr>
            <w:tcW w:w="4120" w:type="dxa"/>
            <w:vAlign w:val="bottom"/>
          </w:tcPr>
          <w:p>
            <w:pPr>
              <w:ind w:left="980"/>
              <w:spacing w:after="0" w:line="216" w:lineRule="exact"/>
              <w:rPr>
                <w:sz w:val="20"/>
                <w:szCs w:val="20"/>
                <w:color w:val="auto"/>
              </w:rPr>
            </w:pPr>
            <w:r>
              <w:rPr>
                <w:rFonts w:ascii="Arial" w:cs="Arial" w:eastAsia="Arial" w:hAnsi="Arial"/>
                <w:sz w:val="20"/>
                <w:szCs w:val="20"/>
                <w:i w:val="1"/>
                <w:iCs w:val="1"/>
                <w:color w:val="auto"/>
              </w:rPr>
              <w:t>David Deuchler, CFA</w:t>
            </w:r>
          </w:p>
        </w:tc>
        <w:tc>
          <w:tcPr>
            <w:tcW w:w="6920" w:type="dxa"/>
            <w:vAlign w:val="bottom"/>
          </w:tcPr>
          <w:p>
            <w:pPr>
              <w:ind w:left="1260"/>
              <w:spacing w:after="0" w:line="216" w:lineRule="exact"/>
              <w:rPr>
                <w:sz w:val="20"/>
                <w:szCs w:val="20"/>
                <w:color w:val="auto"/>
              </w:rPr>
            </w:pPr>
            <w:r>
              <w:rPr>
                <w:rFonts w:ascii="Arial" w:cs="Arial" w:eastAsia="Arial" w:hAnsi="Arial"/>
                <w:sz w:val="20"/>
                <w:szCs w:val="20"/>
                <w:i w:val="1"/>
                <w:iCs w:val="1"/>
                <w:color w:val="auto"/>
              </w:rPr>
              <w:t>Leigh White</w:t>
            </w:r>
          </w:p>
        </w:tc>
      </w:tr>
      <w:tr>
        <w:trPr>
          <w:trHeight w:val="216"/>
        </w:trPr>
        <w:tc>
          <w:tcPr>
            <w:tcW w:w="4120" w:type="dxa"/>
            <w:vAlign w:val="bottom"/>
          </w:tcPr>
          <w:p>
            <w:pPr>
              <w:ind w:left="980"/>
              <w:spacing w:after="0" w:line="216" w:lineRule="exact"/>
              <w:rPr>
                <w:sz w:val="20"/>
                <w:szCs w:val="20"/>
                <w:color w:val="auto"/>
              </w:rPr>
            </w:pPr>
            <w:r>
              <w:rPr>
                <w:rFonts w:ascii="Arial" w:cs="Arial" w:eastAsia="Arial" w:hAnsi="Arial"/>
                <w:sz w:val="20"/>
                <w:szCs w:val="20"/>
                <w:i w:val="1"/>
                <w:iCs w:val="1"/>
                <w:color w:val="auto"/>
              </w:rPr>
              <w:t>Gilmartin Group LLC</w:t>
            </w:r>
          </w:p>
        </w:tc>
        <w:tc>
          <w:tcPr>
            <w:tcW w:w="6920" w:type="dxa"/>
            <w:vAlign w:val="bottom"/>
          </w:tcPr>
          <w:p>
            <w:pPr>
              <w:ind w:left="1260"/>
              <w:spacing w:after="0" w:line="216" w:lineRule="exact"/>
              <w:rPr>
                <w:sz w:val="20"/>
                <w:szCs w:val="20"/>
                <w:color w:val="auto"/>
              </w:rPr>
            </w:pPr>
            <w:r>
              <w:rPr>
                <w:rFonts w:ascii="Arial" w:cs="Arial" w:eastAsia="Arial" w:hAnsi="Arial"/>
                <w:sz w:val="20"/>
                <w:szCs w:val="20"/>
                <w:i w:val="1"/>
                <w:iCs w:val="1"/>
                <w:color w:val="auto"/>
              </w:rPr>
              <w:t>leigh.white@brightspringhealth.com</w:t>
            </w:r>
          </w:p>
        </w:tc>
      </w:tr>
      <w:tr>
        <w:trPr>
          <w:trHeight w:val="261"/>
        </w:trPr>
        <w:tc>
          <w:tcPr>
            <w:tcW w:w="4120" w:type="dxa"/>
            <w:vAlign w:val="bottom"/>
          </w:tcPr>
          <w:p>
            <w:pPr>
              <w:ind w:left="980"/>
              <w:spacing w:after="0"/>
              <w:rPr>
                <w:sz w:val="20"/>
                <w:szCs w:val="20"/>
                <w:color w:val="auto"/>
              </w:rPr>
            </w:pPr>
            <w:r>
              <w:rPr>
                <w:rFonts w:ascii="Arial" w:cs="Arial" w:eastAsia="Arial" w:hAnsi="Arial"/>
                <w:sz w:val="20"/>
                <w:szCs w:val="20"/>
                <w:i w:val="1"/>
                <w:iCs w:val="1"/>
                <w:color w:val="auto"/>
              </w:rPr>
              <w:t>ir@brightspringhealth.com</w:t>
            </w:r>
          </w:p>
        </w:tc>
        <w:tc>
          <w:tcPr>
            <w:tcW w:w="6920" w:type="dxa"/>
            <w:vAlign w:val="bottom"/>
          </w:tcPr>
          <w:p>
            <w:pPr>
              <w:jc w:val="right"/>
              <w:ind w:right="4781"/>
              <w:spacing w:after="0"/>
              <w:rPr>
                <w:sz w:val="20"/>
                <w:szCs w:val="20"/>
                <w:color w:val="auto"/>
              </w:rPr>
            </w:pPr>
            <w:r>
              <w:rPr>
                <w:rFonts w:ascii="Arial" w:cs="Arial" w:eastAsia="Arial" w:hAnsi="Arial"/>
                <w:sz w:val="20"/>
                <w:szCs w:val="20"/>
                <w:i w:val="1"/>
                <w:iCs w:val="1"/>
                <w:color w:val="auto"/>
              </w:rPr>
              <w:t>502.630.7412</w:t>
            </w:r>
          </w:p>
        </w:tc>
      </w:tr>
      <w:tr>
        <w:trPr>
          <w:trHeight w:val="553"/>
        </w:trPr>
        <w:tc>
          <w:tcPr>
            <w:tcW w:w="4120" w:type="dxa"/>
            <w:vAlign w:val="bottom"/>
          </w:tcPr>
          <w:p>
            <w:pPr>
              <w:ind w:left="980"/>
              <w:spacing w:after="0"/>
              <w:rPr>
                <w:sz w:val="20"/>
                <w:szCs w:val="20"/>
                <w:color w:val="auto"/>
              </w:rPr>
            </w:pPr>
            <w:r>
              <w:rPr>
                <w:rFonts w:ascii="Arial" w:cs="Arial" w:eastAsia="Arial" w:hAnsi="Arial"/>
                <w:sz w:val="20"/>
                <w:szCs w:val="20"/>
                <w:color w:val="auto"/>
              </w:rPr>
              <w:t>6</w:t>
            </w:r>
          </w:p>
        </w:tc>
        <w:tc>
          <w:tcPr>
            <w:tcW w:w="6920" w:type="dxa"/>
            <w:vAlign w:val="bottom"/>
          </w:tcPr>
          <w:p>
            <w:pPr>
              <w:spacing w:after="0"/>
              <w:rPr>
                <w:sz w:val="24"/>
                <w:szCs w:val="24"/>
                <w:color w:val="auto"/>
              </w:rPr>
            </w:pPr>
          </w:p>
        </w:tc>
      </w:tr>
      <w:tr>
        <w:trPr>
          <w:trHeight w:val="726"/>
        </w:trPr>
        <w:tc>
          <w:tcPr>
            <w:tcW w:w="412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90"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231F20"/>
        </w:rPr>
        <w:t>BrightSpring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2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6"/>
        </w:trPr>
        <w:tc>
          <w:tcPr>
            <w:tcW w:w="660" w:type="dxa"/>
            <w:vAlign w:val="bottom"/>
          </w:tcPr>
          <w:p>
            <w:pPr>
              <w:spacing w:after="0"/>
              <w:rPr>
                <w:sz w:val="20"/>
                <w:szCs w:val="20"/>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88,370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60,954</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902,782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815,180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636,561</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161,310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1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882,189</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131,447</w:t>
            </w: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8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2,894,050</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1,893,054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2"/>
        </w:trPr>
        <w:tc>
          <w:tcPr>
            <w:tcW w:w="660" w:type="dxa"/>
            <w:vAlign w:val="bottom"/>
          </w:tcPr>
          <w:p>
            <w:pPr>
              <w:spacing w:after="0"/>
              <w:rPr>
                <w:sz w:val="15"/>
                <w:szCs w:val="15"/>
                <w:color w:val="auto"/>
              </w:rPr>
            </w:pPr>
          </w:p>
        </w:tc>
        <w:tc>
          <w:tcPr>
            <w:tcW w:w="63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Property and equipment, net of accumulated depreciation of $404,878 and $339,892</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204,689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180,570</w:t>
            </w: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r>
      <w:tr>
        <w:trPr>
          <w:trHeight w:val="216"/>
        </w:trPr>
        <w:tc>
          <w:tcPr>
            <w:tcW w:w="660" w:type="dxa"/>
            <w:vAlign w:val="bottom"/>
          </w:tcPr>
          <w:p>
            <w:pPr>
              <w:spacing w:after="0"/>
              <w:rPr>
                <w:sz w:val="18"/>
                <w:szCs w:val="18"/>
                <w:color w:val="auto"/>
              </w:rPr>
            </w:pPr>
          </w:p>
        </w:tc>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at December 31, 2025 and 2024, respectively</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66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2,545,673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2,363,884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557,555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595,224</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171,632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161,032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2"/>
        </w:trPr>
        <w:tc>
          <w:tcPr>
            <w:tcW w:w="66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687,960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8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6,413,311</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5,926,140</w:t>
            </w:r>
          </w:p>
        </w:tc>
        <w:tc>
          <w:tcPr>
            <w:tcW w:w="100" w:type="dxa"/>
            <w:vAlign w:val="bottom"/>
            <w:tcBorders>
              <w:top w:val="single" w:sz="8" w:color="CFF0FC"/>
            </w:tcBorders>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Interests, and Equity</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66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Trade accounts payable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1,217,946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923,926</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333,024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295,746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42,936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38,910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portion of obligations under financing leases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52,340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48,725</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195,994</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117,563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1,849,034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1,428,333</w:t>
            </w: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Obligations under operating leases, net of current portion</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129,467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 under financing leases, net of current portion</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2,455,204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2,561,858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66,565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77,177</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8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4,526,945</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4,274,555</w:t>
            </w:r>
          </w:p>
        </w:tc>
        <w:tc>
          <w:tcPr>
            <w:tcW w:w="100" w:type="dxa"/>
            <w:vAlign w:val="bottom"/>
            <w:tcBorders>
              <w:top w:val="single" w:sz="8" w:color="CFF0FC"/>
            </w:tcBorders>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9"/>
        </w:trPr>
        <w:tc>
          <w:tcPr>
            <w:tcW w:w="660" w:type="dxa"/>
            <w:vAlign w:val="bottom"/>
          </w:tcPr>
          <w:p>
            <w:pPr>
              <w:spacing w:after="0"/>
              <w:rPr>
                <w:sz w:val="16"/>
                <w:szCs w:val="16"/>
                <w:color w:val="auto"/>
              </w:rPr>
            </w:pPr>
          </w:p>
        </w:tc>
        <w:tc>
          <w:tcPr>
            <w:tcW w:w="6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Common stock, $0.01 par value, 1,500,000,000 shares authorized, 192,124,125 and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FF0FC"/>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174,245,990 shares issued and outstanding at December 31, 2025 and 2024, respectively</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189"/>
        </w:trPr>
        <w:tc>
          <w:tcPr>
            <w:tcW w:w="660" w:type="dxa"/>
            <w:vAlign w:val="bottom"/>
          </w:tcPr>
          <w:p>
            <w:pPr>
              <w:spacing w:after="0"/>
              <w:rPr>
                <w:sz w:val="16"/>
                <w:szCs w:val="16"/>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250,000,000 authorized, no shares issued and</w:t>
            </w:r>
          </w:p>
        </w:tc>
        <w:tc>
          <w:tcPr>
            <w:tcW w:w="12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6"/>
                <w:szCs w:val="16"/>
                <w:color w:val="auto"/>
              </w:rPr>
            </w:pPr>
          </w:p>
        </w:tc>
      </w:tr>
      <w:tr>
        <w:trPr>
          <w:trHeight w:val="213"/>
        </w:trPr>
        <w:tc>
          <w:tcPr>
            <w:tcW w:w="66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outstanding at December 31, 2025 and 2024</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5"/>
        </w:trPr>
        <w:tc>
          <w:tcPr>
            <w:tcW w:w="660" w:type="dxa"/>
            <w:vAlign w:val="bottom"/>
          </w:tcPr>
          <w:p>
            <w:pPr>
              <w:spacing w:after="0"/>
              <w:rPr>
                <w:sz w:val="17"/>
                <w:szCs w:val="17"/>
                <w:color w:val="auto"/>
              </w:rPr>
            </w:pPr>
          </w:p>
        </w:tc>
        <w:tc>
          <w:tcPr>
            <w:tcW w:w="6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1,954,482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1,866,850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(74,647)</w:t>
            </w:r>
          </w:p>
        </w:tc>
        <w:tc>
          <w:tcPr>
            <w:tcW w:w="12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(222,155)</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(6,691)</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1,875,065</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1,647,855</w:t>
            </w:r>
          </w:p>
        </w:tc>
        <w:tc>
          <w:tcPr>
            <w:tcW w:w="100" w:type="dxa"/>
            <w:vAlign w:val="bottom"/>
            <w:tcBorders>
              <w:top w:val="single" w:sz="8" w:color="CFF0FC"/>
            </w:tcBorders>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8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1,875,139</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1,647,855</w:t>
            </w:r>
          </w:p>
        </w:tc>
        <w:tc>
          <w:tcPr>
            <w:tcW w:w="100" w:type="dxa"/>
            <w:vAlign w:val="bottom"/>
            <w:tcBorders>
              <w:top w:val="single" w:sz="8" w:color="CFF0FC"/>
            </w:tcBorders>
          </w:tcPr>
          <w:p>
            <w:pPr>
              <w:spacing w:after="0"/>
              <w:rPr>
                <w:sz w:val="17"/>
                <w:szCs w:val="17"/>
                <w:color w:val="auto"/>
              </w:rPr>
            </w:pPr>
          </w:p>
        </w:tc>
        <w:tc>
          <w:tcPr>
            <w:tcW w:w="660" w:type="dxa"/>
            <w:vAlign w:val="bottom"/>
          </w:tcPr>
          <w:p>
            <w:pPr>
              <w:spacing w:after="0"/>
              <w:rPr>
                <w:sz w:val="17"/>
                <w:szCs w:val="17"/>
                <w:color w:val="auto"/>
              </w:rPr>
            </w:pPr>
          </w:p>
        </w:tc>
      </w:tr>
      <w:tr>
        <w:trPr>
          <w:trHeight w:val="236"/>
        </w:trPr>
        <w:tc>
          <w:tcPr>
            <w:tcW w:w="660" w:type="dxa"/>
            <w:vAlign w:val="bottom"/>
          </w:tcPr>
          <w:p>
            <w:pPr>
              <w:spacing w:after="0"/>
              <w:rPr>
                <w:sz w:val="20"/>
                <w:szCs w:val="20"/>
                <w:color w:val="auto"/>
              </w:rPr>
            </w:pPr>
          </w:p>
        </w:tc>
        <w:tc>
          <w:tcPr>
            <w:tcW w:w="6380" w:type="dxa"/>
            <w:vAlign w:val="bottom"/>
            <w:tcBorders>
              <w:bottom w:val="single" w:sz="8" w:color="CFF0FC"/>
            </w:tcBorders>
            <w:shd w:val="clear" w:color="auto" w:fill="CFF0FC"/>
          </w:tcPr>
          <w:p>
            <w:pPr>
              <w:ind w:left="820"/>
              <w:spacing w:after="0"/>
              <w:rPr>
                <w:sz w:val="20"/>
                <w:szCs w:val="20"/>
                <w:color w:val="auto"/>
              </w:rPr>
            </w:pPr>
            <w:r>
              <w:rPr>
                <w:rFonts w:ascii="Times New Roman" w:cs="Times New Roman" w:eastAsia="Times New Roman" w:hAnsi="Times New Roman"/>
                <w:sz w:val="16"/>
                <w:szCs w:val="16"/>
                <w:b w:val="1"/>
                <w:bCs w:val="1"/>
                <w:color w:val="auto"/>
              </w:rPr>
              <w:t>Total liabilities, redeemable noncontrolling interests, and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6,413,311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5,926,140</w:t>
            </w:r>
          </w:p>
        </w:tc>
        <w:tc>
          <w:tcPr>
            <w:tcW w:w="100" w:type="dxa"/>
            <w:vAlign w:val="bottom"/>
            <w:tcBorders>
              <w:bottom w:val="single" w:sz="8" w:color="CFF0FC"/>
            </w:tcBorders>
            <w:shd w:val="clear" w:color="auto" w:fill="CFF0FC"/>
          </w:tcPr>
          <w:p>
            <w:pPr>
              <w:spacing w:after="0"/>
              <w:rPr>
                <w:sz w:val="20"/>
                <w:szCs w:val="20"/>
                <w:color w:val="auto"/>
              </w:rPr>
            </w:pPr>
          </w:p>
        </w:tc>
        <w:tc>
          <w:tcPr>
            <w:tcW w:w="660" w:type="dxa"/>
            <w:vAlign w:val="bottom"/>
          </w:tcPr>
          <w:p>
            <w:pPr>
              <w:spacing w:after="0"/>
              <w:rPr>
                <w:sz w:val="20"/>
                <w:szCs w:val="20"/>
                <w:color w:val="auto"/>
              </w:rPr>
            </w:pPr>
          </w:p>
        </w:tc>
      </w:tr>
      <w:tr>
        <w:trPr>
          <w:trHeight w:val="1203"/>
        </w:trPr>
        <w:tc>
          <w:tcPr>
            <w:tcW w:w="66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-5948680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-5948680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-4773930</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-4773930</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-3445510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-3445510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-2665095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-2665095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-1362075</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-1362075</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-1087755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-1087755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-814070</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-796290</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-814070</wp:posOffset>
            </wp:positionV>
            <wp:extent cx="603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-796290</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BrightSpring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2820" w:type="dxa"/>
            <w:vAlign w:val="bottom"/>
            <w:gridSpan w:val="6"/>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2820" w:type="dxa"/>
            <w:vAlign w:val="bottom"/>
            <w:gridSpan w:val="6"/>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3,156,539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2,397,059</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11,445,777</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8,754,282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394,092</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349,906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1,464,787</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1,317,932</w:t>
            </w: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3,550,631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2,746,965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12,910,564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10,072,214</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2,901,500</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2,192,520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10,507,431</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8,008,501</w:t>
            </w: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236,583</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215,777</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885,356</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797,286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412,548</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338,668</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1,517,777</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1,266,427</w:t>
            </w: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304,435</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283,129</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1,222,525</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1,158,473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108,113</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295,252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107,954</w:t>
            </w: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38,535</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157,311</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190,546</w:t>
            </w: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(95,318)</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(26,387)</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net of income taxes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(68,931)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84,317</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48,410</w:t>
            </w: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(20,521)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5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noncontrolling interests included in</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(2,459)</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BrightSpring Health Services, Inc.</w:t>
            </w:r>
          </w:p>
        </w:tc>
        <w:tc>
          <w:tcPr>
            <w:tcW w:w="14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77,080</w:t>
            </w:r>
          </w:p>
        </w:tc>
        <w:tc>
          <w:tcPr>
            <w:tcW w:w="18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2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190,666</w:t>
            </w:r>
          </w:p>
        </w:tc>
        <w:tc>
          <w:tcPr>
            <w:tcW w:w="2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(18,062)</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50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and subsidiaries</w:t>
            </w: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0" w:type="dxa"/>
            <w:vAlign w:val="bottom"/>
          </w:tcPr>
          <w:p>
            <w:pPr>
              <w:spacing w:after="0"/>
              <w:rPr>
                <w:sz w:val="19"/>
                <w:szCs w:val="19"/>
                <w:color w:val="auto"/>
              </w:rPr>
            </w:pPr>
          </w:p>
        </w:tc>
        <w:tc>
          <w:tcPr>
            <w:tcW w:w="5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 w:type="dxa"/>
            <w:vAlign w:val="bottom"/>
          </w:tcPr>
          <w:p>
            <w:pPr>
              <w:spacing w:after="0"/>
              <w:rPr>
                <w:sz w:val="21"/>
                <w:szCs w:val="21"/>
                <w:color w:val="auto"/>
              </w:rPr>
            </w:pPr>
          </w:p>
        </w:tc>
        <w:tc>
          <w:tcPr>
            <w:tcW w:w="5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Basic income (loss) per share attributable to common shareholders:</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506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Diluted income (loss) per share attributable to common</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203,702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200,312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218,417</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213,160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219,774</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192,997</w:t>
            </w: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2"/>
        </w:trPr>
        <w:tc>
          <w:tcPr>
            <w:tcW w:w="6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-5537200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-5537200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-5537200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-5537200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-4276725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-4276725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-4276725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-4276725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-3959860</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-3959860</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-3959860</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-3959860</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-3642360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-3642360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-3642360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-3642360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-3213735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-3213735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-3213735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-3213735</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-2159635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-2159635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-2159635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-2159635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-1413510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-1413510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-1413510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-1413510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BrightSpring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7"/>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12"/>
        </w:trPr>
        <w:tc>
          <w:tcPr>
            <w:tcW w:w="6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7"/>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2"/>
        </w:trPr>
        <w:tc>
          <w:tcPr>
            <w:tcW w:w="6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15,404</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189,113</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(20,521)</w:t>
            </w:r>
          </w:p>
        </w:tc>
        <w:tc>
          <w:tcPr>
            <w:tcW w:w="660" w:type="dxa"/>
            <w:vAlign w:val="bottom"/>
          </w:tcPr>
          <w:p>
            <w:pPr>
              <w:spacing w:after="0"/>
              <w:rPr>
                <w:sz w:val="17"/>
                <w:szCs w:val="17"/>
                <w:color w:val="auto"/>
              </w:rPr>
            </w:pPr>
          </w:p>
        </w:tc>
      </w:tr>
      <w:tr>
        <w:trPr>
          <w:trHeight w:val="189"/>
        </w:trPr>
        <w:tc>
          <w:tcPr>
            <w:tcW w:w="660" w:type="dxa"/>
            <w:vAlign w:val="bottom"/>
          </w:tcPr>
          <w:p>
            <w:pPr>
              <w:spacing w:after="0"/>
              <w:rPr>
                <w:sz w:val="16"/>
                <w:szCs w:val="16"/>
                <w:color w:val="auto"/>
              </w:rPr>
            </w:pPr>
          </w:p>
        </w:tc>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w:t>
            </w: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5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by operating activities:</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204,482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10,235</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9"/>
        </w:trPr>
        <w:tc>
          <w:tcPr>
            <w:tcW w:w="660" w:type="dxa"/>
            <w:vAlign w:val="bottom"/>
          </w:tcPr>
          <w:p>
            <w:pPr>
              <w:spacing w:after="0"/>
              <w:rPr>
                <w:sz w:val="16"/>
                <w:szCs w:val="16"/>
                <w:color w:val="auto"/>
              </w:rPr>
            </w:pPr>
          </w:p>
        </w:tc>
        <w:tc>
          <w:tcPr>
            <w:tcW w:w="5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Payment of contingent consideration in excess of acquisition date fair</w:t>
            </w: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(6,170)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(2,351)</w:t>
            </w:r>
          </w:p>
        </w:tc>
        <w:tc>
          <w:tcPr>
            <w:tcW w:w="6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5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value</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12,108</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69,174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2"/>
        </w:trPr>
        <w:tc>
          <w:tcPr>
            <w:tcW w:w="660" w:type="dxa"/>
            <w:vAlign w:val="bottom"/>
          </w:tcPr>
          <w:p>
            <w:pPr>
              <w:spacing w:after="0"/>
              <w:rPr>
                <w:sz w:val="17"/>
                <w:szCs w:val="17"/>
                <w:color w:val="auto"/>
              </w:rPr>
            </w:pPr>
          </w:p>
        </w:tc>
        <w:tc>
          <w:tcPr>
            <w:tcW w:w="5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(3,424)</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14,842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(25,914)</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disposition of fixed assets</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(2,518)</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(2,451)</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Change in operating assets and liabilities, net of acquisitions:</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(131,287)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(179,040)</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30,669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(175,627)</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(162,249)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(177,906)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(236,514)</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Trade accounts payable</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221,335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147,646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264,171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303,209</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(144,580)</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(8,459)</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(36,193)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(20,744)</w:t>
            </w: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4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231,559</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90,612</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490,169</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(37,665)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(15,311)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(95,484)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(80,913)</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(196,256)</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(204,564)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(59,797)</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4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(233,884)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(15,780)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(305,079)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(140,237)</w:t>
            </w: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Long-term debt borrowings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2,566,000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repayments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(12,342)</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(50,275)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(3,396,334)</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on initial public offering, net</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656,485</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tangible equity units,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389,000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(Repayments) borrowings of the Revolving Credit Facility, net</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(33,800)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(63,300)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(47,045)</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Repurchase of shares of common stock</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(43,173)</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(43,173)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(650)</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shares issued under share-based compensation plan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 of taxes related to net share settlement of equity awards</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(1,971)</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(7,554)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(1,196)</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contingent consideration up to acquisition date fair value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(1,805)</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shd w:val="clear" w:color="auto" w:fill="CAEDFB"/>
          </w:tcPr>
          <w:p>
            <w:pPr>
              <w:ind w:left="180"/>
              <w:spacing w:after="0"/>
              <w:rPr>
                <w:sz w:val="20"/>
                <w:szCs w:val="20"/>
                <w:color w:val="auto"/>
              </w:rPr>
            </w:pPr>
            <w:r>
              <w:rPr>
                <w:rFonts w:ascii="Times New Roman" w:cs="Times New Roman" w:eastAsia="Times New Roman" w:hAnsi="Times New Roman"/>
                <w:sz w:val="16"/>
                <w:szCs w:val="16"/>
                <w:color w:val="auto"/>
              </w:rPr>
              <w:t>Purchase of redeemable noncontrolling interest</w:t>
            </w:r>
          </w:p>
        </w:tc>
        <w:tc>
          <w:tcPr>
            <w:tcW w:w="320" w:type="dxa"/>
            <w:vAlign w:val="bottom"/>
            <w:shd w:val="clear" w:color="auto" w:fill="CAEDFB"/>
          </w:tcPr>
          <w:p>
            <w:pPr>
              <w:spacing w:after="0"/>
              <w:rPr>
                <w:sz w:val="17"/>
                <w:szCs w:val="17"/>
                <w:color w:val="auto"/>
              </w:rPr>
            </w:pPr>
          </w:p>
        </w:tc>
        <w:tc>
          <w:tcPr>
            <w:tcW w:w="100" w:type="dxa"/>
            <w:vAlign w:val="bottom"/>
            <w:shd w:val="clear" w:color="auto" w:fill="CAEDFB"/>
          </w:tcPr>
          <w:p>
            <w:pPr>
              <w:spacing w:after="0"/>
              <w:rPr>
                <w:sz w:val="17"/>
                <w:szCs w:val="17"/>
                <w:color w:val="auto"/>
              </w:rPr>
            </w:pPr>
          </w:p>
        </w:tc>
        <w:tc>
          <w:tcPr>
            <w:tcW w:w="820" w:type="dxa"/>
            <w:vAlign w:val="bottom"/>
            <w:gridSpan w:val="2"/>
            <w:shd w:val="clear" w:color="auto" w:fill="CAEDFB"/>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AEDFB"/>
          </w:tcPr>
          <w:p>
            <w:pPr>
              <w:spacing w:after="0"/>
              <w:rPr>
                <w:sz w:val="17"/>
                <w:szCs w:val="17"/>
                <w:color w:val="auto"/>
              </w:rPr>
            </w:pPr>
          </w:p>
        </w:tc>
        <w:tc>
          <w:tcPr>
            <w:tcW w:w="780" w:type="dxa"/>
            <w:vAlign w:val="bottom"/>
            <w:gridSpan w:val="2"/>
            <w:shd w:val="clear" w:color="auto" w:fill="CAEDFB"/>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AEDFB"/>
          </w:tcPr>
          <w:p>
            <w:pPr>
              <w:spacing w:after="0"/>
              <w:rPr>
                <w:sz w:val="17"/>
                <w:szCs w:val="17"/>
                <w:color w:val="auto"/>
              </w:rPr>
            </w:pPr>
          </w:p>
        </w:tc>
        <w:tc>
          <w:tcPr>
            <w:tcW w:w="140" w:type="dxa"/>
            <w:vAlign w:val="bottom"/>
            <w:shd w:val="clear" w:color="auto" w:fill="CAEDFB"/>
          </w:tcPr>
          <w:p>
            <w:pPr>
              <w:spacing w:after="0"/>
              <w:rPr>
                <w:sz w:val="17"/>
                <w:szCs w:val="17"/>
                <w:color w:val="auto"/>
              </w:rPr>
            </w:pPr>
          </w:p>
        </w:tc>
        <w:tc>
          <w:tcPr>
            <w:tcW w:w="820" w:type="dxa"/>
            <w:vAlign w:val="bottom"/>
            <w:gridSpan w:val="2"/>
            <w:shd w:val="clear" w:color="auto" w:fill="CAEDFB"/>
          </w:tcPr>
          <w:p>
            <w:pPr>
              <w:jc w:val="right"/>
              <w:ind w:right="120"/>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shd w:val="clear" w:color="auto" w:fill="CAEDFB"/>
          </w:tcPr>
          <w:p>
            <w:pPr>
              <w:spacing w:after="0"/>
              <w:rPr>
                <w:sz w:val="17"/>
                <w:szCs w:val="17"/>
                <w:color w:val="auto"/>
              </w:rPr>
            </w:pPr>
          </w:p>
        </w:tc>
        <w:tc>
          <w:tcPr>
            <w:tcW w:w="100" w:type="dxa"/>
            <w:vAlign w:val="bottom"/>
            <w:shd w:val="clear" w:color="auto" w:fill="CAEDFB"/>
          </w:tcPr>
          <w:p>
            <w:pPr>
              <w:spacing w:after="0"/>
              <w:rPr>
                <w:sz w:val="17"/>
                <w:szCs w:val="17"/>
                <w:color w:val="auto"/>
              </w:rPr>
            </w:pPr>
          </w:p>
        </w:tc>
        <w:tc>
          <w:tcPr>
            <w:tcW w:w="820" w:type="dxa"/>
            <w:vAlign w:val="bottom"/>
            <w:gridSpan w:val="2"/>
            <w:shd w:val="clear" w:color="auto" w:fill="CAEDFB"/>
          </w:tcPr>
          <w:p>
            <w:pPr>
              <w:jc w:val="right"/>
              <w:ind w:right="40"/>
              <w:spacing w:after="0"/>
              <w:rPr>
                <w:sz w:val="20"/>
                <w:szCs w:val="20"/>
                <w:color w:val="auto"/>
              </w:rPr>
            </w:pPr>
            <w:r>
              <w:rPr>
                <w:rFonts w:ascii="Times New Roman" w:cs="Times New Roman" w:eastAsia="Times New Roman" w:hAnsi="Times New Roman"/>
                <w:sz w:val="16"/>
                <w:szCs w:val="16"/>
                <w:color w:val="auto"/>
              </w:rPr>
              <w:t>(2,316)</w:t>
            </w:r>
          </w:p>
        </w:tc>
        <w:tc>
          <w:tcPr>
            <w:tcW w:w="660" w:type="dxa"/>
            <w:vAlign w:val="bottom"/>
          </w:tcPr>
          <w:p>
            <w:pPr>
              <w:spacing w:after="0"/>
              <w:rPr>
                <w:sz w:val="17"/>
                <w:szCs w:val="17"/>
                <w:color w:val="auto"/>
              </w:rPr>
            </w:pPr>
          </w:p>
        </w:tc>
      </w:tr>
      <w:tr>
        <w:trPr>
          <w:trHeight w:val="202"/>
        </w:trPr>
        <w:tc>
          <w:tcPr>
            <w:tcW w:w="660" w:type="dxa"/>
            <w:vAlign w:val="bottom"/>
          </w:tcPr>
          <w:p>
            <w:pPr>
              <w:spacing w:after="0"/>
              <w:rPr>
                <w:sz w:val="17"/>
                <w:szCs w:val="17"/>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financing lease obligations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(3,412)</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(13,545)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(11,629)</w:t>
            </w: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480" w:type="dxa"/>
            <w:vAlign w:val="bottom"/>
            <w:shd w:val="clear" w:color="auto" w:fill="CAEDFB"/>
          </w:tcPr>
          <w:p>
            <w:pPr>
              <w:ind w:left="6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20" w:type="dxa"/>
            <w:vAlign w:val="bottom"/>
            <w:gridSpan w:val="2"/>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AEDFB"/>
          </w:tcPr>
          <w:p>
            <w:pPr>
              <w:jc w:val="right"/>
              <w:ind w:right="120"/>
              <w:spacing w:after="0"/>
              <w:rPr>
                <w:sz w:val="20"/>
                <w:szCs w:val="20"/>
                <w:color w:val="auto"/>
              </w:rPr>
            </w:pPr>
            <w:r>
              <w:rPr>
                <w:rFonts w:ascii="Times New Roman" w:cs="Times New Roman" w:eastAsia="Times New Roman" w:hAnsi="Times New Roman"/>
                <w:sz w:val="16"/>
                <w:szCs w:val="16"/>
                <w:color w:val="auto"/>
              </w:rPr>
              <w:t>(50,498)</w:t>
            </w:r>
          </w:p>
        </w:tc>
        <w:tc>
          <w:tcPr>
            <w:tcW w:w="120" w:type="dxa"/>
            <w:vAlign w:val="bottom"/>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AEDFB"/>
          </w:tcPr>
          <w:p>
            <w:pPr>
              <w:jc w:val="right"/>
              <w:ind w:right="80"/>
              <w:spacing w:after="0"/>
              <w:rPr>
                <w:sz w:val="20"/>
                <w:szCs w:val="20"/>
                <w:color w:val="auto"/>
              </w:rPr>
            </w:pPr>
            <w:r>
              <w:rPr>
                <w:rFonts w:ascii="Times New Roman" w:cs="Times New Roman" w:eastAsia="Times New Roman" w:hAnsi="Times New Roman"/>
                <w:sz w:val="16"/>
                <w:szCs w:val="16"/>
                <w:color w:val="auto"/>
              </w:rPr>
              <w:t>(49,552)</w:t>
            </w:r>
          </w:p>
        </w:tc>
        <w:tc>
          <w:tcPr>
            <w:tcW w:w="240" w:type="dxa"/>
            <w:vAlign w:val="bottom"/>
            <w:gridSpan w:val="2"/>
            <w:shd w:val="clear" w:color="auto" w:fill="CAEDFB"/>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AEDFB"/>
          </w:tcPr>
          <w:p>
            <w:pPr>
              <w:jc w:val="right"/>
              <w:ind w:right="120"/>
              <w:spacing w:after="0"/>
              <w:rPr>
                <w:sz w:val="20"/>
                <w:szCs w:val="20"/>
                <w:color w:val="auto"/>
              </w:rPr>
            </w:pPr>
            <w:r>
              <w:rPr>
                <w:rFonts w:ascii="Times New Roman" w:cs="Times New Roman" w:eastAsia="Times New Roman" w:hAnsi="Times New Roman"/>
                <w:sz w:val="16"/>
                <w:szCs w:val="16"/>
                <w:color w:val="auto"/>
              </w:rPr>
              <w:t>(157,866)</w:t>
            </w:r>
          </w:p>
        </w:tc>
        <w:tc>
          <w:tcPr>
            <w:tcW w:w="220" w:type="dxa"/>
            <w:vAlign w:val="bottom"/>
            <w:gridSpan w:val="2"/>
            <w:shd w:val="clear" w:color="auto" w:fill="CAEDFB"/>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rPr>
              <w:t>164,645</w:t>
            </w:r>
          </w:p>
        </w:tc>
        <w:tc>
          <w:tcPr>
            <w:tcW w:w="100" w:type="dxa"/>
            <w:vAlign w:val="bottom"/>
            <w:shd w:val="clear" w:color="auto" w:fill="CAEDFB"/>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480" w:type="dxa"/>
            <w:vAlign w:val="bottom"/>
            <w:shd w:val="clear" w:color="auto" w:fill="CAEDFB"/>
          </w:tcPr>
          <w:p>
            <w:pPr>
              <w:spacing w:after="0" w:line="20" w:lineRule="exact"/>
              <w:rPr>
                <w:sz w:val="1"/>
                <w:szCs w:val="1"/>
                <w:color w:val="auto"/>
              </w:rPr>
            </w:pPr>
          </w:p>
        </w:tc>
        <w:tc>
          <w:tcPr>
            <w:tcW w:w="320" w:type="dxa"/>
            <w:vAlign w:val="bottom"/>
            <w:shd w:val="clear" w:color="auto" w:fill="CAEDFB"/>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AEDFB"/>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AEDFB"/>
          </w:tcPr>
          <w:p>
            <w:pPr>
              <w:spacing w:after="0" w:line="20" w:lineRule="exact"/>
              <w:rPr>
                <w:sz w:val="1"/>
                <w:szCs w:val="1"/>
                <w:color w:val="auto"/>
              </w:rPr>
            </w:pPr>
          </w:p>
        </w:tc>
        <w:tc>
          <w:tcPr>
            <w:tcW w:w="100" w:type="dxa"/>
            <w:vAlign w:val="bottom"/>
            <w:shd w:val="clear" w:color="auto" w:fill="CAEDFB"/>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AEDFB"/>
          </w:tcPr>
          <w:p>
            <w:pPr>
              <w:spacing w:after="0" w:line="20" w:lineRule="exact"/>
              <w:rPr>
                <w:sz w:val="1"/>
                <w:szCs w:val="1"/>
                <w:color w:val="auto"/>
              </w:rPr>
            </w:pPr>
          </w:p>
        </w:tc>
        <w:tc>
          <w:tcPr>
            <w:tcW w:w="120" w:type="dxa"/>
            <w:vAlign w:val="bottom"/>
            <w:shd w:val="clear" w:color="auto" w:fill="CAEDFB"/>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AEDFB"/>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(52,823)</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480" w:type="dxa"/>
            <w:vAlign w:val="bottom"/>
            <w:tcBorders>
              <w:bottom w:val="single" w:sz="8" w:color="CAEDFB"/>
            </w:tcBorders>
            <w:shd w:val="clear" w:color="auto" w:fill="CAEDFB"/>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20" w:type="dxa"/>
            <w:vAlign w:val="bottom"/>
            <w:tcBorders>
              <w:bottom w:val="single" w:sz="8" w:color="CAEDFB"/>
            </w:tcBorders>
            <w:shd w:val="clear" w:color="auto" w:fill="CAEDFB"/>
          </w:tcPr>
          <w:p>
            <w:pPr>
              <w:spacing w:after="0"/>
              <w:rPr>
                <w:sz w:val="17"/>
                <w:szCs w:val="17"/>
                <w:color w:val="auto"/>
              </w:rPr>
            </w:pPr>
          </w:p>
        </w:tc>
        <w:tc>
          <w:tcPr>
            <w:tcW w:w="100" w:type="dxa"/>
            <w:vAlign w:val="bottom"/>
            <w:tcBorders>
              <w:bottom w:val="single" w:sz="8" w:color="auto"/>
            </w:tcBorders>
            <w:shd w:val="clear" w:color="auto" w:fill="CAEDFB"/>
          </w:tcPr>
          <w:p>
            <w:pPr>
              <w:spacing w:after="0"/>
              <w:rPr>
                <w:sz w:val="17"/>
                <w:szCs w:val="17"/>
                <w:color w:val="auto"/>
              </w:rPr>
            </w:pPr>
          </w:p>
        </w:tc>
        <w:tc>
          <w:tcPr>
            <w:tcW w:w="640" w:type="dxa"/>
            <w:vAlign w:val="bottom"/>
            <w:tcBorders>
              <w:bottom w:val="single" w:sz="8" w:color="auto"/>
            </w:tcBorders>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rPr>
              <w:t>141,300</w:t>
            </w:r>
          </w:p>
        </w:tc>
        <w:tc>
          <w:tcPr>
            <w:tcW w:w="180" w:type="dxa"/>
            <w:vAlign w:val="bottom"/>
            <w:tcBorders>
              <w:bottom w:val="single" w:sz="8" w:color="CAEDFB"/>
            </w:tcBorders>
            <w:shd w:val="clear" w:color="auto" w:fill="CAEDFB"/>
          </w:tcPr>
          <w:p>
            <w:pPr>
              <w:spacing w:after="0"/>
              <w:rPr>
                <w:sz w:val="17"/>
                <w:szCs w:val="17"/>
                <w:color w:val="auto"/>
              </w:rPr>
            </w:pPr>
          </w:p>
        </w:tc>
        <w:tc>
          <w:tcPr>
            <w:tcW w:w="120" w:type="dxa"/>
            <w:vAlign w:val="bottom"/>
            <w:tcBorders>
              <w:bottom w:val="single" w:sz="8" w:color="auto"/>
            </w:tcBorders>
            <w:shd w:val="clear" w:color="auto" w:fill="CAEDFB"/>
          </w:tcPr>
          <w:p>
            <w:pPr>
              <w:spacing w:after="0"/>
              <w:rPr>
                <w:sz w:val="17"/>
                <w:szCs w:val="17"/>
                <w:color w:val="auto"/>
              </w:rPr>
            </w:pPr>
          </w:p>
        </w:tc>
        <w:tc>
          <w:tcPr>
            <w:tcW w:w="640" w:type="dxa"/>
            <w:vAlign w:val="bottom"/>
            <w:tcBorders>
              <w:bottom w:val="single" w:sz="8" w:color="auto"/>
            </w:tcBorders>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rPr>
              <w:t>35,973</w:t>
            </w:r>
          </w:p>
        </w:tc>
        <w:tc>
          <w:tcPr>
            <w:tcW w:w="140" w:type="dxa"/>
            <w:vAlign w:val="bottom"/>
            <w:tcBorders>
              <w:bottom w:val="single" w:sz="8" w:color="CAEDFB"/>
            </w:tcBorders>
            <w:shd w:val="clear" w:color="auto" w:fill="CAEDFB"/>
          </w:tcPr>
          <w:p>
            <w:pPr>
              <w:spacing w:after="0"/>
              <w:rPr>
                <w:sz w:val="17"/>
                <w:szCs w:val="17"/>
                <w:color w:val="auto"/>
              </w:rPr>
            </w:pPr>
          </w:p>
        </w:tc>
        <w:tc>
          <w:tcPr>
            <w:tcW w:w="100" w:type="dxa"/>
            <w:vAlign w:val="bottom"/>
            <w:tcBorders>
              <w:bottom w:val="single" w:sz="8" w:color="CAEDFB"/>
            </w:tcBorders>
            <w:shd w:val="clear" w:color="auto" w:fill="CAEDFB"/>
          </w:tcPr>
          <w:p>
            <w:pPr>
              <w:spacing w:after="0"/>
              <w:rPr>
                <w:sz w:val="17"/>
                <w:szCs w:val="17"/>
                <w:color w:val="auto"/>
              </w:rPr>
            </w:pPr>
          </w:p>
        </w:tc>
        <w:tc>
          <w:tcPr>
            <w:tcW w:w="140" w:type="dxa"/>
            <w:vAlign w:val="bottom"/>
            <w:tcBorders>
              <w:bottom w:val="single" w:sz="8" w:color="auto"/>
            </w:tcBorders>
            <w:shd w:val="clear" w:color="auto" w:fill="CAEDFB"/>
          </w:tcPr>
          <w:p>
            <w:pPr>
              <w:spacing w:after="0"/>
              <w:rPr>
                <w:sz w:val="17"/>
                <w:szCs w:val="17"/>
                <w:color w:val="auto"/>
              </w:rPr>
            </w:pPr>
          </w:p>
        </w:tc>
        <w:tc>
          <w:tcPr>
            <w:tcW w:w="640" w:type="dxa"/>
            <w:vAlign w:val="bottom"/>
            <w:tcBorders>
              <w:bottom w:val="single" w:sz="8" w:color="auto"/>
            </w:tcBorders>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rPr>
              <w:t>61,253</w:t>
            </w:r>
          </w:p>
        </w:tc>
        <w:tc>
          <w:tcPr>
            <w:tcW w:w="180" w:type="dxa"/>
            <w:vAlign w:val="bottom"/>
            <w:tcBorders>
              <w:bottom w:val="single" w:sz="8" w:color="CAEDFB"/>
            </w:tcBorders>
            <w:shd w:val="clear" w:color="auto" w:fill="CAEDFB"/>
          </w:tcPr>
          <w:p>
            <w:pPr>
              <w:spacing w:after="0"/>
              <w:rPr>
                <w:sz w:val="17"/>
                <w:szCs w:val="17"/>
                <w:color w:val="auto"/>
              </w:rPr>
            </w:pPr>
          </w:p>
        </w:tc>
        <w:tc>
          <w:tcPr>
            <w:tcW w:w="120" w:type="dxa"/>
            <w:vAlign w:val="bottom"/>
            <w:tcBorders>
              <w:bottom w:val="single" w:sz="8" w:color="CAEDFB"/>
            </w:tcBorders>
            <w:shd w:val="clear" w:color="auto" w:fill="CAEDFB"/>
          </w:tcPr>
          <w:p>
            <w:pPr>
              <w:spacing w:after="0"/>
              <w:rPr>
                <w:sz w:val="17"/>
                <w:szCs w:val="17"/>
                <w:color w:val="auto"/>
              </w:rPr>
            </w:pPr>
          </w:p>
        </w:tc>
        <w:tc>
          <w:tcPr>
            <w:tcW w:w="100" w:type="dxa"/>
            <w:vAlign w:val="bottom"/>
            <w:tcBorders>
              <w:bottom w:val="single" w:sz="8" w:color="auto"/>
            </w:tcBorders>
            <w:shd w:val="clear" w:color="auto" w:fill="CAEDFB"/>
          </w:tcPr>
          <w:p>
            <w:pPr>
              <w:spacing w:after="0"/>
              <w:rPr>
                <w:sz w:val="17"/>
                <w:szCs w:val="17"/>
                <w:color w:val="auto"/>
              </w:rPr>
            </w:pPr>
          </w:p>
        </w:tc>
        <w:tc>
          <w:tcPr>
            <w:tcW w:w="720" w:type="dxa"/>
            <w:vAlign w:val="bottom"/>
            <w:tcBorders>
              <w:bottom w:val="single" w:sz="8" w:color="auto"/>
            </w:tcBorders>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rPr>
              <w:t>13,071</w:t>
            </w:r>
          </w:p>
        </w:tc>
        <w:tc>
          <w:tcPr>
            <w:tcW w:w="100" w:type="dxa"/>
            <w:vAlign w:val="bottom"/>
            <w:tcBorders>
              <w:bottom w:val="single" w:sz="8" w:color="CAEDFB"/>
            </w:tcBorders>
            <w:shd w:val="clear" w:color="auto" w:fill="CAEDFB"/>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88,477</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61,253</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88,477</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80" w:type="dxa"/>
            <w:vAlign w:val="bottom"/>
            <w:tcBorders>
              <w:bottom w:val="single" w:sz="8" w:color="CAEDFB"/>
            </w:tcBorders>
            <w:shd w:val="clear" w:color="auto" w:fill="CAEDFB"/>
          </w:tcPr>
          <w:p>
            <w:pPr>
              <w:ind w:left="180"/>
              <w:spacing w:after="0"/>
              <w:rPr>
                <w:sz w:val="20"/>
                <w:szCs w:val="20"/>
                <w:color w:val="auto"/>
              </w:rPr>
            </w:pPr>
            <w:r>
              <w:rPr>
                <w:rFonts w:ascii="Times New Roman" w:cs="Times New Roman" w:eastAsia="Times New Roman" w:hAnsi="Times New Roman"/>
                <w:sz w:val="16"/>
                <w:szCs w:val="16"/>
                <w:color w:val="auto"/>
              </w:rPr>
              <w:t>Cash and cash equivalents included in assets held for sale at end of period</w:t>
            </w:r>
          </w:p>
        </w:tc>
        <w:tc>
          <w:tcPr>
            <w:tcW w:w="320" w:type="dxa"/>
            <w:vAlign w:val="bottom"/>
            <w:tcBorders>
              <w:bottom w:val="single" w:sz="8" w:color="CAEDFB"/>
            </w:tcBorders>
            <w:shd w:val="clear" w:color="auto" w:fill="CAEDFB"/>
          </w:tcPr>
          <w:p>
            <w:pPr>
              <w:spacing w:after="0"/>
              <w:rPr>
                <w:sz w:val="17"/>
                <w:szCs w:val="17"/>
                <w:color w:val="auto"/>
              </w:rPr>
            </w:pPr>
          </w:p>
        </w:tc>
        <w:tc>
          <w:tcPr>
            <w:tcW w:w="100" w:type="dxa"/>
            <w:vAlign w:val="bottom"/>
            <w:tcBorders>
              <w:top w:val="single" w:sz="8" w:color="auto"/>
              <w:bottom w:val="single" w:sz="8" w:color="auto"/>
            </w:tcBorders>
            <w:shd w:val="clear" w:color="auto" w:fill="CAEDFB"/>
          </w:tcPr>
          <w:p>
            <w:pPr>
              <w:spacing w:after="0"/>
              <w:rPr>
                <w:sz w:val="17"/>
                <w:szCs w:val="17"/>
                <w:color w:val="auto"/>
              </w:rPr>
            </w:pPr>
          </w:p>
        </w:tc>
        <w:tc>
          <w:tcPr>
            <w:tcW w:w="640" w:type="dxa"/>
            <w:vAlign w:val="bottom"/>
            <w:tcBorders>
              <w:top w:val="single" w:sz="8" w:color="auto"/>
              <w:bottom w:val="single" w:sz="8" w:color="auto"/>
            </w:tcBorders>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tcBorders>
              <w:bottom w:val="single" w:sz="8" w:color="CAEDFB"/>
            </w:tcBorders>
            <w:shd w:val="clear" w:color="auto" w:fill="CAEDFB"/>
          </w:tcPr>
          <w:p>
            <w:pPr>
              <w:spacing w:after="0"/>
              <w:rPr>
                <w:sz w:val="17"/>
                <w:szCs w:val="17"/>
                <w:color w:val="auto"/>
              </w:rPr>
            </w:pPr>
          </w:p>
        </w:tc>
        <w:tc>
          <w:tcPr>
            <w:tcW w:w="120" w:type="dxa"/>
            <w:vAlign w:val="bottom"/>
            <w:tcBorders>
              <w:top w:val="single" w:sz="8" w:color="auto"/>
              <w:bottom w:val="single" w:sz="8" w:color="auto"/>
            </w:tcBorders>
            <w:shd w:val="clear" w:color="auto" w:fill="CAEDFB"/>
          </w:tcPr>
          <w:p>
            <w:pPr>
              <w:spacing w:after="0"/>
              <w:rPr>
                <w:sz w:val="17"/>
                <w:szCs w:val="17"/>
                <w:color w:val="auto"/>
              </w:rPr>
            </w:pPr>
          </w:p>
        </w:tc>
        <w:tc>
          <w:tcPr>
            <w:tcW w:w="640" w:type="dxa"/>
            <w:vAlign w:val="bottom"/>
            <w:tcBorders>
              <w:top w:val="single" w:sz="8" w:color="auto"/>
              <w:bottom w:val="single" w:sz="8" w:color="auto"/>
            </w:tcBorders>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40" w:type="dxa"/>
            <w:vAlign w:val="bottom"/>
            <w:tcBorders>
              <w:bottom w:val="single" w:sz="8" w:color="CAEDFB"/>
            </w:tcBorders>
            <w:shd w:val="clear" w:color="auto" w:fill="CAEDFB"/>
          </w:tcPr>
          <w:p>
            <w:pPr>
              <w:spacing w:after="0"/>
              <w:rPr>
                <w:sz w:val="17"/>
                <w:szCs w:val="17"/>
                <w:color w:val="auto"/>
              </w:rPr>
            </w:pPr>
          </w:p>
        </w:tc>
        <w:tc>
          <w:tcPr>
            <w:tcW w:w="100" w:type="dxa"/>
            <w:vAlign w:val="bottom"/>
            <w:tcBorders>
              <w:bottom w:val="single" w:sz="8" w:color="CAEDFB"/>
            </w:tcBorders>
            <w:shd w:val="clear" w:color="auto" w:fill="CAEDFB"/>
          </w:tcPr>
          <w:p>
            <w:pPr>
              <w:spacing w:after="0"/>
              <w:rPr>
                <w:sz w:val="17"/>
                <w:szCs w:val="17"/>
                <w:color w:val="auto"/>
              </w:rPr>
            </w:pPr>
          </w:p>
        </w:tc>
        <w:tc>
          <w:tcPr>
            <w:tcW w:w="140" w:type="dxa"/>
            <w:vAlign w:val="bottom"/>
            <w:tcBorders>
              <w:top w:val="single" w:sz="8" w:color="auto"/>
              <w:bottom w:val="single" w:sz="8" w:color="auto"/>
            </w:tcBorders>
            <w:shd w:val="clear" w:color="auto" w:fill="CAEDFB"/>
          </w:tcPr>
          <w:p>
            <w:pPr>
              <w:spacing w:after="0"/>
              <w:rPr>
                <w:sz w:val="17"/>
                <w:szCs w:val="17"/>
                <w:color w:val="auto"/>
              </w:rPr>
            </w:pPr>
          </w:p>
        </w:tc>
        <w:tc>
          <w:tcPr>
            <w:tcW w:w="640" w:type="dxa"/>
            <w:vAlign w:val="bottom"/>
            <w:tcBorders>
              <w:top w:val="single" w:sz="8" w:color="auto"/>
              <w:bottom w:val="single" w:sz="8" w:color="auto"/>
            </w:tcBorders>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tcBorders>
              <w:bottom w:val="single" w:sz="8" w:color="CAEDFB"/>
            </w:tcBorders>
            <w:shd w:val="clear" w:color="auto" w:fill="CAEDFB"/>
          </w:tcPr>
          <w:p>
            <w:pPr>
              <w:spacing w:after="0"/>
              <w:rPr>
                <w:sz w:val="17"/>
                <w:szCs w:val="17"/>
                <w:color w:val="auto"/>
              </w:rPr>
            </w:pPr>
          </w:p>
        </w:tc>
        <w:tc>
          <w:tcPr>
            <w:tcW w:w="120" w:type="dxa"/>
            <w:vAlign w:val="bottom"/>
            <w:tcBorders>
              <w:bottom w:val="single" w:sz="8" w:color="CAEDFB"/>
            </w:tcBorders>
            <w:shd w:val="clear" w:color="auto" w:fill="CAEDFB"/>
          </w:tcPr>
          <w:p>
            <w:pPr>
              <w:spacing w:after="0"/>
              <w:rPr>
                <w:sz w:val="17"/>
                <w:szCs w:val="17"/>
                <w:color w:val="auto"/>
              </w:rPr>
            </w:pPr>
          </w:p>
        </w:tc>
        <w:tc>
          <w:tcPr>
            <w:tcW w:w="100" w:type="dxa"/>
            <w:vAlign w:val="bottom"/>
            <w:tcBorders>
              <w:top w:val="single" w:sz="8" w:color="auto"/>
              <w:bottom w:val="single" w:sz="8" w:color="auto"/>
            </w:tcBorders>
            <w:shd w:val="clear" w:color="auto" w:fill="CAEDFB"/>
          </w:tcPr>
          <w:p>
            <w:pPr>
              <w:spacing w:after="0"/>
              <w:rPr>
                <w:sz w:val="17"/>
                <w:szCs w:val="17"/>
                <w:color w:val="auto"/>
              </w:rPr>
            </w:pPr>
          </w:p>
        </w:tc>
        <w:tc>
          <w:tcPr>
            <w:tcW w:w="720" w:type="dxa"/>
            <w:vAlign w:val="bottom"/>
            <w:tcBorders>
              <w:top w:val="single" w:sz="8" w:color="auto"/>
              <w:bottom w:val="single" w:sz="8" w:color="auto"/>
            </w:tcBorders>
            <w:shd w:val="clear" w:color="auto" w:fill="CAEDFB"/>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Borders>
              <w:bottom w:val="single" w:sz="8" w:color="CAEDFB"/>
            </w:tcBorders>
            <w:shd w:val="clear" w:color="auto" w:fill="CAEDFB"/>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included in continuing operations at end of period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88,370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60,954</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88,370</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203"/>
        </w:trPr>
        <w:tc>
          <w:tcPr>
            <w:tcW w:w="66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-4105275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-4105275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-4105275</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-4105275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-3308350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-3308350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-3308350</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-3308350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-1490980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-1490980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-1490980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-1490980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-1224915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-1224915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-1224915</wp:posOffset>
            </wp:positionV>
            <wp:extent cx="1200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-1224915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-950595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-950595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-950595</wp:posOffset>
            </wp:positionV>
            <wp:extent cx="1200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-950595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BrightSpring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Reconciliation of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net income (loss) from continuing operations to EBITDA and Adjusted EBITDA: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14"/>
                <w:szCs w:val="14"/>
                <w:color w:val="auto"/>
              </w:rPr>
            </w:pPr>
          </w:p>
        </w:tc>
        <w:tc>
          <w:tcPr>
            <w:tcW w:w="230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r>
      <w:tr>
        <w:trPr>
          <w:trHeight w:val="173"/>
        </w:trPr>
        <w:tc>
          <w:tcPr>
            <w:tcW w:w="4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r>
      <w:tr>
        <w:trPr>
          <w:trHeight w:val="23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49,551</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104,796</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(68,931)</w:t>
            </w: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(26,387)</w:t>
            </w:r>
          </w:p>
        </w:tc>
      </w:tr>
      <w:tr>
        <w:trPr>
          <w:trHeight w:val="24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157,311</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190,546</w:t>
            </w:r>
          </w:p>
        </w:tc>
        <w:tc>
          <w:tcPr>
            <w:tcW w:w="100" w:type="dxa"/>
            <w:vAlign w:val="bottom"/>
            <w:shd w:val="clear" w:color="auto" w:fill="CFF0FC"/>
          </w:tcPr>
          <w:p>
            <w:pPr>
              <w:spacing w:after="0"/>
              <w:rPr>
                <w:sz w:val="21"/>
                <w:szCs w:val="2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39,524</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162,948</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162,144</w:t>
            </w:r>
          </w:p>
        </w:tc>
        <w:tc>
          <w:tcPr>
            <w:tcW w:w="100" w:type="dxa"/>
            <w:vAlign w:val="bottom"/>
          </w:tcPr>
          <w:p>
            <w:pPr>
              <w:spacing w:after="0"/>
              <w:rPr>
                <w:sz w:val="21"/>
                <w:szCs w:val="21"/>
                <w:color w:val="auto"/>
              </w:rPr>
            </w:pPr>
          </w:p>
        </w:tc>
      </w:tr>
      <w:tr>
        <w:trPr>
          <w:trHeight w:val="237"/>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147,637</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98,214</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458,200</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257,372</w:t>
            </w:r>
          </w:p>
        </w:tc>
        <w:tc>
          <w:tcPr>
            <w:tcW w:w="100" w:type="dxa"/>
            <w:vAlign w:val="bottom"/>
            <w:shd w:val="clear" w:color="auto" w:fill="CFF0FC"/>
          </w:tcPr>
          <w:p>
            <w:pPr>
              <w:spacing w:after="0"/>
              <w:rPr>
                <w:sz w:val="20"/>
                <w:szCs w:val="20"/>
                <w:color w:val="auto"/>
              </w:rPr>
            </w:pPr>
          </w:p>
        </w:tc>
      </w:tr>
      <w:tr>
        <w:trPr>
          <w:trHeight w:val="243"/>
        </w:trPr>
        <w:tc>
          <w:tcPr>
            <w:tcW w:w="4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share-based compensation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61,336</w:t>
            </w:r>
          </w:p>
        </w:tc>
        <w:tc>
          <w:tcPr>
            <w:tcW w:w="100" w:type="dxa"/>
            <w:vAlign w:val="bottom"/>
          </w:tcPr>
          <w:p>
            <w:pPr>
              <w:spacing w:after="0"/>
              <w:rPr>
                <w:sz w:val="21"/>
                <w:szCs w:val="21"/>
                <w:color w:val="auto"/>
              </w:rPr>
            </w:pPr>
          </w:p>
        </w:tc>
      </w:tr>
      <w:tr>
        <w:trPr>
          <w:trHeight w:val="243"/>
        </w:trPr>
        <w:tc>
          <w:tcPr>
            <w:tcW w:w="4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Acquisition, integration, and transaction-related costs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40,424</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31,953</w:t>
            </w:r>
          </w:p>
        </w:tc>
        <w:tc>
          <w:tcPr>
            <w:tcW w:w="100" w:type="dxa"/>
            <w:vAlign w:val="bottom"/>
            <w:shd w:val="clear" w:color="auto" w:fill="CFF0FC"/>
          </w:tcPr>
          <w:p>
            <w:pPr>
              <w:spacing w:after="0"/>
              <w:rPr>
                <w:sz w:val="21"/>
                <w:szCs w:val="21"/>
                <w:color w:val="auto"/>
              </w:rPr>
            </w:pPr>
          </w:p>
        </w:tc>
      </w:tr>
      <w:tr>
        <w:trPr>
          <w:trHeight w:val="243"/>
        </w:trPr>
        <w:tc>
          <w:tcPr>
            <w:tcW w:w="4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Restructuring and divestiture-related and other costs </w:t>
            </w:r>
            <w:r>
              <w:rPr>
                <w:rFonts w:ascii="Times New Roman" w:cs="Times New Roman" w:eastAsia="Times New Roman" w:hAnsi="Times New Roman"/>
                <w:sz w:val="24"/>
                <w:szCs w:val="24"/>
                <w:color w:val="auto"/>
                <w:vertAlign w:val="superscript"/>
              </w:rPr>
              <w:t>(3)</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61,688</w:t>
            </w:r>
          </w:p>
        </w:tc>
        <w:tc>
          <w:tcPr>
            <w:tcW w:w="100" w:type="dxa"/>
            <w:vAlign w:val="bottom"/>
          </w:tcPr>
          <w:p>
            <w:pPr>
              <w:spacing w:after="0"/>
              <w:rPr>
                <w:sz w:val="21"/>
                <w:szCs w:val="21"/>
                <w:color w:val="auto"/>
              </w:rPr>
            </w:pPr>
          </w:p>
        </w:tc>
      </w:tr>
      <w:tr>
        <w:trPr>
          <w:trHeight w:val="243"/>
        </w:trPr>
        <w:tc>
          <w:tcPr>
            <w:tcW w:w="4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Legal costs and settlements </w:t>
            </w:r>
            <w:r>
              <w:rPr>
                <w:rFonts w:ascii="Times New Roman" w:cs="Times New Roman" w:eastAsia="Times New Roman" w:hAnsi="Times New Roman"/>
                <w:sz w:val="24"/>
                <w:szCs w:val="24"/>
                <w:color w:val="auto"/>
                <w:vertAlign w:val="superscript"/>
              </w:rPr>
              <w:t>(4)</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100" w:type="dxa"/>
            <w:vAlign w:val="bottom"/>
            <w:shd w:val="clear" w:color="auto" w:fill="CFF0FC"/>
          </w:tcPr>
          <w:p>
            <w:pPr>
              <w:spacing w:after="0"/>
              <w:rPr>
                <w:sz w:val="21"/>
                <w:szCs w:val="21"/>
                <w:color w:val="auto"/>
              </w:rPr>
            </w:pPr>
          </w:p>
        </w:tc>
      </w:tr>
      <w:tr>
        <w:trPr>
          <w:trHeight w:val="243"/>
        </w:trPr>
        <w:tc>
          <w:tcPr>
            <w:tcW w:w="4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Significant projects </w:t>
            </w:r>
            <w:r>
              <w:rPr>
                <w:rFonts w:ascii="Times New Roman" w:cs="Times New Roman" w:eastAsia="Times New Roman" w:hAnsi="Times New Roman"/>
                <w:sz w:val="24"/>
                <w:szCs w:val="24"/>
                <w:color w:val="auto"/>
                <w:vertAlign w:val="superscript"/>
              </w:rPr>
              <w:t>(5)</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21"/>
                <w:szCs w:val="21"/>
                <w:color w:val="auto"/>
              </w:rPr>
            </w:pPr>
          </w:p>
        </w:tc>
      </w:tr>
      <w:tr>
        <w:trPr>
          <w:trHeight w:val="243"/>
        </w:trPr>
        <w:tc>
          <w:tcPr>
            <w:tcW w:w="41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Management fees </w:t>
            </w:r>
            <w:r>
              <w:rPr>
                <w:rFonts w:ascii="Times New Roman" w:cs="Times New Roman" w:eastAsia="Times New Roman" w:hAnsi="Times New Roman"/>
                <w:sz w:val="24"/>
                <w:szCs w:val="24"/>
                <w:color w:val="auto"/>
                <w:vertAlign w:val="superscript"/>
              </w:rPr>
              <w:t>(6)</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35,911</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202,848</w:t>
            </w:r>
          </w:p>
        </w:tc>
        <w:tc>
          <w:tcPr>
            <w:tcW w:w="100" w:type="dxa"/>
            <w:vAlign w:val="bottom"/>
          </w:tcPr>
          <w:p>
            <w:pPr>
              <w:spacing w:after="0"/>
              <w:rPr>
                <w:sz w:val="20"/>
                <w:szCs w:val="20"/>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183,548</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130,428</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617,570</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460,220</w:t>
            </w:r>
          </w:p>
        </w:tc>
        <w:tc>
          <w:tcPr>
            <w:tcW w:w="100" w:type="dxa"/>
            <w:vAlign w:val="bottom"/>
            <w:shd w:val="clear" w:color="auto" w:fill="CFF0FC"/>
          </w:tcPr>
          <w:p>
            <w:pPr>
              <w:spacing w:after="0"/>
              <w:rPr>
                <w:sz w:val="22"/>
                <w:szCs w:val="22"/>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-350520</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-350520</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-350520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-350520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-24765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-7620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left="660" w:right="60" w:hanging="33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to certain members of our management and other full-time employees. The year ended December 31, 2024 includes $15.0 million of previously unrecognized share-based compensation expense related to performance-vesting options under the 2017 Stock Plan, a portion of which vested upon completion of the IPO.</w:t>
      </w:r>
    </w:p>
    <w:p>
      <w:pPr>
        <w:spacing w:after="0" w:line="202" w:lineRule="exact"/>
        <w:rPr>
          <w:rFonts w:ascii="Times New Roman" w:cs="Times New Roman" w:eastAsia="Times New Roman" w:hAnsi="Times New Roman"/>
          <w:sz w:val="18"/>
          <w:szCs w:val="18"/>
          <w:color w:val="auto"/>
        </w:rPr>
      </w:pPr>
    </w:p>
    <w:p>
      <w:pPr>
        <w:ind w:left="660" w:hanging="332"/>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in connection with planned, completed, or terminated acquisitions, which include investment banking fees, legal diligence and related documentation costs, finance and accounting diligence and documentation; costs associated with the integration of acquisitions, including any facility consolidation, integration travel, or severance; and costs associated with other planned, completed, or terminated non-routine transactions. The years ended December 31, 2025 and 2024 included other non-routine transaction costs of $26.8 million and $5.8 million, respectively.</w:t>
      </w:r>
    </w:p>
    <w:p>
      <w:pPr>
        <w:spacing w:after="0" w:line="210" w:lineRule="exact"/>
        <w:rPr>
          <w:rFonts w:ascii="Times New Roman" w:cs="Times New Roman" w:eastAsia="Times New Roman" w:hAnsi="Times New Roman"/>
          <w:sz w:val="18"/>
          <w:szCs w:val="18"/>
          <w:color w:val="auto"/>
        </w:rPr>
      </w:pPr>
    </w:p>
    <w:p>
      <w:pPr>
        <w:ind w:left="660" w:right="120" w:hanging="332"/>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restructuring-related activities, including closure costs, and related license impairment, and severance expenses associated with certain enterprise-wide or significant business line cost-savings measures. These costs included $23.4 million and $23.7 million of costs that did not meet the criteria for discontinued operations related to the Community Living divestiture for the years ended December 31, 2025 and 2024, respectively. These costs also included $12.7 million of unamortized debt issuance costs associated with the extinguishment of our Second Lien Facility in the year ended December 31, 2024.</w:t>
      </w:r>
    </w:p>
    <w:p>
      <w:pPr>
        <w:spacing w:after="0" w:line="214" w:lineRule="exact"/>
        <w:rPr>
          <w:rFonts w:ascii="Times New Roman" w:cs="Times New Roman" w:eastAsia="Times New Roman" w:hAnsi="Times New Roman"/>
          <w:sz w:val="18"/>
          <w:szCs w:val="18"/>
          <w:color w:val="auto"/>
        </w:rPr>
      </w:pPr>
    </w:p>
    <w:p>
      <w:pPr>
        <w:ind w:left="660" w:right="120" w:hanging="33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 and defense costs associated with certain historical PharMerica litigation matters, including the Silver matter, all of which were finalized in 2024.</w:t>
      </w:r>
    </w:p>
    <w:p>
      <w:pPr>
        <w:spacing w:after="0" w:line="188" w:lineRule="exact"/>
        <w:rPr>
          <w:rFonts w:ascii="Times New Roman" w:cs="Times New Roman" w:eastAsia="Times New Roman" w:hAnsi="Times New Roman"/>
          <w:sz w:val="18"/>
          <w:szCs w:val="18"/>
          <w:color w:val="auto"/>
        </w:rPr>
      </w:pPr>
    </w:p>
    <w:p>
      <w:pPr>
        <w:ind w:left="660" w:right="80" w:hanging="33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certain transformational projects and for the periods presented primarily included general ledger system implementation, pharmacy billing system implementation, and ransomware attack response costs, all of which were finalized in 2024.</w:t>
      </w:r>
    </w:p>
    <w:p>
      <w:pPr>
        <w:spacing w:after="0" w:line="202" w:lineRule="exact"/>
        <w:rPr>
          <w:rFonts w:ascii="Times New Roman" w:cs="Times New Roman" w:eastAsia="Times New Roman" w:hAnsi="Times New Roman"/>
          <w:sz w:val="18"/>
          <w:szCs w:val="18"/>
          <w:color w:val="auto"/>
        </w:rPr>
      </w:pPr>
    </w:p>
    <w:p>
      <w:pPr>
        <w:ind w:left="660" w:right="40" w:hanging="33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management fees payable to the Managers under the Monitoring Agreement through the date of the IPO, and $22.7 million of termination fees resulting from the Monitoring Agreement being terminated upon completion of the IPO Offerings. All management fees ceased following the completion of the IPO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882015</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BrightSpring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Reconciliation of Adjusted EPS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diluted EPS to Adjusted EPS: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r>
      <w:tr>
        <w:trPr>
          <w:trHeight w:val="173"/>
        </w:trPr>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4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3"/>
                <w:szCs w:val="13"/>
                <w:color w:val="auto"/>
              </w:rPr>
            </w:pPr>
          </w:p>
        </w:tc>
      </w:tr>
      <w:tr>
        <w:trPr>
          <w:trHeight w:val="23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r>
      <w:tr>
        <w:trPr>
          <w:trHeight w:val="243"/>
        </w:trPr>
        <w:tc>
          <w:tcPr>
            <w:tcW w:w="47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share-based compensation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Acquisition, integration, and transaction-related costs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FF0FC"/>
          </w:tcPr>
          <w:p>
            <w:pPr>
              <w:spacing w:after="0"/>
              <w:rPr>
                <w:sz w:val="21"/>
                <w:szCs w:val="21"/>
                <w:color w:val="auto"/>
              </w:rPr>
            </w:pPr>
          </w:p>
        </w:tc>
      </w:tr>
      <w:tr>
        <w:trPr>
          <w:trHeight w:val="243"/>
        </w:trPr>
        <w:tc>
          <w:tcPr>
            <w:tcW w:w="47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Restructuring and divestiture-related and other costs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Legal costs and settlements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FF0FC"/>
          </w:tcPr>
          <w:p>
            <w:pPr>
              <w:spacing w:after="0"/>
              <w:rPr>
                <w:sz w:val="21"/>
                <w:szCs w:val="21"/>
                <w:color w:val="auto"/>
              </w:rPr>
            </w:pPr>
          </w:p>
        </w:tc>
      </w:tr>
      <w:tr>
        <w:trPr>
          <w:trHeight w:val="243"/>
        </w:trPr>
        <w:tc>
          <w:tcPr>
            <w:tcW w:w="47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Significant projects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Management fee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21"/>
                <w:szCs w:val="21"/>
                <w:color w:val="auto"/>
              </w:rPr>
            </w:pPr>
          </w:p>
        </w:tc>
      </w:tr>
      <w:tr>
        <w:trPr>
          <w:trHeight w:val="243"/>
        </w:trPr>
        <w:tc>
          <w:tcPr>
            <w:tcW w:w="47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Income tax impact on adjustments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EPS</w:t>
            </w:r>
          </w:p>
        </w:tc>
        <w:tc>
          <w:tcPr>
            <w:tcW w:w="3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CFF0FC"/>
          </w:tcPr>
          <w:p>
            <w:pPr>
              <w:spacing w:after="0"/>
              <w:rPr>
                <w:sz w:val="24"/>
                <w:szCs w:val="24"/>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FF0FC"/>
          </w:tcPr>
          <w:p>
            <w:pPr>
              <w:spacing w:after="0"/>
              <w:rPr>
                <w:sz w:val="24"/>
                <w:szCs w:val="24"/>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24"/>
                <w:szCs w:val="24"/>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24"/>
                <w:szCs w:val="24"/>
                <w:color w:val="auto"/>
              </w:rPr>
            </w:pPr>
          </w:p>
        </w:tc>
      </w:tr>
      <w:tr>
        <w:trPr>
          <w:trHeight w:val="223"/>
        </w:trPr>
        <w:tc>
          <w:tcPr>
            <w:tcW w:w="4740" w:type="dxa"/>
            <w:vAlign w:val="bottom"/>
            <w:tcBorders>
              <w:top w:val="single" w:sz="8" w:color="CFF0FC"/>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198"/>
        </w:trPr>
        <w:tc>
          <w:tcPr>
            <w:tcW w:w="4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used in</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218,417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213,160</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219,774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192,997</w:t>
            </w:r>
          </w:p>
        </w:tc>
        <w:tc>
          <w:tcPr>
            <w:tcW w:w="100" w:type="dxa"/>
            <w:vAlign w:val="bottom"/>
            <w:shd w:val="clear" w:color="auto" w:fill="CFF0FC"/>
          </w:tcPr>
          <w:p>
            <w:pPr>
              <w:spacing w:after="0"/>
              <w:rPr>
                <w:sz w:val="17"/>
                <w:szCs w:val="17"/>
                <w:color w:val="auto"/>
              </w:rPr>
            </w:pPr>
          </w:p>
        </w:tc>
      </w:tr>
      <w:tr>
        <w:trPr>
          <w:trHeight w:val="234"/>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calculating diluted U.S. GAAP net income (loss) per share</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used in</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218,417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213,160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219,774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202,106</w:t>
            </w:r>
          </w:p>
        </w:tc>
        <w:tc>
          <w:tcPr>
            <w:tcW w:w="10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calculating diluted Non-GAAP earnings per share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-728345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-711200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-728345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-711200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-728345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-711200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-728345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-711200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660" w:hanging="33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per share impact of the adjustment reflected within the definition of Adjusted EBITDA.</w:t>
      </w:r>
    </w:p>
    <w:p>
      <w:pPr>
        <w:spacing w:after="0" w:line="252" w:lineRule="exact"/>
        <w:rPr>
          <w:rFonts w:ascii="Times New Roman" w:cs="Times New Roman" w:eastAsia="Times New Roman" w:hAnsi="Times New Roman"/>
          <w:sz w:val="18"/>
          <w:szCs w:val="18"/>
          <w:color w:val="auto"/>
        </w:rPr>
      </w:pPr>
    </w:p>
    <w:p>
      <w:pPr>
        <w:ind w:left="660" w:right="240" w:hanging="332"/>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impact of non-GAAP adjustments is calculated using the estimated tax rate for the respective non-GAAP adjustment. For the year ended December 31, 2024, the income tax impact on adjustments is inclusive of a discrete tax benefit related to the Silver matter that was finalized in connection with the signing of the settlement agreement during the second fiscal quarter of 2024. For all periods presented, the income tax impact on adjustments is inclusive of a discrete tax benefit related to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2026-02-27T05:37:36Z</dcterms:created>
  <dcterms:modified xsi:type="dcterms:W3CDTF">2026-02-27T05:37:36Z</dcterms:modified>
</cp:coreProperties>
</file>